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Hlk121691473"/>
      <w:bookmarkStart w:id="1" w:name="_Toc382082357"/>
      <w:bookmarkStart w:id="2" w:name="_Toc392159258"/>
      <w:bookmarkStart w:id="3" w:name="_Hlk110866287"/>
      <w:bookmarkEnd w:id="0"/>
      <w:r w:rsidRPr="00781112">
        <w:rPr>
          <w:rFonts w:cs="Arial"/>
          <w:b/>
          <w:bCs/>
          <w:smallCaps/>
          <w:color w:val="000000" w:themeColor="text1"/>
          <w:sz w:val="32"/>
          <w:szCs w:val="32"/>
        </w:rPr>
        <w:t>State Performance Plan / Annual Performance Report: Part B</w:t>
      </w:r>
    </w:p>
    <w:p w14:paraId="775F9C1C" w14:textId="05570B0D"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450F569A"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F46F21">
        <w:rPr>
          <w:rFonts w:cs="Arial"/>
          <w:b/>
          <w:bCs/>
          <w:color w:val="000000" w:themeColor="text1"/>
          <w:sz w:val="28"/>
          <w:szCs w:val="28"/>
        </w:rPr>
        <w:t>2021</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Puerto Rico</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787A231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2023</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 xml:space="preserve">Provide sufficient detail to ensure that the Secretary and the public </w:t>
      </w:r>
      <w:proofErr w:type="gramStart"/>
      <w:r w:rsidRPr="00781112">
        <w:rPr>
          <w:rFonts w:cs="Arial"/>
          <w:color w:val="000000" w:themeColor="text1"/>
          <w:szCs w:val="16"/>
          <w:shd w:val="clear" w:color="auto" w:fill="FFFFFF"/>
        </w:rPr>
        <w:t>are informed</w:t>
      </w:r>
      <w:proofErr w:type="gramEnd"/>
      <w:r w:rsidRPr="00781112">
        <w:rPr>
          <w:rFonts w:cs="Arial"/>
          <w:color w:val="000000" w:themeColor="text1"/>
          <w:szCs w:val="16"/>
          <w:shd w:val="clear" w:color="auto" w:fill="FFFFFF"/>
        </w:rPr>
        <w:t xml:space="preserve">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53819907" w:rsidR="00AF5649" w:rsidRPr="00781112" w:rsidRDefault="00AF5649" w:rsidP="004369B2">
      <w:pPr>
        <w:rPr>
          <w:color w:val="000000" w:themeColor="text1"/>
        </w:rPr>
      </w:pPr>
      <w:r w:rsidRPr="00781112">
        <w:rPr>
          <w:b/>
          <w:color w:val="000000" w:themeColor="text1"/>
        </w:rPr>
        <w:t xml:space="preserve">Executive Summary </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 xml:space="preserve">During FFY 2021, the Puerto Rico Department of Education (PRDE) continued its steadfast commitment to providing quality public education to students across Puerto Rico (PR) despite incredibly challenging circumstances. In this Executive Summary, we provide </w:t>
      </w:r>
      <w:proofErr w:type="gramStart"/>
      <w:r w:rsidRPr="00781112">
        <w:rPr>
          <w:rFonts w:cs="Arial"/>
          <w:color w:val="000000" w:themeColor="text1"/>
          <w:szCs w:val="16"/>
        </w:rPr>
        <w:t>significant events</w:t>
      </w:r>
      <w:proofErr w:type="gramEnd"/>
      <w:r w:rsidRPr="00781112">
        <w:rPr>
          <w:rFonts w:cs="Arial"/>
          <w:color w:val="000000" w:themeColor="text1"/>
          <w:szCs w:val="16"/>
        </w:rPr>
        <w:t xml:space="preserve"> impacting the FFY 2021 reporting period and then proceed to provide an overview of the PRDE structure and organization. </w:t>
      </w:r>
      <w:r w:rsidRPr="00781112">
        <w:rPr>
          <w:rFonts w:cs="Arial"/>
          <w:color w:val="000000" w:themeColor="text1"/>
          <w:szCs w:val="16"/>
        </w:rPr>
        <w:br/>
      </w:r>
      <w:r w:rsidRPr="00781112">
        <w:rPr>
          <w:rFonts w:cs="Arial"/>
          <w:color w:val="000000" w:themeColor="text1"/>
          <w:szCs w:val="16"/>
        </w:rPr>
        <w:br/>
        <w:t xml:space="preserve">The 2021-2022 school year marked the return to in-person learning since schools were initially shutdown in March 2020 in response to the COVID-19 pandemic. After initially being shut down effective March 14, </w:t>
      </w:r>
      <w:proofErr w:type="gramStart"/>
      <w:r w:rsidRPr="00781112">
        <w:rPr>
          <w:rFonts w:cs="Arial"/>
          <w:color w:val="000000" w:themeColor="text1"/>
          <w:szCs w:val="16"/>
        </w:rPr>
        <w:t>2020</w:t>
      </w:r>
      <w:proofErr w:type="gramEnd"/>
      <w:r w:rsidRPr="00781112">
        <w:rPr>
          <w:rFonts w:cs="Arial"/>
          <w:color w:val="000000" w:themeColor="text1"/>
          <w:szCs w:val="16"/>
        </w:rPr>
        <w:t xml:space="preserve"> as part of a government lockdown in response to the COVID-19 pandemic, Puerto Rico schools operated virtually for essentially the entire 2020-2021 school year. A limited number of schools began to open for in-person learning on March 15, 2021, but unfortunately, Puerto Rico experienced a significant spike in COVID-19 cases shortly thereafter, and all PRDE schools were again closed by government order issued April 8, 2021 and remained closed for in-person learning for the remainder of the 2020-2021 school year. As such, PRDE’s reopening of schools for the 2021-2022 school year was unique and PRDE dedicate significant resources preparing for the return to school. </w:t>
      </w:r>
      <w:r w:rsidRPr="00781112">
        <w:rPr>
          <w:rFonts w:cs="Arial"/>
          <w:color w:val="000000" w:themeColor="text1"/>
          <w:szCs w:val="16"/>
        </w:rPr>
        <w:br/>
      </w:r>
      <w:r w:rsidRPr="00781112">
        <w:rPr>
          <w:rFonts w:cs="Arial"/>
          <w:color w:val="000000" w:themeColor="text1"/>
          <w:szCs w:val="16"/>
        </w:rPr>
        <w:br/>
        <w:t xml:space="preserve">With this context, the PRDE Associated Secretariat of Special Education (SAEE) presents this report for the FFY 21-22. </w:t>
      </w:r>
      <w:proofErr w:type="gramStart"/>
      <w:r w:rsidRPr="00781112">
        <w:rPr>
          <w:rFonts w:cs="Arial"/>
          <w:color w:val="000000" w:themeColor="text1"/>
          <w:szCs w:val="16"/>
        </w:rPr>
        <w:t>A school</w:t>
      </w:r>
      <w:proofErr w:type="gramEnd"/>
      <w:r w:rsidRPr="00781112">
        <w:rPr>
          <w:rFonts w:cs="Arial"/>
          <w:color w:val="000000" w:themeColor="text1"/>
          <w:szCs w:val="16"/>
        </w:rPr>
        <w:t xml:space="preserve"> year focused on </w:t>
      </w:r>
      <w:proofErr w:type="gramStart"/>
      <w:r w:rsidRPr="00781112">
        <w:rPr>
          <w:rFonts w:cs="Arial"/>
          <w:color w:val="000000" w:themeColor="text1"/>
          <w:szCs w:val="16"/>
        </w:rPr>
        <w:t>3</w:t>
      </w:r>
      <w:proofErr w:type="gramEnd"/>
      <w:r w:rsidRPr="00781112">
        <w:rPr>
          <w:rFonts w:cs="Arial"/>
          <w:color w:val="000000" w:themeColor="text1"/>
          <w:szCs w:val="16"/>
        </w:rPr>
        <w:t xml:space="preserve"> goals. First, that all students would receive in-person classes (‘presenciales’) in a secure matter, once this happened the DE could start with academic recovery. Second, strengthen the resources bank to increase the capacity to offer evaluation and therapy services. Third, modernize the infrastructure of the education system. </w:t>
      </w:r>
      <w:proofErr w:type="gramStart"/>
      <w:r w:rsidRPr="00781112">
        <w:rPr>
          <w:rFonts w:cs="Arial"/>
          <w:color w:val="000000" w:themeColor="text1"/>
          <w:szCs w:val="16"/>
        </w:rPr>
        <w:t>With this in mind, the</w:t>
      </w:r>
      <w:proofErr w:type="gramEnd"/>
      <w:r w:rsidRPr="00781112">
        <w:rPr>
          <w:rFonts w:cs="Arial"/>
          <w:color w:val="000000" w:themeColor="text1"/>
          <w:szCs w:val="16"/>
        </w:rPr>
        <w:t xml:space="preserve"> PRDE Secretary and all the secretariats and sub-secretaries outlined 6 areas of focus, presented in the document “Department of Education Strategic Plan.” The </w:t>
      </w:r>
      <w:proofErr w:type="gramStart"/>
      <w:r w:rsidRPr="00781112">
        <w:rPr>
          <w:rFonts w:cs="Arial"/>
          <w:color w:val="000000" w:themeColor="text1"/>
          <w:szCs w:val="16"/>
        </w:rPr>
        <w:t>6</w:t>
      </w:r>
      <w:proofErr w:type="gramEnd"/>
      <w:r w:rsidRPr="00781112">
        <w:rPr>
          <w:rFonts w:cs="Arial"/>
          <w:color w:val="000000" w:themeColor="text1"/>
          <w:szCs w:val="16"/>
        </w:rPr>
        <w:t xml:space="preserve"> areas are as follows: 1. Improve academic achievement, 2. Involve parents in a participatory way, 3. Empower Principals and Teachers, 4. Strengthen the technological infrastructure, 5. Maximize administrative quality, 6. Promote socioemotional health. Given this, the SAEE developed the "Strategic Plan of the Special Education Program from 2021 to 2026" the actions to be </w:t>
      </w:r>
      <w:proofErr w:type="gramStart"/>
      <w:r w:rsidRPr="00781112">
        <w:rPr>
          <w:rFonts w:cs="Arial"/>
          <w:color w:val="000000" w:themeColor="text1"/>
          <w:szCs w:val="16"/>
        </w:rPr>
        <w:t>carried out</w:t>
      </w:r>
      <w:proofErr w:type="gramEnd"/>
      <w:r w:rsidRPr="00781112">
        <w:rPr>
          <w:rFonts w:cs="Arial"/>
          <w:color w:val="000000" w:themeColor="text1"/>
          <w:szCs w:val="16"/>
        </w:rPr>
        <w:t xml:space="preserve"> to address 6 focus areas on the students with IEP. </w:t>
      </w:r>
      <w:r w:rsidRPr="00781112">
        <w:rPr>
          <w:rFonts w:cs="Arial"/>
          <w:color w:val="000000" w:themeColor="text1"/>
          <w:szCs w:val="16"/>
        </w:rPr>
        <w:br/>
        <w:t xml:space="preserve">Goal 1: Improve academic achievement for all students to achieve this goal, the Special Education Program included in its work plan the following initiatives: </w:t>
      </w:r>
      <w:r w:rsidRPr="00781112">
        <w:rPr>
          <w:rFonts w:cs="Arial"/>
          <w:color w:val="000000" w:themeColor="text1"/>
          <w:szCs w:val="16"/>
        </w:rPr>
        <w:br/>
        <w:t>Implementation of multisensory models that allow increasing the readiness of essential skills such as reading and writing.</w:t>
      </w:r>
      <w:r w:rsidRPr="00781112">
        <w:rPr>
          <w:rFonts w:cs="Arial"/>
          <w:color w:val="000000" w:themeColor="text1"/>
          <w:szCs w:val="16"/>
        </w:rPr>
        <w:br/>
      </w:r>
      <w:proofErr w:type="gramStart"/>
      <w:r w:rsidRPr="00781112">
        <w:rPr>
          <w:rFonts w:cs="Arial"/>
          <w:color w:val="000000" w:themeColor="text1"/>
          <w:szCs w:val="16"/>
        </w:rPr>
        <w:t>1</w:t>
      </w:r>
      <w:proofErr w:type="gramEnd"/>
      <w:r w:rsidRPr="00781112">
        <w:rPr>
          <w:rFonts w:cs="Arial"/>
          <w:color w:val="000000" w:themeColor="text1"/>
          <w:szCs w:val="16"/>
        </w:rPr>
        <w:t>. Professional training academies for regular teachers on inclusive education and attention to diversity.</w:t>
      </w:r>
      <w:r w:rsidRPr="00781112">
        <w:rPr>
          <w:rFonts w:cs="Arial"/>
          <w:color w:val="000000" w:themeColor="text1"/>
          <w:szCs w:val="16"/>
        </w:rPr>
        <w:br/>
      </w:r>
      <w:proofErr w:type="gramStart"/>
      <w:r w:rsidRPr="00781112">
        <w:rPr>
          <w:rFonts w:cs="Arial"/>
          <w:color w:val="000000" w:themeColor="text1"/>
          <w:szCs w:val="16"/>
        </w:rPr>
        <w:t>2</w:t>
      </w:r>
      <w:proofErr w:type="gramEnd"/>
      <w:r w:rsidRPr="00781112">
        <w:rPr>
          <w:rFonts w:cs="Arial"/>
          <w:color w:val="000000" w:themeColor="text1"/>
          <w:szCs w:val="16"/>
        </w:rPr>
        <w:t>. Strengthening the implementation of the STAR® curriculum at the elementary level and the Link® curriculum at the higher level; and expand the number of special classrooms using this curriculum.</w:t>
      </w:r>
      <w:r w:rsidRPr="00781112">
        <w:rPr>
          <w:rFonts w:cs="Arial"/>
          <w:color w:val="000000" w:themeColor="text1"/>
          <w:szCs w:val="16"/>
        </w:rPr>
        <w:br/>
      </w:r>
      <w:proofErr w:type="gramStart"/>
      <w:r w:rsidRPr="00781112">
        <w:rPr>
          <w:rFonts w:cs="Arial"/>
          <w:color w:val="000000" w:themeColor="text1"/>
          <w:szCs w:val="16"/>
        </w:rPr>
        <w:t>3</w:t>
      </w:r>
      <w:proofErr w:type="gramEnd"/>
      <w:r w:rsidRPr="00781112">
        <w:rPr>
          <w:rFonts w:cs="Arial"/>
          <w:color w:val="000000" w:themeColor="text1"/>
          <w:szCs w:val="16"/>
        </w:rPr>
        <w:t xml:space="preserve">. Implementation of the work-based teaching model, better known as "Work Base </w:t>
      </w:r>
      <w:proofErr w:type="gramStart"/>
      <w:r w:rsidRPr="00781112">
        <w:rPr>
          <w:rFonts w:cs="Arial"/>
          <w:color w:val="000000" w:themeColor="text1"/>
          <w:szCs w:val="16"/>
        </w:rPr>
        <w:t>Learning</w:t>
      </w:r>
      <w:proofErr w:type="gramEnd"/>
      <w:r w:rsidRPr="00781112">
        <w:rPr>
          <w:rFonts w:cs="Arial"/>
          <w:color w:val="000000" w:themeColor="text1"/>
          <w:szCs w:val="16"/>
        </w:rPr>
        <w:t>" in special classrooms starting at the upper level.</w:t>
      </w:r>
      <w:r w:rsidRPr="00781112">
        <w:rPr>
          <w:rFonts w:cs="Arial"/>
          <w:color w:val="000000" w:themeColor="text1"/>
          <w:szCs w:val="16"/>
        </w:rPr>
        <w:br/>
        <w:t>4. Initiatives aimed at increasing the number of educational and related service providers available in the Department and retaining them.</w:t>
      </w:r>
      <w:r w:rsidRPr="00781112">
        <w:rPr>
          <w:rFonts w:cs="Arial"/>
          <w:color w:val="000000" w:themeColor="text1"/>
          <w:szCs w:val="16"/>
        </w:rPr>
        <w:br/>
      </w:r>
      <w:proofErr w:type="gramStart"/>
      <w:r w:rsidRPr="00781112">
        <w:rPr>
          <w:rFonts w:cs="Arial"/>
          <w:color w:val="000000" w:themeColor="text1"/>
          <w:szCs w:val="16"/>
        </w:rPr>
        <w:t>5</w:t>
      </w:r>
      <w:proofErr w:type="gramEnd"/>
      <w:r w:rsidRPr="00781112">
        <w:rPr>
          <w:rFonts w:cs="Arial"/>
          <w:color w:val="000000" w:themeColor="text1"/>
          <w:szCs w:val="16"/>
        </w:rPr>
        <w:t>. Development of essential curricular content for students participating in the modified and alternate study program, aligned to the regular program, but adapted to the level of functioning of the students and focused on the development of functional skills for life.</w:t>
      </w:r>
      <w:r w:rsidRPr="00781112">
        <w:rPr>
          <w:rFonts w:cs="Arial"/>
          <w:color w:val="000000" w:themeColor="text1"/>
          <w:szCs w:val="16"/>
        </w:rPr>
        <w:br/>
      </w:r>
      <w:proofErr w:type="gramStart"/>
      <w:r w:rsidRPr="00781112">
        <w:rPr>
          <w:rFonts w:cs="Arial"/>
          <w:color w:val="000000" w:themeColor="text1"/>
          <w:szCs w:val="16"/>
        </w:rPr>
        <w:t>6</w:t>
      </w:r>
      <w:proofErr w:type="gramEnd"/>
      <w:r w:rsidRPr="00781112">
        <w:rPr>
          <w:rFonts w:cs="Arial"/>
          <w:color w:val="000000" w:themeColor="text1"/>
          <w:szCs w:val="16"/>
        </w:rPr>
        <w:t>. Strengthening of the implementation of the public policy of School Organization for the Special Education Program that allows the creation and improvement of appropriate placement alternatives.</w:t>
      </w:r>
      <w:r w:rsidRPr="00781112">
        <w:rPr>
          <w:rFonts w:cs="Arial"/>
          <w:color w:val="000000" w:themeColor="text1"/>
          <w:szCs w:val="16"/>
        </w:rPr>
        <w:br/>
      </w:r>
      <w:proofErr w:type="gramStart"/>
      <w:r w:rsidRPr="00781112">
        <w:rPr>
          <w:rFonts w:cs="Arial"/>
          <w:color w:val="000000" w:themeColor="text1"/>
          <w:szCs w:val="16"/>
        </w:rPr>
        <w:t>7</w:t>
      </w:r>
      <w:proofErr w:type="gramEnd"/>
      <w:r w:rsidRPr="00781112">
        <w:rPr>
          <w:rFonts w:cs="Arial"/>
          <w:color w:val="000000" w:themeColor="text1"/>
          <w:szCs w:val="16"/>
        </w:rPr>
        <w:t>. Strengthening of the teaching process through the provision of equipment and materials necessary to implement the Individualized Educational Programs (IEP).</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r w:rsidRPr="00781112">
        <w:rPr>
          <w:color w:val="000000" w:themeColor="text1"/>
        </w:rPr>
        <w:t xml:space="preserve">Within the work plan of the Department of Education under the “ESSER/COVID Relief” funds, the Associated Secretary for Special Education began with the second phase of the “Upgrade” to the Project of the Mi Portal Especial Information System (MiPE). PRDE takes this initiative with the mission of being able to provide users with a better experience when </w:t>
      </w:r>
      <w:proofErr w:type="gramStart"/>
      <w:r w:rsidRPr="00781112">
        <w:rPr>
          <w:color w:val="000000" w:themeColor="text1"/>
        </w:rPr>
        <w:t>carrying out</w:t>
      </w:r>
      <w:proofErr w:type="gramEnd"/>
      <w:r w:rsidRPr="00781112">
        <w:rPr>
          <w:color w:val="000000" w:themeColor="text1"/>
        </w:rPr>
        <w:t xml:space="preserve"> the processes of the special education program. Using </w:t>
      </w:r>
      <w:proofErr w:type="gramStart"/>
      <w:r w:rsidRPr="00781112">
        <w:rPr>
          <w:color w:val="000000" w:themeColor="text1"/>
        </w:rPr>
        <w:t>new technology</w:t>
      </w:r>
      <w:proofErr w:type="gramEnd"/>
      <w:r w:rsidRPr="00781112">
        <w:rPr>
          <w:color w:val="000000" w:themeColor="text1"/>
        </w:rPr>
        <w:t xml:space="preserve">, users have a more agile platform with cutting-edge technology which can be accessed through multiple types of devices (Laptop, Desktop, Tablets or Mobile Devices). This version attended the recommendations from stakeholders to improve the platform so it can be more accessible to the users with virtual experience which was a need identified during the COVID Pandemic. </w:t>
      </w:r>
      <w:proofErr w:type="gramStart"/>
      <w:r w:rsidRPr="00781112">
        <w:rPr>
          <w:color w:val="000000" w:themeColor="text1"/>
        </w:rPr>
        <w:t>Some of</w:t>
      </w:r>
      <w:proofErr w:type="gramEnd"/>
      <w:r w:rsidRPr="00781112">
        <w:rPr>
          <w:color w:val="000000" w:themeColor="text1"/>
        </w:rPr>
        <w:t xml:space="preserve"> the new initiatives was the Parent Platform in which they can access the electronic record of their children, including evaluation, IEP, transportation services, assistance for the related services and is another way that they can file due process complaints. </w:t>
      </w:r>
      <w:proofErr w:type="gramStart"/>
      <w:r w:rsidRPr="00781112">
        <w:rPr>
          <w:color w:val="000000" w:themeColor="text1"/>
        </w:rPr>
        <w:t>Also</w:t>
      </w:r>
      <w:proofErr w:type="gramEnd"/>
      <w:r w:rsidRPr="00781112">
        <w:rPr>
          <w:color w:val="000000" w:themeColor="text1"/>
        </w:rPr>
        <w:t xml:space="preserve"> there is an integration with the electronic signature.  </w:t>
      </w: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1</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 xml:space="preserve">The systems that are in place to ensure that IDEA Part B requirements </w:t>
      </w:r>
      <w:proofErr w:type="gramStart"/>
      <w:r w:rsidRPr="00781112">
        <w:rPr>
          <w:rFonts w:cs="Arial"/>
          <w:b/>
          <w:color w:val="000000" w:themeColor="text1"/>
          <w:szCs w:val="16"/>
        </w:rPr>
        <w:t>are met</w:t>
      </w:r>
      <w:proofErr w:type="gramEnd"/>
      <w:r w:rsidRPr="00781112">
        <w:rPr>
          <w:rFonts w:cs="Arial"/>
          <w:b/>
          <w:color w:val="000000" w:themeColor="text1"/>
          <w:szCs w:val="16"/>
        </w:rPr>
        <w: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 xml:space="preserve">As stated in previous APRs the SAEE general supervision system includes many components and is </w:t>
      </w:r>
      <w:proofErr w:type="gramStart"/>
      <w:r w:rsidRPr="00781112">
        <w:rPr>
          <w:rFonts w:cs="Arial"/>
          <w:color w:val="000000" w:themeColor="text1"/>
          <w:szCs w:val="16"/>
        </w:rPr>
        <w:t>carried out</w:t>
      </w:r>
      <w:proofErr w:type="gramEnd"/>
      <w:r w:rsidRPr="00781112">
        <w:rPr>
          <w:rFonts w:cs="Arial"/>
          <w:color w:val="000000" w:themeColor="text1"/>
          <w:szCs w:val="16"/>
        </w:rPr>
        <w:t xml:space="preserve"> at all levels of the PRDE system. At the Central Level, the SAEE has a Monitoring and Compliance Unit (MCU), which is responsible for monitoring throughout the Commonwealth to ensure compliance with IDEA and Puerto Rico requirements. The MCU </w:t>
      </w:r>
      <w:proofErr w:type="gramStart"/>
      <w:r w:rsidRPr="00781112">
        <w:rPr>
          <w:rFonts w:cs="Arial"/>
          <w:color w:val="000000" w:themeColor="text1"/>
          <w:szCs w:val="16"/>
        </w:rPr>
        <w:t>carries out</w:t>
      </w:r>
      <w:proofErr w:type="gramEnd"/>
      <w:r w:rsidRPr="00781112">
        <w:rPr>
          <w:rFonts w:cs="Arial"/>
          <w:color w:val="000000" w:themeColor="text1"/>
          <w:szCs w:val="16"/>
        </w:rPr>
        <w:t xml:space="preserve"> monitoring activities of implementation of IDEA at the ORE and school levels. The MCU is responsible for issuing findings when noncompliance </w:t>
      </w:r>
      <w:proofErr w:type="gramStart"/>
      <w:r w:rsidRPr="00781112">
        <w:rPr>
          <w:rFonts w:cs="Arial"/>
          <w:color w:val="000000" w:themeColor="text1"/>
          <w:szCs w:val="16"/>
        </w:rPr>
        <w:t>is identified</w:t>
      </w:r>
      <w:proofErr w:type="gramEnd"/>
      <w:r w:rsidRPr="00781112">
        <w:rPr>
          <w:rFonts w:cs="Arial"/>
          <w:color w:val="000000" w:themeColor="text1"/>
          <w:szCs w:val="16"/>
        </w:rPr>
        <w:t xml:space="preserve"> as well as providing necessary follow-up to ensure findings of non-compliance are corrected in a timely manner, i.e., within one year of identification. PRDE SAEE </w:t>
      </w:r>
      <w:proofErr w:type="gramStart"/>
      <w:r w:rsidRPr="00781112">
        <w:rPr>
          <w:rFonts w:cs="Arial"/>
          <w:color w:val="000000" w:themeColor="text1"/>
          <w:szCs w:val="16"/>
        </w:rPr>
        <w:t>carries out</w:t>
      </w:r>
      <w:proofErr w:type="gramEnd"/>
      <w:r w:rsidRPr="00781112">
        <w:rPr>
          <w:rFonts w:cs="Arial"/>
          <w:color w:val="000000" w:themeColor="text1"/>
          <w:szCs w:val="16"/>
        </w:rPr>
        <w:t xml:space="preserve"> work at the regional level with significant support from its Special Education Service Centers (CSEEs, by its acronym in Spanish). The SAEE oversees eleven CSEEs. The CSEEs </w:t>
      </w:r>
      <w:proofErr w:type="gramStart"/>
      <w:r w:rsidRPr="00781112">
        <w:rPr>
          <w:rFonts w:cs="Arial"/>
          <w:color w:val="000000" w:themeColor="text1"/>
          <w:szCs w:val="16"/>
        </w:rPr>
        <w:t>are located in</w:t>
      </w:r>
      <w:proofErr w:type="gramEnd"/>
      <w:r w:rsidRPr="00781112">
        <w:rPr>
          <w:rFonts w:cs="Arial"/>
          <w:color w:val="000000" w:themeColor="text1"/>
          <w:szCs w:val="16"/>
        </w:rPr>
        <w:t xml:space="preserve"> Aguada, Arecibo, Bayamón, Caguas, Fajardo, Humacao, Mayagüez, Morovis, Ponce, San Germán, and San Juan. They operate as a link with PRDE's educational regions, with </w:t>
      </w:r>
      <w:proofErr w:type="gramStart"/>
      <w:r w:rsidRPr="00781112">
        <w:rPr>
          <w:rFonts w:cs="Arial"/>
          <w:color w:val="000000" w:themeColor="text1"/>
          <w:szCs w:val="16"/>
        </w:rPr>
        <w:t>some</w:t>
      </w:r>
      <w:proofErr w:type="gramEnd"/>
      <w:r w:rsidRPr="00781112">
        <w:rPr>
          <w:rFonts w:cs="Arial"/>
          <w:color w:val="000000" w:themeColor="text1"/>
          <w:szCs w:val="16"/>
        </w:rPr>
        <w:t xml:space="preserve"> regions having more than one CSEE based on specific needs. The CSEE’s </w:t>
      </w:r>
      <w:proofErr w:type="gramStart"/>
      <w:r w:rsidRPr="00781112">
        <w:rPr>
          <w:rFonts w:cs="Arial"/>
          <w:color w:val="000000" w:themeColor="text1"/>
          <w:szCs w:val="16"/>
        </w:rPr>
        <w:t>were established</w:t>
      </w:r>
      <w:proofErr w:type="gramEnd"/>
      <w:r w:rsidRPr="00781112">
        <w:rPr>
          <w:rFonts w:cs="Arial"/>
          <w:color w:val="000000" w:themeColor="text1"/>
          <w:szCs w:val="16"/>
        </w:rPr>
        <w:t xml:space="preserve"> to provide and assist students with disabilities and their parents with special education services. The services they provide include registration, parent consent to evaluation, initial evaluations (Indicator 11, eligibility determination processes, re-evaluations, and coordination of therapy services. The CSEEs are a key component of PRDE’s General Supervision System; they have the responsibility of ensuring compliance with Indicators 11 and 12 and ensuring services </w:t>
      </w:r>
      <w:proofErr w:type="gramStart"/>
      <w:r w:rsidRPr="00781112">
        <w:rPr>
          <w:rFonts w:cs="Arial"/>
          <w:color w:val="000000" w:themeColor="text1"/>
          <w:szCs w:val="16"/>
        </w:rPr>
        <w:t>are provided</w:t>
      </w:r>
      <w:proofErr w:type="gramEnd"/>
      <w:r w:rsidRPr="00781112">
        <w:rPr>
          <w:rFonts w:cs="Arial"/>
          <w:color w:val="000000" w:themeColor="text1"/>
          <w:szCs w:val="16"/>
        </w:rPr>
        <w:t xml:space="preserve"> in a timely manner. Another important main responsibility of the CSEEs is to serve as the liaison for children transitioning from Part C to B and their parents, including </w:t>
      </w:r>
      <w:proofErr w:type="gramStart"/>
      <w:r w:rsidRPr="00781112">
        <w:rPr>
          <w:rFonts w:cs="Arial"/>
          <w:color w:val="000000" w:themeColor="text1"/>
          <w:szCs w:val="16"/>
        </w:rPr>
        <w:t>with regard to</w:t>
      </w:r>
      <w:proofErr w:type="gramEnd"/>
      <w:r w:rsidRPr="00781112">
        <w:rPr>
          <w:rFonts w:cs="Arial"/>
          <w:color w:val="000000" w:themeColor="text1"/>
          <w:szCs w:val="16"/>
        </w:rPr>
        <w:t xml:space="preserve"> their referral from Part C, evaluation, and provision of services. During FFY 2015, the Government of Puerto Rico established an initiative to positively impact the timely transition from Part C to Part B. Under this initiative, staff from the Puerto Rico Department of Health who work on the Part C program are physically located on the same premises as Part B staff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aid in communication and collaboration </w:t>
      </w:r>
      <w:r w:rsidRPr="00781112">
        <w:rPr>
          <w:rFonts w:cs="Arial"/>
          <w:color w:val="000000" w:themeColor="text1"/>
          <w:szCs w:val="16"/>
        </w:rPr>
        <w:lastRenderedPageBreak/>
        <w:t xml:space="preserve">with the transition process. The location in which the staff is located </w:t>
      </w:r>
      <w:proofErr w:type="gramStart"/>
      <w:r w:rsidRPr="00781112">
        <w:rPr>
          <w:rFonts w:cs="Arial"/>
          <w:color w:val="000000" w:themeColor="text1"/>
          <w:szCs w:val="16"/>
        </w:rPr>
        <w:t>is called</w:t>
      </w:r>
      <w:proofErr w:type="gramEnd"/>
      <w:r w:rsidRPr="00781112">
        <w:rPr>
          <w:rFonts w:cs="Arial"/>
          <w:color w:val="000000" w:themeColor="text1"/>
          <w:szCs w:val="16"/>
        </w:rPr>
        <w:t xml:space="preserve"> the Integrated Service Center (Centro de Servicios Integrados). The initiative started as a pilot project in the Caguas Region in November 2015. This pilot effort has been </w:t>
      </w:r>
      <w:proofErr w:type="gramStart"/>
      <w:r w:rsidRPr="00781112">
        <w:rPr>
          <w:rFonts w:cs="Arial"/>
          <w:color w:val="000000" w:themeColor="text1"/>
          <w:szCs w:val="16"/>
        </w:rPr>
        <w:t>a great success</w:t>
      </w:r>
      <w:proofErr w:type="gramEnd"/>
      <w:r w:rsidRPr="00781112">
        <w:rPr>
          <w:rFonts w:cs="Arial"/>
          <w:color w:val="000000" w:themeColor="text1"/>
          <w:szCs w:val="16"/>
        </w:rPr>
        <w:t xml:space="preserve">, and parents have been pleased with this arrangement. It has helped improve the process and ensure a smooth transition from Part C to Part B services. The initiative expanded during the 2016-2017 school year to a second Service Center, which is Fajardo. During April 2016 OSEP visited the facilities in Caguas and Fajardo observing the benefits for parents with children with disabilities. During 2021-2022 SAEE continued with the same two Integrated CSEEs with great satisfaction and feedback from parents. The CSEEs have the Assistive Technology Advisory Committees (‘CAAT’ by its acronym in Spanish). This committee includes the professional experts who have the responsibility of providing </w:t>
      </w:r>
      <w:proofErr w:type="gramStart"/>
      <w:r w:rsidRPr="00781112">
        <w:rPr>
          <w:rFonts w:cs="Arial"/>
          <w:color w:val="000000" w:themeColor="text1"/>
          <w:szCs w:val="16"/>
        </w:rPr>
        <w:t>the assistive</w:t>
      </w:r>
      <w:proofErr w:type="gramEnd"/>
      <w:r w:rsidRPr="00781112">
        <w:rPr>
          <w:rFonts w:cs="Arial"/>
          <w:color w:val="000000" w:themeColor="text1"/>
          <w:szCs w:val="16"/>
        </w:rPr>
        <w:t xml:space="preserve"> technology evaluations. The PRDE Special Education Legal Division (SELD) is responsible for receiving and investigating State Complaints. When findings of noncompliance </w:t>
      </w:r>
      <w:proofErr w:type="gramStart"/>
      <w:r w:rsidRPr="00781112">
        <w:rPr>
          <w:rFonts w:cs="Arial"/>
          <w:color w:val="000000" w:themeColor="text1"/>
          <w:szCs w:val="16"/>
        </w:rPr>
        <w:t>are identified</w:t>
      </w:r>
      <w:proofErr w:type="gramEnd"/>
      <w:r w:rsidRPr="00781112">
        <w:rPr>
          <w:rFonts w:cs="Arial"/>
          <w:color w:val="000000" w:themeColor="text1"/>
          <w:szCs w:val="16"/>
        </w:rPr>
        <w:t xml:space="preserve"> through the investigation of a State Complaint, the SELD is charged with issuing the notification of finding as well as with providing the necessary follow-up to ensure findings of noncompliance are corrected in a timely manner. The PRDE Secretarial Unit (Remedio Provisional) is the unit charged with managing due process complaints. The Secretarial Unit's responsibilities include the hiring and training of hearing officers, and Mediators, as well as follow-up activities to ensure hearings are held and complaints fully </w:t>
      </w:r>
      <w:proofErr w:type="gramStart"/>
      <w:r w:rsidRPr="00781112">
        <w:rPr>
          <w:rFonts w:cs="Arial"/>
          <w:color w:val="000000" w:themeColor="text1"/>
          <w:szCs w:val="16"/>
        </w:rPr>
        <w:t>adjudicated</w:t>
      </w:r>
      <w:proofErr w:type="gramEnd"/>
      <w:r w:rsidRPr="00781112">
        <w:rPr>
          <w:rFonts w:cs="Arial"/>
          <w:color w:val="000000" w:themeColor="text1"/>
          <w:szCs w:val="16"/>
        </w:rPr>
        <w:t xml:space="preserve"> </w:t>
      </w:r>
      <w:proofErr w:type="gramStart"/>
      <w:r w:rsidRPr="00781112">
        <w:rPr>
          <w:rFonts w:cs="Arial"/>
          <w:color w:val="000000" w:themeColor="text1"/>
          <w:szCs w:val="16"/>
        </w:rPr>
        <w:t>within</w:t>
      </w:r>
      <w:proofErr w:type="gramEnd"/>
      <w:r w:rsidRPr="00781112">
        <w:rPr>
          <w:rFonts w:cs="Arial"/>
          <w:color w:val="000000" w:themeColor="text1"/>
          <w:szCs w:val="16"/>
        </w:rPr>
        <w:t xml:space="preserve"> a timely manner.</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 xml:space="preserve">The mechanisms that the State has in place to ensure the timely delivery of high quality, </w:t>
      </w:r>
      <w:proofErr w:type="gramStart"/>
      <w:r w:rsidRPr="00781112">
        <w:rPr>
          <w:rFonts w:cs="Arial"/>
          <w:b/>
          <w:color w:val="000000" w:themeColor="text1"/>
          <w:szCs w:val="16"/>
        </w:rPr>
        <w:t>evidenced based</w:t>
      </w:r>
      <w:proofErr w:type="gramEnd"/>
      <w:r w:rsidRPr="00781112">
        <w:rPr>
          <w:rFonts w:cs="Arial"/>
          <w:b/>
          <w:color w:val="000000" w:themeColor="text1"/>
          <w:szCs w:val="16"/>
        </w:rPr>
        <w:t xml:space="preserve">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 xml:space="preserve">PRDE SAEE has a Technical Assistance Unit (TAU) that is responsible for setting public policy on educational aspects. The TAU is comprised of individuals who work with the following areas: deaf, </w:t>
      </w:r>
      <w:proofErr w:type="gramStart"/>
      <w:r w:rsidRPr="00781112">
        <w:rPr>
          <w:rFonts w:cs="Arial"/>
          <w:color w:val="000000" w:themeColor="text1"/>
          <w:szCs w:val="16"/>
        </w:rPr>
        <w:t>blind</w:t>
      </w:r>
      <w:proofErr w:type="gramEnd"/>
      <w:r w:rsidRPr="00781112">
        <w:rPr>
          <w:rFonts w:cs="Arial"/>
          <w:color w:val="000000" w:themeColor="text1"/>
          <w:szCs w:val="16"/>
        </w:rPr>
        <w:t xml:space="preserve"> and deaf-blind, private schools (purchase of services), pre-school transition (619 Coordinator), post-secondary transition, Autism, adaptive physical education, assessment and assistive technology. Additionally, in the new PRDE organization the TAU personnel </w:t>
      </w:r>
      <w:proofErr w:type="gramStart"/>
      <w:r w:rsidRPr="00781112">
        <w:rPr>
          <w:rFonts w:cs="Arial"/>
          <w:color w:val="000000" w:themeColor="text1"/>
          <w:szCs w:val="16"/>
        </w:rPr>
        <w:t>are assigned</w:t>
      </w:r>
      <w:proofErr w:type="gramEnd"/>
      <w:r w:rsidRPr="00781112">
        <w:rPr>
          <w:rFonts w:cs="Arial"/>
          <w:color w:val="000000" w:themeColor="text1"/>
          <w:szCs w:val="16"/>
        </w:rPr>
        <w:t xml:space="preserve"> to support each of the 7 Regional Educational Office (ORE), with their individualized needs. In the DE organization, each ORE has a Special Education Facilitator in the Academic area with the Chief Academic Officer and in the Student Services Area a Superintendent of that area. The personnel from the TAU </w:t>
      </w:r>
      <w:proofErr w:type="gramStart"/>
      <w:r w:rsidRPr="00781112">
        <w:rPr>
          <w:rFonts w:cs="Arial"/>
          <w:color w:val="000000" w:themeColor="text1"/>
          <w:szCs w:val="16"/>
        </w:rPr>
        <w:t>is</w:t>
      </w:r>
      <w:proofErr w:type="gramEnd"/>
      <w:r w:rsidRPr="00781112">
        <w:rPr>
          <w:rFonts w:cs="Arial"/>
          <w:color w:val="000000" w:themeColor="text1"/>
          <w:szCs w:val="16"/>
        </w:rPr>
        <w:t xml:space="preserve"> the liaison for the ORE with the Special Education Central Level Office (SAEE) and are the key components who identify the need for the ORE and coordinate activities related to providing support and technical assistance to schools. Additionally, each TAU staff member is designated as the team member with special expertise in a specific subject matter(s) (e.g., adaptive physical education, secondary transition, blind or visually impaired students, pre-school children) for which that member is available to the rest of the TAU staff members to </w:t>
      </w:r>
      <w:proofErr w:type="gramStart"/>
      <w:r w:rsidRPr="00781112">
        <w:rPr>
          <w:rFonts w:cs="Arial"/>
          <w:color w:val="000000" w:themeColor="text1"/>
          <w:szCs w:val="16"/>
        </w:rPr>
        <w:t>provide assistance</w:t>
      </w:r>
      <w:proofErr w:type="gramEnd"/>
      <w:r w:rsidRPr="00781112">
        <w:rPr>
          <w:rFonts w:cs="Arial"/>
          <w:color w:val="000000" w:themeColor="text1"/>
          <w:szCs w:val="16"/>
        </w:rPr>
        <w:t xml:space="preserve">. The TAU is also responsible </w:t>
      </w:r>
      <w:proofErr w:type="gramStart"/>
      <w:r w:rsidRPr="00781112">
        <w:rPr>
          <w:rFonts w:cs="Arial"/>
          <w:color w:val="000000" w:themeColor="text1"/>
          <w:szCs w:val="16"/>
        </w:rPr>
        <w:t>of</w:t>
      </w:r>
      <w:proofErr w:type="gramEnd"/>
      <w:r w:rsidRPr="00781112">
        <w:rPr>
          <w:rFonts w:cs="Arial"/>
          <w:color w:val="000000" w:themeColor="text1"/>
          <w:szCs w:val="16"/>
        </w:rPr>
        <w:t xml:space="preserve"> implementing the professional development and technical assistance work plan of the SAEE. The TA and professional development </w:t>
      </w:r>
      <w:proofErr w:type="gramStart"/>
      <w:r w:rsidRPr="00781112">
        <w:rPr>
          <w:rFonts w:cs="Arial"/>
          <w:color w:val="000000" w:themeColor="text1"/>
          <w:szCs w:val="16"/>
        </w:rPr>
        <w:t>is</w:t>
      </w:r>
      <w:proofErr w:type="gramEnd"/>
      <w:r w:rsidRPr="00781112">
        <w:rPr>
          <w:rFonts w:cs="Arial"/>
          <w:color w:val="000000" w:themeColor="text1"/>
          <w:szCs w:val="16"/>
        </w:rPr>
        <w:t xml:space="preserve"> on going during the school year and has the purpose of improving compliance and or indicator performance, making sure the special education personnel, community and facilitators, teachers and students aids professional development needs are identified and attended to including providing them with tools on how to manage their daily work plan. Throughout the 2021-2022 school year, the TAU provided TA and professional development to all level staff (central level, </w:t>
      </w:r>
      <w:proofErr w:type="gramStart"/>
      <w:r w:rsidRPr="00781112">
        <w:rPr>
          <w:rFonts w:cs="Arial"/>
          <w:color w:val="000000" w:themeColor="text1"/>
          <w:szCs w:val="16"/>
        </w:rPr>
        <w:t>ORE</w:t>
      </w:r>
      <w:proofErr w:type="gramEnd"/>
      <w:r w:rsidRPr="00781112">
        <w:rPr>
          <w:rFonts w:cs="Arial"/>
          <w:color w:val="000000" w:themeColor="text1"/>
          <w:szCs w:val="16"/>
        </w:rPr>
        <w:t xml:space="preserve"> and school level) on the program new policies and procedures. </w:t>
      </w:r>
      <w:r w:rsidRPr="00781112">
        <w:rPr>
          <w:rFonts w:cs="Arial"/>
          <w:color w:val="000000" w:themeColor="text1"/>
          <w:szCs w:val="16"/>
        </w:rPr>
        <w:br/>
      </w:r>
      <w:r w:rsidRPr="00781112">
        <w:rPr>
          <w:rFonts w:cs="Arial"/>
          <w:color w:val="000000" w:themeColor="text1"/>
          <w:szCs w:val="16"/>
        </w:rPr>
        <w:br/>
        <w:t xml:space="preserve">Since 2018, Puerto Rico has been implementing PBIS in 612 elementary and middle schools around the island, which include K to </w:t>
      </w:r>
      <w:proofErr w:type="gramStart"/>
      <w:r w:rsidRPr="00781112">
        <w:rPr>
          <w:rFonts w:cs="Arial"/>
          <w:color w:val="000000" w:themeColor="text1"/>
          <w:szCs w:val="16"/>
        </w:rPr>
        <w:t>8th</w:t>
      </w:r>
      <w:proofErr w:type="gramEnd"/>
      <w:r w:rsidRPr="00781112">
        <w:rPr>
          <w:rFonts w:cs="Arial"/>
          <w:color w:val="000000" w:themeColor="text1"/>
          <w:szCs w:val="16"/>
        </w:rPr>
        <w:t xml:space="preserve"> grade. We have implemented all three tiers of Trauma Informed PBIS, are currently focused on reviewing Tier 1 and Tier 2 via in person training with the PBIS teams, which include the School Director, School Psychologist, School Counselor, School Nurse, School Social Worker and </w:t>
      </w:r>
      <w:proofErr w:type="gramStart"/>
      <w:r w:rsidRPr="00781112">
        <w:rPr>
          <w:rFonts w:cs="Arial"/>
          <w:color w:val="000000" w:themeColor="text1"/>
          <w:szCs w:val="16"/>
        </w:rPr>
        <w:t>2</w:t>
      </w:r>
      <w:proofErr w:type="gramEnd"/>
      <w:r w:rsidRPr="00781112">
        <w:rPr>
          <w:rFonts w:cs="Arial"/>
          <w:color w:val="000000" w:themeColor="text1"/>
          <w:szCs w:val="16"/>
        </w:rPr>
        <w:t xml:space="preserve"> teachers. These efforts intend to help them contextualize the Multi-tiered implementation to the traumas experienced in the island (i.e., Hurricanes Irma, Maria, earthquakes and the pandemic), in order to decrease the need for specialized 1:1 </w:t>
      </w:r>
      <w:proofErr w:type="gramStart"/>
      <w:r w:rsidRPr="00781112">
        <w:rPr>
          <w:rFonts w:cs="Arial"/>
          <w:color w:val="000000" w:themeColor="text1"/>
          <w:szCs w:val="16"/>
        </w:rPr>
        <w:t>interventions</w:t>
      </w:r>
      <w:proofErr w:type="gramEnd"/>
      <w:r w:rsidRPr="00781112">
        <w:rPr>
          <w:rFonts w:cs="Arial"/>
          <w:color w:val="000000" w:themeColor="text1"/>
          <w:szCs w:val="16"/>
        </w:rPr>
        <w:t xml:space="preserve"> that drain school resources. For the first time, during this school year, we have been </w:t>
      </w:r>
      <w:proofErr w:type="gramStart"/>
      <w:r w:rsidRPr="00781112">
        <w:rPr>
          <w:rFonts w:cs="Arial"/>
          <w:color w:val="000000" w:themeColor="text1"/>
          <w:szCs w:val="16"/>
        </w:rPr>
        <w:t>impacting</w:t>
      </w:r>
      <w:proofErr w:type="gramEnd"/>
      <w:r w:rsidRPr="00781112">
        <w:rPr>
          <w:rFonts w:cs="Arial"/>
          <w:color w:val="000000" w:themeColor="text1"/>
          <w:szCs w:val="16"/>
        </w:rPr>
        <w:t xml:space="preserve"> 10-50 students referred by the PBIS team to participate from a socioemotional learning group that consists of </w:t>
      </w:r>
      <w:proofErr w:type="gramStart"/>
      <w:r w:rsidRPr="00781112">
        <w:rPr>
          <w:rFonts w:cs="Arial"/>
          <w:color w:val="000000" w:themeColor="text1"/>
          <w:szCs w:val="16"/>
        </w:rPr>
        <w:t>5</w:t>
      </w:r>
      <w:proofErr w:type="gramEnd"/>
      <w:r w:rsidRPr="00781112">
        <w:rPr>
          <w:rFonts w:cs="Arial"/>
          <w:color w:val="000000" w:themeColor="text1"/>
          <w:szCs w:val="16"/>
        </w:rPr>
        <w:t xml:space="preserve"> offerings. School personnel have been enthusiastic about this component and most schools have a waiting list in hopes it </w:t>
      </w:r>
      <w:proofErr w:type="gramStart"/>
      <w:r w:rsidRPr="00781112">
        <w:rPr>
          <w:rFonts w:cs="Arial"/>
          <w:color w:val="000000" w:themeColor="text1"/>
          <w:szCs w:val="16"/>
        </w:rPr>
        <w:t>is included</w:t>
      </w:r>
      <w:proofErr w:type="gramEnd"/>
      <w:r w:rsidRPr="00781112">
        <w:rPr>
          <w:rFonts w:cs="Arial"/>
          <w:color w:val="000000" w:themeColor="text1"/>
          <w:szCs w:val="16"/>
        </w:rPr>
        <w:t xml:space="preserve"> for next school year. Finally, PBIS teams will be participating from a regional-wide (i.e., district-wide in the States) PBIS closing at the end of the school year to share their triumphs, the challenges faced, and their creative problem solving. </w:t>
      </w:r>
      <w:r w:rsidRPr="00781112">
        <w:rPr>
          <w:rFonts w:cs="Arial"/>
          <w:color w:val="000000" w:themeColor="text1"/>
          <w:szCs w:val="16"/>
        </w:rPr>
        <w:br/>
      </w:r>
      <w:r w:rsidRPr="00781112">
        <w:rPr>
          <w:rFonts w:cs="Arial"/>
          <w:color w:val="000000" w:themeColor="text1"/>
          <w:szCs w:val="16"/>
        </w:rPr>
        <w:br/>
        <w:t xml:space="preserve">As part of the TAU’s 2021-2022 work plan, and to ensure high quality support to the Educational Regions, CSEEs, teachers and schools, the SAEE developed three guides during FFY 21-22. The </w:t>
      </w:r>
      <w:proofErr w:type="gramStart"/>
      <w:r w:rsidRPr="00781112">
        <w:rPr>
          <w:rFonts w:cs="Arial"/>
          <w:color w:val="000000" w:themeColor="text1"/>
          <w:szCs w:val="16"/>
        </w:rPr>
        <w:t>first,</w:t>
      </w:r>
      <w:proofErr w:type="gramEnd"/>
      <w:r w:rsidRPr="00781112">
        <w:rPr>
          <w:rFonts w:cs="Arial"/>
          <w:color w:val="000000" w:themeColor="text1"/>
          <w:szCs w:val="16"/>
        </w:rPr>
        <w:t xml:space="preserve"> guide </w:t>
      </w:r>
      <w:proofErr w:type="gramStart"/>
      <w:r w:rsidRPr="00781112">
        <w:rPr>
          <w:rFonts w:cs="Arial"/>
          <w:color w:val="000000" w:themeColor="text1"/>
          <w:szCs w:val="16"/>
        </w:rPr>
        <w:t>was developed</w:t>
      </w:r>
      <w:proofErr w:type="gramEnd"/>
      <w:r w:rsidRPr="00781112">
        <w:rPr>
          <w:rFonts w:cs="Arial"/>
          <w:color w:val="000000" w:themeColor="text1"/>
          <w:szCs w:val="16"/>
        </w:rPr>
        <w:t xml:space="preserve"> to address the transition back to in-person classes, which included mechanisms to support personnel for the in person clases. The second is the Guide for Adaptive Physical Education to support teachers on determining the criteria for eligibility and establishes the evaluation committee which is key for the eligibility determination. The third is the Guide for Post-secondary Transition, which includes the post secondary transition protocols and the process to better serve students in the transition process (August 2021). On December 16, 2021, the TAU provided Professional guidance on the postsecondary transition assessment and planning process for schools and </w:t>
      </w:r>
      <w:proofErr w:type="gramStart"/>
      <w:r w:rsidRPr="00781112">
        <w:rPr>
          <w:rFonts w:cs="Arial"/>
          <w:color w:val="000000" w:themeColor="text1"/>
          <w:szCs w:val="16"/>
        </w:rPr>
        <w:t>in</w:t>
      </w:r>
      <w:proofErr w:type="gramEnd"/>
      <w:r w:rsidRPr="00781112">
        <w:rPr>
          <w:rFonts w:cs="Arial"/>
          <w:color w:val="000000" w:themeColor="text1"/>
          <w:szCs w:val="16"/>
        </w:rPr>
        <w:t xml:space="preserve"> January 20, 2022 provided guidance to facilitators and counselors on the Transition Guide from School to Adult Life.</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 xml:space="preserve">PRDE has mechanisms in place to ensure that service providers have the skills to effectively </w:t>
      </w:r>
      <w:proofErr w:type="gramStart"/>
      <w:r w:rsidRPr="00781112">
        <w:rPr>
          <w:rFonts w:cs="Arial"/>
          <w:color w:val="000000" w:themeColor="text1"/>
          <w:szCs w:val="16"/>
        </w:rPr>
        <w:t>prov ide</w:t>
      </w:r>
      <w:proofErr w:type="gramEnd"/>
      <w:r w:rsidRPr="00781112">
        <w:rPr>
          <w:rFonts w:cs="Arial"/>
          <w:color w:val="000000" w:themeColor="text1"/>
          <w:szCs w:val="16"/>
        </w:rPr>
        <w:t xml:space="preserve"> services that improve results for children with disabilities. The Technical Assistance Unit (discussed in the section immediately above) is one component of providing technical assistance to address skills of our service providers. Additionally, below we provide information regarding various initiatives PRDE undertook during FFY 2021 to this regard.</w:t>
      </w:r>
      <w:r w:rsidRPr="00781112">
        <w:rPr>
          <w:rFonts w:cs="Arial"/>
          <w:color w:val="000000" w:themeColor="text1"/>
          <w:szCs w:val="16"/>
        </w:rPr>
        <w:br/>
      </w:r>
      <w:r w:rsidRPr="00781112">
        <w:rPr>
          <w:rFonts w:cs="Arial"/>
          <w:color w:val="000000" w:themeColor="text1"/>
          <w:szCs w:val="16"/>
        </w:rPr>
        <w:br/>
        <w:t xml:space="preserve">For the Blind Program during the 2021-2022 school year there were various professional development t activities. Training </w:t>
      </w:r>
      <w:proofErr w:type="gramStart"/>
      <w:r w:rsidRPr="00781112">
        <w:rPr>
          <w:rFonts w:cs="Arial"/>
          <w:color w:val="000000" w:themeColor="text1"/>
          <w:szCs w:val="16"/>
        </w:rPr>
        <w:t>was provided</w:t>
      </w:r>
      <w:proofErr w:type="gramEnd"/>
      <w:r w:rsidRPr="00781112">
        <w:rPr>
          <w:rFonts w:cs="Arial"/>
          <w:color w:val="000000" w:themeColor="text1"/>
          <w:szCs w:val="16"/>
        </w:rPr>
        <w:t xml:space="preserve"> for Teachers of Students with Visual Impairments by the American Printing House (APH) on the use of the Page Blaster, Assistive Technology equipment used by blind students, and writing and reading in Braille. With the support of APH around the island, we established </w:t>
      </w:r>
      <w:proofErr w:type="gramStart"/>
      <w:r w:rsidRPr="00781112">
        <w:rPr>
          <w:rFonts w:cs="Arial"/>
          <w:color w:val="000000" w:themeColor="text1"/>
          <w:szCs w:val="16"/>
        </w:rPr>
        <w:t>6</w:t>
      </w:r>
      <w:proofErr w:type="gramEnd"/>
      <w:r w:rsidRPr="00781112">
        <w:rPr>
          <w:rFonts w:cs="Arial"/>
          <w:color w:val="000000" w:themeColor="text1"/>
          <w:szCs w:val="16"/>
        </w:rPr>
        <w:t xml:space="preserve"> laboratories. The first was in the Humacao CSEE, then in San Juan within the University of Puerto Rico campus, Loaiza Cordero School (San Juan), Caguas CSEE, Arecibo CSEE and in the Lola Rodriguez de Tio school in San German. These laboratories provide space for teachers to reproduce materials in Braille. The blind congress took place in December 2021, with the purpose of teachers receiving support on the secondary transition process for blind students. An MOU with University of PR for the post- secondary transition of students with Cognitive Impairments- for the first time in PR the students participating in Alternate diploma and modified diploma (Route 2 and 3) the opportunity to enroll in the University of the State to peruse a Technical Certificate. </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Certify</w:t>
      </w:r>
      <w:proofErr w:type="gramEnd"/>
      <w:r w:rsidRPr="00781112">
        <w:rPr>
          <w:rFonts w:cs="Arial"/>
          <w:color w:val="000000" w:themeColor="text1"/>
          <w:szCs w:val="16"/>
        </w:rPr>
        <w:t xml:space="preserve"> school personnel with the Ana G. Mendez University, Institute for the Deaf Blind, in this certification were </w:t>
      </w:r>
      <w:proofErr w:type="gramStart"/>
      <w:r w:rsidRPr="00781112">
        <w:rPr>
          <w:rFonts w:cs="Arial"/>
          <w:color w:val="000000" w:themeColor="text1"/>
          <w:szCs w:val="16"/>
        </w:rPr>
        <w:t>included;</w:t>
      </w:r>
      <w:proofErr w:type="gramEnd"/>
      <w:r w:rsidRPr="00781112">
        <w:rPr>
          <w:rFonts w:cs="Arial"/>
          <w:color w:val="000000" w:themeColor="text1"/>
          <w:szCs w:val="16"/>
        </w:rPr>
        <w:t xml:space="preserve"> school psychologist, adaptive physical education teachers and teachers in deaf blindness. The personnel interested completed a google form and </w:t>
      </w:r>
      <w:proofErr w:type="gramStart"/>
      <w:r w:rsidRPr="00781112">
        <w:rPr>
          <w:rFonts w:cs="Arial"/>
          <w:color w:val="000000" w:themeColor="text1"/>
          <w:szCs w:val="16"/>
        </w:rPr>
        <w:t>were selected</w:t>
      </w:r>
      <w:proofErr w:type="gramEnd"/>
      <w:r w:rsidRPr="00781112">
        <w:rPr>
          <w:rFonts w:cs="Arial"/>
          <w:color w:val="000000" w:themeColor="text1"/>
          <w:szCs w:val="16"/>
        </w:rPr>
        <w:t xml:space="preserve"> those who impacted deaf or deaf blind students. This certification courses were </w:t>
      </w:r>
      <w:proofErr w:type="gramStart"/>
      <w:r w:rsidRPr="00781112">
        <w:rPr>
          <w:rFonts w:cs="Arial"/>
          <w:color w:val="000000" w:themeColor="text1"/>
          <w:szCs w:val="16"/>
        </w:rPr>
        <w:t>10</w:t>
      </w:r>
      <w:proofErr w:type="gramEnd"/>
      <w:r w:rsidRPr="00781112">
        <w:rPr>
          <w:rFonts w:cs="Arial"/>
          <w:color w:val="000000" w:themeColor="text1"/>
          <w:szCs w:val="16"/>
        </w:rPr>
        <w:t xml:space="preserve"> sessions of 5 hrs. each, that included: identification nature of the deafblind, sign language, orientation and mobility, transition and future planning for deafblind students and Parent acceptance process. Within these 50 hours, 2 classes are provided by a Maria Bove (specialist from Vermont</w:t>
      </w:r>
      <w:proofErr w:type="gramStart"/>
      <w:r w:rsidRPr="00781112">
        <w:rPr>
          <w:rFonts w:cs="Arial"/>
          <w:color w:val="000000" w:themeColor="text1"/>
          <w:szCs w:val="16"/>
        </w:rPr>
        <w:t>)</w:t>
      </w:r>
      <w:proofErr w:type="gramEnd"/>
      <w:r w:rsidRPr="00781112">
        <w:rPr>
          <w:rFonts w:cs="Arial"/>
          <w:color w:val="000000" w:themeColor="text1"/>
          <w:szCs w:val="16"/>
        </w:rPr>
        <w:t xml:space="preserve"> and she visits schools were we have deaf blind students and provides demonstrative classes to provide suggestions and tools to </w:t>
      </w:r>
      <w:proofErr w:type="gramStart"/>
      <w:r w:rsidRPr="00781112">
        <w:rPr>
          <w:rFonts w:cs="Arial"/>
          <w:color w:val="000000" w:themeColor="text1"/>
          <w:szCs w:val="16"/>
        </w:rPr>
        <w:t>teaches</w:t>
      </w:r>
      <w:proofErr w:type="gramEnd"/>
      <w:r w:rsidRPr="00781112">
        <w:rPr>
          <w:rFonts w:cs="Arial"/>
          <w:color w:val="000000" w:themeColor="text1"/>
          <w:szCs w:val="16"/>
        </w:rPr>
        <w:t>. Also with this Institute, Central Level personnel has monthly meetings to discuss specific cases, how to improve processes and the Institutes progress. They provide support to teachers in the post-secondary transition or adulthood called the “future plan</w:t>
      </w:r>
      <w:proofErr w:type="gramStart"/>
      <w:r w:rsidRPr="00781112">
        <w:rPr>
          <w:rFonts w:cs="Arial"/>
          <w:color w:val="000000" w:themeColor="text1"/>
          <w:szCs w:val="16"/>
        </w:rPr>
        <w:t>”.</w:t>
      </w:r>
      <w:proofErr w:type="gramEnd"/>
      <w:r w:rsidRPr="00781112">
        <w:rPr>
          <w:rFonts w:cs="Arial"/>
          <w:color w:val="000000" w:themeColor="text1"/>
          <w:szCs w:val="16"/>
        </w:rPr>
        <w:t xml:space="preserve"> In PR October is the blindness month. On October 15th is the White Stick (baston blanco). In thi sregard the teachers </w:t>
      </w:r>
      <w:proofErr w:type="gramStart"/>
      <w:r w:rsidRPr="00781112">
        <w:rPr>
          <w:rFonts w:cs="Arial"/>
          <w:color w:val="000000" w:themeColor="text1"/>
          <w:szCs w:val="16"/>
        </w:rPr>
        <w:t>has</w:t>
      </w:r>
      <w:proofErr w:type="gramEnd"/>
      <w:r w:rsidRPr="00781112">
        <w:rPr>
          <w:rFonts w:cs="Arial"/>
          <w:color w:val="000000" w:themeColor="text1"/>
          <w:szCs w:val="16"/>
        </w:rPr>
        <w:t xml:space="preserve"> to develop activities of awareness and dissemination (divulgación). On December 13th which is the blind day, there was a virtual meeting with teachers and the PR National Federation President for the blind. She as a blind person discussed with teachers how her life testimony </w:t>
      </w:r>
      <w:proofErr w:type="gramStart"/>
      <w:r w:rsidRPr="00781112">
        <w:rPr>
          <w:rFonts w:cs="Arial"/>
          <w:color w:val="000000" w:themeColor="text1"/>
          <w:szCs w:val="16"/>
        </w:rPr>
        <w:t>was impacted</w:t>
      </w:r>
      <w:proofErr w:type="gramEnd"/>
      <w:r w:rsidRPr="00781112">
        <w:rPr>
          <w:rFonts w:cs="Arial"/>
          <w:color w:val="000000" w:themeColor="text1"/>
          <w:szCs w:val="16"/>
        </w:rPr>
        <w:t xml:space="preserve"> by teachers and how their service helped her overcome barriers.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xml:space="preserve">By region, the deaf teachers have a teacher liaison and every two months Central Level has meetings with them to establish initiatives such as: the development of the Guide for services to deaf students, the development of a new screening instrument (done with an audiologist) to determine the level of vocabulary, reading and writing in sign language the student has. For the new deaf teachers, there were trainings regarding the standards for the goals and objectives of the expanded curriculum of IOWA, with the purpose of teachers having the resources to complete their IEPs. On September 2021 is the deaf campaign during this month Central Level SAEE provided trainings to parents as requested by the PR PTI. Follow up with teachers </w:t>
      </w:r>
      <w:proofErr w:type="gramStart"/>
      <w:r w:rsidRPr="00781112">
        <w:rPr>
          <w:rFonts w:cs="Arial"/>
          <w:color w:val="000000" w:themeColor="text1"/>
          <w:szCs w:val="16"/>
        </w:rPr>
        <w:t>is done</w:t>
      </w:r>
      <w:proofErr w:type="gramEnd"/>
      <w:r w:rsidRPr="00781112">
        <w:rPr>
          <w:rFonts w:cs="Arial"/>
          <w:color w:val="000000" w:themeColor="text1"/>
          <w:szCs w:val="16"/>
        </w:rPr>
        <w:t xml:space="preserve"> every other month for initiatives. </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Also</w:t>
      </w:r>
      <w:proofErr w:type="gramEnd"/>
      <w:r w:rsidRPr="00781112">
        <w:rPr>
          <w:rFonts w:cs="Arial"/>
          <w:color w:val="000000" w:themeColor="text1"/>
          <w:szCs w:val="16"/>
        </w:rPr>
        <w:t xml:space="preserve"> the TAU for alternate assessment made new blue prints, which allows access to students with the most significant cognitive impairments to regular curriculum. </w:t>
      </w:r>
      <w:r w:rsidRPr="00781112">
        <w:rPr>
          <w:rFonts w:cs="Arial"/>
          <w:color w:val="000000" w:themeColor="text1"/>
          <w:szCs w:val="16"/>
        </w:rPr>
        <w:br/>
      </w:r>
      <w:r w:rsidRPr="00781112">
        <w:rPr>
          <w:rFonts w:cs="Arial"/>
          <w:color w:val="000000" w:themeColor="text1"/>
          <w:szCs w:val="16"/>
        </w:rPr>
        <w:br/>
        <w:t xml:space="preserve">The TAU provided training on the process of Alternate Assessment. For this process, the Department identifies at least 2 Coordinators by ORE (Regional Educational Office) to work with the </w:t>
      </w:r>
      <w:proofErr w:type="gramStart"/>
      <w:r w:rsidRPr="00781112">
        <w:rPr>
          <w:rFonts w:cs="Arial"/>
          <w:color w:val="000000" w:themeColor="text1"/>
          <w:szCs w:val="16"/>
        </w:rPr>
        <w:t>logistics</w:t>
      </w:r>
      <w:proofErr w:type="gramEnd"/>
      <w:r w:rsidRPr="00781112">
        <w:rPr>
          <w:rFonts w:cs="Arial"/>
          <w:color w:val="000000" w:themeColor="text1"/>
          <w:szCs w:val="16"/>
        </w:rPr>
        <w:t xml:space="preserve"> of the alternate assessment and provide training to the teachers that will provide this method of evaluation. These coordinators </w:t>
      </w:r>
      <w:proofErr w:type="gramStart"/>
      <w:r w:rsidRPr="00781112">
        <w:rPr>
          <w:rFonts w:cs="Arial"/>
          <w:color w:val="000000" w:themeColor="text1"/>
          <w:szCs w:val="16"/>
        </w:rPr>
        <w:t>are trained</w:t>
      </w:r>
      <w:proofErr w:type="gramEnd"/>
      <w:r w:rsidRPr="00781112">
        <w:rPr>
          <w:rFonts w:cs="Arial"/>
          <w:color w:val="000000" w:themeColor="text1"/>
          <w:szCs w:val="16"/>
        </w:rPr>
        <w:t xml:space="preserve"> intensively every year to </w:t>
      </w:r>
      <w:proofErr w:type="gramStart"/>
      <w:r w:rsidRPr="00781112">
        <w:rPr>
          <w:rFonts w:cs="Arial"/>
          <w:color w:val="000000" w:themeColor="text1"/>
          <w:szCs w:val="16"/>
        </w:rPr>
        <w:t>assure</w:t>
      </w:r>
      <w:proofErr w:type="gramEnd"/>
      <w:r w:rsidRPr="00781112">
        <w:rPr>
          <w:rFonts w:cs="Arial"/>
          <w:color w:val="000000" w:themeColor="text1"/>
          <w:szCs w:val="16"/>
        </w:rPr>
        <w:t xml:space="preserve"> the process is done correctly. </w:t>
      </w:r>
      <w:proofErr w:type="gramStart"/>
      <w:r w:rsidRPr="00781112">
        <w:rPr>
          <w:rFonts w:cs="Arial"/>
          <w:color w:val="000000" w:themeColor="text1"/>
          <w:szCs w:val="16"/>
        </w:rPr>
        <w:t>Also</w:t>
      </w:r>
      <w:proofErr w:type="gramEnd"/>
      <w:r w:rsidRPr="00781112">
        <w:rPr>
          <w:rFonts w:cs="Arial"/>
          <w:color w:val="000000" w:themeColor="text1"/>
          <w:szCs w:val="16"/>
        </w:rPr>
        <w:t xml:space="preserve"> during February 2018, Technical Assistance was provided by all the personnel from the TAU in each Region on Post-Secondary Transition which included information impacting APR Indicators B13 and B14. In March 2018, the TAU provided technical assistance to all the Special Education Facilitators. The themes covered were as follows: IEP and all of its components including measurable goals and objectives, placement (how to identify the correct placement for a student and how to develop new placements), and the process for extended school year.</w:t>
      </w:r>
      <w:r w:rsidRPr="00781112">
        <w:rPr>
          <w:rFonts w:cs="Arial"/>
          <w:color w:val="000000" w:themeColor="text1"/>
          <w:szCs w:val="16"/>
        </w:rPr>
        <w:br/>
      </w:r>
      <w:r w:rsidRPr="00781112">
        <w:rPr>
          <w:rFonts w:cs="Arial"/>
          <w:color w:val="000000" w:themeColor="text1"/>
          <w:szCs w:val="16"/>
        </w:rPr>
        <w:br/>
        <w:t xml:space="preserve">During August 2021, PRDE’s Cumbre de Lideres Educativos (Education Leaders Summit) provided capacity building workshops for School Directors, facilitators, superintendents and Regional Directors including the CSEE Directors. The summit covered a variety of topics </w:t>
      </w:r>
      <w:proofErr w:type="gramStart"/>
      <w:r w:rsidRPr="00781112">
        <w:rPr>
          <w:rFonts w:cs="Arial"/>
          <w:color w:val="000000" w:themeColor="text1"/>
          <w:szCs w:val="16"/>
        </w:rPr>
        <w:t>including:</w:t>
      </w:r>
      <w:proofErr w:type="gramEnd"/>
      <w:r w:rsidRPr="00781112">
        <w:rPr>
          <w:rFonts w:cs="Arial"/>
          <w:color w:val="000000" w:themeColor="text1"/>
          <w:szCs w:val="16"/>
        </w:rPr>
        <w:t xml:space="preserve"> IEPs, how to establish the IEP calendar, transportation, development and provision of services, Federal and State compliance.</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 xml:space="preserve">PRDE solicited broad stakeholder input on PRDE’s targets in the SPP/APR including any subsequent revisions made to those targets and the development and implementation of Indicator 17, Puerto Rico’s State Systemic Improvement Plan (SSIP). </w:t>
      </w:r>
      <w:r w:rsidRPr="00781112">
        <w:rPr>
          <w:rFonts w:cs="Arial"/>
          <w:color w:val="000000" w:themeColor="text1"/>
          <w:szCs w:val="16"/>
        </w:rPr>
        <w:br/>
      </w:r>
      <w:r w:rsidRPr="00781112">
        <w:rPr>
          <w:rFonts w:cs="Arial"/>
          <w:color w:val="000000" w:themeColor="text1"/>
          <w:szCs w:val="16"/>
        </w:rPr>
        <w:br/>
        <w:t xml:space="preserve">Our original stakeholder group, called the Comité Consultivo de Educación Especial (“Special Education Advisory Committee”), is responsible for advising PRDE regarding the needs in the education of children with disabilities and for </w:t>
      </w:r>
      <w:proofErr w:type="gramStart"/>
      <w:r w:rsidRPr="00781112">
        <w:rPr>
          <w:rFonts w:cs="Arial"/>
          <w:color w:val="000000" w:themeColor="text1"/>
          <w:szCs w:val="16"/>
        </w:rPr>
        <w:t>providing assistance</w:t>
      </w:r>
      <w:proofErr w:type="gramEnd"/>
      <w:r w:rsidRPr="00781112">
        <w:rPr>
          <w:rFonts w:cs="Arial"/>
          <w:color w:val="000000" w:themeColor="text1"/>
          <w:szCs w:val="16"/>
        </w:rPr>
        <w:t xml:space="preserve"> and feedback about reports to be submitted to the Federal Government including our SSIP. The group includes representation from various sectors such as: the non-profit organization Apoyo a Padres de Niños con Impedimentos (Support for Parents of Students with Disabilities, or APNI by its acronym in Spanish), the Puerto Rico Department of the Family, the Puerto Rico Vocational Rehabilitation Administration, the Puerto Rico Department of Health, Special Education Teachers, School Directors, parents of students with disabilities, SAEE personnel, autism representative, specialists such as a School Psychologist, Occupational Therapist, Speech Pathologist, and adult with impairment, and others. SAEE personnel participate continuously in meetings with the special education </w:t>
      </w:r>
      <w:proofErr w:type="gramStart"/>
      <w:r w:rsidRPr="00781112">
        <w:rPr>
          <w:rFonts w:cs="Arial"/>
          <w:color w:val="000000" w:themeColor="text1"/>
          <w:szCs w:val="16"/>
        </w:rPr>
        <w:t>stakeholders</w:t>
      </w:r>
      <w:proofErr w:type="gramEnd"/>
      <w:r w:rsidRPr="00781112">
        <w:rPr>
          <w:rFonts w:cs="Arial"/>
          <w:color w:val="000000" w:themeColor="text1"/>
          <w:szCs w:val="16"/>
        </w:rPr>
        <w:t xml:space="preserve"> group. </w:t>
      </w:r>
      <w:r w:rsidRPr="00781112">
        <w:rPr>
          <w:rFonts w:cs="Arial"/>
          <w:color w:val="000000" w:themeColor="text1"/>
          <w:szCs w:val="16"/>
        </w:rPr>
        <w:br/>
      </w:r>
      <w:r w:rsidRPr="00781112">
        <w:rPr>
          <w:rFonts w:cs="Arial"/>
          <w:color w:val="000000" w:themeColor="text1"/>
          <w:szCs w:val="16"/>
        </w:rPr>
        <w:br/>
        <w:t xml:space="preserve">The members of our stakeholder group also serve as liaisons for initiatives that benefit the special education population and their families. Recommendations provided </w:t>
      </w:r>
      <w:proofErr w:type="gramStart"/>
      <w:r w:rsidRPr="00781112">
        <w:rPr>
          <w:rFonts w:cs="Arial"/>
          <w:color w:val="000000" w:themeColor="text1"/>
          <w:szCs w:val="16"/>
        </w:rPr>
        <w:t>from</w:t>
      </w:r>
      <w:proofErr w:type="gramEnd"/>
      <w:r w:rsidRPr="00781112">
        <w:rPr>
          <w:rFonts w:cs="Arial"/>
          <w:color w:val="000000" w:themeColor="text1"/>
          <w:szCs w:val="16"/>
        </w:rPr>
        <w:t xml:space="preserve"> the stakeholders </w:t>
      </w:r>
      <w:proofErr w:type="gramStart"/>
      <w:r w:rsidRPr="00781112">
        <w:rPr>
          <w:rFonts w:cs="Arial"/>
          <w:color w:val="000000" w:themeColor="text1"/>
          <w:szCs w:val="16"/>
        </w:rPr>
        <w:t>were incorporated</w:t>
      </w:r>
      <w:proofErr w:type="gramEnd"/>
      <w:r w:rsidRPr="00781112">
        <w:rPr>
          <w:rFonts w:cs="Arial"/>
          <w:color w:val="000000" w:themeColor="text1"/>
          <w:szCs w:val="16"/>
        </w:rPr>
        <w:t xml:space="preserve"> into PRDE’s FFY 2021 APR. PRDE developed this FFY 2021 SPP/APR with broad stakeholder input. As discussed above, PRDE SAEE held various meetings with the stakeholder group and received their input regarding the SPP/APR, including feedback regarding the individual indicators including FFY 2021 data, targets, any subsequent revisions to targets, and related activities and initiatives as well as the SSIP.</w:t>
      </w:r>
      <w:r w:rsidRPr="00781112">
        <w:rPr>
          <w:rFonts w:cs="Arial"/>
          <w:color w:val="000000" w:themeColor="text1"/>
          <w:szCs w:val="16"/>
        </w:rPr>
        <w:br/>
      </w:r>
      <w:r w:rsidRPr="00781112">
        <w:rPr>
          <w:rFonts w:cs="Arial"/>
          <w:color w:val="000000" w:themeColor="text1"/>
          <w:szCs w:val="16"/>
        </w:rPr>
        <w:br/>
        <w:t xml:space="preserve">Additional mechanisms through with PRDE solicits broad stakeholder input includes PRDE work with and through the non-profit organization Apoyo a Padres de Niños con Impedimentos (Support for Parents of Students with Disabilities, or APNI by its acronym in Spanish), its operation of Parent Academies on post-secondary topics, and Communities of Learning through its SSIP efforts, among others. APNI’s work helps increase the capacity of parents and serves as an avenue for receiving feedback on improvement activities and related policies. Similarly, the Parent Academies provide capacity building sessions for parents and include feedback sessions where parents provide feedback regarding improvement activities and data and policies related to post-secondary transition. Finally, the communities of learning have been key in providing feedback regarding the Indicator 17 / the SSIP in its entirety and implementation thereof. Through </w:t>
      </w:r>
      <w:proofErr w:type="gramStart"/>
      <w:r w:rsidRPr="00781112">
        <w:rPr>
          <w:rFonts w:cs="Arial"/>
          <w:color w:val="000000" w:themeColor="text1"/>
          <w:szCs w:val="16"/>
        </w:rPr>
        <w:t>all of</w:t>
      </w:r>
      <w:proofErr w:type="gramEnd"/>
      <w:r w:rsidRPr="00781112">
        <w:rPr>
          <w:rFonts w:cs="Arial"/>
          <w:color w:val="000000" w:themeColor="text1"/>
          <w:szCs w:val="16"/>
        </w:rPr>
        <w:t xml:space="preserve"> these avenues, PRDE seeks and receives stakeholder input that is considered in the development of the SPP/APR including targets, subsequent revisions of targets, and development and implementation of the SSIP (Ind. 17). </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YES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6</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 xml:space="preserve">For the SAEE, parent engagement and involvement </w:t>
      </w:r>
      <w:proofErr w:type="gramStart"/>
      <w:r w:rsidRPr="00781112">
        <w:rPr>
          <w:color w:val="000000" w:themeColor="text1"/>
          <w:szCs w:val="16"/>
        </w:rPr>
        <w:t>is</w:t>
      </w:r>
      <w:proofErr w:type="gramEnd"/>
      <w:r w:rsidRPr="00781112">
        <w:rPr>
          <w:color w:val="000000" w:themeColor="text1"/>
          <w:szCs w:val="16"/>
        </w:rPr>
        <w:t xml:space="preserve"> extremely important. This is why, during FFY 2021-2022, the SAEE Secretary of Special Education conducted monthly meetings with various important parent organizations in PR that focus on students with special needs. The first group is the Comite Timon (Steering Committee). This is a special education parent advocacy committee. This group </w:t>
      </w:r>
      <w:proofErr w:type="gramStart"/>
      <w:r w:rsidRPr="00781112">
        <w:rPr>
          <w:color w:val="000000" w:themeColor="text1"/>
          <w:szCs w:val="16"/>
        </w:rPr>
        <w:t>was established</w:t>
      </w:r>
      <w:proofErr w:type="gramEnd"/>
      <w:r w:rsidRPr="00781112">
        <w:rPr>
          <w:color w:val="000000" w:themeColor="text1"/>
          <w:szCs w:val="16"/>
        </w:rPr>
        <w:t xml:space="preserve"> in 1996. The Comite Timon </w:t>
      </w:r>
      <w:proofErr w:type="gramStart"/>
      <w:r w:rsidRPr="00781112">
        <w:rPr>
          <w:color w:val="000000" w:themeColor="text1"/>
          <w:szCs w:val="16"/>
        </w:rPr>
        <w:t>is made</w:t>
      </w:r>
      <w:proofErr w:type="gramEnd"/>
      <w:r w:rsidRPr="00781112">
        <w:rPr>
          <w:color w:val="000000" w:themeColor="text1"/>
          <w:szCs w:val="16"/>
        </w:rPr>
        <w:t xml:space="preserve"> up of parents and community members and is the primary group of advocates for students with disabilities rights within the island. They provide advocacy, paralegal and legal orientation to parents for children with disabilities. In addition, they provide support for parents in the IEP meetings. Likewise, monthly meetings </w:t>
      </w:r>
      <w:proofErr w:type="gramStart"/>
      <w:r w:rsidRPr="00781112">
        <w:rPr>
          <w:color w:val="000000" w:themeColor="text1"/>
          <w:szCs w:val="16"/>
        </w:rPr>
        <w:t>are held</w:t>
      </w:r>
      <w:proofErr w:type="gramEnd"/>
      <w:r w:rsidRPr="00781112">
        <w:rPr>
          <w:color w:val="000000" w:themeColor="text1"/>
          <w:szCs w:val="16"/>
        </w:rPr>
        <w:t xml:space="preserve"> with the Autism Alliance (Alianza de Autismo.). This is also a parent advocacy and dissemination center but specifically for parents with children with Autism. This group helped develop in PR the “Ley BIDA</w:t>
      </w:r>
      <w:proofErr w:type="gramStart"/>
      <w:r w:rsidRPr="00781112">
        <w:rPr>
          <w:color w:val="000000" w:themeColor="text1"/>
          <w:szCs w:val="16"/>
        </w:rPr>
        <w:t>”,</w:t>
      </w:r>
      <w:proofErr w:type="gramEnd"/>
      <w:r w:rsidRPr="00781112">
        <w:rPr>
          <w:color w:val="000000" w:themeColor="text1"/>
          <w:szCs w:val="16"/>
        </w:rPr>
        <w:t xml:space="preserve"> to promote the early identification, diagnosis, and intervention for students with autism, and also to create a support group for the families and provide continuing education (educación continua) related to the health professionals who work with this population. </w:t>
      </w:r>
      <w:r w:rsidRPr="00781112">
        <w:rPr>
          <w:color w:val="000000" w:themeColor="text1"/>
          <w:szCs w:val="16"/>
        </w:rPr>
        <w:br/>
      </w:r>
      <w:r w:rsidRPr="00781112">
        <w:rPr>
          <w:color w:val="000000" w:themeColor="text1"/>
          <w:szCs w:val="16"/>
        </w:rPr>
        <w:br/>
        <w:t xml:space="preserve">Apoyo a Padres de Niños con Impedimentos (Support for Parents of Students with Disabilities, or APNI by its acronym in Spanish), is an organization to support parents of children with disabilities founded in 1977. APNI provides training and tools to parents in </w:t>
      </w:r>
      <w:proofErr w:type="gramStart"/>
      <w:r w:rsidRPr="00781112">
        <w:rPr>
          <w:color w:val="000000" w:themeColor="text1"/>
          <w:szCs w:val="16"/>
        </w:rPr>
        <w:t>several</w:t>
      </w:r>
      <w:proofErr w:type="gramEnd"/>
      <w:r w:rsidRPr="00781112">
        <w:rPr>
          <w:color w:val="000000" w:themeColor="text1"/>
          <w:szCs w:val="16"/>
        </w:rPr>
        <w:t xml:space="preserve"> areas such as: special education law and processes, IEP, adequate intervention for parents with children with ADH, Autism, behavior modification, prevention of bullying for children with disabilities, post-secondary transition, accommodations, discipline, communication, and conflict resolution. Every year APNI, with the SAEE support and collaboration, organizes a parent Congress with a specific topic of interest for parents. This year the selected topic was pre-school and post-secondary </w:t>
      </w:r>
      <w:proofErr w:type="gramStart"/>
      <w:r w:rsidRPr="00781112">
        <w:rPr>
          <w:color w:val="000000" w:themeColor="text1"/>
          <w:szCs w:val="16"/>
        </w:rPr>
        <w:t>transition</w:t>
      </w:r>
      <w:proofErr w:type="gramEnd"/>
      <w:r w:rsidRPr="00781112">
        <w:rPr>
          <w:color w:val="000000" w:themeColor="text1"/>
          <w:szCs w:val="16"/>
        </w:rPr>
        <w:t xml:space="preserve"> and it took place March 9-11, 2021. One of the key presenters was our Interim Secretary of Special Education. During 2021-2022, APNI </w:t>
      </w:r>
      <w:r w:rsidRPr="00781112">
        <w:rPr>
          <w:color w:val="000000" w:themeColor="text1"/>
          <w:szCs w:val="16"/>
        </w:rPr>
        <w:lastRenderedPageBreak/>
        <w:t xml:space="preserve">impacted approximately 26,000 families and providers with orientations, respite services, advocacy, community learning, support for families impacted by the earthquakes, COVID 19 pandemic and hurricane Fiona. For this year, the SAEE has APNI parents serving as Coordinators to facilitate a smooth pre- school transition in each CSEE. </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PRDE conducts a variety of activities to increase the capacity of diverse groups of parents. The SAEE within its Central Level structure has a Unit called “Services to students, parents and the community</w:t>
      </w:r>
      <w:proofErr w:type="gramStart"/>
      <w:r w:rsidRPr="00781112">
        <w:rPr>
          <w:color w:val="000000" w:themeColor="text1"/>
          <w:szCs w:val="16"/>
        </w:rPr>
        <w:t>”.</w:t>
      </w:r>
      <w:proofErr w:type="gramEnd"/>
      <w:r w:rsidRPr="00781112">
        <w:rPr>
          <w:color w:val="000000" w:themeColor="text1"/>
          <w:szCs w:val="16"/>
        </w:rPr>
        <w:t xml:space="preserve"> This Unit has the purpose of locating children with disabilities and the dissemination of information regarding the special education services (in public schools, private schools, University, government offices, community-based places, radio, TV, </w:t>
      </w:r>
      <w:proofErr w:type="gramStart"/>
      <w:r w:rsidRPr="00781112">
        <w:rPr>
          <w:color w:val="000000" w:themeColor="text1"/>
          <w:szCs w:val="16"/>
        </w:rPr>
        <w:t>newspapers</w:t>
      </w:r>
      <w:proofErr w:type="gramEnd"/>
      <w:r w:rsidRPr="00781112">
        <w:rPr>
          <w:color w:val="000000" w:themeColor="text1"/>
          <w:szCs w:val="16"/>
        </w:rPr>
        <w:t xml:space="preserve"> and medical facilities, and much more). It also helps and supports parents seeking orientation at the Central level offices and oversees personnel from the non-profit organization Apoyo a Padres de Niños con Impedimentos (Support for Parents of Students with Disabilities, or APNI by its acronym in Spanish) located in the CSEEs who coordinate the pre-school transition. These parents are responsible to provide guidance to parents as soon as they arrive </w:t>
      </w:r>
      <w:proofErr w:type="gramStart"/>
      <w:r w:rsidRPr="00781112">
        <w:rPr>
          <w:color w:val="000000" w:themeColor="text1"/>
          <w:szCs w:val="16"/>
        </w:rPr>
        <w:t>to</w:t>
      </w:r>
      <w:proofErr w:type="gramEnd"/>
      <w:r w:rsidRPr="00781112">
        <w:rPr>
          <w:color w:val="000000" w:themeColor="text1"/>
          <w:szCs w:val="16"/>
        </w:rPr>
        <w:t xml:space="preserve"> the CSEEs seeking services for their children. This has proven to be effective in the way that parents feel more engaged, more knowledgeable, and accepted with peers that understand the process that they are going through. Their work helps increase the capacity of parents including in understanding the Part C to Part B transition process and provide feedback on improvement activities and related policies.</w:t>
      </w:r>
      <w:r w:rsidRPr="00781112">
        <w:rPr>
          <w:color w:val="000000" w:themeColor="text1"/>
          <w:szCs w:val="16"/>
        </w:rPr>
        <w:br/>
      </w:r>
      <w:r w:rsidRPr="00781112">
        <w:rPr>
          <w:color w:val="000000" w:themeColor="text1"/>
          <w:szCs w:val="16"/>
        </w:rPr>
        <w:br/>
        <w:t xml:space="preserve">During FFY 2021, PRDE conducted a series of Parent Academies (Academia de Padres), where post-secondary transition topics </w:t>
      </w:r>
      <w:proofErr w:type="gramStart"/>
      <w:r w:rsidRPr="00781112">
        <w:rPr>
          <w:color w:val="000000" w:themeColor="text1"/>
          <w:szCs w:val="16"/>
        </w:rPr>
        <w:t>were discussed</w:t>
      </w:r>
      <w:proofErr w:type="gramEnd"/>
      <w:r w:rsidRPr="00781112">
        <w:rPr>
          <w:color w:val="000000" w:themeColor="text1"/>
          <w:szCs w:val="16"/>
        </w:rPr>
        <w:t xml:space="preserve">. During these sessions, parents participate in capacity building sessions </w:t>
      </w:r>
      <w:proofErr w:type="gramStart"/>
      <w:r w:rsidRPr="00781112">
        <w:rPr>
          <w:color w:val="000000" w:themeColor="text1"/>
          <w:szCs w:val="16"/>
        </w:rPr>
        <w:t>and also</w:t>
      </w:r>
      <w:proofErr w:type="gramEnd"/>
      <w:r w:rsidRPr="00781112">
        <w:rPr>
          <w:color w:val="000000" w:themeColor="text1"/>
          <w:szCs w:val="16"/>
        </w:rPr>
        <w:t xml:space="preserve"> provide feedback regarding improvement activities and policies related to post-secondary transition. Additionally, various parents participated in technical assistance sessions provided by SAEE Technical Assistance Unit personnel in collaboration with NTACT:C, including a session in April 2022 that covered post-secondary goals, objectives, and activities to work with students with severe disabilities. </w:t>
      </w:r>
      <w:r w:rsidRPr="00781112">
        <w:rPr>
          <w:color w:val="000000" w:themeColor="text1"/>
          <w:szCs w:val="16"/>
        </w:rPr>
        <w:br/>
      </w:r>
      <w:r w:rsidRPr="00781112">
        <w:rPr>
          <w:color w:val="000000" w:themeColor="text1"/>
          <w:szCs w:val="16"/>
        </w:rPr>
        <w:br/>
        <w:t xml:space="preserve">As a part of its SSIP efforts, PRDE SAEE has </w:t>
      </w:r>
      <w:proofErr w:type="gramStart"/>
      <w:r w:rsidRPr="00781112">
        <w:rPr>
          <w:color w:val="000000" w:themeColor="text1"/>
          <w:szCs w:val="16"/>
        </w:rPr>
        <w:t>worked</w:t>
      </w:r>
      <w:proofErr w:type="gramEnd"/>
      <w:r w:rsidRPr="00781112">
        <w:rPr>
          <w:color w:val="000000" w:themeColor="text1"/>
          <w:szCs w:val="16"/>
        </w:rPr>
        <w:t xml:space="preserve"> with parents on SSIP implementation and capacity building for these parents on a variety of topics connected to the SSIP. PRDE has created communities of learning in which workshops </w:t>
      </w:r>
      <w:proofErr w:type="gramStart"/>
      <w:r w:rsidRPr="00781112">
        <w:rPr>
          <w:color w:val="000000" w:themeColor="text1"/>
          <w:szCs w:val="16"/>
        </w:rPr>
        <w:t>are provided</w:t>
      </w:r>
      <w:proofErr w:type="gramEnd"/>
      <w:r w:rsidRPr="00781112">
        <w:rPr>
          <w:color w:val="000000" w:themeColor="text1"/>
          <w:szCs w:val="16"/>
        </w:rPr>
        <w:t xml:space="preserve"> for parents on topics such as how to support student learning at home. During these sessions, parents provide input and recommendations regarding the SSIP and implementation thereof. </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 xml:space="preserve">As discussed above, PRDE holds monthly meetings with its stakeholder groups. As meetings </w:t>
      </w:r>
      <w:proofErr w:type="gramStart"/>
      <w:r w:rsidRPr="00781112">
        <w:rPr>
          <w:color w:val="000000" w:themeColor="text1"/>
          <w:szCs w:val="16"/>
        </w:rPr>
        <w:t>are held</w:t>
      </w:r>
      <w:proofErr w:type="gramEnd"/>
      <w:r w:rsidRPr="00781112">
        <w:rPr>
          <w:color w:val="000000" w:themeColor="text1"/>
          <w:szCs w:val="16"/>
        </w:rPr>
        <w:t xml:space="preserve"> throughout the year, input is received on APR matters including setting targets, analyzing data, developing improvement strategies, and evaluating progress.</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 xml:space="preserve">The APR </w:t>
      </w:r>
      <w:proofErr w:type="gramStart"/>
      <w:r w:rsidRPr="00781112">
        <w:rPr>
          <w:color w:val="000000" w:themeColor="text1"/>
          <w:szCs w:val="16"/>
        </w:rPr>
        <w:t>is developed</w:t>
      </w:r>
      <w:proofErr w:type="gramEnd"/>
      <w:r w:rsidRPr="00781112">
        <w:rPr>
          <w:color w:val="000000" w:themeColor="text1"/>
          <w:szCs w:val="16"/>
        </w:rPr>
        <w:t xml:space="preserve"> in consultation with the stakeholder group, including target setting, data analysis, development of the improvement strategies, and evaluation. The draft APR is reviewed with the stakeholder group and feedback and recommendations are incorporated prior to final submission by the February 1, </w:t>
      </w:r>
      <w:proofErr w:type="gramStart"/>
      <w:r w:rsidRPr="00781112">
        <w:rPr>
          <w:color w:val="000000" w:themeColor="text1"/>
          <w:szCs w:val="16"/>
        </w:rPr>
        <w:t>2023</w:t>
      </w:r>
      <w:proofErr w:type="gramEnd"/>
      <w:r w:rsidRPr="00781112">
        <w:rPr>
          <w:color w:val="000000" w:themeColor="text1"/>
          <w:szCs w:val="16"/>
        </w:rPr>
        <w:t xml:space="preserve"> deadline. The stakeholder committee is apprised of the clarifications process and </w:t>
      </w:r>
      <w:proofErr w:type="gramStart"/>
      <w:r w:rsidRPr="00781112">
        <w:rPr>
          <w:color w:val="000000" w:themeColor="text1"/>
          <w:szCs w:val="16"/>
        </w:rPr>
        <w:t>consulted</w:t>
      </w:r>
      <w:proofErr w:type="gramEnd"/>
      <w:r w:rsidRPr="00781112">
        <w:rPr>
          <w:color w:val="000000" w:themeColor="text1"/>
          <w:szCs w:val="16"/>
        </w:rPr>
        <w:t xml:space="preserve"> as necessary. PRDE publishes copies of its SPP/APR on its website as noted below.</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34FB353D" w:rsidR="00AF5649" w:rsidRPr="00781112" w:rsidRDefault="00AF5649" w:rsidP="004369B2">
      <w:pPr>
        <w:rPr>
          <w:b/>
          <w:color w:val="000000" w:themeColor="text1"/>
        </w:rPr>
      </w:pPr>
      <w:r w:rsidRPr="00781112">
        <w:rPr>
          <w:b/>
          <w:color w:val="000000" w:themeColor="text1"/>
        </w:rPr>
        <w:t>How and where the State reported to the public on the FFY 2020 performance of each LEA located in the State on the targets in the SPP/APR as soon as practicable, but no later than 120 days following the State’s submission of its FFY 2020 APR, as required by 34 CFR §300.602(b)(1)(i)(A); and a description of where, on its Web site, a complete copy of the State’s SPP/APR, including any revision if the State has revised the targets that it submitted with its FFY 2020 APR in 2022,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 xml:space="preserve">PRDE has </w:t>
      </w:r>
      <w:proofErr w:type="gramStart"/>
      <w:r w:rsidRPr="00781112">
        <w:rPr>
          <w:rFonts w:cs="Arial"/>
          <w:color w:val="000000" w:themeColor="text1"/>
          <w:szCs w:val="16"/>
        </w:rPr>
        <w:t>all of</w:t>
      </w:r>
      <w:proofErr w:type="gramEnd"/>
      <w:r w:rsidRPr="00781112">
        <w:rPr>
          <w:rFonts w:cs="Arial"/>
          <w:color w:val="000000" w:themeColor="text1"/>
          <w:szCs w:val="16"/>
        </w:rPr>
        <w:t xml:space="preserve"> its APR published on its web site at: https://de.pr.gov/cumplimiento/</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 xml:space="preserve">PRDE's IDEA Part B determination for both 2021 and 2022 is Needs Assistance. In PRDE's 2022 determination letter, the Department advised PRDE of available sources of technical assistance, including OSEP-funded technical assistance centers, and required PRDE to work with appropriate entities. The Department directed PRDE to determine the results elements and/or compliance indicators, and improvement strategies, on which it will focus its use of available technical assistance,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improve its performance. PRDE must report, with its FFY 2021 SPP/APR submission, due February 1, 2023, on: (1) the technical assistance sources from which the State received assistance; and (2) the actions the State took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that technical assistance.</w:t>
      </w:r>
    </w:p>
    <w:p w14:paraId="6ECA4985" w14:textId="77777777" w:rsidR="008C56EE" w:rsidRPr="00781112" w:rsidRDefault="008C56EE" w:rsidP="000B4AA4">
      <w:pPr>
        <w:rPr>
          <w:rFonts w:cs="Arial"/>
          <w:color w:val="000000" w:themeColor="text1"/>
          <w:szCs w:val="16"/>
        </w:rPr>
      </w:pPr>
    </w:p>
    <w:p w14:paraId="615D9F24" w14:textId="2436358F" w:rsidR="009F764E" w:rsidRPr="00781112" w:rsidRDefault="007639D7" w:rsidP="004369B2">
      <w:pPr>
        <w:rPr>
          <w:b/>
          <w:color w:val="000000" w:themeColor="text1"/>
        </w:rPr>
      </w:pPr>
      <w:r>
        <w:rPr>
          <w:b/>
          <w:color w:val="000000" w:themeColor="text1"/>
        </w:rPr>
        <w:t>Response to actions required in FFY 2020 SPP/APR</w:t>
      </w:r>
    </w:p>
    <w:p w14:paraId="3302C1DF" w14:textId="2D8F36EA" w:rsidR="000C24C2" w:rsidRPr="00781112" w:rsidRDefault="002B7490" w:rsidP="000E33D0">
      <w:pPr>
        <w:rPr>
          <w:rFonts w:cs="Arial"/>
          <w:color w:val="000000" w:themeColor="text1"/>
          <w:szCs w:val="16"/>
        </w:rPr>
      </w:pPr>
      <w:r w:rsidRPr="00781112">
        <w:rPr>
          <w:rFonts w:cs="Arial"/>
          <w:color w:val="000000" w:themeColor="text1"/>
          <w:szCs w:val="16"/>
        </w:rPr>
        <w:t xml:space="preserve">During FFY 2021 and since the issuance of OSEP's determinations on June 23, 2022, PRDE SAEE has received technical assistance from a variety of outside sources, such as multiple USDE-funded technical assistance centers, and took various actions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technical assistance. Technical assistance sources through which PRDE received assistance include the National Center for Systemic Improvement (NCSI), the IDEA Data Center (IDC), and the National Technical Assistance Center on Transition: The Collaborative (NTAC:C). </w:t>
      </w:r>
      <w:r w:rsidRPr="00781112">
        <w:rPr>
          <w:rFonts w:cs="Arial"/>
          <w:color w:val="000000" w:themeColor="text1"/>
          <w:szCs w:val="16"/>
        </w:rPr>
        <w:br/>
      </w:r>
      <w:r w:rsidRPr="00781112">
        <w:rPr>
          <w:rFonts w:cs="Arial"/>
          <w:color w:val="000000" w:themeColor="text1"/>
          <w:szCs w:val="16"/>
        </w:rPr>
        <w:br/>
        <w:t xml:space="preserve">PRDE SAEE received technical assistance from NCSI in a variety of ways. PRDE SAEE continued participating in the NCSI Math Collaborative, which is positively impacting PRDE's SSIP activities and supports all States, with the same topic, to help and collaborate through our struggles in the implementation of the SSIP. PRDE’s participation in the NCSI Math Collaborative has helped PRDE consider and think through </w:t>
      </w:r>
      <w:proofErr w:type="gramStart"/>
      <w:r w:rsidRPr="00781112">
        <w:rPr>
          <w:rFonts w:cs="Arial"/>
          <w:color w:val="000000" w:themeColor="text1"/>
          <w:szCs w:val="16"/>
        </w:rPr>
        <w:t>new ideas</w:t>
      </w:r>
      <w:proofErr w:type="gramEnd"/>
      <w:r w:rsidRPr="00781112">
        <w:rPr>
          <w:rFonts w:cs="Arial"/>
          <w:color w:val="000000" w:themeColor="text1"/>
          <w:szCs w:val="16"/>
        </w:rPr>
        <w:t xml:space="preserve"> that it has been able to incorporate into its SSIP efforts. For example, through the collaborative, NCSI provided tools and resources regarding engagement of school directors through a variety of strategies including the use and sharing of data. PRDE has used this idea in expanding the use and sharing of data with its SSIP schools’ school directors. </w:t>
      </w:r>
      <w:r w:rsidRPr="00781112">
        <w:rPr>
          <w:rFonts w:cs="Arial"/>
          <w:color w:val="000000" w:themeColor="text1"/>
          <w:szCs w:val="16"/>
        </w:rPr>
        <w:br/>
      </w:r>
      <w:r w:rsidRPr="00781112">
        <w:rPr>
          <w:rFonts w:cs="Arial"/>
          <w:color w:val="000000" w:themeColor="text1"/>
          <w:szCs w:val="16"/>
        </w:rPr>
        <w:br/>
        <w:t xml:space="preserve">In April 2022, PRDE participated in the Chicago NCSI: Evidenced Base Practices: Spring in Person Cross State Learning Convening. In the convening, the team from the PRDE SAEE built relationships with peers from across states to share, discuss, and network to support collaborative Evidence-Based Practices (EBPs). As well, we discussed considerations for the Multi-Tiered Systems of Support (MTSS) to facilitate equity among students and support for districts. Likewise, we identified ways to build consistency within the SEA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successfully use and expand MTSS at all stages. We received </w:t>
      </w:r>
      <w:r w:rsidRPr="00781112">
        <w:rPr>
          <w:rFonts w:cs="Arial"/>
          <w:color w:val="000000" w:themeColor="text1"/>
          <w:szCs w:val="16"/>
        </w:rPr>
        <w:lastRenderedPageBreak/>
        <w:t xml:space="preserve">feedback on strategies and solutions to overcome the barriers to implement the SSIP. </w:t>
      </w:r>
      <w:r w:rsidRPr="00781112">
        <w:rPr>
          <w:rFonts w:cs="Arial"/>
          <w:color w:val="000000" w:themeColor="text1"/>
          <w:szCs w:val="16"/>
        </w:rPr>
        <w:br/>
      </w:r>
      <w:r w:rsidRPr="00781112">
        <w:rPr>
          <w:rFonts w:cs="Arial"/>
          <w:color w:val="000000" w:themeColor="text1"/>
          <w:szCs w:val="16"/>
        </w:rPr>
        <w:br/>
        <w:t xml:space="preserve">In addition to the collaborative, NCSI has provided technical assistance to PRDE in variety of additional ways. NCSI supported PRDE SAEE in resolving concerns raised by the Region 3 Comprehensive Center related to implementation of the Modified School Diploma and the alternate assessment. With NCSI’s support, PRDE SAEE was able to successfully communicate with the other provider in a way that allayed their concerns. NCSI support has also been of </w:t>
      </w:r>
      <w:proofErr w:type="gramStart"/>
      <w:r w:rsidRPr="00781112">
        <w:rPr>
          <w:rFonts w:cs="Arial"/>
          <w:color w:val="000000" w:themeColor="text1"/>
          <w:szCs w:val="16"/>
        </w:rPr>
        <w:t>great help</w:t>
      </w:r>
      <w:proofErr w:type="gramEnd"/>
      <w:r w:rsidRPr="00781112">
        <w:rPr>
          <w:rFonts w:cs="Arial"/>
          <w:color w:val="000000" w:themeColor="text1"/>
          <w:szCs w:val="16"/>
        </w:rPr>
        <w:t xml:space="preserve"> to PRDE in other areas such as fiscal, PBIS, RTI, and others. The technical assistance received has been of </w:t>
      </w:r>
      <w:proofErr w:type="gramStart"/>
      <w:r w:rsidRPr="00781112">
        <w:rPr>
          <w:rFonts w:cs="Arial"/>
          <w:color w:val="000000" w:themeColor="text1"/>
          <w:szCs w:val="16"/>
        </w:rPr>
        <w:t>great value</w:t>
      </w:r>
      <w:proofErr w:type="gramEnd"/>
      <w:r w:rsidRPr="00781112">
        <w:rPr>
          <w:rFonts w:cs="Arial"/>
          <w:color w:val="000000" w:themeColor="text1"/>
          <w:szCs w:val="16"/>
        </w:rPr>
        <w:t xml:space="preserve"> to PRDE SAEE in making decisions related to its SSIP implementation, and particularly regarding PRDE's approach to evaluation of the SSIP effort. </w:t>
      </w:r>
      <w:r w:rsidRPr="00781112">
        <w:rPr>
          <w:rFonts w:cs="Arial"/>
          <w:color w:val="000000" w:themeColor="text1"/>
          <w:szCs w:val="16"/>
        </w:rPr>
        <w:br/>
      </w:r>
      <w:r w:rsidRPr="00781112">
        <w:rPr>
          <w:rFonts w:cs="Arial"/>
          <w:color w:val="000000" w:themeColor="text1"/>
          <w:szCs w:val="16"/>
        </w:rPr>
        <w:br/>
        <w:t xml:space="preserve">Another technical assistance source through which PRDE has received assistance is IDC. We took advantage of the opportunity for the IDC to review and provide feedback </w:t>
      </w:r>
      <w:proofErr w:type="gramStart"/>
      <w:r w:rsidRPr="00781112">
        <w:rPr>
          <w:rFonts w:cs="Arial"/>
          <w:color w:val="000000" w:themeColor="text1"/>
          <w:szCs w:val="16"/>
        </w:rPr>
        <w:t>to</w:t>
      </w:r>
      <w:proofErr w:type="gramEnd"/>
      <w:r w:rsidRPr="00781112">
        <w:rPr>
          <w:rFonts w:cs="Arial"/>
          <w:color w:val="000000" w:themeColor="text1"/>
          <w:szCs w:val="16"/>
        </w:rPr>
        <w:t xml:space="preserve"> drafts of Indicators for our FFY 2021 APR. They made comments that </w:t>
      </w:r>
      <w:proofErr w:type="gramStart"/>
      <w:r w:rsidRPr="00781112">
        <w:rPr>
          <w:rFonts w:cs="Arial"/>
          <w:color w:val="000000" w:themeColor="text1"/>
          <w:szCs w:val="16"/>
        </w:rPr>
        <w:t>were taken</w:t>
      </w:r>
      <w:proofErr w:type="gramEnd"/>
      <w:r w:rsidRPr="00781112">
        <w:rPr>
          <w:rFonts w:cs="Arial"/>
          <w:color w:val="000000" w:themeColor="text1"/>
          <w:szCs w:val="16"/>
        </w:rPr>
        <w:t xml:space="preserve"> into consideration in the preparation of this APR. As well, we participated in virtual TA sessions with IDC such as the SSIP Data Quality Peer Group Drop-In, which was a great opportunity for States to benefit from the discussion and reminders from TA providers on requirements for the submission of this SSIP, and the SPP/APR Data Quality Peer Group Drop-In, which was a great resource for us while in the middle of the development of the APR to benefit from other States’ concerns and questions and clarifications. Additionally, IDC has assisted PRDE in reviewing data reporting submissions and has provided important and helpful feedback that allowed PRDE to make decisions regarding the preparation and submission of reports.</w:t>
      </w:r>
      <w:r w:rsidRPr="00781112">
        <w:rPr>
          <w:rFonts w:cs="Arial"/>
          <w:color w:val="000000" w:themeColor="text1"/>
          <w:szCs w:val="16"/>
        </w:rPr>
        <w:br/>
      </w:r>
      <w:r w:rsidRPr="00781112">
        <w:rPr>
          <w:rFonts w:cs="Arial"/>
          <w:color w:val="000000" w:themeColor="text1"/>
          <w:szCs w:val="16"/>
        </w:rPr>
        <w:br/>
        <w:t xml:space="preserve">PRDE has received technical assistance from NTACT:C </w:t>
      </w:r>
      <w:proofErr w:type="gramStart"/>
      <w:r w:rsidRPr="00781112">
        <w:rPr>
          <w:rFonts w:cs="Arial"/>
          <w:color w:val="000000" w:themeColor="text1"/>
          <w:szCs w:val="16"/>
        </w:rPr>
        <w:t>with regard to</w:t>
      </w:r>
      <w:proofErr w:type="gramEnd"/>
      <w:r w:rsidRPr="00781112">
        <w:rPr>
          <w:rFonts w:cs="Arial"/>
          <w:color w:val="000000" w:themeColor="text1"/>
          <w:szCs w:val="16"/>
        </w:rPr>
        <w:t xml:space="preserve"> post-secondary transition and outcomes. PRDE has worked closely with NTAC:C in the development of a State Transition Plan. This is an action work plan for PRDDE to improve the post-secondary transition services delivery across the island for students with IEPs. One important result of this work is that 69 PRDE teachers have </w:t>
      </w:r>
      <w:proofErr w:type="gramStart"/>
      <w:r w:rsidRPr="00781112">
        <w:rPr>
          <w:rFonts w:cs="Arial"/>
          <w:color w:val="000000" w:themeColor="text1"/>
          <w:szCs w:val="16"/>
        </w:rPr>
        <w:t>been certified</w:t>
      </w:r>
      <w:proofErr w:type="gramEnd"/>
      <w:r w:rsidRPr="00781112">
        <w:rPr>
          <w:rFonts w:cs="Arial"/>
          <w:color w:val="000000" w:themeColor="text1"/>
          <w:szCs w:val="16"/>
        </w:rPr>
        <w:t xml:space="preserve"> on Planning and Evaluation on post-secondary transition. Similarly, with NCTAC:C support, PRDE counselors were able to take courses that allowed them to obtain certification on evaluation of post-secondary and career interests. This allows them to provide career and vocational evaluation services for students. A total of </w:t>
      </w:r>
      <w:proofErr w:type="gramStart"/>
      <w:r w:rsidRPr="00781112">
        <w:rPr>
          <w:rFonts w:cs="Arial"/>
          <w:color w:val="000000" w:themeColor="text1"/>
          <w:szCs w:val="16"/>
        </w:rPr>
        <w:t>19</w:t>
      </w:r>
      <w:proofErr w:type="gramEnd"/>
      <w:r w:rsidRPr="00781112">
        <w:rPr>
          <w:rFonts w:cs="Arial"/>
          <w:color w:val="000000" w:themeColor="text1"/>
          <w:szCs w:val="16"/>
        </w:rPr>
        <w:t xml:space="preserve"> counselors completed the certification program. The main NTACT:C resource that has been supporting PR SAEE is Catherine Fowler, PhD, Co-Director of the NTACT:C.</w:t>
      </w:r>
      <w:r w:rsidRPr="00781112">
        <w:rPr>
          <w:rFonts w:cs="Arial"/>
          <w:color w:val="000000" w:themeColor="text1"/>
          <w:szCs w:val="16"/>
        </w:rPr>
        <w:br/>
      </w:r>
      <w:r w:rsidRPr="00781112">
        <w:rPr>
          <w:rFonts w:cs="Arial"/>
          <w:color w:val="000000" w:themeColor="text1"/>
          <w:szCs w:val="16"/>
        </w:rPr>
        <w:br/>
        <w:t>PRDE has appreciated the support and wealth of resources of the technical assistance; the results and outcomes of our work with the technical assistance providers have been invaluable.</w:t>
      </w: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2B7490" w:rsidP="001F692C">
      <w:pPr>
        <w:rPr>
          <w:rFonts w:cs="Arial"/>
          <w:color w:val="000000" w:themeColor="text1"/>
          <w:szCs w:val="16"/>
        </w:rPr>
      </w:pPr>
      <w:r w:rsidRPr="00781112">
        <w:rPr>
          <w:rFonts w:cs="Arial"/>
          <w:color w:val="000000" w:themeColor="text1"/>
          <w:szCs w:val="16"/>
        </w:rPr>
        <w:t>The Puerto Rico Department of Education's (PRDE) determinations for both 2021 and 2022 were Needs Assistance. Pursuant to section 616(e)(1) of the IDEA and 34 C.F.R. § 300.604(a), OSEP's June 24, 2022 determination letter informed the PRDE that it must report with its FFY 2021 SPP/APR submission, due February 1, 2023, on: (1) the technical assistance sources from which the PRDE received assistance; and (2) the actions the PRDE took as a result of that technical assistance. PRDE provided the required information.</w:t>
      </w:r>
      <w:r w:rsidRPr="00781112">
        <w:rPr>
          <w:rFonts w:cs="Arial"/>
          <w:color w:val="000000" w:themeColor="text1"/>
          <w:szCs w:val="16"/>
        </w:rPr>
        <w:br/>
      </w:r>
      <w:r w:rsidRPr="00781112">
        <w:rPr>
          <w:rFonts w:cs="Arial"/>
          <w:color w:val="000000" w:themeColor="text1"/>
          <w:szCs w:val="16"/>
        </w:rPr>
        <w:br/>
        <w:t>The Department imposed Specific Conditions on Puerto Rico Department of Education's (PRDE's) IDEA Part B grant awards for the last three or more years. Those conditions are in effect at the time of the Department’s 2023 determination.</w:t>
      </w: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2B7490" w:rsidP="001F692C">
      <w:pPr>
        <w:rPr>
          <w:rFonts w:cs="Arial"/>
          <w:color w:val="000000" w:themeColor="text1"/>
          <w:szCs w:val="16"/>
        </w:rPr>
      </w:pPr>
      <w:r w:rsidRPr="00781112">
        <w:rPr>
          <w:rFonts w:cs="Arial"/>
          <w:color w:val="000000" w:themeColor="text1"/>
          <w:szCs w:val="16"/>
        </w:rPr>
        <w:t xml:space="preserve">The Puerto Rico Department of Education's (PRDE) IDEA Part B determination for both 2022 and 2023 is Needs Assistance. In PRDE's 2023 determination letter, the Department advised PRDE of available sources of technical assistance, including OSEP-funded technical assistance centers, and required PRDE to work with appropriate entities. The Department directed PRDE to determine the results elements and/or compliance indicators, and improvement strategies, on which it will focus its use of available technical assistance,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improve its performance. PRDE must report, with its FFY 2022 SPP/APR submission, due February 1, 2024, on: (1) the technical assistance sources from which PRDE received assistance; and (2) the actions PRDE took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that technical assistance.</w:t>
      </w: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1"/>
      <w:bookmarkEnd w:id="2"/>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4"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 xml:space="preserve">Sampling </w:t>
      </w:r>
      <w:proofErr w:type="gramStart"/>
      <w:r w:rsidRPr="00781112">
        <w:rPr>
          <w:i/>
          <w:color w:val="000000" w:themeColor="text1"/>
        </w:rPr>
        <w:t>is not allowed</w:t>
      </w:r>
      <w:proofErr w:type="gramEnd"/>
      <w:r w:rsidRPr="00781112">
        <w:rPr>
          <w:i/>
          <w:color w:val="000000" w:themeColor="text1"/>
        </w:rPr>
        <w:t>.</w:t>
      </w:r>
    </w:p>
    <w:p w14:paraId="496A7DDE" w14:textId="60DA3384" w:rsidR="005F5514" w:rsidRPr="00781112" w:rsidRDefault="00815B9B" w:rsidP="003A6167">
      <w:pPr>
        <w:rPr>
          <w:rFonts w:cs="Arial"/>
          <w:color w:val="000000" w:themeColor="text1"/>
          <w:szCs w:val="16"/>
        </w:rPr>
      </w:pPr>
      <w:r w:rsidRPr="00781112">
        <w:t xml:space="preserve">Data for this indicator </w:t>
      </w:r>
      <w:proofErr w:type="gramStart"/>
      <w:r w:rsidRPr="00781112">
        <w:t>are</w:t>
      </w:r>
      <w:proofErr w:type="gramEnd"/>
      <w:r w:rsidRPr="00781112">
        <w:t xml:space="preserve"> “lag” data. </w:t>
      </w:r>
      <w:r w:rsidR="005F5514" w:rsidRPr="00781112">
        <w:rPr>
          <w:rFonts w:cs="Arial"/>
          <w:color w:val="000000" w:themeColor="text1"/>
          <w:szCs w:val="16"/>
        </w:rPr>
        <w:t xml:space="preserve">Describe the results of the State’s examination of the data for the year before the reporting year (e.g., for </w:t>
      </w:r>
      <w:r w:rsidR="007639D7">
        <w:rPr>
          <w:rFonts w:cs="Arial"/>
          <w:color w:val="000000" w:themeColor="text1"/>
          <w:szCs w:val="16"/>
        </w:rPr>
        <w:t>the FFY 2021 SPP/APR, use data from 2020-2021</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proofErr w:type="gramStart"/>
      <w:r w:rsidRPr="00781112">
        <w:t>Include</w:t>
      </w:r>
      <w:proofErr w:type="gramEnd"/>
      <w:r w:rsidRPr="00781112">
        <w:t xml:space="preserv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 xml:space="preserve">Provide a narrative that describes the conditions youth must meet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graduate with a regular high school diploma. If the conditions that youth with IEPs must meet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4"/>
    <w:p w14:paraId="7BB99CB8" w14:textId="52A5FEDC" w:rsidR="005E59DB" w:rsidRPr="00781112" w:rsidRDefault="005E59DB" w:rsidP="00B65C2C">
      <w:pPr>
        <w:rPr>
          <w:b/>
          <w:color w:val="000000" w:themeColor="text1"/>
        </w:rPr>
      </w:pPr>
      <w:r w:rsidRPr="00781112">
        <w:rPr>
          <w:b/>
          <w:color w:val="000000" w:themeColor="text1"/>
        </w:rPr>
        <w:t>Historical Data</w:t>
      </w:r>
      <w:r w:rsidR="000C3A99">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2018</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66.93%</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2020</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56.80%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56.90%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57.00%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70.99%</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60.00%</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80.12%</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70.99%</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70.98%</w:t>
            </w:r>
          </w:p>
        </w:tc>
        <w:tc>
          <w:tcPr>
            <w:tcW w:w="833" w:type="pct"/>
            <w:tcBorders>
              <w:bottom w:val="single" w:sz="4" w:space="0" w:color="auto"/>
            </w:tcBorders>
            <w:shd w:val="clear" w:color="auto" w:fill="auto"/>
            <w:vAlign w:val="center"/>
          </w:tcPr>
          <w:p w14:paraId="180CBFE9" w14:textId="38467D26" w:rsidR="007F24E2" w:rsidRPr="00781112" w:rsidRDefault="002B7490" w:rsidP="00E0321D">
            <w:pPr>
              <w:jc w:val="center"/>
              <w:rPr>
                <w:rFonts w:cs="Arial"/>
                <w:color w:val="000000" w:themeColor="text1"/>
                <w:szCs w:val="16"/>
              </w:rPr>
            </w:pPr>
            <w:r w:rsidRPr="00781112">
              <w:rPr>
                <w:rFonts w:cs="Arial"/>
                <w:color w:val="000000" w:themeColor="text1"/>
                <w:szCs w:val="16"/>
              </w:rPr>
              <w:t>67.</w:t>
            </w:r>
            <w:r w:rsidR="002F68DD">
              <w:rPr>
                <w:rFonts w:cs="Arial"/>
                <w:color w:val="000000" w:themeColor="text1"/>
                <w:szCs w:val="16"/>
              </w:rPr>
              <w:t>8%</w:t>
            </w:r>
            <w:r w:rsidR="002F68DD">
              <w:rPr>
                <w:rStyle w:val="FootnoteReference"/>
                <w:rFonts w:cs="Arial"/>
                <w:color w:val="000000" w:themeColor="text1"/>
                <w:szCs w:val="16"/>
              </w:rPr>
              <w:footnoteReference w:id="3"/>
            </w:r>
          </w:p>
        </w:tc>
        <w:tc>
          <w:tcPr>
            <w:tcW w:w="834" w:type="pct"/>
            <w:tcBorders>
              <w:bottom w:val="single" w:sz="4" w:space="0" w:color="auto"/>
            </w:tcBorders>
            <w:shd w:val="clear" w:color="auto" w:fill="auto"/>
            <w:vAlign w:val="center"/>
          </w:tcPr>
          <w:p w14:paraId="3C2AFA14" w14:textId="153E7CE5" w:rsidR="007F24E2" w:rsidRPr="00781112" w:rsidRDefault="002B7490" w:rsidP="00E0321D">
            <w:pPr>
              <w:jc w:val="center"/>
              <w:rPr>
                <w:rFonts w:cs="Arial"/>
                <w:color w:val="000000" w:themeColor="text1"/>
                <w:szCs w:val="16"/>
              </w:rPr>
            </w:pPr>
            <w:r w:rsidRPr="00781112">
              <w:rPr>
                <w:rFonts w:cs="Arial"/>
                <w:color w:val="000000" w:themeColor="text1"/>
                <w:szCs w:val="16"/>
              </w:rPr>
              <w:t>78.18%</w:t>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4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1"/>
        <w:gridCol w:w="1611"/>
        <w:gridCol w:w="1611"/>
        <w:gridCol w:w="1611"/>
        <w:gridCol w:w="1606"/>
      </w:tblGrid>
      <w:tr w:rsidR="00B14519" w:rsidRPr="00781112" w14:paraId="2AA1A231" w14:textId="4E09135F" w:rsidTr="00451D7E">
        <w:trPr>
          <w:trHeight w:val="366"/>
        </w:trPr>
        <w:tc>
          <w:tcPr>
            <w:tcW w:w="628" w:type="pct"/>
            <w:tcBorders>
              <w:bottom w:val="single" w:sz="4" w:space="0" w:color="auto"/>
            </w:tcBorders>
            <w:shd w:val="clear" w:color="auto" w:fill="auto"/>
          </w:tcPr>
          <w:p w14:paraId="40B33FED" w14:textId="77777777" w:rsidR="00B14519" w:rsidRPr="00781112" w:rsidRDefault="00B14519" w:rsidP="00373F78">
            <w:pPr>
              <w:jc w:val="center"/>
              <w:rPr>
                <w:b/>
                <w:color w:val="000000" w:themeColor="text1"/>
              </w:rPr>
            </w:pPr>
            <w:r w:rsidRPr="00781112">
              <w:rPr>
                <w:b/>
                <w:color w:val="000000" w:themeColor="text1"/>
              </w:rPr>
              <w:t>FFY</w:t>
            </w:r>
          </w:p>
        </w:tc>
        <w:tc>
          <w:tcPr>
            <w:tcW w:w="875" w:type="pct"/>
            <w:shd w:val="clear" w:color="auto" w:fill="auto"/>
          </w:tcPr>
          <w:p w14:paraId="71086D9D" w14:textId="38ED494E" w:rsidR="00B14519" w:rsidRPr="00781112" w:rsidRDefault="00B14519" w:rsidP="00373F78">
            <w:pPr>
              <w:jc w:val="center"/>
              <w:rPr>
                <w:b/>
                <w:color w:val="000000" w:themeColor="text1"/>
              </w:rPr>
            </w:pPr>
            <w:r w:rsidRPr="00781112">
              <w:rPr>
                <w:b/>
                <w:color w:val="000000" w:themeColor="text1"/>
              </w:rPr>
              <w:t>2021</w:t>
            </w:r>
          </w:p>
        </w:tc>
        <w:tc>
          <w:tcPr>
            <w:tcW w:w="875" w:type="pct"/>
          </w:tcPr>
          <w:p w14:paraId="4D39066B" w14:textId="301F6A49" w:rsidR="00B14519" w:rsidRPr="00781112" w:rsidRDefault="00B14519" w:rsidP="00373F78">
            <w:pPr>
              <w:jc w:val="center"/>
              <w:rPr>
                <w:b/>
                <w:color w:val="000000" w:themeColor="text1"/>
              </w:rPr>
            </w:pPr>
            <w:r w:rsidRPr="00781112">
              <w:rPr>
                <w:rFonts w:cs="Arial"/>
                <w:b/>
                <w:color w:val="000000" w:themeColor="text1"/>
                <w:szCs w:val="16"/>
              </w:rPr>
              <w:t>2022</w:t>
            </w:r>
          </w:p>
        </w:tc>
        <w:tc>
          <w:tcPr>
            <w:tcW w:w="875" w:type="pct"/>
          </w:tcPr>
          <w:p w14:paraId="1FB807B9" w14:textId="403D43E4" w:rsidR="00B14519" w:rsidRPr="00781112" w:rsidRDefault="00B14519" w:rsidP="00373F78">
            <w:pPr>
              <w:jc w:val="center"/>
              <w:rPr>
                <w:b/>
                <w:color w:val="000000" w:themeColor="text1"/>
              </w:rPr>
            </w:pPr>
            <w:r w:rsidRPr="00781112">
              <w:rPr>
                <w:rFonts w:cs="Arial"/>
                <w:b/>
                <w:color w:val="000000" w:themeColor="text1"/>
                <w:szCs w:val="16"/>
              </w:rPr>
              <w:t>2023</w:t>
            </w:r>
          </w:p>
        </w:tc>
        <w:tc>
          <w:tcPr>
            <w:tcW w:w="875" w:type="pct"/>
          </w:tcPr>
          <w:p w14:paraId="720CF74E" w14:textId="096265B6" w:rsidR="00B14519" w:rsidRPr="00781112" w:rsidRDefault="00B14519" w:rsidP="00373F78">
            <w:pPr>
              <w:jc w:val="center"/>
              <w:rPr>
                <w:b/>
                <w:color w:val="000000" w:themeColor="text1"/>
              </w:rPr>
            </w:pPr>
            <w:r w:rsidRPr="00781112">
              <w:rPr>
                <w:rFonts w:cs="Arial"/>
                <w:b/>
                <w:color w:val="000000" w:themeColor="text1"/>
                <w:szCs w:val="16"/>
              </w:rPr>
              <w:t>2024</w:t>
            </w:r>
          </w:p>
        </w:tc>
        <w:tc>
          <w:tcPr>
            <w:tcW w:w="874" w:type="pct"/>
          </w:tcPr>
          <w:p w14:paraId="767866E4" w14:textId="1EE4AF77"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30C65E4A" w14:textId="7AB118F2" w:rsidTr="00451D7E">
        <w:trPr>
          <w:trHeight w:val="374"/>
        </w:trPr>
        <w:tc>
          <w:tcPr>
            <w:tcW w:w="628" w:type="pct"/>
            <w:shd w:val="clear" w:color="auto" w:fill="auto"/>
            <w:vAlign w:val="center"/>
          </w:tcPr>
          <w:p w14:paraId="15D80559" w14:textId="5A8166E8" w:rsidR="00B14519" w:rsidRPr="00781112" w:rsidRDefault="00B14519" w:rsidP="00373F78">
            <w:pPr>
              <w:rPr>
                <w:rFonts w:cs="Arial"/>
                <w:color w:val="000000" w:themeColor="text1"/>
                <w:szCs w:val="16"/>
              </w:rPr>
            </w:pPr>
            <w:r w:rsidRPr="00781112">
              <w:rPr>
                <w:rFonts w:cs="Arial"/>
                <w:color w:val="000000" w:themeColor="text1"/>
                <w:szCs w:val="16"/>
              </w:rPr>
              <w:t>Target &gt;=</w:t>
            </w:r>
          </w:p>
        </w:tc>
        <w:tc>
          <w:tcPr>
            <w:tcW w:w="875" w:type="pct"/>
            <w:shd w:val="clear" w:color="auto" w:fill="auto"/>
            <w:vAlign w:val="center"/>
          </w:tcPr>
          <w:p w14:paraId="5C1E2097" w14:textId="7100F4DF" w:rsidR="00B14519" w:rsidRPr="00781112" w:rsidRDefault="00B14519" w:rsidP="00373F78">
            <w:pPr>
              <w:jc w:val="center"/>
              <w:rPr>
                <w:rFonts w:cs="Arial"/>
                <w:color w:val="000000" w:themeColor="text1"/>
                <w:szCs w:val="16"/>
              </w:rPr>
            </w:pPr>
            <w:r w:rsidRPr="00781112">
              <w:rPr>
                <w:rFonts w:cs="Arial"/>
                <w:color w:val="000000" w:themeColor="text1"/>
                <w:szCs w:val="16"/>
              </w:rPr>
              <w:t>62.00%</w:t>
            </w:r>
          </w:p>
        </w:tc>
        <w:tc>
          <w:tcPr>
            <w:tcW w:w="875" w:type="pct"/>
          </w:tcPr>
          <w:p w14:paraId="7717027B" w14:textId="1C4C1650" w:rsidR="00B14519" w:rsidRPr="00781112" w:rsidRDefault="00B14519" w:rsidP="00373F78">
            <w:pPr>
              <w:jc w:val="center"/>
              <w:rPr>
                <w:rFonts w:cs="Arial"/>
                <w:color w:val="000000" w:themeColor="text1"/>
                <w:szCs w:val="16"/>
              </w:rPr>
            </w:pPr>
            <w:r w:rsidRPr="00781112">
              <w:rPr>
                <w:color w:val="000000" w:themeColor="text1"/>
                <w:szCs w:val="16"/>
              </w:rPr>
              <w:t>64.00%</w:t>
            </w:r>
          </w:p>
        </w:tc>
        <w:tc>
          <w:tcPr>
            <w:tcW w:w="875" w:type="pct"/>
          </w:tcPr>
          <w:p w14:paraId="48C73194" w14:textId="78C93C75" w:rsidR="00B14519" w:rsidRPr="00781112" w:rsidRDefault="00B14519" w:rsidP="00373F78">
            <w:pPr>
              <w:jc w:val="center"/>
              <w:rPr>
                <w:rFonts w:cs="Arial"/>
                <w:color w:val="000000" w:themeColor="text1"/>
                <w:szCs w:val="16"/>
              </w:rPr>
            </w:pPr>
            <w:r w:rsidRPr="00781112">
              <w:rPr>
                <w:color w:val="000000" w:themeColor="text1"/>
                <w:szCs w:val="16"/>
              </w:rPr>
              <w:t>65.00%</w:t>
            </w:r>
          </w:p>
        </w:tc>
        <w:tc>
          <w:tcPr>
            <w:tcW w:w="875" w:type="pct"/>
          </w:tcPr>
          <w:p w14:paraId="1CC5CF36" w14:textId="47158C2B" w:rsidR="00B14519" w:rsidRPr="00781112" w:rsidRDefault="00B14519" w:rsidP="00373F78">
            <w:pPr>
              <w:jc w:val="center"/>
              <w:rPr>
                <w:rFonts w:cs="Arial"/>
                <w:color w:val="000000" w:themeColor="text1"/>
                <w:szCs w:val="16"/>
              </w:rPr>
            </w:pPr>
            <w:r w:rsidRPr="00781112">
              <w:rPr>
                <w:color w:val="000000" w:themeColor="text1"/>
                <w:szCs w:val="16"/>
              </w:rPr>
              <w:t>66.00%</w:t>
            </w:r>
          </w:p>
        </w:tc>
        <w:tc>
          <w:tcPr>
            <w:tcW w:w="874" w:type="pct"/>
          </w:tcPr>
          <w:p w14:paraId="6BAB194A" w14:textId="42E53978" w:rsidR="00B14519" w:rsidRPr="00781112" w:rsidRDefault="00B14519" w:rsidP="00373F78">
            <w:pPr>
              <w:jc w:val="center"/>
              <w:rPr>
                <w:rFonts w:cs="Arial"/>
                <w:color w:val="000000" w:themeColor="text1"/>
                <w:szCs w:val="16"/>
              </w:rPr>
            </w:pPr>
            <w:r w:rsidRPr="00781112">
              <w:rPr>
                <w:color w:val="000000" w:themeColor="text1"/>
                <w:szCs w:val="16"/>
              </w:rPr>
              <w:t>67.00%</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 xml:space="preserve">PRDE solicited broad stakeholder input on PRDE’s targets in the SPP/APR including any subsequent revisions made to those targets and the development and implementation of Indicator 17, Puerto Rico’s State Systemic Improvement Plan (SSIP). </w:t>
      </w:r>
      <w:r w:rsidRPr="00781112">
        <w:rPr>
          <w:rFonts w:cs="Arial"/>
          <w:color w:val="000000" w:themeColor="text1"/>
          <w:szCs w:val="16"/>
        </w:rPr>
        <w:br/>
      </w:r>
      <w:r w:rsidRPr="00781112">
        <w:rPr>
          <w:rFonts w:cs="Arial"/>
          <w:color w:val="000000" w:themeColor="text1"/>
          <w:szCs w:val="16"/>
        </w:rPr>
        <w:br/>
        <w:t xml:space="preserve">Our original stakeholder group, called the Comité Consultivo de Educación Especial (“Special Education Advisory Committee”), is responsible for advising PRDE regarding the needs in the education of children with disabilities and for </w:t>
      </w:r>
      <w:proofErr w:type="gramStart"/>
      <w:r w:rsidRPr="00781112">
        <w:rPr>
          <w:rFonts w:cs="Arial"/>
          <w:color w:val="000000" w:themeColor="text1"/>
          <w:szCs w:val="16"/>
        </w:rPr>
        <w:t>providing assistance</w:t>
      </w:r>
      <w:proofErr w:type="gramEnd"/>
      <w:r w:rsidRPr="00781112">
        <w:rPr>
          <w:rFonts w:cs="Arial"/>
          <w:color w:val="000000" w:themeColor="text1"/>
          <w:szCs w:val="16"/>
        </w:rPr>
        <w:t xml:space="preserve"> and feedback about reports to be submitted to the Federal Government including our SSIP. The group includes representation from various sectors such as: the non-profit organization Apoyo a Padres de Niños con Impedimentos (Support for Parents of Students with Disabilities, or APNI by its acronym in Spanish), the Puerto Rico Department of the Family, the Puerto Rico Vocational Rehabilitation Administration, the Puerto Rico Department of Health, Special Education Teachers, School Directors, parents of students with disabilities, SAEE personnel, autism representative, specialists such as a School Psychologist, Occupational Therapist, Speech Pathologist, and adult with impairment, and others. SAEE personnel participate continuously in meetings with the special education </w:t>
      </w:r>
      <w:proofErr w:type="gramStart"/>
      <w:r w:rsidRPr="00781112">
        <w:rPr>
          <w:rFonts w:cs="Arial"/>
          <w:color w:val="000000" w:themeColor="text1"/>
          <w:szCs w:val="16"/>
        </w:rPr>
        <w:t>stakeholders</w:t>
      </w:r>
      <w:proofErr w:type="gramEnd"/>
      <w:r w:rsidRPr="00781112">
        <w:rPr>
          <w:rFonts w:cs="Arial"/>
          <w:color w:val="000000" w:themeColor="text1"/>
          <w:szCs w:val="16"/>
        </w:rPr>
        <w:t xml:space="preserve"> group. </w:t>
      </w:r>
      <w:r w:rsidRPr="00781112">
        <w:rPr>
          <w:rFonts w:cs="Arial"/>
          <w:color w:val="000000" w:themeColor="text1"/>
          <w:szCs w:val="16"/>
        </w:rPr>
        <w:br/>
      </w:r>
      <w:r w:rsidRPr="00781112">
        <w:rPr>
          <w:rFonts w:cs="Arial"/>
          <w:color w:val="000000" w:themeColor="text1"/>
          <w:szCs w:val="16"/>
        </w:rPr>
        <w:br/>
        <w:t xml:space="preserve">The members of our stakeholder group also serve as liaisons for initiatives that benefit the special education population and their families. Recommendations provided </w:t>
      </w:r>
      <w:proofErr w:type="gramStart"/>
      <w:r w:rsidRPr="00781112">
        <w:rPr>
          <w:rFonts w:cs="Arial"/>
          <w:color w:val="000000" w:themeColor="text1"/>
          <w:szCs w:val="16"/>
        </w:rPr>
        <w:t>from</w:t>
      </w:r>
      <w:proofErr w:type="gramEnd"/>
      <w:r w:rsidRPr="00781112">
        <w:rPr>
          <w:rFonts w:cs="Arial"/>
          <w:color w:val="000000" w:themeColor="text1"/>
          <w:szCs w:val="16"/>
        </w:rPr>
        <w:t xml:space="preserve"> the stakeholders </w:t>
      </w:r>
      <w:proofErr w:type="gramStart"/>
      <w:r w:rsidRPr="00781112">
        <w:rPr>
          <w:rFonts w:cs="Arial"/>
          <w:color w:val="000000" w:themeColor="text1"/>
          <w:szCs w:val="16"/>
        </w:rPr>
        <w:t>were incorporated</w:t>
      </w:r>
      <w:proofErr w:type="gramEnd"/>
      <w:r w:rsidRPr="00781112">
        <w:rPr>
          <w:rFonts w:cs="Arial"/>
          <w:color w:val="000000" w:themeColor="text1"/>
          <w:szCs w:val="16"/>
        </w:rPr>
        <w:t xml:space="preserve"> into PRDE’s FFY 2021 APR. PRDE developed this FFY 2021 SPP/APR with broad stakeholder input. As discussed above, PRDE SAEE held various meetings with the stakeholder group and received their input regarding the SPP/APR, including feedback regarding the individual indicators including FFY 2021 data, targets, any subsequent revisions to targets, and related activities and initiatives as well as the SSIP.</w:t>
      </w:r>
      <w:r w:rsidRPr="00781112">
        <w:rPr>
          <w:rFonts w:cs="Arial"/>
          <w:color w:val="000000" w:themeColor="text1"/>
          <w:szCs w:val="16"/>
        </w:rPr>
        <w:br/>
      </w:r>
      <w:r w:rsidRPr="00781112">
        <w:rPr>
          <w:rFonts w:cs="Arial"/>
          <w:color w:val="000000" w:themeColor="text1"/>
          <w:szCs w:val="16"/>
        </w:rPr>
        <w:br/>
        <w:t xml:space="preserve">Additional mechanisms through with PRDE solicits broad stakeholder input includes PRDE work with and through the non-profit organization Apoyo a Padres de Niños con Impedimentos (Support for Parents of Students with Disabilities, or APNI by its acronym in Spanish), its operation of Parent Academies on post-secondary topics, and Communities of Learning through its SSIP efforts, among others. APNI’s work helps increase the capacity of parents and serves as an avenue for receiving feedback on improvement activities and related policies. Similarly, the Parent Academies provide capacity building sessions for parents and include feedback sessions where parents provide feedback regarding improvement activities and data and </w:t>
      </w:r>
      <w:r w:rsidRPr="00781112">
        <w:rPr>
          <w:rFonts w:cs="Arial"/>
          <w:color w:val="000000" w:themeColor="text1"/>
          <w:szCs w:val="16"/>
        </w:rPr>
        <w:lastRenderedPageBreak/>
        <w:t xml:space="preserve">policies related to post-secondary transition. Finally, the communities of learning have been key in providing feedback regarding the Indicator 17 / the SSIP in its entirety and implementation thereof. Through </w:t>
      </w:r>
      <w:proofErr w:type="gramStart"/>
      <w:r w:rsidRPr="00781112">
        <w:rPr>
          <w:rFonts w:cs="Arial"/>
          <w:color w:val="000000" w:themeColor="text1"/>
          <w:szCs w:val="16"/>
        </w:rPr>
        <w:t>all of</w:t>
      </w:r>
      <w:proofErr w:type="gramEnd"/>
      <w:r w:rsidRPr="00781112">
        <w:rPr>
          <w:rFonts w:cs="Arial"/>
          <w:color w:val="000000" w:themeColor="text1"/>
          <w:szCs w:val="16"/>
        </w:rPr>
        <w:t xml:space="preserve"> these avenues, PRDE seeks and receives stakeholder input that is considered in the development of the SPP/APR including targets, subsequent revisions of targets, and development and implementation of the SSIP (Ind. 17). </w:t>
      </w:r>
    </w:p>
    <w:p w14:paraId="6F475956" w14:textId="6AAE3895" w:rsidR="000C24C2" w:rsidRPr="00781112" w:rsidRDefault="000C24C2" w:rsidP="001011BB">
      <w:pPr>
        <w:rPr>
          <w:rFonts w:cs="Arial"/>
          <w:color w:val="000000" w:themeColor="text1"/>
          <w:szCs w:val="16"/>
        </w:rPr>
      </w:pP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5,306</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r w:rsidRPr="00781112">
              <w:rPr>
                <w:rFonts w:cs="Arial"/>
                <w:color w:val="000000" w:themeColor="text1"/>
                <w:szCs w:val="16"/>
              </w:rPr>
              <w:t>0</w:t>
            </w: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393</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194</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2,621</w:t>
            </w:r>
          </w:p>
        </w:tc>
      </w:tr>
    </w:tbl>
    <w:p w14:paraId="0D2CDC7B" w14:textId="77777777" w:rsidR="00654A4B" w:rsidRPr="00781112" w:rsidRDefault="00654A4B" w:rsidP="00B65C2C">
      <w:pPr>
        <w:rPr>
          <w:color w:val="000000" w:themeColor="text1"/>
        </w:rPr>
      </w:pPr>
    </w:p>
    <w:p w14:paraId="7939D078" w14:textId="460D13CB" w:rsidR="00995737" w:rsidRPr="00781112" w:rsidRDefault="0047313F" w:rsidP="00C74928">
      <w:pPr>
        <w:keepNext/>
        <w:rPr>
          <w:b/>
          <w:bCs/>
          <w:color w:val="000000" w:themeColor="text1"/>
        </w:rPr>
      </w:pPr>
      <w:r>
        <w:rPr>
          <w:b/>
          <w:bCs/>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502"/>
        <w:gridCol w:w="1688"/>
        <w:gridCol w:w="1344"/>
        <w:gridCol w:w="2022"/>
        <w:gridCol w:w="1208"/>
        <w:gridCol w:w="1539"/>
        <w:gridCol w:w="1487"/>
      </w:tblGrid>
      <w:tr w:rsidR="0047313F" w:rsidRPr="00781112" w14:paraId="02722994" w14:textId="4BCF686A" w:rsidTr="0047313F">
        <w:trPr>
          <w:trHeight w:val="333"/>
          <w:tblHeader/>
        </w:trPr>
        <w:tc>
          <w:tcPr>
            <w:tcW w:w="696" w:type="pct"/>
            <w:shd w:val="clear" w:color="auto" w:fill="auto"/>
            <w:vAlign w:val="bottom"/>
          </w:tcPr>
          <w:p w14:paraId="272BBF68" w14:textId="161B6D1A"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782" w:type="pct"/>
            <w:shd w:val="clear" w:color="auto" w:fill="auto"/>
            <w:vAlign w:val="bottom"/>
          </w:tcPr>
          <w:p w14:paraId="055EF61F" w14:textId="6ADAF307" w:rsidR="0047313F" w:rsidRPr="00781112" w:rsidRDefault="0047313F" w:rsidP="0047313F">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623" w:type="pct"/>
            <w:shd w:val="clear" w:color="auto" w:fill="auto"/>
            <w:vAlign w:val="bottom"/>
          </w:tcPr>
          <w:p w14:paraId="74998318" w14:textId="7EBD313A" w:rsidR="0047313F" w:rsidRPr="00073BD7" w:rsidRDefault="0047313F" w:rsidP="0047313F">
            <w:pPr>
              <w:spacing w:after="0"/>
              <w:jc w:val="center"/>
              <w:rPr>
                <w:rFonts w:cs="Arial"/>
                <w:b/>
                <w:bCs/>
                <w:color w:val="000000" w:themeColor="text1"/>
                <w:szCs w:val="16"/>
              </w:rPr>
            </w:pPr>
            <w:r w:rsidRPr="00073BD7">
              <w:rPr>
                <w:b/>
                <w:bCs/>
              </w:rPr>
              <w:t>FFY 2020 Data</w:t>
            </w:r>
          </w:p>
        </w:tc>
        <w:tc>
          <w:tcPr>
            <w:tcW w:w="937" w:type="pct"/>
            <w:shd w:val="clear" w:color="auto" w:fill="auto"/>
            <w:vAlign w:val="bottom"/>
          </w:tcPr>
          <w:p w14:paraId="5A1C61A6" w14:textId="3B168025" w:rsidR="0047313F" w:rsidRPr="00073BD7" w:rsidRDefault="0047313F" w:rsidP="0047313F">
            <w:pPr>
              <w:spacing w:after="0"/>
              <w:jc w:val="center"/>
              <w:rPr>
                <w:rFonts w:cs="Arial"/>
                <w:b/>
                <w:bCs/>
                <w:color w:val="000000" w:themeColor="text1"/>
                <w:szCs w:val="16"/>
              </w:rPr>
            </w:pPr>
            <w:r w:rsidRPr="00073BD7">
              <w:rPr>
                <w:b/>
                <w:bCs/>
              </w:rPr>
              <w:t>FFY 2021 Target</w:t>
            </w:r>
          </w:p>
        </w:tc>
        <w:tc>
          <w:tcPr>
            <w:tcW w:w="560" w:type="pct"/>
            <w:shd w:val="clear" w:color="auto" w:fill="auto"/>
            <w:vAlign w:val="bottom"/>
          </w:tcPr>
          <w:p w14:paraId="51DD5A1B" w14:textId="693EF1DE" w:rsidR="0047313F" w:rsidRPr="00073BD7" w:rsidRDefault="0047313F" w:rsidP="0047313F">
            <w:pPr>
              <w:spacing w:after="0"/>
              <w:jc w:val="center"/>
              <w:rPr>
                <w:rFonts w:cs="Arial"/>
                <w:b/>
                <w:bCs/>
                <w:color w:val="000000" w:themeColor="text1"/>
                <w:szCs w:val="16"/>
              </w:rPr>
            </w:pPr>
            <w:r w:rsidRPr="00073BD7">
              <w:rPr>
                <w:b/>
                <w:bCs/>
              </w:rPr>
              <w:t>FFY 2021 Data</w:t>
            </w:r>
          </w:p>
        </w:tc>
        <w:tc>
          <w:tcPr>
            <w:tcW w:w="713" w:type="pct"/>
            <w:shd w:val="clear" w:color="auto" w:fill="auto"/>
            <w:vAlign w:val="bottom"/>
          </w:tcPr>
          <w:p w14:paraId="23C86FAA" w14:textId="7FC8D54B"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Status</w:t>
            </w:r>
          </w:p>
        </w:tc>
        <w:tc>
          <w:tcPr>
            <w:tcW w:w="690" w:type="pct"/>
            <w:shd w:val="clear" w:color="auto" w:fill="auto"/>
            <w:vAlign w:val="bottom"/>
          </w:tcPr>
          <w:p w14:paraId="6EE58552" w14:textId="4AA8F220"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7313F">
        <w:trPr>
          <w:trHeight w:val="340"/>
        </w:trPr>
        <w:tc>
          <w:tcPr>
            <w:tcW w:w="696"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5,306</w:t>
            </w:r>
          </w:p>
        </w:tc>
        <w:tc>
          <w:tcPr>
            <w:tcW w:w="782"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8,514</w:t>
            </w:r>
          </w:p>
        </w:tc>
        <w:tc>
          <w:tcPr>
            <w:tcW w:w="623" w:type="pct"/>
            <w:shd w:val="clear" w:color="auto" w:fill="auto"/>
          </w:tcPr>
          <w:p w14:paraId="02406DF0" w14:textId="52BAECC6" w:rsidR="0098478C" w:rsidRPr="00781112" w:rsidRDefault="002B7490" w:rsidP="00A018D4">
            <w:pPr>
              <w:jc w:val="center"/>
              <w:rPr>
                <w:rFonts w:cs="Arial"/>
                <w:color w:val="000000" w:themeColor="text1"/>
                <w:szCs w:val="16"/>
              </w:rPr>
            </w:pPr>
            <w:r w:rsidRPr="00781112">
              <w:rPr>
                <w:rFonts w:cs="Arial"/>
                <w:color w:val="000000" w:themeColor="text1"/>
                <w:szCs w:val="16"/>
              </w:rPr>
              <w:t>78.18%</w:t>
            </w:r>
          </w:p>
        </w:tc>
        <w:tc>
          <w:tcPr>
            <w:tcW w:w="937"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62.00%</w:t>
            </w:r>
          </w:p>
        </w:tc>
        <w:tc>
          <w:tcPr>
            <w:tcW w:w="560"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62.32%</w:t>
            </w:r>
          </w:p>
        </w:tc>
        <w:tc>
          <w:tcPr>
            <w:tcW w:w="713"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90"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w:t>
      </w:r>
      <w:proofErr w:type="gramStart"/>
      <w:r w:rsidRPr="00781112">
        <w:rPr>
          <w:rFonts w:cs="Arial"/>
          <w:b/>
          <w:color w:val="000000" w:themeColor="text1"/>
          <w:szCs w:val="16"/>
        </w:rPr>
        <w:t>in order to</w:t>
      </w:r>
      <w:proofErr w:type="gramEnd"/>
      <w:r w:rsidRPr="00781112">
        <w:rPr>
          <w:rFonts w:cs="Arial"/>
          <w:b/>
          <w:color w:val="000000" w:themeColor="text1"/>
          <w:szCs w:val="16"/>
        </w:rPr>
        <w:t xml:space="preserve">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 xml:space="preserve">The requirement of PRDE is </w:t>
      </w:r>
      <w:proofErr w:type="gramStart"/>
      <w:r w:rsidRPr="00781112">
        <w:rPr>
          <w:rFonts w:cs="Arial"/>
          <w:color w:val="000000" w:themeColor="text1"/>
          <w:szCs w:val="16"/>
        </w:rPr>
        <w:t>24</w:t>
      </w:r>
      <w:proofErr w:type="gramEnd"/>
      <w:r w:rsidRPr="00781112">
        <w:rPr>
          <w:rFonts w:cs="Arial"/>
          <w:color w:val="000000" w:themeColor="text1"/>
          <w:szCs w:val="16"/>
        </w:rPr>
        <w:t xml:space="preserve"> credits to graduate with a regular high school diploma (Circular letter Number 34-2016-2017). </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D145D" w:rsidP="000E33D0">
      <w:pPr>
        <w:rPr>
          <w:rFonts w:cs="Arial"/>
          <w:color w:val="000000" w:themeColor="text1"/>
          <w:szCs w:val="16"/>
        </w:rPr>
      </w:pPr>
    </w:p>
    <w:p w14:paraId="7D2A5658" w14:textId="39995CE7" w:rsidR="000C60E1" w:rsidRPr="00781112" w:rsidRDefault="00B0742B" w:rsidP="008645AD">
      <w:pPr>
        <w:pStyle w:val="Heading2"/>
      </w:pPr>
      <w:bookmarkStart w:id="6"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D145D" w:rsidP="001F692C">
      <w:pPr>
        <w:rPr>
          <w:rFonts w:cs="Arial"/>
          <w:color w:val="000000" w:themeColor="text1"/>
          <w:szCs w:val="16"/>
        </w:rPr>
      </w:pPr>
    </w:p>
    <w:p w14:paraId="5F7376D0" w14:textId="1C114A8A" w:rsidR="004C462E" w:rsidRPr="00781112" w:rsidRDefault="00B0742B" w:rsidP="008645AD">
      <w:pPr>
        <w:pStyle w:val="Heading2"/>
      </w:pPr>
      <w:bookmarkStart w:id="7" w:name="_Hlk21352084"/>
      <w:r w:rsidRPr="00781112">
        <w:t xml:space="preserve">1 - </w:t>
      </w:r>
      <w:bookmarkEnd w:id="7"/>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8"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6"/>
      <w:bookmarkEnd w:id="8"/>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135DFB11" w14:textId="77777777" w:rsidR="00820751" w:rsidRPr="00651E83" w:rsidRDefault="00820751" w:rsidP="00820751">
      <w:pPr>
        <w:pStyle w:val="Subhed"/>
      </w:pPr>
      <w:bookmarkStart w:id="9" w:name="_Toc392159263"/>
      <w:r w:rsidRPr="00651E83">
        <w:t xml:space="preserve">Monitoring Priority: </w:t>
      </w:r>
      <w:r w:rsidRPr="004A6DE5">
        <w:rPr>
          <w:b w:val="0"/>
        </w:rPr>
        <w:t>FAPE in the LRE</w:t>
      </w:r>
    </w:p>
    <w:p w14:paraId="1775856F" w14:textId="77777777" w:rsidR="00820751" w:rsidRPr="00651E83" w:rsidRDefault="00820751" w:rsidP="00820751">
      <w:pPr>
        <w:rPr>
          <w:rFonts w:cs="Arial"/>
          <w:szCs w:val="16"/>
        </w:rPr>
      </w:pPr>
      <w:r w:rsidRPr="00DC263A">
        <w:rPr>
          <w:rFonts w:cs="Arial"/>
          <w:b/>
          <w:szCs w:val="16"/>
        </w:rPr>
        <w:t>Results indicator</w:t>
      </w:r>
      <w:r w:rsidRPr="00651E83">
        <w:rPr>
          <w:rFonts w:cs="Arial"/>
          <w:szCs w:val="16"/>
        </w:rPr>
        <w:t>: Percent of youth with IEPs</w:t>
      </w:r>
      <w:r>
        <w:rPr>
          <w:rFonts w:cs="Arial"/>
          <w:szCs w:val="16"/>
        </w:rPr>
        <w:t xml:space="preserve"> who exited special education due to</w:t>
      </w:r>
      <w:r w:rsidRPr="00651E83">
        <w:rPr>
          <w:rFonts w:cs="Arial"/>
          <w:szCs w:val="16"/>
        </w:rPr>
        <w:t xml:space="preserve"> dropping out. (20 U.S.C. 1416 (a)(3)(A))</w:t>
      </w:r>
    </w:p>
    <w:p w14:paraId="128CA707" w14:textId="77777777" w:rsidR="00820751" w:rsidRPr="00651E83" w:rsidRDefault="00820751" w:rsidP="00820751">
      <w:pPr>
        <w:pStyle w:val="Subhed"/>
      </w:pPr>
      <w:r w:rsidRPr="00651E83">
        <w:t>Data Source</w:t>
      </w:r>
    </w:p>
    <w:p w14:paraId="38F077C2" w14:textId="77777777" w:rsidR="00820751" w:rsidRPr="00651E83" w:rsidRDefault="00820751" w:rsidP="00820751">
      <w:pPr>
        <w:rPr>
          <w:rFonts w:cs="Arial"/>
          <w:szCs w:val="16"/>
        </w:rPr>
      </w:pPr>
      <w:bookmarkStart w:id="10" w:name="_Hlk51055176"/>
      <w:r w:rsidRPr="00651E83">
        <w:rPr>
          <w:rFonts w:cs="Arial"/>
          <w:szCs w:val="16"/>
        </w:rPr>
        <w:t>Same data as used for reporting to the Department under section 618 of the Individuals with Disabilities Education Act (IDEA), using the definitions in EDFacts file specification FS009.</w:t>
      </w:r>
    </w:p>
    <w:bookmarkEnd w:id="10"/>
    <w:p w14:paraId="7C2F1A80" w14:textId="77777777" w:rsidR="00820751" w:rsidRPr="00651E83" w:rsidRDefault="00820751" w:rsidP="00820751">
      <w:pPr>
        <w:rPr>
          <w:rFonts w:cs="Arial"/>
          <w:szCs w:val="16"/>
        </w:rPr>
      </w:pPr>
      <w:r w:rsidRPr="00651E83">
        <w:rPr>
          <w:rFonts w:cs="Arial"/>
          <w:szCs w:val="16"/>
        </w:rPr>
        <w:t xml:space="preserve">Use same data source and measurement that the State used to report in its FFY 2010 SPP/APR that </w:t>
      </w:r>
      <w:proofErr w:type="gramStart"/>
      <w:r w:rsidRPr="00651E83">
        <w:rPr>
          <w:rFonts w:cs="Arial"/>
          <w:szCs w:val="16"/>
        </w:rPr>
        <w:t>was submitted</w:t>
      </w:r>
      <w:proofErr w:type="gramEnd"/>
      <w:r w:rsidRPr="00651E83">
        <w:rPr>
          <w:rFonts w:cs="Arial"/>
          <w:szCs w:val="16"/>
        </w:rPr>
        <w:t xml:space="preserve"> on February 1, 2012.</w:t>
      </w:r>
    </w:p>
    <w:p w14:paraId="36189637" w14:textId="77777777" w:rsidR="00820751" w:rsidRPr="00651E83" w:rsidRDefault="00820751" w:rsidP="00820751">
      <w:pPr>
        <w:pStyle w:val="Subhed"/>
      </w:pPr>
      <w:r w:rsidRPr="00651E83">
        <w:t>Measurement</w:t>
      </w:r>
    </w:p>
    <w:p w14:paraId="68477D3E" w14:textId="77777777" w:rsidR="00820751" w:rsidRPr="00651E83" w:rsidRDefault="00820751" w:rsidP="00820751">
      <w:pPr>
        <w:rPr>
          <w:rFonts w:cs="Arial"/>
          <w:szCs w:val="16"/>
        </w:rPr>
      </w:pPr>
      <w:r w:rsidRPr="00651E83">
        <w:rPr>
          <w:rFonts w:cs="Arial"/>
          <w:szCs w:val="16"/>
        </w:rPr>
        <w:t xml:space="preserve">States must report a percentage using the number of </w:t>
      </w:r>
      <w:proofErr w:type="gramStart"/>
      <w:r w:rsidRPr="00651E83">
        <w:rPr>
          <w:rFonts w:cs="Arial"/>
          <w:szCs w:val="16"/>
        </w:rPr>
        <w:t>youth</w:t>
      </w:r>
      <w:proofErr w:type="gramEnd"/>
      <w:r w:rsidRPr="00651E83">
        <w:rPr>
          <w:rFonts w:cs="Arial"/>
          <w:szCs w:val="16"/>
        </w:rPr>
        <w:t xml:space="preserve"> with IEPs (ages 14-21) who exited special education due to dropping out in the numerator and the number of all youth with IEPs who exited special education (ages 14-21) in the denominator.</w:t>
      </w:r>
    </w:p>
    <w:p w14:paraId="199C9562" w14:textId="77777777" w:rsidR="00820751" w:rsidRPr="00651E83" w:rsidRDefault="00820751" w:rsidP="00820751">
      <w:pPr>
        <w:pStyle w:val="Subhed"/>
      </w:pPr>
      <w:r w:rsidRPr="00651E83">
        <w:t>Instructions</w:t>
      </w:r>
    </w:p>
    <w:p w14:paraId="271B8C9F" w14:textId="77777777" w:rsidR="00820751" w:rsidRPr="00FE4C6C" w:rsidRDefault="00820751" w:rsidP="00820751">
      <w:pPr>
        <w:rPr>
          <w:rFonts w:cs="Arial"/>
          <w:i/>
          <w:iCs/>
          <w:szCs w:val="16"/>
        </w:rPr>
      </w:pPr>
      <w:r w:rsidRPr="00FE4C6C">
        <w:rPr>
          <w:rFonts w:cs="Arial"/>
          <w:i/>
          <w:iCs/>
          <w:szCs w:val="16"/>
        </w:rPr>
        <w:t xml:space="preserve">Sampling </w:t>
      </w:r>
      <w:proofErr w:type="gramStart"/>
      <w:r w:rsidRPr="00FE4C6C">
        <w:rPr>
          <w:rFonts w:cs="Arial"/>
          <w:i/>
          <w:iCs/>
          <w:szCs w:val="16"/>
        </w:rPr>
        <w:t>is not allowed</w:t>
      </w:r>
      <w:proofErr w:type="gramEnd"/>
      <w:r w:rsidRPr="00FE4C6C">
        <w:rPr>
          <w:rFonts w:cs="Arial"/>
          <w:i/>
          <w:iCs/>
          <w:szCs w:val="16"/>
        </w:rPr>
        <w:t>.</w:t>
      </w:r>
    </w:p>
    <w:p w14:paraId="66EE7631" w14:textId="77777777" w:rsidR="00820751" w:rsidRDefault="00820751" w:rsidP="00820751">
      <w:pPr>
        <w:rPr>
          <w:rFonts w:cs="Arial"/>
          <w:szCs w:val="16"/>
        </w:rPr>
      </w:pPr>
      <w:r w:rsidRPr="00937503">
        <w:rPr>
          <w:rFonts w:cs="Arial"/>
          <w:szCs w:val="16"/>
        </w:rPr>
        <w:t xml:space="preserve">Data for this indicator </w:t>
      </w:r>
      <w:proofErr w:type="gramStart"/>
      <w:r w:rsidRPr="00937503">
        <w:rPr>
          <w:rFonts w:cs="Arial"/>
          <w:szCs w:val="16"/>
        </w:rPr>
        <w:t>are</w:t>
      </w:r>
      <w:proofErr w:type="gramEnd"/>
      <w:r w:rsidRPr="00937503">
        <w:rPr>
          <w:rFonts w:cs="Arial"/>
          <w:szCs w:val="16"/>
        </w:rPr>
        <w:t xml:space="preserve"> “lag” data. Describe the results of the State’s examination of the data for the year before the reporting year (e.g., for the FFY 2021 SPP/APR, use data from 2020-2021), and compare the results to the target.</w:t>
      </w:r>
    </w:p>
    <w:p w14:paraId="65392C1C" w14:textId="77777777" w:rsidR="00820751" w:rsidRPr="008E308B" w:rsidRDefault="00820751" w:rsidP="00820751">
      <w:pPr>
        <w:rPr>
          <w:rFonts w:cs="Arial"/>
          <w:szCs w:val="16"/>
        </w:rPr>
      </w:pPr>
      <w:r w:rsidRPr="00651E83">
        <w:rPr>
          <w:rFonts w:cs="Arial"/>
          <w:szCs w:val="16"/>
        </w:rPr>
        <w:t>Include in the denominator the following exiting categories: (a) graduated with a regular high school diploma; (b) graduated with a</w:t>
      </w:r>
    </w:p>
    <w:p w14:paraId="5D5E271B" w14:textId="77777777" w:rsidR="00820751" w:rsidRPr="00651E83" w:rsidRDefault="00820751" w:rsidP="00820751">
      <w:pPr>
        <w:rPr>
          <w:rFonts w:cs="Arial"/>
          <w:szCs w:val="16"/>
        </w:rPr>
      </w:pPr>
      <w:r w:rsidRPr="008E308B">
        <w:rPr>
          <w:rFonts w:cs="Arial"/>
          <w:szCs w:val="16"/>
        </w:rPr>
        <w:t xml:space="preserve">state-defined alternate diploma; (c) received a certificate; (d) reached maximum age; or (e) dropped out. </w:t>
      </w:r>
    </w:p>
    <w:p w14:paraId="000F1718" w14:textId="77777777" w:rsidR="00820751" w:rsidRPr="00651E83" w:rsidRDefault="00820751" w:rsidP="00820751">
      <w:pPr>
        <w:rPr>
          <w:rFonts w:cs="Arial"/>
          <w:szCs w:val="16"/>
        </w:rPr>
      </w:pPr>
      <w:r w:rsidRPr="00651E83">
        <w:rPr>
          <w:rFonts w:cs="Arial"/>
          <w:szCs w:val="16"/>
        </w:rPr>
        <w:t>Do not include in the denominator the number of youths with IEPs who exited special education due to: (a) transferring to regular education; or (b) who moved but are known to be continuing in an educational program.</w:t>
      </w:r>
    </w:p>
    <w:p w14:paraId="5DF5B6DA" w14:textId="77777777" w:rsidR="00820751" w:rsidRPr="00651E83" w:rsidRDefault="00820751" w:rsidP="00820751">
      <w:pPr>
        <w:rPr>
          <w:rFonts w:cs="Arial"/>
          <w:szCs w:val="16"/>
        </w:rPr>
      </w:pPr>
      <w:r w:rsidRPr="00651E83">
        <w:rPr>
          <w:rFonts w:cs="Arial"/>
          <w:szCs w:val="16"/>
        </w:rPr>
        <w:t>Use the annual event school dropout rate for students leaving a school in a single year determined in accordance with the National Center for Education Statistic's Common Core of Data.</w:t>
      </w:r>
    </w:p>
    <w:p w14:paraId="37EF3DEB" w14:textId="77777777" w:rsidR="00820751" w:rsidRDefault="00820751" w:rsidP="00820751">
      <w:pPr>
        <w:rPr>
          <w:rFonts w:cs="Arial"/>
          <w:szCs w:val="16"/>
        </w:rPr>
      </w:pPr>
      <w:r w:rsidRPr="0019013F">
        <w:rPr>
          <w:rFonts w:cs="Arial"/>
          <w:szCs w:val="16"/>
        </w:rPr>
        <w:t>Provide a narrative that describes what counts as dropping out for all youth. Please explain if there is a difference between what counts as dropping out for all students and what counts as dropping out for students with IEPs.</w:t>
      </w:r>
    </w:p>
    <w:bookmarkEnd w:id="9"/>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739F0BA3" w:rsidR="00907A35" w:rsidRPr="00781112" w:rsidRDefault="00907A3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2011</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43.36%</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2018</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2019</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2020</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34.50%</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34.00%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33.50%</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33.00%</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32.00%</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32.34%</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25.46%</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24.80%</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23.11%</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16.23%</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4"/>
        <w:gridCol w:w="1676"/>
        <w:gridCol w:w="1676"/>
        <w:gridCol w:w="1676"/>
        <w:gridCol w:w="1676"/>
        <w:gridCol w:w="1673"/>
      </w:tblGrid>
      <w:tr w:rsidR="00B14519" w:rsidRPr="00781112" w14:paraId="029A4CCE" w14:textId="7CD6FC1B" w:rsidTr="00451D7E">
        <w:trPr>
          <w:trHeight w:val="378"/>
        </w:trPr>
        <w:tc>
          <w:tcPr>
            <w:tcW w:w="402" w:type="pct"/>
            <w:tcBorders>
              <w:bottom w:val="single" w:sz="4" w:space="0" w:color="auto"/>
            </w:tcBorders>
            <w:shd w:val="clear" w:color="auto" w:fill="auto"/>
          </w:tcPr>
          <w:p w14:paraId="7E454C96" w14:textId="77777777" w:rsidR="00B14519" w:rsidRPr="00781112" w:rsidRDefault="00B14519" w:rsidP="00373F78">
            <w:pPr>
              <w:jc w:val="center"/>
              <w:rPr>
                <w:b/>
                <w:color w:val="000000" w:themeColor="text1"/>
              </w:rPr>
            </w:pPr>
            <w:r w:rsidRPr="00781112">
              <w:rPr>
                <w:b/>
                <w:color w:val="000000" w:themeColor="text1"/>
              </w:rPr>
              <w:t>FFY</w:t>
            </w:r>
          </w:p>
        </w:tc>
        <w:tc>
          <w:tcPr>
            <w:tcW w:w="920" w:type="pct"/>
            <w:shd w:val="clear" w:color="auto" w:fill="auto"/>
            <w:vAlign w:val="center"/>
          </w:tcPr>
          <w:p w14:paraId="43981BCA" w14:textId="46BADE94" w:rsidR="00B14519" w:rsidRPr="00781112" w:rsidRDefault="00B14519" w:rsidP="00373F78">
            <w:pPr>
              <w:jc w:val="center"/>
              <w:rPr>
                <w:b/>
                <w:color w:val="000000" w:themeColor="text1"/>
              </w:rPr>
            </w:pPr>
            <w:r w:rsidRPr="00781112">
              <w:rPr>
                <w:b/>
                <w:color w:val="000000" w:themeColor="text1"/>
              </w:rPr>
              <w:t>2021</w:t>
            </w:r>
          </w:p>
        </w:tc>
        <w:tc>
          <w:tcPr>
            <w:tcW w:w="920" w:type="pct"/>
          </w:tcPr>
          <w:p w14:paraId="5E92A3B3" w14:textId="014BC7EC" w:rsidR="00B14519" w:rsidRPr="00781112" w:rsidRDefault="00B14519" w:rsidP="00373F78">
            <w:pPr>
              <w:jc w:val="center"/>
              <w:rPr>
                <w:b/>
                <w:color w:val="000000" w:themeColor="text1"/>
              </w:rPr>
            </w:pPr>
            <w:r w:rsidRPr="00781112">
              <w:rPr>
                <w:rFonts w:cs="Arial"/>
                <w:b/>
                <w:color w:val="000000" w:themeColor="text1"/>
                <w:szCs w:val="16"/>
              </w:rPr>
              <w:t>2022</w:t>
            </w:r>
          </w:p>
        </w:tc>
        <w:tc>
          <w:tcPr>
            <w:tcW w:w="920" w:type="pct"/>
          </w:tcPr>
          <w:p w14:paraId="3A9EE8AA" w14:textId="53416CB2" w:rsidR="00B14519" w:rsidRPr="00781112" w:rsidRDefault="00B14519" w:rsidP="00373F78">
            <w:pPr>
              <w:jc w:val="center"/>
              <w:rPr>
                <w:b/>
                <w:color w:val="000000" w:themeColor="text1"/>
              </w:rPr>
            </w:pPr>
            <w:r w:rsidRPr="00781112">
              <w:rPr>
                <w:rFonts w:cs="Arial"/>
                <w:b/>
                <w:color w:val="000000" w:themeColor="text1"/>
                <w:szCs w:val="16"/>
              </w:rPr>
              <w:t>2023</w:t>
            </w:r>
          </w:p>
        </w:tc>
        <w:tc>
          <w:tcPr>
            <w:tcW w:w="920" w:type="pct"/>
          </w:tcPr>
          <w:p w14:paraId="7D50850A" w14:textId="0FF3B8D7" w:rsidR="00B14519" w:rsidRPr="00781112" w:rsidRDefault="00B14519" w:rsidP="00373F78">
            <w:pPr>
              <w:jc w:val="center"/>
              <w:rPr>
                <w:b/>
                <w:color w:val="000000" w:themeColor="text1"/>
              </w:rPr>
            </w:pPr>
            <w:r w:rsidRPr="00781112">
              <w:rPr>
                <w:rFonts w:cs="Arial"/>
                <w:b/>
                <w:color w:val="000000" w:themeColor="text1"/>
                <w:szCs w:val="16"/>
              </w:rPr>
              <w:t>2024</w:t>
            </w:r>
          </w:p>
        </w:tc>
        <w:tc>
          <w:tcPr>
            <w:tcW w:w="920" w:type="pct"/>
          </w:tcPr>
          <w:p w14:paraId="150CD52F" w14:textId="1406DCAF"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74AFE5A4" w14:textId="4CB3606D" w:rsidTr="00451D7E">
        <w:trPr>
          <w:trHeight w:val="386"/>
        </w:trPr>
        <w:tc>
          <w:tcPr>
            <w:tcW w:w="402" w:type="pct"/>
            <w:shd w:val="clear" w:color="auto" w:fill="auto"/>
            <w:vAlign w:val="center"/>
          </w:tcPr>
          <w:p w14:paraId="74812D09" w14:textId="3A67082C" w:rsidR="00B14519" w:rsidRPr="00781112" w:rsidRDefault="00B14519" w:rsidP="00373F78">
            <w:pPr>
              <w:rPr>
                <w:rFonts w:cs="Arial"/>
                <w:color w:val="000000" w:themeColor="text1"/>
                <w:szCs w:val="16"/>
              </w:rPr>
            </w:pPr>
            <w:r w:rsidRPr="00781112">
              <w:rPr>
                <w:rFonts w:cs="Arial"/>
                <w:color w:val="000000" w:themeColor="text1"/>
                <w:szCs w:val="16"/>
              </w:rPr>
              <w:t>Target &lt;=</w:t>
            </w:r>
          </w:p>
        </w:tc>
        <w:tc>
          <w:tcPr>
            <w:tcW w:w="920" w:type="pct"/>
            <w:shd w:val="clear" w:color="auto" w:fill="auto"/>
            <w:vAlign w:val="center"/>
          </w:tcPr>
          <w:p w14:paraId="1AA9A6F0" w14:textId="23F8F955" w:rsidR="00B14519" w:rsidRPr="00781112" w:rsidRDefault="00B14519" w:rsidP="00373F78">
            <w:pPr>
              <w:jc w:val="center"/>
              <w:rPr>
                <w:rFonts w:cs="Arial"/>
                <w:color w:val="000000" w:themeColor="text1"/>
                <w:szCs w:val="16"/>
              </w:rPr>
            </w:pPr>
            <w:r w:rsidRPr="00781112">
              <w:rPr>
                <w:rFonts w:cs="Arial"/>
                <w:color w:val="000000" w:themeColor="text1"/>
                <w:szCs w:val="16"/>
              </w:rPr>
              <w:t>35.00%</w:t>
            </w:r>
          </w:p>
        </w:tc>
        <w:tc>
          <w:tcPr>
            <w:tcW w:w="920" w:type="pct"/>
          </w:tcPr>
          <w:p w14:paraId="1887156F" w14:textId="2A53DFD8" w:rsidR="00B14519" w:rsidRPr="00781112" w:rsidRDefault="00B14519" w:rsidP="00373F78">
            <w:pPr>
              <w:jc w:val="center"/>
              <w:rPr>
                <w:rFonts w:cs="Arial"/>
                <w:color w:val="000000" w:themeColor="text1"/>
                <w:szCs w:val="16"/>
              </w:rPr>
            </w:pPr>
            <w:r w:rsidRPr="00781112">
              <w:rPr>
                <w:color w:val="000000" w:themeColor="text1"/>
                <w:szCs w:val="16"/>
              </w:rPr>
              <w:t>34.50%</w:t>
            </w:r>
          </w:p>
        </w:tc>
        <w:tc>
          <w:tcPr>
            <w:tcW w:w="920" w:type="pct"/>
          </w:tcPr>
          <w:p w14:paraId="114E0304" w14:textId="3D4B66CA" w:rsidR="00B14519" w:rsidRPr="00781112" w:rsidRDefault="00B14519" w:rsidP="00373F78">
            <w:pPr>
              <w:jc w:val="center"/>
              <w:rPr>
                <w:rFonts w:cs="Arial"/>
                <w:color w:val="000000" w:themeColor="text1"/>
                <w:szCs w:val="16"/>
              </w:rPr>
            </w:pPr>
            <w:r w:rsidRPr="00781112">
              <w:rPr>
                <w:color w:val="000000" w:themeColor="text1"/>
                <w:szCs w:val="16"/>
              </w:rPr>
              <w:t>34.00%</w:t>
            </w:r>
          </w:p>
        </w:tc>
        <w:tc>
          <w:tcPr>
            <w:tcW w:w="920" w:type="pct"/>
          </w:tcPr>
          <w:p w14:paraId="78D67310" w14:textId="6B7563FE" w:rsidR="00B14519" w:rsidRPr="00781112" w:rsidRDefault="00B14519" w:rsidP="00373F78">
            <w:pPr>
              <w:jc w:val="center"/>
              <w:rPr>
                <w:rFonts w:cs="Arial"/>
                <w:color w:val="000000" w:themeColor="text1"/>
                <w:szCs w:val="16"/>
              </w:rPr>
            </w:pPr>
            <w:r w:rsidRPr="00781112">
              <w:rPr>
                <w:color w:val="000000" w:themeColor="text1"/>
                <w:szCs w:val="16"/>
              </w:rPr>
              <w:t>33.50%</w:t>
            </w:r>
          </w:p>
        </w:tc>
        <w:tc>
          <w:tcPr>
            <w:tcW w:w="920" w:type="pct"/>
          </w:tcPr>
          <w:p w14:paraId="56091902" w14:textId="764DD0A6" w:rsidR="00B14519" w:rsidRPr="00781112" w:rsidRDefault="00B14519" w:rsidP="00373F78">
            <w:pPr>
              <w:jc w:val="center"/>
              <w:rPr>
                <w:rFonts w:cs="Arial"/>
                <w:color w:val="000000" w:themeColor="text1"/>
                <w:szCs w:val="16"/>
              </w:rPr>
            </w:pPr>
            <w:r w:rsidRPr="00781112">
              <w:rPr>
                <w:color w:val="000000" w:themeColor="text1"/>
                <w:szCs w:val="16"/>
              </w:rPr>
              <w:t>33.00%</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 xml:space="preserve">PRDE solicited broad stakeholder input on PRDE’s targets in the SPP/APR including any subsequent revisions made to those targets and the development and implementation of Indicator 17, Puerto Rico’s State Systemic Improvement Plan (SSIP). </w:t>
      </w:r>
      <w:r w:rsidRPr="00781112">
        <w:rPr>
          <w:rFonts w:cs="Arial"/>
          <w:color w:val="000000" w:themeColor="text1"/>
          <w:szCs w:val="16"/>
        </w:rPr>
        <w:br/>
      </w:r>
      <w:r w:rsidRPr="00781112">
        <w:rPr>
          <w:rFonts w:cs="Arial"/>
          <w:color w:val="000000" w:themeColor="text1"/>
          <w:szCs w:val="16"/>
        </w:rPr>
        <w:br/>
        <w:t xml:space="preserve">Our original stakeholder group, called the Comité Consultivo de Educación Especial (“Special Education Advisory Committee”), is responsible for advising PRDE regarding the needs in the education of children with disabilities and for </w:t>
      </w:r>
      <w:proofErr w:type="gramStart"/>
      <w:r w:rsidRPr="00781112">
        <w:rPr>
          <w:rFonts w:cs="Arial"/>
          <w:color w:val="000000" w:themeColor="text1"/>
          <w:szCs w:val="16"/>
        </w:rPr>
        <w:t>providing assistance</w:t>
      </w:r>
      <w:proofErr w:type="gramEnd"/>
      <w:r w:rsidRPr="00781112">
        <w:rPr>
          <w:rFonts w:cs="Arial"/>
          <w:color w:val="000000" w:themeColor="text1"/>
          <w:szCs w:val="16"/>
        </w:rPr>
        <w:t xml:space="preserve"> and feedback about reports to be submitted to the Federal Government including our SSIP. The group includes representation from various sectors such as: the non-profit organization Apoyo a Padres de Niños con Impedimentos (Support for Parents of Students with Disabilities, or APNI by its acronym in Spanish), the Puerto Rico Department of the Family, the Puerto Rico Vocational Rehabilitation Administration, the Puerto Rico Department of Health, Special Education Teachers, School Directors, parents of students with disabilities, SAEE personnel, autism representative, specialists such as a School Psychologist, Occupational Therapist, Speech Pathologist, and adult with impairment, and others. SAEE personnel participate continuously in meetings with the special education </w:t>
      </w:r>
      <w:proofErr w:type="gramStart"/>
      <w:r w:rsidRPr="00781112">
        <w:rPr>
          <w:rFonts w:cs="Arial"/>
          <w:color w:val="000000" w:themeColor="text1"/>
          <w:szCs w:val="16"/>
        </w:rPr>
        <w:t>stakeholders</w:t>
      </w:r>
      <w:proofErr w:type="gramEnd"/>
      <w:r w:rsidRPr="00781112">
        <w:rPr>
          <w:rFonts w:cs="Arial"/>
          <w:color w:val="000000" w:themeColor="text1"/>
          <w:szCs w:val="16"/>
        </w:rPr>
        <w:t xml:space="preserve"> group. </w:t>
      </w:r>
      <w:r w:rsidRPr="00781112">
        <w:rPr>
          <w:rFonts w:cs="Arial"/>
          <w:color w:val="000000" w:themeColor="text1"/>
          <w:szCs w:val="16"/>
        </w:rPr>
        <w:br/>
      </w:r>
      <w:r w:rsidRPr="00781112">
        <w:rPr>
          <w:rFonts w:cs="Arial"/>
          <w:color w:val="000000" w:themeColor="text1"/>
          <w:szCs w:val="16"/>
        </w:rPr>
        <w:br/>
        <w:t xml:space="preserve">The members of our stakeholder group also serve as liaisons for initiatives that benefit the special education population and their families. Recommendations provided </w:t>
      </w:r>
      <w:proofErr w:type="gramStart"/>
      <w:r w:rsidRPr="00781112">
        <w:rPr>
          <w:rFonts w:cs="Arial"/>
          <w:color w:val="000000" w:themeColor="text1"/>
          <w:szCs w:val="16"/>
        </w:rPr>
        <w:t>from</w:t>
      </w:r>
      <w:proofErr w:type="gramEnd"/>
      <w:r w:rsidRPr="00781112">
        <w:rPr>
          <w:rFonts w:cs="Arial"/>
          <w:color w:val="000000" w:themeColor="text1"/>
          <w:szCs w:val="16"/>
        </w:rPr>
        <w:t xml:space="preserve"> the stakeholders </w:t>
      </w:r>
      <w:proofErr w:type="gramStart"/>
      <w:r w:rsidRPr="00781112">
        <w:rPr>
          <w:rFonts w:cs="Arial"/>
          <w:color w:val="000000" w:themeColor="text1"/>
          <w:szCs w:val="16"/>
        </w:rPr>
        <w:t>were incorporated</w:t>
      </w:r>
      <w:proofErr w:type="gramEnd"/>
      <w:r w:rsidRPr="00781112">
        <w:rPr>
          <w:rFonts w:cs="Arial"/>
          <w:color w:val="000000" w:themeColor="text1"/>
          <w:szCs w:val="16"/>
        </w:rPr>
        <w:t xml:space="preserve"> into PRDE’s FFY 2021 APR. PRDE developed this FFY 2021 SPP/APR with broad stakeholder input. As discussed above, PRDE SAEE held various meetings with the stakeholder group and received their input regarding the SPP/APR, including feedback regarding the individual indicators including FFY 2021 data, targets, any subsequent revisions to targets, and related activities and initiatives as well as the SSIP.</w:t>
      </w:r>
      <w:r w:rsidRPr="00781112">
        <w:rPr>
          <w:rFonts w:cs="Arial"/>
          <w:color w:val="000000" w:themeColor="text1"/>
          <w:szCs w:val="16"/>
        </w:rPr>
        <w:br/>
      </w:r>
      <w:r w:rsidRPr="00781112">
        <w:rPr>
          <w:rFonts w:cs="Arial"/>
          <w:color w:val="000000" w:themeColor="text1"/>
          <w:szCs w:val="16"/>
        </w:rPr>
        <w:br/>
        <w:t xml:space="preserve">Additional mechanisms through with PRDE solicits broad stakeholder input includes PRDE work with and through the non-profit organization Apoyo a Padres de Niños con Impedimentos (Support for Parents of Students with Disabilities, or APNI by its acronym in Spanish), its operation of Parent Academies on post-secondary topics, and Communities of Learning through its SSIP efforts, among others. APNI’s work helps increase the capacity of parents and serves as an avenue for receiving feedback on improvement activities and related policies. Similarly, the Parent Academies provide capacity building sessions for parents and include feedback sessions where parents provide feedback regarding improvement activities and data and policies related to post-secondary transition. Finally, the communities of learning have been key in providing feedback regarding the Indicator 17 / the </w:t>
      </w:r>
      <w:r w:rsidRPr="00781112">
        <w:rPr>
          <w:rFonts w:cs="Arial"/>
          <w:color w:val="000000" w:themeColor="text1"/>
          <w:szCs w:val="16"/>
        </w:rPr>
        <w:lastRenderedPageBreak/>
        <w:t xml:space="preserve">SSIP in its entirety and implementation thereof. Through </w:t>
      </w:r>
      <w:proofErr w:type="gramStart"/>
      <w:r w:rsidRPr="00781112">
        <w:rPr>
          <w:rFonts w:cs="Arial"/>
          <w:color w:val="000000" w:themeColor="text1"/>
          <w:szCs w:val="16"/>
        </w:rPr>
        <w:t>all of</w:t>
      </w:r>
      <w:proofErr w:type="gramEnd"/>
      <w:r w:rsidRPr="00781112">
        <w:rPr>
          <w:rFonts w:cs="Arial"/>
          <w:color w:val="000000" w:themeColor="text1"/>
          <w:szCs w:val="16"/>
        </w:rPr>
        <w:t xml:space="preserve"> these avenues, PRDE seeks and receives stakeholder input that is considered in the development of the SPP/APR including targets, subsequent revisions of targets, and development and implementation of the SSIP (Ind. 17). </w:t>
      </w:r>
    </w:p>
    <w:p w14:paraId="1646393A" w14:textId="2F9E8E4A" w:rsidR="002D145D" w:rsidRPr="00781112" w:rsidRDefault="002D145D" w:rsidP="002D145D">
      <w:pPr>
        <w:rPr>
          <w:rFonts w:cs="Arial"/>
          <w:color w:val="000000" w:themeColor="text1"/>
          <w:szCs w:val="16"/>
        </w:rPr>
      </w:pP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5,306</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r w:rsidRPr="00781112">
              <w:rPr>
                <w:rFonts w:cs="Arial"/>
                <w:color w:val="000000" w:themeColor="text1"/>
                <w:szCs w:val="16"/>
              </w:rPr>
              <w:t>0</w:t>
            </w: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393</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194</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2,621</w:t>
            </w:r>
          </w:p>
        </w:tc>
      </w:tr>
    </w:tbl>
    <w:p w14:paraId="7CE42756" w14:textId="445D9372" w:rsidR="00654A4B" w:rsidRPr="00781112" w:rsidRDefault="00654A4B" w:rsidP="004369B2">
      <w:pPr>
        <w:rPr>
          <w:color w:val="000000" w:themeColor="text1"/>
        </w:rPr>
      </w:pPr>
    </w:p>
    <w:p w14:paraId="4463AFB2" w14:textId="259E343E" w:rsidR="00C96339" w:rsidRPr="00781112" w:rsidRDefault="0047313F" w:rsidP="004369B2">
      <w:pPr>
        <w:rPr>
          <w:color w:val="000000" w:themeColor="text1"/>
        </w:rPr>
      </w:pPr>
      <w:r>
        <w:rPr>
          <w:b/>
          <w:color w:val="000000" w:themeColor="text1"/>
        </w:rPr>
        <w:t xml:space="preserve">FFY 2021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47313F" w:rsidRPr="00781112" w14:paraId="5C4D1C2F" w14:textId="77777777" w:rsidTr="004D0044">
        <w:trPr>
          <w:trHeight w:val="359"/>
          <w:tblHeader/>
        </w:trPr>
        <w:tc>
          <w:tcPr>
            <w:tcW w:w="708" w:type="pct"/>
            <w:shd w:val="clear" w:color="auto" w:fill="auto"/>
            <w:vAlign w:val="bottom"/>
          </w:tcPr>
          <w:p w14:paraId="3F5808F2" w14:textId="257E84C8" w:rsidR="0047313F" w:rsidRPr="00781112" w:rsidRDefault="0047313F" w:rsidP="0047313F">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dropping out</w:t>
            </w:r>
          </w:p>
        </w:tc>
        <w:tc>
          <w:tcPr>
            <w:tcW w:w="698" w:type="pct"/>
            <w:shd w:val="clear" w:color="auto" w:fill="auto"/>
            <w:vAlign w:val="bottom"/>
          </w:tcPr>
          <w:p w14:paraId="2F5BF81E" w14:textId="25314F83" w:rsidR="0047313F" w:rsidRPr="00781112" w:rsidRDefault="0047313F" w:rsidP="0047313F">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4146FF5F" w:rsidR="0047313F" w:rsidRPr="00073BD7" w:rsidRDefault="0047313F" w:rsidP="0047313F">
            <w:pPr>
              <w:jc w:val="center"/>
              <w:rPr>
                <w:rFonts w:cs="Arial"/>
                <w:b/>
                <w:bCs/>
                <w:color w:val="000000" w:themeColor="text1"/>
                <w:szCs w:val="16"/>
              </w:rPr>
            </w:pPr>
            <w:r w:rsidRPr="00073BD7">
              <w:rPr>
                <w:b/>
                <w:bCs/>
              </w:rPr>
              <w:t>FFY 2020 Data</w:t>
            </w:r>
          </w:p>
        </w:tc>
        <w:tc>
          <w:tcPr>
            <w:tcW w:w="967" w:type="pct"/>
            <w:shd w:val="clear" w:color="auto" w:fill="auto"/>
            <w:vAlign w:val="bottom"/>
          </w:tcPr>
          <w:p w14:paraId="1F444650" w14:textId="5BBFB8FA" w:rsidR="0047313F" w:rsidRPr="00073BD7" w:rsidRDefault="0047313F" w:rsidP="0047313F">
            <w:pPr>
              <w:jc w:val="center"/>
              <w:rPr>
                <w:rFonts w:cs="Arial"/>
                <w:b/>
                <w:bCs/>
                <w:color w:val="000000" w:themeColor="text1"/>
                <w:szCs w:val="16"/>
              </w:rPr>
            </w:pPr>
            <w:r w:rsidRPr="00073BD7">
              <w:rPr>
                <w:b/>
                <w:bCs/>
              </w:rPr>
              <w:t>FFY 2021 Target</w:t>
            </w:r>
          </w:p>
        </w:tc>
        <w:tc>
          <w:tcPr>
            <w:tcW w:w="569" w:type="pct"/>
            <w:shd w:val="clear" w:color="auto" w:fill="auto"/>
            <w:vAlign w:val="bottom"/>
          </w:tcPr>
          <w:p w14:paraId="194A1B8B" w14:textId="65282403" w:rsidR="0047313F" w:rsidRPr="00073BD7" w:rsidRDefault="0047313F" w:rsidP="0047313F">
            <w:pPr>
              <w:jc w:val="center"/>
              <w:rPr>
                <w:rFonts w:cs="Arial"/>
                <w:b/>
                <w:bCs/>
                <w:color w:val="000000" w:themeColor="text1"/>
                <w:szCs w:val="16"/>
              </w:rPr>
            </w:pPr>
            <w:r w:rsidRPr="00073BD7">
              <w:rPr>
                <w:b/>
                <w:bCs/>
              </w:rPr>
              <w:t>FFY 2021 Data</w:t>
            </w:r>
          </w:p>
        </w:tc>
        <w:tc>
          <w:tcPr>
            <w:tcW w:w="724" w:type="pct"/>
            <w:shd w:val="clear" w:color="auto" w:fill="auto"/>
            <w:vAlign w:val="bottom"/>
          </w:tcPr>
          <w:p w14:paraId="4B0F6AF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2,621</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8,514</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16.23%</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35.00%</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30.78%</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PRDE defines "drop out" for all youth using the same definition as used for EDFacts reporting requirements. Specifically, these are students who were enrolled in school at some time during the school year, were not enrolled the following school year, but were expected to be in membership (i.e., were not reported as dropouts the year before); did not graduate from high school (graduates include students who received a GED without dropping out of school) or complete a state or district-approved educational program; and did not meet any of the following exclusionary conditions: (1) transfer to another public school district, private school, or state- or district approved educational program, (2) temporary school-recognized absence due to suspension or illness, or (3) death.</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11" w:name="_Toc382082362"/>
      <w:bookmarkStart w:id="12" w:name="_Toc392159270"/>
      <w:bookmarkStart w:id="13" w:name="_Toc365403651"/>
      <w:r w:rsidRPr="00781112">
        <w:rPr>
          <w:b/>
          <w:color w:val="000000" w:themeColor="text1"/>
        </w:rPr>
        <w:t>Provide additional information about this indicator (optional)</w:t>
      </w:r>
    </w:p>
    <w:p w14:paraId="4492AB5A" w14:textId="63C5DA7E"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 xml:space="preserve">In the FFY 2020 SPP/APR, PRDE noted its plans to closely monitor exiting data and consider, in continued consultation with stakeholders, whether future revisions to Indicator 2 targets may be appropriate, particularly considering the impact of the COVID-19 pandemic. As then noted, while the onset of the COVID-19 pandemic in March 2020 may have impacted 2019-2020 data, we anticipated further impacts due to the pandemic for 2020-2021. PRDE schools operated </w:t>
      </w:r>
      <w:proofErr w:type="gramStart"/>
      <w:r w:rsidRPr="00781112">
        <w:rPr>
          <w:rFonts w:cs="Arial"/>
          <w:color w:val="000000" w:themeColor="text1"/>
          <w:szCs w:val="16"/>
          <w:shd w:val="clear" w:color="auto" w:fill="FFFFFF"/>
        </w:rPr>
        <w:t>virtually for</w:t>
      </w:r>
      <w:proofErr w:type="gramEnd"/>
      <w:r w:rsidRPr="00781112">
        <w:rPr>
          <w:rFonts w:cs="Arial"/>
          <w:color w:val="000000" w:themeColor="text1"/>
          <w:szCs w:val="16"/>
          <w:shd w:val="clear" w:color="auto" w:fill="FFFFFF"/>
        </w:rPr>
        <w:t xml:space="preserve"> essentially the entire 2020-2021 school year. After initially being shut down effective March 14, </w:t>
      </w:r>
      <w:proofErr w:type="gramStart"/>
      <w:r w:rsidRPr="00781112">
        <w:rPr>
          <w:rFonts w:cs="Arial"/>
          <w:color w:val="000000" w:themeColor="text1"/>
          <w:szCs w:val="16"/>
          <w:shd w:val="clear" w:color="auto" w:fill="FFFFFF"/>
        </w:rPr>
        <w:t>2020</w:t>
      </w:r>
      <w:proofErr w:type="gramEnd"/>
      <w:r w:rsidRPr="00781112">
        <w:rPr>
          <w:rFonts w:cs="Arial"/>
          <w:color w:val="000000" w:themeColor="text1"/>
          <w:szCs w:val="16"/>
          <w:shd w:val="clear" w:color="auto" w:fill="FFFFFF"/>
        </w:rPr>
        <w:t xml:space="preserve"> as part of a government lockdown in response to the COVID-19 pandemic, Puerto Rico schools remained physically closed for the majority of the 2020-2021 school year. A limited number of schools began to open for in-person learning on March 15, 2021. Unfortunately, Puerto Rico experienced a significant spike in COVID-19 cases shortly thereafter, and all PRDE schools were again closed by government order issued April 8, </w:t>
      </w:r>
      <w:proofErr w:type="gramStart"/>
      <w:r w:rsidRPr="00781112">
        <w:rPr>
          <w:rFonts w:cs="Arial"/>
          <w:color w:val="000000" w:themeColor="text1"/>
          <w:szCs w:val="16"/>
          <w:shd w:val="clear" w:color="auto" w:fill="FFFFFF"/>
        </w:rPr>
        <w:t>2021</w:t>
      </w:r>
      <w:proofErr w:type="gramEnd"/>
      <w:r w:rsidRPr="00781112">
        <w:rPr>
          <w:rFonts w:cs="Arial"/>
          <w:color w:val="000000" w:themeColor="text1"/>
          <w:szCs w:val="16"/>
          <w:shd w:val="clear" w:color="auto" w:fill="FFFFFF"/>
        </w:rPr>
        <w:t xml:space="preserve"> and remained closed for in-person learning for the remainder of the 2020-2021 school year.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The COVID-19 pandemic profoundly impacted the school system and the economy, and those impacts </w:t>
      </w:r>
      <w:proofErr w:type="gramStart"/>
      <w:r w:rsidRPr="00781112">
        <w:rPr>
          <w:rFonts w:cs="Arial"/>
          <w:color w:val="000000" w:themeColor="text1"/>
          <w:szCs w:val="16"/>
          <w:shd w:val="clear" w:color="auto" w:fill="FFFFFF"/>
        </w:rPr>
        <w:t>are reflected</w:t>
      </w:r>
      <w:proofErr w:type="gramEnd"/>
      <w:r w:rsidRPr="00781112">
        <w:rPr>
          <w:rFonts w:cs="Arial"/>
          <w:color w:val="000000" w:themeColor="text1"/>
          <w:szCs w:val="16"/>
          <w:shd w:val="clear" w:color="auto" w:fill="FFFFFF"/>
        </w:rPr>
        <w:t xml:space="preserve"> in the exiting data. In reviewing historic data, PRDE experienced a significant impact on Ind. 2 data following the period of the great recession, a challenging economic period which both contributed to and </w:t>
      </w:r>
      <w:proofErr w:type="gramStart"/>
      <w:r w:rsidRPr="00781112">
        <w:rPr>
          <w:rFonts w:cs="Arial"/>
          <w:color w:val="000000" w:themeColor="text1"/>
          <w:szCs w:val="16"/>
          <w:shd w:val="clear" w:color="auto" w:fill="FFFFFF"/>
        </w:rPr>
        <w:t>was compounded</w:t>
      </w:r>
      <w:proofErr w:type="gramEnd"/>
      <w:r w:rsidRPr="00781112">
        <w:rPr>
          <w:rFonts w:cs="Arial"/>
          <w:color w:val="000000" w:themeColor="text1"/>
          <w:szCs w:val="16"/>
          <w:shd w:val="clear" w:color="auto" w:fill="FFFFFF"/>
        </w:rPr>
        <w:t xml:space="preserve"> by the fiscal crisis in Puerto Rico. PRDE saw a significant increase in the drop-out rate data reported through Indicator 2 in the FFY2010-2012 APRs (2009-2010, 2010-2011, 2011-2012) (41.59%, 43.36%, 44.81%). Similar economic factors and challenges experienced then are </w:t>
      </w:r>
      <w:proofErr w:type="gramStart"/>
      <w:r w:rsidRPr="00781112">
        <w:rPr>
          <w:rFonts w:cs="Arial"/>
          <w:color w:val="000000" w:themeColor="text1"/>
          <w:szCs w:val="16"/>
          <w:shd w:val="clear" w:color="auto" w:fill="FFFFFF"/>
        </w:rPr>
        <w:t>being felt</w:t>
      </w:r>
      <w:proofErr w:type="gramEnd"/>
      <w:r w:rsidRPr="00781112">
        <w:rPr>
          <w:rFonts w:cs="Arial"/>
          <w:color w:val="000000" w:themeColor="text1"/>
          <w:szCs w:val="16"/>
          <w:shd w:val="clear" w:color="auto" w:fill="FFFFFF"/>
        </w:rPr>
        <w:t xml:space="preserve"> again, and as anticipated, PRDE is experiencing an increase in drop-out rate following the onset of the COVID-19 pandemic. Due to the 2019-2020 school year being cut short several months because of the initial shutdown, PRDE’s FFY 2020 data for Ind. 2 is </w:t>
      </w:r>
      <w:proofErr w:type="gramStart"/>
      <w:r w:rsidRPr="00781112">
        <w:rPr>
          <w:rFonts w:cs="Arial"/>
          <w:color w:val="000000" w:themeColor="text1"/>
          <w:szCs w:val="16"/>
          <w:shd w:val="clear" w:color="auto" w:fill="FFFFFF"/>
        </w:rPr>
        <w:t>likely artificially</w:t>
      </w:r>
      <w:proofErr w:type="gramEnd"/>
      <w:r w:rsidRPr="00781112">
        <w:rPr>
          <w:rFonts w:cs="Arial"/>
          <w:color w:val="000000" w:themeColor="text1"/>
          <w:szCs w:val="16"/>
          <w:shd w:val="clear" w:color="auto" w:fill="FFFFFF"/>
        </w:rPr>
        <w:t xml:space="preserve"> low. Meanwhile, the challenges of a 2020-2021 virtual school year for students and families, including related economic impact, </w:t>
      </w:r>
      <w:proofErr w:type="gramStart"/>
      <w:r w:rsidRPr="00781112">
        <w:rPr>
          <w:rFonts w:cs="Arial"/>
          <w:color w:val="000000" w:themeColor="text1"/>
          <w:szCs w:val="16"/>
          <w:shd w:val="clear" w:color="auto" w:fill="FFFFFF"/>
        </w:rPr>
        <w:t>likely contributed</w:t>
      </w:r>
      <w:proofErr w:type="gramEnd"/>
      <w:r w:rsidRPr="00781112">
        <w:rPr>
          <w:rFonts w:cs="Arial"/>
          <w:color w:val="000000" w:themeColor="text1"/>
          <w:szCs w:val="16"/>
          <w:shd w:val="clear" w:color="auto" w:fill="FFFFFF"/>
        </w:rPr>
        <w:t xml:space="preserve"> to an increase in the drop-out rate. The economic impact and challenges felt in returning to an in-person 2021-2022 school year </w:t>
      </w:r>
      <w:proofErr w:type="gramStart"/>
      <w:r w:rsidRPr="00781112">
        <w:rPr>
          <w:rFonts w:cs="Arial"/>
          <w:color w:val="000000" w:themeColor="text1"/>
          <w:szCs w:val="16"/>
          <w:shd w:val="clear" w:color="auto" w:fill="FFFFFF"/>
        </w:rPr>
        <w:t>is expected</w:t>
      </w:r>
      <w:proofErr w:type="gramEnd"/>
      <w:r w:rsidRPr="00781112">
        <w:rPr>
          <w:rFonts w:cs="Arial"/>
          <w:color w:val="000000" w:themeColor="text1"/>
          <w:szCs w:val="16"/>
          <w:shd w:val="clear" w:color="auto" w:fill="FFFFFF"/>
        </w:rPr>
        <w:t xml:space="preserve"> to continue to have an impact on the drop-out rate.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Students’ reasons for exiting the regular diploma program vary from the need to work in search of economic independence or due to a lack of resources, to school apathy or a desire for less rigorous academic challenges. Students who </w:t>
      </w:r>
      <w:proofErr w:type="gramStart"/>
      <w:r w:rsidRPr="00781112">
        <w:rPr>
          <w:rFonts w:cs="Arial"/>
          <w:color w:val="000000" w:themeColor="text1"/>
          <w:szCs w:val="16"/>
          <w:shd w:val="clear" w:color="auto" w:fill="FFFFFF"/>
        </w:rPr>
        <w:t>are counted</w:t>
      </w:r>
      <w:proofErr w:type="gramEnd"/>
      <w:r w:rsidRPr="00781112">
        <w:rPr>
          <w:rFonts w:cs="Arial"/>
          <w:color w:val="000000" w:themeColor="text1"/>
          <w:szCs w:val="16"/>
          <w:shd w:val="clear" w:color="auto" w:fill="FFFFFF"/>
        </w:rPr>
        <w:t xml:space="preserve"> as “dropping out” under this definition include students who are leaving their educational placements to engage in other academic alternatives to complete high school graduation requirements—just not with a regular diploma or certificate. </w:t>
      </w:r>
      <w:proofErr w:type="gramStart"/>
      <w:r w:rsidRPr="00781112">
        <w:rPr>
          <w:rFonts w:cs="Arial"/>
          <w:color w:val="000000" w:themeColor="text1"/>
          <w:szCs w:val="16"/>
          <w:shd w:val="clear" w:color="auto" w:fill="FFFFFF"/>
        </w:rPr>
        <w:t>Many</w:t>
      </w:r>
      <w:proofErr w:type="gramEnd"/>
      <w:r w:rsidRPr="00781112">
        <w:rPr>
          <w:rFonts w:cs="Arial"/>
          <w:color w:val="000000" w:themeColor="text1"/>
          <w:szCs w:val="16"/>
          <w:shd w:val="clear" w:color="auto" w:fill="FFFFFF"/>
        </w:rPr>
        <w:t xml:space="preserve"> are enrolled in alternative programs that provide educational and training services that may allow them to enroll in universities and/or find jobs. Such opportunities may allow them to achieve and maintain employment and/or establish their own business.</w:t>
      </w:r>
      <w:r w:rsidRPr="00781112">
        <w:rPr>
          <w:rFonts w:cs="Arial"/>
          <w:color w:val="000000" w:themeColor="text1"/>
          <w:szCs w:val="16"/>
          <w:shd w:val="clear" w:color="auto" w:fill="FFFFFF"/>
        </w:rPr>
        <w:br/>
      </w:r>
      <w:proofErr w:type="gramStart"/>
      <w:r w:rsidRPr="00781112">
        <w:rPr>
          <w:rFonts w:cs="Arial"/>
          <w:color w:val="000000" w:themeColor="text1"/>
          <w:szCs w:val="16"/>
          <w:shd w:val="clear" w:color="auto" w:fill="FFFFFF"/>
        </w:rPr>
        <w:t>In light of</w:t>
      </w:r>
      <w:proofErr w:type="gramEnd"/>
      <w:r w:rsidRPr="00781112">
        <w:rPr>
          <w:rFonts w:cs="Arial"/>
          <w:color w:val="000000" w:themeColor="text1"/>
          <w:szCs w:val="16"/>
          <w:shd w:val="clear" w:color="auto" w:fill="FFFFFF"/>
        </w:rPr>
        <w:t xml:space="preserve"> these considerations, after closely monitoring exiting data and analyzing historic data and trends, PRDE, in consultation with stakeholders, </w:t>
      </w:r>
      <w:r w:rsidRPr="00781112">
        <w:rPr>
          <w:rFonts w:cs="Arial"/>
          <w:color w:val="000000" w:themeColor="text1"/>
          <w:szCs w:val="16"/>
          <w:shd w:val="clear" w:color="auto" w:fill="FFFFFF"/>
        </w:rPr>
        <w:lastRenderedPageBreak/>
        <w:t xml:space="preserve">determined that revisions to its Indicator 2 targets is appropriate at this time. Discussions with stakeholders emphasized that establishing targets is more than just identifying a goal, but that targets are a metric that we want to, and believe we can, achieve. </w:t>
      </w:r>
      <w:proofErr w:type="gramStart"/>
      <w:r w:rsidRPr="00781112">
        <w:rPr>
          <w:rFonts w:cs="Arial"/>
          <w:color w:val="000000" w:themeColor="text1"/>
          <w:szCs w:val="16"/>
          <w:shd w:val="clear" w:color="auto" w:fill="FFFFFF"/>
        </w:rPr>
        <w:t>Several</w:t>
      </w:r>
      <w:proofErr w:type="gramEnd"/>
      <w:r w:rsidRPr="00781112">
        <w:rPr>
          <w:rFonts w:cs="Arial"/>
          <w:color w:val="000000" w:themeColor="text1"/>
          <w:szCs w:val="16"/>
          <w:shd w:val="clear" w:color="auto" w:fill="FFFFFF"/>
        </w:rPr>
        <w:t xml:space="preserve"> factors considered in establishing meaningful targets included that they be realistic and attainable while aiming to improve outcomes and results each year. The revised targets all remain under (i.e., show improvement compared to) PRDE’s baseline. PRDE’s proposed revisions to its targets are as follows: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FFY 2021 Target: </w:t>
      </w:r>
      <w:proofErr w:type="gramStart"/>
      <w:r w:rsidRPr="00781112">
        <w:rPr>
          <w:rFonts w:cs="Arial"/>
          <w:color w:val="000000" w:themeColor="text1"/>
          <w:szCs w:val="16"/>
          <w:shd w:val="clear" w:color="auto" w:fill="FFFFFF"/>
        </w:rPr>
        <w:t>35</w:t>
      </w:r>
      <w:proofErr w:type="gramEnd"/>
      <w:r w:rsidRPr="00781112">
        <w:rPr>
          <w:rFonts w:cs="Arial"/>
          <w:color w:val="000000" w:themeColor="text1"/>
          <w:szCs w:val="16"/>
          <w:shd w:val="clear" w:color="auto" w:fill="FFFFFF"/>
        </w:rPr>
        <w:t>%</w:t>
      </w:r>
      <w:r w:rsidRPr="00781112">
        <w:rPr>
          <w:rFonts w:cs="Arial"/>
          <w:color w:val="000000" w:themeColor="text1"/>
          <w:szCs w:val="16"/>
          <w:shd w:val="clear" w:color="auto" w:fill="FFFFFF"/>
        </w:rPr>
        <w:br/>
        <w:t>FFY 2022 Target: 34.5%</w:t>
      </w:r>
      <w:r w:rsidRPr="00781112">
        <w:rPr>
          <w:rFonts w:cs="Arial"/>
          <w:color w:val="000000" w:themeColor="text1"/>
          <w:szCs w:val="16"/>
          <w:shd w:val="clear" w:color="auto" w:fill="FFFFFF"/>
        </w:rPr>
        <w:br/>
        <w:t>FFY 2023 Target: 34%</w:t>
      </w:r>
      <w:r w:rsidRPr="00781112">
        <w:rPr>
          <w:rFonts w:cs="Arial"/>
          <w:color w:val="000000" w:themeColor="text1"/>
          <w:szCs w:val="16"/>
          <w:shd w:val="clear" w:color="auto" w:fill="FFFFFF"/>
        </w:rPr>
        <w:br/>
        <w:t>FFY 2024 Target: 33.5%</w:t>
      </w:r>
      <w:r w:rsidRPr="00781112">
        <w:rPr>
          <w:rFonts w:cs="Arial"/>
          <w:color w:val="000000" w:themeColor="text1"/>
          <w:szCs w:val="16"/>
          <w:shd w:val="clear" w:color="auto" w:fill="FFFFFF"/>
        </w:rPr>
        <w:br/>
        <w:t>FFY 2025 Target: 33%</w:t>
      </w: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PRDE submitted its targets for FFY 2021 through FFY 2025 for this indicator, and OSEP accepts those targets.</w:t>
      </w: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w:t>
      </w:r>
      <w:proofErr w:type="gramStart"/>
      <w:r w:rsidRPr="00781112">
        <w:rPr>
          <w:b w:val="0"/>
          <w:bCs/>
        </w:rPr>
        <w:t xml:space="preserve">.  </w:t>
      </w:r>
      <w:proofErr w:type="gramEnd"/>
      <w:r w:rsidRPr="00781112">
        <w:rPr>
          <w:b w:val="0"/>
          <w:bCs/>
        </w:rPr>
        <w:t>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xml:space="preserve">, a link to the Web site where these data </w:t>
      </w:r>
      <w:proofErr w:type="gramStart"/>
      <w:r w:rsidRPr="00781112">
        <w:rPr>
          <w:b w:val="0"/>
          <w:bCs/>
        </w:rPr>
        <w:t>are reported</w:t>
      </w:r>
      <w:proofErr w:type="gramEnd"/>
      <w:r w:rsidRPr="00781112">
        <w:rPr>
          <w:b w:val="0"/>
          <w:bCs/>
        </w:rPr>
        <w:t>.</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w:t>
      </w:r>
      <w:proofErr w:type="gramStart"/>
      <w:r w:rsidRPr="00781112">
        <w:rPr>
          <w:bCs/>
        </w:rPr>
        <w:t xml:space="preserve">.  </w:t>
      </w:r>
      <w:proofErr w:type="gramEnd"/>
      <w:r w:rsidRPr="00781112">
        <w:rPr>
          <w:bCs/>
        </w:rPr>
        <w:t>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96.00%</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95.85%</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95.73%</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95.49%</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95.44%</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95.15%</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6"/>
        <w:gridCol w:w="722"/>
        <w:gridCol w:w="1172"/>
        <w:gridCol w:w="1334"/>
        <w:gridCol w:w="1333"/>
        <w:gridCol w:w="1333"/>
        <w:gridCol w:w="1333"/>
        <w:gridCol w:w="1333"/>
      </w:tblGrid>
      <w:tr w:rsidR="00B14519" w:rsidRPr="00781112" w14:paraId="61B13027" w14:textId="7E8C0770" w:rsidTr="00451D7E">
        <w:tc>
          <w:tcPr>
            <w:tcW w:w="473" w:type="pct"/>
            <w:tcBorders>
              <w:bottom w:val="single" w:sz="4" w:space="0" w:color="auto"/>
            </w:tcBorders>
            <w:shd w:val="clear" w:color="auto" w:fill="auto"/>
            <w:vAlign w:val="center"/>
          </w:tcPr>
          <w:p w14:paraId="41C1EDA8" w14:textId="77777777" w:rsidR="00B14519" w:rsidRPr="00781112" w:rsidRDefault="00B14519" w:rsidP="00FD5357">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47C72AA9" w14:textId="77777777" w:rsidR="00B14519" w:rsidRPr="00781112" w:rsidRDefault="00B14519" w:rsidP="00FD5357">
            <w:pPr>
              <w:jc w:val="center"/>
              <w:rPr>
                <w:b/>
                <w:color w:val="000000" w:themeColor="text1"/>
              </w:rPr>
            </w:pPr>
            <w:r w:rsidRPr="00781112">
              <w:rPr>
                <w:b/>
                <w:color w:val="000000" w:themeColor="text1"/>
              </w:rPr>
              <w:t>Group</w:t>
            </w:r>
          </w:p>
        </w:tc>
        <w:tc>
          <w:tcPr>
            <w:tcW w:w="619" w:type="pct"/>
            <w:shd w:val="clear" w:color="auto" w:fill="auto"/>
            <w:vAlign w:val="center"/>
          </w:tcPr>
          <w:p w14:paraId="3EBC6D10" w14:textId="77777777" w:rsidR="00B14519" w:rsidRPr="00781112" w:rsidDel="008E7B87" w:rsidRDefault="00B14519" w:rsidP="00FD5357">
            <w:pPr>
              <w:jc w:val="center"/>
              <w:rPr>
                <w:b/>
                <w:color w:val="000000" w:themeColor="text1"/>
              </w:rPr>
            </w:pPr>
            <w:r w:rsidRPr="00781112">
              <w:rPr>
                <w:b/>
                <w:color w:val="000000" w:themeColor="text1"/>
              </w:rPr>
              <w:t>Group Name</w:t>
            </w:r>
          </w:p>
        </w:tc>
        <w:tc>
          <w:tcPr>
            <w:tcW w:w="705" w:type="pct"/>
            <w:shd w:val="clear" w:color="auto" w:fill="auto"/>
            <w:vAlign w:val="center"/>
          </w:tcPr>
          <w:p w14:paraId="5DB0C638" w14:textId="77777777" w:rsidR="00B14519" w:rsidRPr="00781112" w:rsidRDefault="00B14519" w:rsidP="00FD5357">
            <w:pPr>
              <w:jc w:val="center"/>
              <w:rPr>
                <w:b/>
                <w:color w:val="000000" w:themeColor="text1"/>
              </w:rPr>
            </w:pPr>
            <w:r w:rsidRPr="00781112">
              <w:rPr>
                <w:b/>
                <w:color w:val="000000" w:themeColor="text1"/>
              </w:rPr>
              <w:t>2021</w:t>
            </w:r>
          </w:p>
        </w:tc>
        <w:tc>
          <w:tcPr>
            <w:tcW w:w="705" w:type="pct"/>
            <w:vAlign w:val="center"/>
          </w:tcPr>
          <w:p w14:paraId="2BCE0486" w14:textId="3C221AF8" w:rsidR="00B14519" w:rsidRPr="00781112" w:rsidRDefault="00B14519" w:rsidP="00FD5357">
            <w:pPr>
              <w:jc w:val="center"/>
              <w:rPr>
                <w:b/>
                <w:color w:val="000000" w:themeColor="text1"/>
              </w:rPr>
            </w:pPr>
            <w:r w:rsidRPr="00781112">
              <w:rPr>
                <w:rFonts w:cs="Arial"/>
                <w:b/>
                <w:color w:val="000000" w:themeColor="text1"/>
                <w:szCs w:val="16"/>
              </w:rPr>
              <w:t>2022</w:t>
            </w:r>
          </w:p>
        </w:tc>
        <w:tc>
          <w:tcPr>
            <w:tcW w:w="705" w:type="pct"/>
            <w:vAlign w:val="center"/>
          </w:tcPr>
          <w:p w14:paraId="1990502A" w14:textId="03716A79" w:rsidR="00B14519" w:rsidRPr="00781112" w:rsidRDefault="00B14519" w:rsidP="00FD5357">
            <w:pPr>
              <w:jc w:val="center"/>
              <w:rPr>
                <w:b/>
                <w:color w:val="000000" w:themeColor="text1"/>
              </w:rPr>
            </w:pPr>
            <w:r w:rsidRPr="00781112">
              <w:rPr>
                <w:rFonts w:cs="Arial"/>
                <w:b/>
                <w:color w:val="000000" w:themeColor="text1"/>
                <w:szCs w:val="16"/>
              </w:rPr>
              <w:t>2023</w:t>
            </w:r>
          </w:p>
        </w:tc>
        <w:tc>
          <w:tcPr>
            <w:tcW w:w="705" w:type="pct"/>
            <w:vAlign w:val="center"/>
          </w:tcPr>
          <w:p w14:paraId="72DB4D15" w14:textId="310E5749" w:rsidR="00B14519" w:rsidRPr="00781112" w:rsidRDefault="00B14519" w:rsidP="00FD5357">
            <w:pPr>
              <w:jc w:val="center"/>
              <w:rPr>
                <w:b/>
                <w:color w:val="000000" w:themeColor="text1"/>
              </w:rPr>
            </w:pPr>
            <w:r w:rsidRPr="00781112">
              <w:rPr>
                <w:rFonts w:cs="Arial"/>
                <w:b/>
                <w:color w:val="000000" w:themeColor="text1"/>
                <w:szCs w:val="16"/>
              </w:rPr>
              <w:t>2024</w:t>
            </w:r>
          </w:p>
        </w:tc>
        <w:tc>
          <w:tcPr>
            <w:tcW w:w="705" w:type="pct"/>
            <w:vAlign w:val="center"/>
          </w:tcPr>
          <w:p w14:paraId="62291C5B" w14:textId="0E374F42" w:rsidR="00B14519" w:rsidRPr="00781112" w:rsidRDefault="00B14519" w:rsidP="00FD5357">
            <w:pPr>
              <w:jc w:val="center"/>
              <w:rPr>
                <w:b/>
                <w:color w:val="000000" w:themeColor="text1"/>
              </w:rPr>
            </w:pPr>
            <w:r w:rsidRPr="00781112">
              <w:rPr>
                <w:rFonts w:cs="Arial"/>
                <w:b/>
                <w:color w:val="000000" w:themeColor="text1"/>
                <w:szCs w:val="16"/>
              </w:rPr>
              <w:t>2025</w:t>
            </w:r>
          </w:p>
        </w:tc>
      </w:tr>
      <w:tr w:rsidR="00B14519" w:rsidRPr="00781112" w14:paraId="5EF23A8E" w14:textId="333536B2" w:rsidTr="00451D7E">
        <w:tc>
          <w:tcPr>
            <w:tcW w:w="473" w:type="pct"/>
            <w:shd w:val="clear" w:color="auto" w:fill="auto"/>
            <w:vAlign w:val="center"/>
          </w:tcPr>
          <w:p w14:paraId="659131E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0E33DCFC"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76B16B43" w14:textId="39FB8899"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0F6CE0A1" w14:textId="29A64BBD" w:rsidR="00B14519" w:rsidRPr="00781112" w:rsidRDefault="00B14519" w:rsidP="00C362C0">
            <w:pPr>
              <w:jc w:val="center"/>
              <w:rPr>
                <w:rFonts w:cs="Arial"/>
                <w:color w:val="000000" w:themeColor="text1"/>
                <w:szCs w:val="16"/>
              </w:rPr>
            </w:pPr>
            <w:r w:rsidRPr="00781112">
              <w:rPr>
                <w:rFonts w:cs="Arial"/>
                <w:color w:val="000000" w:themeColor="text1"/>
                <w:szCs w:val="16"/>
              </w:rPr>
              <w:t>96.00%</w:t>
            </w:r>
          </w:p>
        </w:tc>
        <w:tc>
          <w:tcPr>
            <w:tcW w:w="705" w:type="pct"/>
            <w:vAlign w:val="center"/>
          </w:tcPr>
          <w:p w14:paraId="4A0A22E0" w14:textId="6BB46B0C" w:rsidR="00B14519" w:rsidRPr="00781112" w:rsidRDefault="00B14519" w:rsidP="00C362C0">
            <w:pPr>
              <w:jc w:val="center"/>
              <w:rPr>
                <w:rFonts w:cs="Arial"/>
                <w:color w:val="000000" w:themeColor="text1"/>
                <w:szCs w:val="16"/>
              </w:rPr>
            </w:pPr>
            <w:r w:rsidRPr="00781112">
              <w:rPr>
                <w:rFonts w:cs="Arial"/>
                <w:color w:val="000000" w:themeColor="text1"/>
                <w:szCs w:val="16"/>
              </w:rPr>
              <w:t>96.00%</w:t>
            </w:r>
            <w:r w:rsidRPr="00781112">
              <w:t xml:space="preserve"> </w:t>
            </w:r>
          </w:p>
        </w:tc>
        <w:tc>
          <w:tcPr>
            <w:tcW w:w="705" w:type="pct"/>
            <w:vAlign w:val="center"/>
          </w:tcPr>
          <w:p w14:paraId="01E8CE0F" w14:textId="037B9FF4" w:rsidR="00B14519" w:rsidRPr="00781112" w:rsidRDefault="00B14519" w:rsidP="00C362C0">
            <w:pPr>
              <w:jc w:val="center"/>
              <w:rPr>
                <w:rFonts w:cs="Arial"/>
                <w:color w:val="000000" w:themeColor="text1"/>
                <w:szCs w:val="16"/>
              </w:rPr>
            </w:pPr>
            <w:r w:rsidRPr="00781112">
              <w:rPr>
                <w:rFonts w:cs="Arial"/>
                <w:color w:val="000000" w:themeColor="text1"/>
                <w:szCs w:val="16"/>
              </w:rPr>
              <w:t>96.00%</w:t>
            </w:r>
          </w:p>
        </w:tc>
        <w:tc>
          <w:tcPr>
            <w:tcW w:w="705" w:type="pct"/>
            <w:vAlign w:val="center"/>
          </w:tcPr>
          <w:p w14:paraId="384B0AD2" w14:textId="38B3F908" w:rsidR="00B14519" w:rsidRPr="00781112" w:rsidRDefault="00B14519" w:rsidP="00C362C0">
            <w:pPr>
              <w:jc w:val="center"/>
              <w:rPr>
                <w:rFonts w:cs="Arial"/>
                <w:color w:val="000000" w:themeColor="text1"/>
                <w:szCs w:val="16"/>
              </w:rPr>
            </w:pPr>
            <w:r w:rsidRPr="00781112">
              <w:rPr>
                <w:rFonts w:cs="Arial"/>
                <w:color w:val="000000" w:themeColor="text1"/>
                <w:szCs w:val="16"/>
              </w:rPr>
              <w:t>96.00%</w:t>
            </w:r>
          </w:p>
        </w:tc>
        <w:tc>
          <w:tcPr>
            <w:tcW w:w="705" w:type="pct"/>
            <w:vAlign w:val="center"/>
          </w:tcPr>
          <w:p w14:paraId="31EAFB06" w14:textId="6B6573E2" w:rsidR="00B14519" w:rsidRPr="00781112" w:rsidRDefault="00B14519" w:rsidP="00C362C0">
            <w:pPr>
              <w:jc w:val="center"/>
              <w:rPr>
                <w:rFonts w:cs="Arial"/>
                <w:color w:val="000000" w:themeColor="text1"/>
                <w:szCs w:val="16"/>
              </w:rPr>
            </w:pPr>
            <w:r w:rsidRPr="00781112">
              <w:rPr>
                <w:rFonts w:cs="Arial"/>
                <w:color w:val="000000" w:themeColor="text1"/>
                <w:szCs w:val="16"/>
              </w:rPr>
              <w:t>96.10%</w:t>
            </w:r>
          </w:p>
        </w:tc>
      </w:tr>
      <w:tr w:rsidR="00B14519" w:rsidRPr="00781112" w14:paraId="0DC87485" w14:textId="7CEA602E" w:rsidTr="00451D7E">
        <w:tc>
          <w:tcPr>
            <w:tcW w:w="473" w:type="pct"/>
            <w:shd w:val="clear" w:color="auto" w:fill="auto"/>
            <w:vAlign w:val="center"/>
          </w:tcPr>
          <w:p w14:paraId="0DBD5106"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32DA1B3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451C944" w14:textId="48D1DB42"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0A324D3" w14:textId="7CE00F34" w:rsidR="00B14519" w:rsidRPr="00781112" w:rsidRDefault="00B14519" w:rsidP="00C362C0">
            <w:pPr>
              <w:jc w:val="center"/>
              <w:rPr>
                <w:rFonts w:cs="Arial"/>
                <w:color w:val="000000" w:themeColor="text1"/>
                <w:szCs w:val="16"/>
              </w:rPr>
            </w:pPr>
            <w:r w:rsidRPr="00781112">
              <w:rPr>
                <w:rFonts w:cs="Arial"/>
                <w:color w:val="000000" w:themeColor="text1"/>
                <w:szCs w:val="16"/>
              </w:rPr>
              <w:t>95.85%</w:t>
            </w:r>
          </w:p>
        </w:tc>
        <w:tc>
          <w:tcPr>
            <w:tcW w:w="705" w:type="pct"/>
            <w:vAlign w:val="center"/>
          </w:tcPr>
          <w:p w14:paraId="52AC2F70" w14:textId="3AB4351A" w:rsidR="00B14519" w:rsidRPr="00781112" w:rsidRDefault="00B14519" w:rsidP="00C362C0">
            <w:pPr>
              <w:jc w:val="center"/>
              <w:rPr>
                <w:rFonts w:cs="Arial"/>
                <w:color w:val="000000" w:themeColor="text1"/>
                <w:szCs w:val="16"/>
              </w:rPr>
            </w:pPr>
            <w:r w:rsidRPr="00781112">
              <w:rPr>
                <w:rFonts w:cs="Arial"/>
                <w:color w:val="000000" w:themeColor="text1"/>
                <w:szCs w:val="16"/>
              </w:rPr>
              <w:t>95.85%</w:t>
            </w:r>
          </w:p>
        </w:tc>
        <w:tc>
          <w:tcPr>
            <w:tcW w:w="705" w:type="pct"/>
            <w:vAlign w:val="center"/>
          </w:tcPr>
          <w:p w14:paraId="32A4C051" w14:textId="2E65FFFC" w:rsidR="00B14519" w:rsidRPr="00781112" w:rsidRDefault="00B14519" w:rsidP="00C362C0">
            <w:pPr>
              <w:jc w:val="center"/>
              <w:rPr>
                <w:rFonts w:cs="Arial"/>
                <w:color w:val="000000" w:themeColor="text1"/>
                <w:szCs w:val="16"/>
              </w:rPr>
            </w:pPr>
            <w:r w:rsidRPr="00781112">
              <w:rPr>
                <w:rFonts w:cs="Arial"/>
                <w:color w:val="000000" w:themeColor="text1"/>
                <w:szCs w:val="16"/>
              </w:rPr>
              <w:t>95.90%</w:t>
            </w:r>
          </w:p>
        </w:tc>
        <w:tc>
          <w:tcPr>
            <w:tcW w:w="705" w:type="pct"/>
            <w:vAlign w:val="center"/>
          </w:tcPr>
          <w:p w14:paraId="77CC4A95" w14:textId="1A1A42B6" w:rsidR="00B14519" w:rsidRPr="00781112" w:rsidRDefault="00B14519" w:rsidP="00C362C0">
            <w:pPr>
              <w:jc w:val="center"/>
              <w:rPr>
                <w:rFonts w:cs="Arial"/>
                <w:color w:val="000000" w:themeColor="text1"/>
                <w:szCs w:val="16"/>
              </w:rPr>
            </w:pPr>
            <w:r w:rsidRPr="00781112">
              <w:rPr>
                <w:rFonts w:cs="Arial"/>
                <w:color w:val="000000" w:themeColor="text1"/>
                <w:szCs w:val="16"/>
              </w:rPr>
              <w:t>95.95%</w:t>
            </w:r>
          </w:p>
        </w:tc>
        <w:tc>
          <w:tcPr>
            <w:tcW w:w="705" w:type="pct"/>
            <w:vAlign w:val="center"/>
          </w:tcPr>
          <w:p w14:paraId="73563EF2" w14:textId="7C7E03A0" w:rsidR="00B14519" w:rsidRPr="00781112" w:rsidRDefault="00B14519" w:rsidP="00C362C0">
            <w:pPr>
              <w:jc w:val="center"/>
              <w:rPr>
                <w:rFonts w:cs="Arial"/>
                <w:color w:val="000000" w:themeColor="text1"/>
                <w:szCs w:val="16"/>
              </w:rPr>
            </w:pPr>
            <w:r w:rsidRPr="00781112">
              <w:rPr>
                <w:rFonts w:cs="Arial"/>
                <w:color w:val="000000" w:themeColor="text1"/>
                <w:szCs w:val="16"/>
              </w:rPr>
              <w:t>96.00%</w:t>
            </w:r>
          </w:p>
        </w:tc>
      </w:tr>
      <w:tr w:rsidR="00B14519" w:rsidRPr="00781112" w14:paraId="546837A9" w14:textId="0EC3B58A" w:rsidTr="00451D7E">
        <w:tc>
          <w:tcPr>
            <w:tcW w:w="473" w:type="pct"/>
            <w:shd w:val="clear" w:color="auto" w:fill="auto"/>
            <w:vAlign w:val="center"/>
          </w:tcPr>
          <w:p w14:paraId="5E2AB8D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2801904B"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5F09655C" w14:textId="799E5EE7"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06826BA4" w14:textId="5829FE90" w:rsidR="00B14519" w:rsidRPr="00781112" w:rsidRDefault="00B14519" w:rsidP="00C362C0">
            <w:pPr>
              <w:jc w:val="center"/>
              <w:rPr>
                <w:rFonts w:cs="Arial"/>
                <w:color w:val="000000" w:themeColor="text1"/>
                <w:szCs w:val="16"/>
              </w:rPr>
            </w:pPr>
            <w:r w:rsidRPr="00781112">
              <w:rPr>
                <w:rFonts w:cs="Arial"/>
                <w:color w:val="000000" w:themeColor="text1"/>
                <w:szCs w:val="16"/>
              </w:rPr>
              <w:t>95.73%</w:t>
            </w:r>
          </w:p>
        </w:tc>
        <w:tc>
          <w:tcPr>
            <w:tcW w:w="705" w:type="pct"/>
            <w:vAlign w:val="center"/>
          </w:tcPr>
          <w:p w14:paraId="14B1D7EC" w14:textId="5E17D245" w:rsidR="00B14519" w:rsidRPr="00781112" w:rsidRDefault="00B14519" w:rsidP="00C362C0">
            <w:pPr>
              <w:jc w:val="center"/>
              <w:rPr>
                <w:rFonts w:cs="Arial"/>
                <w:color w:val="000000" w:themeColor="text1"/>
                <w:szCs w:val="16"/>
              </w:rPr>
            </w:pPr>
            <w:r w:rsidRPr="00781112">
              <w:rPr>
                <w:rFonts w:cs="Arial"/>
                <w:color w:val="000000" w:themeColor="text1"/>
                <w:szCs w:val="16"/>
              </w:rPr>
              <w:t>95.75%</w:t>
            </w:r>
          </w:p>
        </w:tc>
        <w:tc>
          <w:tcPr>
            <w:tcW w:w="705" w:type="pct"/>
            <w:vAlign w:val="center"/>
          </w:tcPr>
          <w:p w14:paraId="05B53368" w14:textId="52EA99DA" w:rsidR="00B14519" w:rsidRPr="00781112" w:rsidRDefault="00B14519" w:rsidP="00C362C0">
            <w:pPr>
              <w:jc w:val="center"/>
              <w:rPr>
                <w:rFonts w:cs="Arial"/>
                <w:color w:val="000000" w:themeColor="text1"/>
                <w:szCs w:val="16"/>
              </w:rPr>
            </w:pPr>
            <w:r w:rsidRPr="00781112">
              <w:rPr>
                <w:rFonts w:cs="Arial"/>
                <w:color w:val="000000" w:themeColor="text1"/>
                <w:szCs w:val="16"/>
              </w:rPr>
              <w:t>95.75%</w:t>
            </w:r>
          </w:p>
        </w:tc>
        <w:tc>
          <w:tcPr>
            <w:tcW w:w="705" w:type="pct"/>
            <w:vAlign w:val="center"/>
          </w:tcPr>
          <w:p w14:paraId="55D2A6D2" w14:textId="0D1D128C" w:rsidR="00B14519" w:rsidRPr="00781112" w:rsidRDefault="00B14519" w:rsidP="00C362C0">
            <w:pPr>
              <w:jc w:val="center"/>
              <w:rPr>
                <w:rFonts w:cs="Arial"/>
                <w:color w:val="000000" w:themeColor="text1"/>
                <w:szCs w:val="16"/>
              </w:rPr>
            </w:pPr>
            <w:r w:rsidRPr="00781112">
              <w:rPr>
                <w:rFonts w:cs="Arial"/>
                <w:color w:val="000000" w:themeColor="text1"/>
                <w:szCs w:val="16"/>
              </w:rPr>
              <w:t>95.80%</w:t>
            </w:r>
          </w:p>
        </w:tc>
        <w:tc>
          <w:tcPr>
            <w:tcW w:w="705" w:type="pct"/>
            <w:vAlign w:val="center"/>
          </w:tcPr>
          <w:p w14:paraId="0D56BAE2" w14:textId="2F5D29E0" w:rsidR="00B14519" w:rsidRPr="00781112" w:rsidRDefault="00B14519" w:rsidP="00C362C0">
            <w:pPr>
              <w:jc w:val="center"/>
              <w:rPr>
                <w:rFonts w:cs="Arial"/>
                <w:color w:val="000000" w:themeColor="text1"/>
                <w:szCs w:val="16"/>
              </w:rPr>
            </w:pPr>
            <w:r w:rsidRPr="00781112">
              <w:rPr>
                <w:rFonts w:cs="Arial"/>
                <w:color w:val="000000" w:themeColor="text1"/>
                <w:szCs w:val="16"/>
              </w:rPr>
              <w:t>95.83%</w:t>
            </w:r>
          </w:p>
        </w:tc>
      </w:tr>
      <w:tr w:rsidR="00B14519" w:rsidRPr="00781112" w14:paraId="42FB4D55" w14:textId="70E04CC1" w:rsidTr="00451D7E">
        <w:tc>
          <w:tcPr>
            <w:tcW w:w="473" w:type="pct"/>
            <w:shd w:val="clear" w:color="auto" w:fill="auto"/>
            <w:vAlign w:val="center"/>
          </w:tcPr>
          <w:p w14:paraId="5003C653"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3BDC476D"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0CAD024F" w14:textId="139788C5"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43E3EC7" w14:textId="5E734881" w:rsidR="00B14519" w:rsidRPr="00781112" w:rsidRDefault="00B14519" w:rsidP="00C362C0">
            <w:pPr>
              <w:jc w:val="center"/>
              <w:rPr>
                <w:rFonts w:cs="Arial"/>
                <w:color w:val="000000" w:themeColor="text1"/>
                <w:szCs w:val="16"/>
              </w:rPr>
            </w:pPr>
            <w:r w:rsidRPr="00781112">
              <w:rPr>
                <w:rFonts w:cs="Arial"/>
                <w:color w:val="000000" w:themeColor="text1"/>
                <w:szCs w:val="16"/>
              </w:rPr>
              <w:t>95.49%</w:t>
            </w:r>
          </w:p>
        </w:tc>
        <w:tc>
          <w:tcPr>
            <w:tcW w:w="705" w:type="pct"/>
            <w:vAlign w:val="center"/>
          </w:tcPr>
          <w:p w14:paraId="5C17E435" w14:textId="07B15AE7" w:rsidR="00B14519" w:rsidRPr="00781112" w:rsidRDefault="00B14519" w:rsidP="00C362C0">
            <w:pPr>
              <w:jc w:val="center"/>
              <w:rPr>
                <w:rFonts w:cs="Arial"/>
                <w:color w:val="000000" w:themeColor="text1"/>
                <w:szCs w:val="16"/>
              </w:rPr>
            </w:pPr>
            <w:r w:rsidRPr="00781112">
              <w:rPr>
                <w:rFonts w:cs="Arial"/>
                <w:color w:val="000000" w:themeColor="text1"/>
                <w:szCs w:val="16"/>
              </w:rPr>
              <w:t>95.50%</w:t>
            </w:r>
          </w:p>
        </w:tc>
        <w:tc>
          <w:tcPr>
            <w:tcW w:w="705" w:type="pct"/>
            <w:vAlign w:val="center"/>
          </w:tcPr>
          <w:p w14:paraId="1B9AA205" w14:textId="39F901D2" w:rsidR="00B14519" w:rsidRPr="00781112" w:rsidRDefault="00B14519" w:rsidP="00C362C0">
            <w:pPr>
              <w:jc w:val="center"/>
              <w:rPr>
                <w:rFonts w:cs="Arial"/>
                <w:color w:val="000000" w:themeColor="text1"/>
                <w:szCs w:val="16"/>
              </w:rPr>
            </w:pPr>
            <w:r w:rsidRPr="00781112">
              <w:rPr>
                <w:rFonts w:cs="Arial"/>
                <w:color w:val="000000" w:themeColor="text1"/>
                <w:szCs w:val="16"/>
              </w:rPr>
              <w:t>95.50%</w:t>
            </w:r>
          </w:p>
        </w:tc>
        <w:tc>
          <w:tcPr>
            <w:tcW w:w="705" w:type="pct"/>
            <w:vAlign w:val="center"/>
          </w:tcPr>
          <w:p w14:paraId="4966A75F" w14:textId="20C7AE15" w:rsidR="00B14519" w:rsidRPr="00781112" w:rsidRDefault="00B14519" w:rsidP="00C362C0">
            <w:pPr>
              <w:jc w:val="center"/>
              <w:rPr>
                <w:rFonts w:cs="Arial"/>
                <w:color w:val="000000" w:themeColor="text1"/>
                <w:szCs w:val="16"/>
              </w:rPr>
            </w:pPr>
            <w:r w:rsidRPr="00781112">
              <w:rPr>
                <w:rFonts w:cs="Arial"/>
                <w:color w:val="000000" w:themeColor="text1"/>
                <w:szCs w:val="16"/>
              </w:rPr>
              <w:t>95.55%</w:t>
            </w:r>
          </w:p>
        </w:tc>
        <w:tc>
          <w:tcPr>
            <w:tcW w:w="705" w:type="pct"/>
            <w:vAlign w:val="center"/>
          </w:tcPr>
          <w:p w14:paraId="022FBD29" w14:textId="276E1879" w:rsidR="00B14519" w:rsidRPr="00781112" w:rsidRDefault="00B14519" w:rsidP="00C362C0">
            <w:pPr>
              <w:jc w:val="center"/>
              <w:rPr>
                <w:rFonts w:cs="Arial"/>
                <w:color w:val="000000" w:themeColor="text1"/>
                <w:szCs w:val="16"/>
              </w:rPr>
            </w:pPr>
            <w:r w:rsidRPr="00781112">
              <w:rPr>
                <w:rFonts w:cs="Arial"/>
                <w:color w:val="000000" w:themeColor="text1"/>
                <w:szCs w:val="16"/>
              </w:rPr>
              <w:t>95.60%</w:t>
            </w:r>
          </w:p>
        </w:tc>
      </w:tr>
      <w:tr w:rsidR="00B14519" w:rsidRPr="00781112" w14:paraId="36D735AC" w14:textId="5C55C170" w:rsidTr="00451D7E">
        <w:tc>
          <w:tcPr>
            <w:tcW w:w="473" w:type="pct"/>
            <w:shd w:val="clear" w:color="auto" w:fill="auto"/>
            <w:vAlign w:val="center"/>
          </w:tcPr>
          <w:p w14:paraId="3DD2851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04829E1"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B7B7FDD" w14:textId="4EABA9DD"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4BE54D67" w14:textId="13C82F03" w:rsidR="00B14519" w:rsidRPr="00781112" w:rsidRDefault="00B14519" w:rsidP="00C362C0">
            <w:pPr>
              <w:jc w:val="center"/>
              <w:rPr>
                <w:rFonts w:cs="Arial"/>
                <w:color w:val="000000" w:themeColor="text1"/>
                <w:szCs w:val="16"/>
              </w:rPr>
            </w:pPr>
            <w:r w:rsidRPr="00781112">
              <w:rPr>
                <w:rFonts w:cs="Arial"/>
                <w:color w:val="000000" w:themeColor="text1"/>
                <w:szCs w:val="16"/>
              </w:rPr>
              <w:t>95.44%</w:t>
            </w:r>
          </w:p>
        </w:tc>
        <w:tc>
          <w:tcPr>
            <w:tcW w:w="705" w:type="pct"/>
            <w:vAlign w:val="center"/>
          </w:tcPr>
          <w:p w14:paraId="1113A8B0" w14:textId="01C04123" w:rsidR="00B14519" w:rsidRPr="00781112" w:rsidRDefault="00B14519" w:rsidP="00C362C0">
            <w:pPr>
              <w:jc w:val="center"/>
              <w:rPr>
                <w:rFonts w:cs="Arial"/>
                <w:color w:val="000000" w:themeColor="text1"/>
                <w:szCs w:val="16"/>
              </w:rPr>
            </w:pPr>
            <w:r w:rsidRPr="00781112">
              <w:rPr>
                <w:rFonts w:cs="Arial"/>
                <w:color w:val="000000" w:themeColor="text1"/>
                <w:szCs w:val="16"/>
              </w:rPr>
              <w:t>95.50%</w:t>
            </w:r>
          </w:p>
        </w:tc>
        <w:tc>
          <w:tcPr>
            <w:tcW w:w="705" w:type="pct"/>
            <w:vAlign w:val="center"/>
          </w:tcPr>
          <w:p w14:paraId="3A3B0FBA" w14:textId="478F9449" w:rsidR="00B14519" w:rsidRPr="00781112" w:rsidRDefault="00B14519" w:rsidP="00C362C0">
            <w:pPr>
              <w:jc w:val="center"/>
              <w:rPr>
                <w:rFonts w:cs="Arial"/>
                <w:color w:val="000000" w:themeColor="text1"/>
                <w:szCs w:val="16"/>
              </w:rPr>
            </w:pPr>
            <w:r w:rsidRPr="00781112">
              <w:rPr>
                <w:rFonts w:cs="Arial"/>
                <w:color w:val="000000" w:themeColor="text1"/>
                <w:szCs w:val="16"/>
              </w:rPr>
              <w:t>95.50%</w:t>
            </w:r>
          </w:p>
        </w:tc>
        <w:tc>
          <w:tcPr>
            <w:tcW w:w="705" w:type="pct"/>
            <w:vAlign w:val="center"/>
          </w:tcPr>
          <w:p w14:paraId="789FBACE" w14:textId="6A3893AE" w:rsidR="00B14519" w:rsidRPr="00781112" w:rsidRDefault="00B14519" w:rsidP="00C362C0">
            <w:pPr>
              <w:jc w:val="center"/>
              <w:rPr>
                <w:rFonts w:cs="Arial"/>
                <w:color w:val="000000" w:themeColor="text1"/>
                <w:szCs w:val="16"/>
              </w:rPr>
            </w:pPr>
            <w:r w:rsidRPr="00781112">
              <w:rPr>
                <w:rFonts w:cs="Arial"/>
                <w:color w:val="000000" w:themeColor="text1"/>
                <w:szCs w:val="16"/>
              </w:rPr>
              <w:t>95.55%</w:t>
            </w:r>
          </w:p>
        </w:tc>
        <w:tc>
          <w:tcPr>
            <w:tcW w:w="705" w:type="pct"/>
            <w:vAlign w:val="center"/>
          </w:tcPr>
          <w:p w14:paraId="22CE6700" w14:textId="17865EEB" w:rsidR="00B14519" w:rsidRPr="00781112" w:rsidRDefault="00B14519" w:rsidP="00C362C0">
            <w:pPr>
              <w:jc w:val="center"/>
              <w:rPr>
                <w:rFonts w:cs="Arial"/>
                <w:color w:val="000000" w:themeColor="text1"/>
                <w:szCs w:val="16"/>
              </w:rPr>
            </w:pPr>
            <w:r w:rsidRPr="00781112">
              <w:rPr>
                <w:rFonts w:cs="Arial"/>
                <w:color w:val="000000" w:themeColor="text1"/>
                <w:szCs w:val="16"/>
              </w:rPr>
              <w:t>95.60%</w:t>
            </w:r>
          </w:p>
        </w:tc>
      </w:tr>
      <w:tr w:rsidR="00B14519" w:rsidRPr="00781112" w14:paraId="6D5345B6" w14:textId="77468A6F" w:rsidTr="00451D7E">
        <w:tc>
          <w:tcPr>
            <w:tcW w:w="473" w:type="pct"/>
            <w:shd w:val="clear" w:color="auto" w:fill="auto"/>
            <w:vAlign w:val="center"/>
          </w:tcPr>
          <w:p w14:paraId="7932C55F"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BCACF1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1E7674E7" w14:textId="620A24D0"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416F7E76" w14:textId="5B460752" w:rsidR="00B14519" w:rsidRPr="00781112" w:rsidRDefault="00B14519" w:rsidP="00C362C0">
            <w:pPr>
              <w:jc w:val="center"/>
              <w:rPr>
                <w:rFonts w:cs="Arial"/>
                <w:color w:val="000000" w:themeColor="text1"/>
                <w:szCs w:val="16"/>
              </w:rPr>
            </w:pPr>
            <w:r w:rsidRPr="00781112">
              <w:rPr>
                <w:rFonts w:cs="Arial"/>
                <w:color w:val="000000" w:themeColor="text1"/>
                <w:szCs w:val="16"/>
              </w:rPr>
              <w:t>95.15%</w:t>
            </w:r>
          </w:p>
        </w:tc>
        <w:tc>
          <w:tcPr>
            <w:tcW w:w="705" w:type="pct"/>
            <w:vAlign w:val="center"/>
          </w:tcPr>
          <w:p w14:paraId="7ADA18AC" w14:textId="2893C149" w:rsidR="00B14519" w:rsidRPr="00781112" w:rsidRDefault="00B14519" w:rsidP="00C362C0">
            <w:pPr>
              <w:jc w:val="center"/>
              <w:rPr>
                <w:rFonts w:cs="Arial"/>
                <w:color w:val="000000" w:themeColor="text1"/>
                <w:szCs w:val="16"/>
              </w:rPr>
            </w:pPr>
            <w:r w:rsidRPr="00781112">
              <w:rPr>
                <w:rFonts w:cs="Arial"/>
                <w:color w:val="000000" w:themeColor="text1"/>
                <w:szCs w:val="16"/>
              </w:rPr>
              <w:t>95.20%</w:t>
            </w:r>
          </w:p>
        </w:tc>
        <w:tc>
          <w:tcPr>
            <w:tcW w:w="705" w:type="pct"/>
            <w:vAlign w:val="center"/>
          </w:tcPr>
          <w:p w14:paraId="1BF168BC" w14:textId="476AE7F5" w:rsidR="00B14519" w:rsidRPr="00781112" w:rsidRDefault="00B14519" w:rsidP="00C362C0">
            <w:pPr>
              <w:jc w:val="center"/>
              <w:rPr>
                <w:rFonts w:cs="Arial"/>
                <w:color w:val="000000" w:themeColor="text1"/>
                <w:szCs w:val="16"/>
              </w:rPr>
            </w:pPr>
            <w:r w:rsidRPr="00781112">
              <w:rPr>
                <w:rFonts w:cs="Arial"/>
                <w:color w:val="000000" w:themeColor="text1"/>
                <w:szCs w:val="16"/>
              </w:rPr>
              <w:t>95.20%</w:t>
            </w:r>
          </w:p>
        </w:tc>
        <w:tc>
          <w:tcPr>
            <w:tcW w:w="705" w:type="pct"/>
            <w:vAlign w:val="center"/>
          </w:tcPr>
          <w:p w14:paraId="3BB5329F" w14:textId="6B51850F" w:rsidR="00B14519" w:rsidRPr="00781112" w:rsidRDefault="00B14519" w:rsidP="00C362C0">
            <w:pPr>
              <w:jc w:val="center"/>
              <w:rPr>
                <w:rFonts w:cs="Arial"/>
                <w:color w:val="000000" w:themeColor="text1"/>
                <w:szCs w:val="16"/>
              </w:rPr>
            </w:pPr>
            <w:r w:rsidRPr="00781112">
              <w:rPr>
                <w:rFonts w:cs="Arial"/>
                <w:color w:val="000000" w:themeColor="text1"/>
                <w:szCs w:val="16"/>
              </w:rPr>
              <w:t>95.25%</w:t>
            </w:r>
          </w:p>
        </w:tc>
        <w:tc>
          <w:tcPr>
            <w:tcW w:w="705" w:type="pct"/>
            <w:vAlign w:val="center"/>
          </w:tcPr>
          <w:p w14:paraId="3163C52B" w14:textId="316A6F3C" w:rsidR="00B14519" w:rsidRPr="00781112" w:rsidRDefault="00B14519" w:rsidP="00C362C0">
            <w:pPr>
              <w:jc w:val="center"/>
              <w:rPr>
                <w:rFonts w:cs="Arial"/>
                <w:color w:val="000000" w:themeColor="text1"/>
                <w:szCs w:val="16"/>
              </w:rPr>
            </w:pPr>
            <w:r w:rsidRPr="00781112">
              <w:rPr>
                <w:rFonts w:cs="Arial"/>
                <w:color w:val="000000" w:themeColor="text1"/>
                <w:szCs w:val="16"/>
              </w:rPr>
              <w:t>95.30%</w:t>
            </w:r>
          </w:p>
        </w:tc>
      </w:tr>
    </w:tbl>
    <w:p w14:paraId="4FED9CA8" w14:textId="44F264E8" w:rsidR="007765EF" w:rsidRDefault="007765EF" w:rsidP="00480083">
      <w:pPr>
        <w:rPr>
          <w:b/>
          <w:color w:val="000000" w:themeColor="text1"/>
        </w:rPr>
      </w:pPr>
    </w:p>
    <w:p w14:paraId="361B382C" w14:textId="3CF94376" w:rsidR="00480083" w:rsidRPr="007103FF" w:rsidRDefault="00480083" w:rsidP="007103FF">
      <w:pPr>
        <w:spacing w:before="0" w:after="200"/>
        <w:rPr>
          <w:b/>
          <w:color w:val="000000" w:themeColor="text1"/>
        </w:rPr>
      </w:pPr>
      <w:r w:rsidRPr="00781112">
        <w:rPr>
          <w:b/>
          <w:color w:val="000000" w:themeColor="text1"/>
        </w:rPr>
        <w:t xml:space="preserve">Targets: Description of Stakeholder Input </w:t>
      </w:r>
      <w:r w:rsidR="007103FF">
        <w:rPr>
          <w:b/>
          <w:color w:val="000000" w:themeColor="text1"/>
        </w:rPr>
        <w:br/>
      </w:r>
      <w:r w:rsidRPr="00781112">
        <w:rPr>
          <w:rFonts w:cs="Arial"/>
          <w:color w:val="000000" w:themeColor="text1"/>
          <w:szCs w:val="16"/>
        </w:rPr>
        <w:t xml:space="preserve">PRDE solicited broad stakeholder input on PRDE’s targets in the SPP/APR including any subsequent revisions made to those targets and the development and implementation of Indicator 17, Puerto Rico’s State Systemic Improvement Plan (SSIP). </w:t>
      </w:r>
      <w:r w:rsidRPr="00781112">
        <w:rPr>
          <w:rFonts w:cs="Arial"/>
          <w:color w:val="000000" w:themeColor="text1"/>
          <w:szCs w:val="16"/>
        </w:rPr>
        <w:br/>
      </w:r>
      <w:r w:rsidRPr="00781112">
        <w:rPr>
          <w:rFonts w:cs="Arial"/>
          <w:color w:val="000000" w:themeColor="text1"/>
          <w:szCs w:val="16"/>
        </w:rPr>
        <w:br/>
        <w:t xml:space="preserve">Our original stakeholder group, called the Comité Consultivo de Educación Especial (“Special Education Advisory Committee”), is responsible for advising PRDE regarding the needs in the education of children with disabilities and for </w:t>
      </w:r>
      <w:proofErr w:type="gramStart"/>
      <w:r w:rsidRPr="00781112">
        <w:rPr>
          <w:rFonts w:cs="Arial"/>
          <w:color w:val="000000" w:themeColor="text1"/>
          <w:szCs w:val="16"/>
        </w:rPr>
        <w:t>providing assistance</w:t>
      </w:r>
      <w:proofErr w:type="gramEnd"/>
      <w:r w:rsidRPr="00781112">
        <w:rPr>
          <w:rFonts w:cs="Arial"/>
          <w:color w:val="000000" w:themeColor="text1"/>
          <w:szCs w:val="16"/>
        </w:rPr>
        <w:t xml:space="preserve"> and feedback about reports to be submitted to the Federal Government including our SSIP. The group includes representation from various sectors such as: the non-profit organization Apoyo a Padres de Niños con Impedimentos (Support for Parents of Students with Disabilities, or APNI by its acronym in Spanish), the Puerto Rico Department of the Family, the Puerto Rico Vocational Rehabilitation Administration, the Puerto Rico Department of Health, Special Education Teachers, School Directors, parents of students with disabilities, SAEE personnel, autism representative, specialists such as a School Psychologist, Occupational Therapist, Speech Pathologist, and adult with impairment, and others. SAEE personnel participate continuously in meetings with the special education </w:t>
      </w:r>
      <w:proofErr w:type="gramStart"/>
      <w:r w:rsidRPr="00781112">
        <w:rPr>
          <w:rFonts w:cs="Arial"/>
          <w:color w:val="000000" w:themeColor="text1"/>
          <w:szCs w:val="16"/>
        </w:rPr>
        <w:t>stakeholders</w:t>
      </w:r>
      <w:proofErr w:type="gramEnd"/>
      <w:r w:rsidRPr="00781112">
        <w:rPr>
          <w:rFonts w:cs="Arial"/>
          <w:color w:val="000000" w:themeColor="text1"/>
          <w:szCs w:val="16"/>
        </w:rPr>
        <w:t xml:space="preserve"> group.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xml:space="preserve">The members of our stakeholder group also serve as liaisons for initiatives that benefit the special education population and their families. Recommendations provided </w:t>
      </w:r>
      <w:proofErr w:type="gramStart"/>
      <w:r w:rsidRPr="00781112">
        <w:rPr>
          <w:rFonts w:cs="Arial"/>
          <w:color w:val="000000" w:themeColor="text1"/>
          <w:szCs w:val="16"/>
        </w:rPr>
        <w:t>from</w:t>
      </w:r>
      <w:proofErr w:type="gramEnd"/>
      <w:r w:rsidRPr="00781112">
        <w:rPr>
          <w:rFonts w:cs="Arial"/>
          <w:color w:val="000000" w:themeColor="text1"/>
          <w:szCs w:val="16"/>
        </w:rPr>
        <w:t xml:space="preserve"> the stakeholders </w:t>
      </w:r>
      <w:proofErr w:type="gramStart"/>
      <w:r w:rsidRPr="00781112">
        <w:rPr>
          <w:rFonts w:cs="Arial"/>
          <w:color w:val="000000" w:themeColor="text1"/>
          <w:szCs w:val="16"/>
        </w:rPr>
        <w:t>were incorporated</w:t>
      </w:r>
      <w:proofErr w:type="gramEnd"/>
      <w:r w:rsidRPr="00781112">
        <w:rPr>
          <w:rFonts w:cs="Arial"/>
          <w:color w:val="000000" w:themeColor="text1"/>
          <w:szCs w:val="16"/>
        </w:rPr>
        <w:t xml:space="preserve"> into PRDE’s FFY 2021 APR. PRDE developed this FFY 2021 SPP/APR with broad stakeholder input. As discussed above, PRDE SAEE held various meetings with the stakeholder group and received their input regarding the SPP/APR, including feedback regarding the individual indicators including FFY 2021 data, targets, any subsequent revisions to targets, and related activities and initiatives as well as the SSIP.</w:t>
      </w:r>
      <w:r w:rsidRPr="00781112">
        <w:rPr>
          <w:rFonts w:cs="Arial"/>
          <w:color w:val="000000" w:themeColor="text1"/>
          <w:szCs w:val="16"/>
        </w:rPr>
        <w:br/>
      </w:r>
      <w:r w:rsidRPr="00781112">
        <w:rPr>
          <w:rFonts w:cs="Arial"/>
          <w:color w:val="000000" w:themeColor="text1"/>
          <w:szCs w:val="16"/>
        </w:rPr>
        <w:br/>
        <w:t xml:space="preserve">Additional mechanisms through with PRDE solicits broad stakeholder input includes PRDE work with and through the non-profit organization Apoyo a Padres de Niños con Impedimentos (Support for Parents of Students with Disabilities, or APNI by its acronym in Spanish), its operation of Parent Academies on post-secondary topics, and Communities of Learning through its SSIP efforts, among others. APNI’s work helps increase the capacity of parents and serves as an avenue for receiving feedback on improvement activities and related policies. Similarly, the Parent Academies provide capacity building sessions for parents and include feedback sessions where parents provide feedback regarding improvement activities and data and policies related to post-secondary transition. Finally, the communities of learning have been key in providing feedback regarding the Indicator 17 / the SSIP in its entirety and implementation thereof. Through </w:t>
      </w:r>
      <w:proofErr w:type="gramStart"/>
      <w:r w:rsidRPr="00781112">
        <w:rPr>
          <w:rFonts w:cs="Arial"/>
          <w:color w:val="000000" w:themeColor="text1"/>
          <w:szCs w:val="16"/>
        </w:rPr>
        <w:t>all of</w:t>
      </w:r>
      <w:proofErr w:type="gramEnd"/>
      <w:r w:rsidRPr="00781112">
        <w:rPr>
          <w:rFonts w:cs="Arial"/>
          <w:color w:val="000000" w:themeColor="text1"/>
          <w:szCs w:val="16"/>
        </w:rPr>
        <w:t xml:space="preserve"> these avenues, PRDE seeks and receives stakeholder input that is considered in the development of the SPP/APR including targets, subsequent revisions of targets, and development and implementation of the SSIP (Ind. 17). </w:t>
      </w:r>
    </w:p>
    <w:p w14:paraId="4B8B8032" w14:textId="4731FBE7" w:rsidR="0034094E" w:rsidRPr="00781112" w:rsidRDefault="0034094E">
      <w:pPr>
        <w:spacing w:before="0" w:after="200" w:line="276" w:lineRule="auto"/>
        <w:rPr>
          <w:b/>
          <w:color w:val="000000" w:themeColor="text1"/>
        </w:rPr>
      </w:pPr>
    </w:p>
    <w:p w14:paraId="185A3541" w14:textId="67850A3C" w:rsidR="004F4016" w:rsidRPr="00781112" w:rsidRDefault="00FA33C9" w:rsidP="004F4016">
      <w:pPr>
        <w:rPr>
          <w:b/>
          <w:color w:val="000000" w:themeColor="text1"/>
        </w:rPr>
      </w:pPr>
      <w:r>
        <w:rPr>
          <w:b/>
          <w:color w:val="000000" w:themeColor="text1"/>
        </w:rPr>
        <w:t>FFY 2021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6,393</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6,644</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5,035</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994</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1,138</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882</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4,985</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5,099</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3,798</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158</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131</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140</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6,383</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6,652</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5,034</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982</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1,141</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866</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4,955</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5,080</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3,786</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158</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128</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138</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28A0F3B0" w:rsidR="004F4016" w:rsidRPr="00781112" w:rsidRDefault="0047313F" w:rsidP="004F4016">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073BD7" w:rsidRPr="00781112" w14:paraId="3BAF6B00" w14:textId="77777777" w:rsidTr="0047313F">
        <w:trPr>
          <w:tblHeader/>
        </w:trPr>
        <w:tc>
          <w:tcPr>
            <w:tcW w:w="355" w:type="pct"/>
            <w:shd w:val="clear" w:color="auto" w:fill="auto"/>
            <w:vAlign w:val="bottom"/>
          </w:tcPr>
          <w:p w14:paraId="3F94C694" w14:textId="77777777" w:rsidR="00073BD7" w:rsidRPr="00781112" w:rsidRDefault="00073BD7" w:rsidP="00073BD7">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073BD7" w:rsidRPr="00781112" w:rsidRDefault="00073BD7" w:rsidP="00073BD7">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073BD7" w:rsidRPr="00781112" w:rsidRDefault="00073BD7" w:rsidP="00073BD7">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073BD7" w:rsidRPr="00781112" w:rsidRDefault="00073BD7" w:rsidP="00073BD7">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41B163B4" w:rsidR="00073BD7" w:rsidRPr="00781112" w:rsidRDefault="00073BD7" w:rsidP="00073BD7">
            <w:pPr>
              <w:jc w:val="center"/>
              <w:rPr>
                <w:b/>
                <w:color w:val="000000" w:themeColor="text1"/>
              </w:rPr>
            </w:pPr>
            <w:r w:rsidRPr="00073BD7">
              <w:rPr>
                <w:b/>
                <w:bCs/>
              </w:rPr>
              <w:t>FFY 2020 Data</w:t>
            </w:r>
          </w:p>
        </w:tc>
        <w:tc>
          <w:tcPr>
            <w:tcW w:w="467" w:type="pct"/>
            <w:shd w:val="clear" w:color="auto" w:fill="auto"/>
            <w:vAlign w:val="bottom"/>
          </w:tcPr>
          <w:p w14:paraId="2D0B1710" w14:textId="4D4AD625" w:rsidR="00073BD7" w:rsidRPr="00781112" w:rsidRDefault="00073BD7" w:rsidP="00073BD7">
            <w:pPr>
              <w:jc w:val="center"/>
              <w:rPr>
                <w:b/>
                <w:color w:val="000000" w:themeColor="text1"/>
              </w:rPr>
            </w:pPr>
            <w:r w:rsidRPr="00073BD7">
              <w:rPr>
                <w:b/>
                <w:bCs/>
              </w:rPr>
              <w:t>FFY 2021 Target</w:t>
            </w:r>
          </w:p>
        </w:tc>
        <w:tc>
          <w:tcPr>
            <w:tcW w:w="467" w:type="pct"/>
            <w:shd w:val="clear" w:color="auto" w:fill="auto"/>
            <w:vAlign w:val="bottom"/>
          </w:tcPr>
          <w:p w14:paraId="1D807DE2" w14:textId="4B06168B" w:rsidR="00073BD7" w:rsidRPr="00781112" w:rsidRDefault="00073BD7" w:rsidP="00073BD7">
            <w:pPr>
              <w:jc w:val="center"/>
              <w:rPr>
                <w:b/>
                <w:color w:val="000000" w:themeColor="text1"/>
              </w:rPr>
            </w:pPr>
            <w:r w:rsidRPr="00073BD7">
              <w:rPr>
                <w:b/>
                <w:bCs/>
              </w:rPr>
              <w:t>FFY 2021 Data</w:t>
            </w:r>
          </w:p>
        </w:tc>
        <w:tc>
          <w:tcPr>
            <w:tcW w:w="467" w:type="pct"/>
            <w:shd w:val="clear" w:color="auto" w:fill="auto"/>
            <w:vAlign w:val="bottom"/>
          </w:tcPr>
          <w:p w14:paraId="6569FC00" w14:textId="77777777" w:rsidR="00073BD7" w:rsidRPr="00781112" w:rsidRDefault="00073BD7" w:rsidP="00073BD7">
            <w:pPr>
              <w:jc w:val="center"/>
              <w:rPr>
                <w:b/>
                <w:color w:val="000000" w:themeColor="text1"/>
              </w:rPr>
            </w:pPr>
            <w:r w:rsidRPr="00781112">
              <w:rPr>
                <w:b/>
                <w:color w:val="000000" w:themeColor="text1"/>
              </w:rPr>
              <w:t>Status</w:t>
            </w:r>
          </w:p>
        </w:tc>
        <w:tc>
          <w:tcPr>
            <w:tcW w:w="466" w:type="pct"/>
            <w:shd w:val="clear" w:color="auto" w:fill="auto"/>
            <w:vAlign w:val="bottom"/>
          </w:tcPr>
          <w:p w14:paraId="2DF56EFB" w14:textId="77777777" w:rsidR="00073BD7" w:rsidRPr="00781112" w:rsidRDefault="00073BD7" w:rsidP="00073BD7">
            <w:pPr>
              <w:jc w:val="center"/>
              <w:rPr>
                <w:b/>
                <w:color w:val="000000" w:themeColor="text1"/>
              </w:rPr>
            </w:pPr>
            <w:r w:rsidRPr="00781112">
              <w:rPr>
                <w:b/>
                <w:color w:val="000000" w:themeColor="text1"/>
              </w:rPr>
              <w:t>Slippage</w:t>
            </w:r>
          </w:p>
        </w:tc>
      </w:tr>
      <w:tr w:rsidR="00396BA3" w:rsidRPr="00781112" w14:paraId="376FC28A" w14:textId="77777777" w:rsidTr="0047313F">
        <w:tc>
          <w:tcPr>
            <w:tcW w:w="355"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6,137</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6,393</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96.00%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96.00%</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6"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56F1A9B2" w14:textId="77777777" w:rsidTr="0047313F">
        <w:tc>
          <w:tcPr>
            <w:tcW w:w="355"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6,368</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6,644</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95.85%</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95.85%</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6"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7455692E" w14:textId="77777777" w:rsidTr="0047313F">
        <w:tc>
          <w:tcPr>
            <w:tcW w:w="355"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4,820</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5,035</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95.73%</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95.73%</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6"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bl>
    <w:p w14:paraId="6C09A01C" w14:textId="77777777" w:rsidR="007765EF" w:rsidRDefault="007765EF" w:rsidP="00802A46">
      <w:pPr>
        <w:rPr>
          <w:b/>
          <w:color w:val="000000" w:themeColor="text1"/>
        </w:rPr>
      </w:pPr>
    </w:p>
    <w:p w14:paraId="4A8694DE" w14:textId="77777777" w:rsidR="007765EF" w:rsidRDefault="007765EF" w:rsidP="00802A46">
      <w:pPr>
        <w:rPr>
          <w:b/>
          <w:color w:val="000000" w:themeColor="text1"/>
        </w:rPr>
      </w:pPr>
    </w:p>
    <w:p w14:paraId="1C3A5E7E" w14:textId="77777777" w:rsidR="007765EF" w:rsidRDefault="007765EF" w:rsidP="00802A46">
      <w:pPr>
        <w:rPr>
          <w:b/>
          <w:color w:val="000000" w:themeColor="text1"/>
        </w:rPr>
      </w:pPr>
    </w:p>
    <w:p w14:paraId="4D76CCAA" w14:textId="77777777" w:rsidR="007A7E93" w:rsidRPr="00781112" w:rsidRDefault="007A7E93">
      <w:pPr>
        <w:spacing w:before="0" w:after="200" w:line="276" w:lineRule="auto"/>
        <w:rPr>
          <w:b/>
          <w:color w:val="000000" w:themeColor="text1"/>
        </w:rPr>
      </w:pPr>
    </w:p>
    <w:p w14:paraId="68F24FCA" w14:textId="439BA8D0" w:rsidR="00F17D5E" w:rsidRPr="00781112" w:rsidRDefault="0047313F" w:rsidP="00F17D5E">
      <w:pPr>
        <w:rPr>
          <w:b/>
          <w:color w:val="000000" w:themeColor="text1"/>
        </w:rPr>
      </w:pPr>
      <w:r>
        <w:rPr>
          <w:b/>
          <w:color w:val="000000" w:themeColor="text1"/>
        </w:rPr>
        <w:lastRenderedPageBreak/>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47313F" w:rsidRPr="00781112" w14:paraId="681A67CD" w14:textId="77777777" w:rsidTr="00360DD6">
        <w:trPr>
          <w:tblHeader/>
        </w:trPr>
        <w:tc>
          <w:tcPr>
            <w:tcW w:w="331" w:type="pct"/>
            <w:shd w:val="clear" w:color="auto" w:fill="auto"/>
            <w:vAlign w:val="bottom"/>
          </w:tcPr>
          <w:p w14:paraId="32EBDF09" w14:textId="77777777" w:rsidR="0047313F" w:rsidRPr="00781112" w:rsidRDefault="0047313F" w:rsidP="0047313F">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47313F" w:rsidRPr="00781112" w:rsidRDefault="0047313F" w:rsidP="0047313F">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47313F" w:rsidRPr="00781112" w:rsidRDefault="0047313F" w:rsidP="0047313F">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47313F" w:rsidRPr="00781112" w:rsidRDefault="0047313F" w:rsidP="0047313F">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45A816FE" w:rsidR="0047313F" w:rsidRPr="00073BD7" w:rsidRDefault="0047313F" w:rsidP="0047313F">
            <w:pPr>
              <w:jc w:val="center"/>
              <w:rPr>
                <w:b/>
                <w:bCs/>
                <w:color w:val="000000" w:themeColor="text1"/>
              </w:rPr>
            </w:pPr>
            <w:r w:rsidRPr="00073BD7">
              <w:rPr>
                <w:b/>
                <w:bCs/>
              </w:rPr>
              <w:t>FFY 2020 Data</w:t>
            </w:r>
          </w:p>
        </w:tc>
        <w:tc>
          <w:tcPr>
            <w:tcW w:w="468" w:type="pct"/>
            <w:shd w:val="clear" w:color="auto" w:fill="auto"/>
            <w:vAlign w:val="bottom"/>
          </w:tcPr>
          <w:p w14:paraId="681C20C6" w14:textId="5C86E989" w:rsidR="0047313F" w:rsidRPr="00073BD7" w:rsidRDefault="0047313F" w:rsidP="0047313F">
            <w:pPr>
              <w:jc w:val="center"/>
              <w:rPr>
                <w:b/>
                <w:bCs/>
                <w:color w:val="000000" w:themeColor="text1"/>
              </w:rPr>
            </w:pPr>
            <w:r w:rsidRPr="00073BD7">
              <w:rPr>
                <w:b/>
                <w:bCs/>
              </w:rPr>
              <w:t>FFY 2021 Target</w:t>
            </w:r>
          </w:p>
        </w:tc>
        <w:tc>
          <w:tcPr>
            <w:tcW w:w="468" w:type="pct"/>
            <w:shd w:val="clear" w:color="auto" w:fill="auto"/>
            <w:vAlign w:val="bottom"/>
          </w:tcPr>
          <w:p w14:paraId="1A223A3A" w14:textId="3EBA0FC0" w:rsidR="0047313F" w:rsidRPr="00073BD7" w:rsidRDefault="0047313F" w:rsidP="0047313F">
            <w:pPr>
              <w:jc w:val="center"/>
              <w:rPr>
                <w:b/>
                <w:bCs/>
                <w:color w:val="000000" w:themeColor="text1"/>
              </w:rPr>
            </w:pPr>
            <w:r w:rsidRPr="00073BD7">
              <w:rPr>
                <w:b/>
                <w:bCs/>
              </w:rPr>
              <w:t>FFY 2021 Data</w:t>
            </w:r>
          </w:p>
        </w:tc>
        <w:tc>
          <w:tcPr>
            <w:tcW w:w="468" w:type="pct"/>
            <w:shd w:val="clear" w:color="auto" w:fill="auto"/>
            <w:vAlign w:val="bottom"/>
          </w:tcPr>
          <w:p w14:paraId="2E2084EF" w14:textId="77777777" w:rsidR="0047313F" w:rsidRPr="00781112" w:rsidRDefault="0047313F" w:rsidP="0047313F">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47313F" w:rsidRPr="00781112" w:rsidRDefault="0047313F" w:rsidP="0047313F">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6,095</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6,383</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95.49%</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95.49%</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6,349</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6,652</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95.44%</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95.44%</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4,790</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5,034</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95.15%</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95.15%</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 xml:space="preserve">Puerto Rico's publicly reported statewide assessment data for FFY 2021, including public reporting on participation of students with disabilities, </w:t>
      </w:r>
      <w:proofErr w:type="gramStart"/>
      <w:r w:rsidRPr="00781112">
        <w:rPr>
          <w:rFonts w:cs="Arial"/>
          <w:color w:val="000000" w:themeColor="text1"/>
          <w:szCs w:val="16"/>
        </w:rPr>
        <w:t>is published</w:t>
      </w:r>
      <w:proofErr w:type="gramEnd"/>
      <w:r w:rsidRPr="00781112">
        <w:rPr>
          <w:rFonts w:cs="Arial"/>
          <w:color w:val="000000" w:themeColor="text1"/>
          <w:szCs w:val="16"/>
        </w:rPr>
        <w:t xml:space="preserve"> and available on PRDE's website at: . Information https://perfilescolar.dde.pr/dashboard/summary/index.html?schoolcode=State regarding student participation on Puerto Rico’s statewide assessment (META-PR Tests) appears in the first block of data on the </w:t>
      </w:r>
      <w:proofErr w:type="gramStart"/>
      <w:r w:rsidRPr="00781112">
        <w:rPr>
          <w:rFonts w:cs="Arial"/>
          <w:color w:val="000000" w:themeColor="text1"/>
          <w:szCs w:val="16"/>
        </w:rPr>
        <w:t>left hand</w:t>
      </w:r>
      <w:proofErr w:type="gramEnd"/>
      <w:r w:rsidRPr="00781112">
        <w:rPr>
          <w:rFonts w:cs="Arial"/>
          <w:color w:val="000000" w:themeColor="text1"/>
          <w:szCs w:val="16"/>
        </w:rPr>
        <w:t xml:space="preserve"> side of the page (“Student Participation in META-PR Tests”). Immediately above that block, the viewer can select the subject and grade level for which to see the student participation data on each the regular and alternate META-PR test. To view the participation data of only students with disabilities on each the regular and the alternate META-PR test, the viewer can filter the data by clicking on the filter icon next to “ALL STUDENTS” at the top of the page (the icon resembles a funnel) and then selecting “With Disabilities</w:t>
      </w:r>
      <w:proofErr w:type="gramStart"/>
      <w:r w:rsidRPr="00781112">
        <w:rPr>
          <w:rFonts w:cs="Arial"/>
          <w:color w:val="000000" w:themeColor="text1"/>
          <w:szCs w:val="16"/>
        </w:rPr>
        <w:t>”.</w:t>
      </w:r>
      <w:proofErr w:type="gramEnd"/>
      <w:r w:rsidRPr="00781112">
        <w:rPr>
          <w:rFonts w:cs="Arial"/>
          <w:color w:val="000000" w:themeColor="text1"/>
          <w:szCs w:val="16"/>
        </w:rPr>
        <w:t xml:space="preserve"> At the bottom of this first block of data, a link </w:t>
      </w:r>
      <w:proofErr w:type="gramStart"/>
      <w:r w:rsidRPr="00781112">
        <w:rPr>
          <w:rFonts w:cs="Arial"/>
          <w:color w:val="000000" w:themeColor="text1"/>
          <w:szCs w:val="16"/>
        </w:rPr>
        <w:t>is provided</w:t>
      </w:r>
      <w:proofErr w:type="gramEnd"/>
      <w:r w:rsidRPr="00781112">
        <w:rPr>
          <w:rFonts w:cs="Arial"/>
          <w:color w:val="000000" w:themeColor="text1"/>
          <w:szCs w:val="16"/>
        </w:rPr>
        <w:t xml:space="preserve"> to view data that includes the number participation data that reflects the number of children who were provided accommodations. This link brings the viewer to the current Ind. 3 of Puerto Rico’s corresponding SPP/APR. To view school-level data, the viewer should click on the magnifying glass icon in the upper right-hand corner of the page. This will open a field that reads “Type to search a school”, allowing the viewer to type in the </w:t>
      </w:r>
      <w:proofErr w:type="gramStart"/>
      <w:r w:rsidRPr="00781112">
        <w:rPr>
          <w:rFonts w:cs="Arial"/>
          <w:color w:val="000000" w:themeColor="text1"/>
          <w:szCs w:val="16"/>
        </w:rPr>
        <w:t>school</w:t>
      </w:r>
      <w:proofErr w:type="gramEnd"/>
      <w:r w:rsidRPr="00781112">
        <w:rPr>
          <w:rFonts w:cs="Arial"/>
          <w:color w:val="000000" w:themeColor="text1"/>
          <w:szCs w:val="16"/>
        </w:rPr>
        <w:t xml:space="preserve"> name for which it would like to view school level data. Additionally, PRDE's SPP/APR, which will be published once the </w:t>
      </w:r>
      <w:proofErr w:type="gramStart"/>
      <w:r w:rsidRPr="00781112">
        <w:rPr>
          <w:rFonts w:cs="Arial"/>
          <w:color w:val="000000" w:themeColor="text1"/>
          <w:szCs w:val="16"/>
        </w:rPr>
        <w:t>final version</w:t>
      </w:r>
      <w:proofErr w:type="gramEnd"/>
      <w:r w:rsidRPr="00781112">
        <w:rPr>
          <w:rFonts w:cs="Arial"/>
          <w:color w:val="000000" w:themeColor="text1"/>
          <w:szCs w:val="16"/>
        </w:rPr>
        <w:t xml:space="preserve"> can be extracted from the EMAPS system, provides detailed data on assessment accommodations and alternate assessments.</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r w:rsidRPr="00781112">
        <w:rPr>
          <w:rFonts w:cs="Arial"/>
          <w:color w:val="000000" w:themeColor="text1"/>
          <w:szCs w:val="16"/>
        </w:rPr>
        <w:t>As noted by OSEP in the “Prior FFY Required Actions” section below, PRDE received a waiver of the assessment requirements for the 2020-2021 school year, and as a result, did not provide baselines or targets for this indicator with the FFY 2020 SPP/APR submission. As such, PRDE was required to provide baselines and targets for FFY 2021 through FFY 2025 for Indicator 3 in its FFY 2021 SPP/APR. PRDE has provided the required baselines and targets.</w:t>
      </w:r>
      <w:r w:rsidRPr="00781112">
        <w:rPr>
          <w:rFonts w:cs="Arial"/>
          <w:color w:val="000000" w:themeColor="text1"/>
          <w:szCs w:val="16"/>
        </w:rPr>
        <w:br/>
        <w:t xml:space="preserve"> </w:t>
      </w:r>
      <w:r w:rsidRPr="00781112">
        <w:rPr>
          <w:rFonts w:cs="Arial"/>
          <w:color w:val="000000" w:themeColor="text1"/>
          <w:szCs w:val="16"/>
        </w:rPr>
        <w:br/>
        <w:t xml:space="preserve">This is the first year for which PRDE has set a baseline and targets regarding the participation of children with IEPs on statewide assessments (previously Ind. 3B, now Ind. 3A) that is broken down by grade level. Previously, PRDE reported on the aggregated participation levels for both reading and math (i.e., two baselines and targets each year). Now, PRDE is reporting on </w:t>
      </w:r>
      <w:proofErr w:type="gramStart"/>
      <w:r w:rsidRPr="00781112">
        <w:rPr>
          <w:rFonts w:cs="Arial"/>
          <w:color w:val="000000" w:themeColor="text1"/>
          <w:szCs w:val="16"/>
        </w:rPr>
        <w:t>6</w:t>
      </w:r>
      <w:proofErr w:type="gramEnd"/>
      <w:r w:rsidRPr="00781112">
        <w:rPr>
          <w:rFonts w:cs="Arial"/>
          <w:color w:val="000000" w:themeColor="text1"/>
          <w:szCs w:val="16"/>
        </w:rPr>
        <w:t xml:space="preserve"> different participation rates—both math and reading at each the 4th grade, 8th grade, and high school levels (i.e., six baselines and targets each year). Moreover, when PRDE reported just two data points, the baseline year was 2005, eighteen (18) years ago. Due to the new need to set baselines for data disaggregated by grade level, PRDE determined, in consultation with stakeholders, that it was appropriate to establish baselines based on current year data.</w:t>
      </w: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 xml:space="preserve">PRDE received a waiver of the assessment requirements and as a result, did not provide baselines or targets for this indicator, as required by the measurement table. In its FFY 2021 SPP/APR, PRDE must provide the required baselines and targets for FFY 2021 through FFY </w:t>
      </w:r>
      <w:proofErr w:type="gramStart"/>
      <w:r w:rsidRPr="00781112">
        <w:rPr>
          <w:rFonts w:cs="Arial"/>
          <w:color w:val="000000" w:themeColor="text1"/>
          <w:szCs w:val="16"/>
        </w:rPr>
        <w:t>2025..</w:t>
      </w:r>
      <w:proofErr w:type="gramEnd"/>
    </w:p>
    <w:p w14:paraId="47286128" w14:textId="02FB1092" w:rsidR="00361CFA" w:rsidRPr="00781112" w:rsidRDefault="007639D7" w:rsidP="00361CFA">
      <w:pPr>
        <w:rPr>
          <w:color w:val="000000" w:themeColor="text1"/>
        </w:rPr>
      </w:pPr>
      <w:r>
        <w:rPr>
          <w:b/>
          <w:color w:val="000000" w:themeColor="text1"/>
        </w:rPr>
        <w:t>Response to actions required in FFY 2020 SPP/APR</w:t>
      </w:r>
      <w:r w:rsidR="00361CFA" w:rsidRPr="00781112">
        <w:rPr>
          <w:rFonts w:cs="Arial"/>
          <w:color w:val="000000" w:themeColor="text1"/>
          <w:szCs w:val="16"/>
        </w:rPr>
        <w:t xml:space="preserve"> </w:t>
      </w:r>
    </w:p>
    <w:p w14:paraId="7324288D" w14:textId="1285CFC6" w:rsidR="00361CFA" w:rsidRPr="00781112" w:rsidRDefault="00361CFA" w:rsidP="00361CFA">
      <w:pPr>
        <w:rPr>
          <w:rFonts w:cs="Arial"/>
          <w:color w:val="000000" w:themeColor="text1"/>
          <w:szCs w:val="16"/>
        </w:rPr>
      </w:pP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PRDE has revised the baseline for this indicator, using data from FFY 2021,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PRDE revised its targets for this indicator, and OSEP accepts those targets.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PRDE did not provide a Web link demonstrating that PRDE reported publicly on the participation of children with disabilities on statewide assessments with the same frequency and in the same detail as it reports on the assessments of nondisabled children, as required by 34 C.F.R. § 300.160(f). Specifically, PRDE has not reported the number of children with disabilities participating in regular assessments who were provided accommodations (that did not result in an invalid score) </w:t>
      </w:r>
      <w:proofErr w:type="gramStart"/>
      <w:r w:rsidRPr="00781112">
        <w:rPr>
          <w:rFonts w:cs="Arial"/>
          <w:color w:val="000000" w:themeColor="text1"/>
          <w:szCs w:val="16"/>
          <w:shd w:val="clear" w:color="auto" w:fill="FFFFFF"/>
        </w:rPr>
        <w:t>in order to</w:t>
      </w:r>
      <w:proofErr w:type="gramEnd"/>
      <w:r w:rsidRPr="00781112">
        <w:rPr>
          <w:rFonts w:cs="Arial"/>
          <w:color w:val="000000" w:themeColor="text1"/>
          <w:szCs w:val="16"/>
          <w:shd w:val="clear" w:color="auto" w:fill="FFFFFF"/>
        </w:rPr>
        <w:t xml:space="preserve"> participate in those assessments at the school level. The failure to publicly report as required under 34 C.F.R. § 300.160(f) is noncompliance.</w:t>
      </w: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Within 90 days of the receipt of PRDE's 2023 determination letter, PRDE must provide to OSEP a Web link that demonstrates that it has reported, for FFY 2021, to the public, on the statewide assessments of children with disabilities in accordance with 34 C.F.R. § 300.160(f). In addition, OSEP reminds PRDE that in the FFY 2022 SPP/APR, PRDE must include a Web link that demonstrates compliance with 34 C.F.R. § 300.160(f) for FFY 2022.</w:t>
      </w: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11"/>
      <w:bookmarkEnd w:id="12"/>
    </w:p>
    <w:p w14:paraId="66C662B8" w14:textId="77777777" w:rsidR="007C3C89" w:rsidRPr="00781112" w:rsidRDefault="007C3C89" w:rsidP="00A018D4">
      <w:pPr>
        <w:rPr>
          <w:color w:val="000000" w:themeColor="text1"/>
          <w:szCs w:val="20"/>
        </w:rPr>
      </w:pPr>
      <w:bookmarkStart w:id="14"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 xml:space="preserve">Proficiency rate percent = [(# of children with IEPs scoring at or above proficient against grade level academic achievement standards) divided by the (total # of children with IEPs who received a valid score and for whom a proficiency level </w:t>
      </w:r>
      <w:proofErr w:type="gramStart"/>
      <w:r w:rsidR="001B1437" w:rsidRPr="00781112">
        <w:rPr>
          <w:rFonts w:cs="Arial"/>
          <w:szCs w:val="16"/>
        </w:rPr>
        <w:t>was assigned</w:t>
      </w:r>
      <w:proofErr w:type="gramEnd"/>
      <w:r w:rsidR="001B1437" w:rsidRPr="00781112">
        <w:rPr>
          <w:rFonts w:cs="Arial"/>
          <w:szCs w:val="16"/>
        </w:rPr>
        <w:t xml:space="preserve">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 xml:space="preserve">Include information regarding where to find public reports of assessment participation and performance results, as required by 34 CFR §300.160(f), i.e., a link to the Web site where these data </w:t>
      </w:r>
      <w:proofErr w:type="gramStart"/>
      <w:r w:rsidRPr="00781112">
        <w:rPr>
          <w:rFonts w:cs="Arial"/>
          <w:color w:val="000000" w:themeColor="text1"/>
          <w:szCs w:val="16"/>
        </w:rPr>
        <w:t>are reported</w:t>
      </w:r>
      <w:proofErr w:type="gramEnd"/>
      <w:r w:rsidRPr="00781112">
        <w:rPr>
          <w:rFonts w:cs="Arial"/>
          <w:color w:val="000000" w:themeColor="text1"/>
          <w:szCs w:val="16"/>
        </w:rPr>
        <w:t>.</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4"/>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27.43%</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17.00%</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14.44%</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35.69%</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4.00%</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1.46%</w:t>
            </w:r>
          </w:p>
        </w:tc>
      </w:tr>
    </w:tbl>
    <w:p w14:paraId="59FDF599" w14:textId="77777777" w:rsidR="00E87854" w:rsidRPr="00781112" w:rsidRDefault="00E87854" w:rsidP="004369B2">
      <w:pPr>
        <w:rPr>
          <w:b/>
          <w:color w:val="000000" w:themeColor="text1"/>
        </w:rPr>
      </w:pPr>
    </w:p>
    <w:p w14:paraId="4E5C7995" w14:textId="4B1994AB" w:rsidR="004D0044" w:rsidRPr="00781112" w:rsidRDefault="00AA3A41" w:rsidP="00AA3A41">
      <w:pPr>
        <w:tabs>
          <w:tab w:val="left" w:pos="2145"/>
        </w:tabs>
        <w:rPr>
          <w:color w:val="000000" w:themeColor="text1"/>
        </w:rPr>
      </w:pPr>
      <w:r>
        <w:rPr>
          <w:color w:val="000000" w:themeColor="text1"/>
        </w:rPr>
        <w:tab/>
      </w:r>
    </w:p>
    <w:p w14:paraId="38F110A8" w14:textId="3014A321" w:rsidR="00E539AB" w:rsidRPr="00781112" w:rsidRDefault="00E539AB" w:rsidP="004369B2">
      <w:pPr>
        <w:rPr>
          <w:b/>
          <w:color w:val="000000" w:themeColor="text1"/>
        </w:rPr>
      </w:pPr>
      <w:r w:rsidRPr="00781112">
        <w:rPr>
          <w:b/>
          <w:color w:val="000000" w:themeColor="text1"/>
        </w:rPr>
        <w:t>Targets</w:t>
      </w:r>
    </w:p>
    <w:tbl>
      <w:tblPr>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tblGrid>
      <w:tr w:rsidR="00B14519" w:rsidRPr="00781112" w14:paraId="241559C7" w14:textId="3976E689" w:rsidTr="00451D7E">
        <w:tc>
          <w:tcPr>
            <w:tcW w:w="624" w:type="pct"/>
            <w:tcBorders>
              <w:bottom w:val="single" w:sz="4" w:space="0" w:color="auto"/>
            </w:tcBorders>
            <w:shd w:val="clear" w:color="auto" w:fill="auto"/>
            <w:vAlign w:val="center"/>
          </w:tcPr>
          <w:p w14:paraId="5F6C0247" w14:textId="02A2F5D1" w:rsidR="00B14519" w:rsidRPr="00781112" w:rsidRDefault="00B14519" w:rsidP="00536B0B">
            <w:pPr>
              <w:jc w:val="center"/>
              <w:rPr>
                <w:b/>
                <w:color w:val="000000" w:themeColor="text1"/>
              </w:rPr>
            </w:pPr>
            <w:r w:rsidRPr="00781112">
              <w:rPr>
                <w:b/>
                <w:color w:val="000000" w:themeColor="text1"/>
              </w:rPr>
              <w:t>Subject</w:t>
            </w:r>
          </w:p>
        </w:tc>
        <w:tc>
          <w:tcPr>
            <w:tcW w:w="625" w:type="pct"/>
            <w:tcBorders>
              <w:bottom w:val="single" w:sz="4" w:space="0" w:color="auto"/>
            </w:tcBorders>
            <w:shd w:val="clear" w:color="auto" w:fill="auto"/>
            <w:vAlign w:val="center"/>
          </w:tcPr>
          <w:p w14:paraId="1318C08B" w14:textId="57349DD9" w:rsidR="00B14519" w:rsidRPr="00781112" w:rsidRDefault="00B14519" w:rsidP="00536B0B">
            <w:pPr>
              <w:jc w:val="center"/>
              <w:rPr>
                <w:b/>
                <w:color w:val="000000" w:themeColor="text1"/>
              </w:rPr>
            </w:pPr>
            <w:r w:rsidRPr="00781112">
              <w:rPr>
                <w:b/>
                <w:color w:val="000000" w:themeColor="text1"/>
              </w:rPr>
              <w:t>Group</w:t>
            </w:r>
          </w:p>
        </w:tc>
        <w:tc>
          <w:tcPr>
            <w:tcW w:w="625" w:type="pct"/>
            <w:shd w:val="clear" w:color="auto" w:fill="auto"/>
            <w:vAlign w:val="center"/>
          </w:tcPr>
          <w:p w14:paraId="7EAB09FA" w14:textId="030EC418" w:rsidR="00B14519" w:rsidRPr="00781112" w:rsidDel="008E7B87" w:rsidRDefault="00B14519" w:rsidP="00536B0B">
            <w:pPr>
              <w:jc w:val="center"/>
              <w:rPr>
                <w:b/>
                <w:color w:val="000000" w:themeColor="text1"/>
              </w:rPr>
            </w:pPr>
            <w:r w:rsidRPr="00781112">
              <w:rPr>
                <w:b/>
                <w:color w:val="000000" w:themeColor="text1"/>
              </w:rPr>
              <w:t>Group Name</w:t>
            </w:r>
          </w:p>
        </w:tc>
        <w:tc>
          <w:tcPr>
            <w:tcW w:w="625" w:type="pct"/>
            <w:shd w:val="clear" w:color="auto" w:fill="auto"/>
            <w:vAlign w:val="center"/>
          </w:tcPr>
          <w:p w14:paraId="547F4988" w14:textId="1F981DE2" w:rsidR="00B14519" w:rsidRPr="00781112" w:rsidRDefault="00B14519" w:rsidP="00536B0B">
            <w:pPr>
              <w:jc w:val="center"/>
              <w:rPr>
                <w:b/>
                <w:color w:val="000000" w:themeColor="text1"/>
              </w:rPr>
            </w:pPr>
            <w:r w:rsidRPr="00781112">
              <w:rPr>
                <w:b/>
                <w:color w:val="000000" w:themeColor="text1"/>
              </w:rPr>
              <w:t>2021</w:t>
            </w:r>
          </w:p>
        </w:tc>
        <w:tc>
          <w:tcPr>
            <w:tcW w:w="625" w:type="pct"/>
            <w:vAlign w:val="center"/>
          </w:tcPr>
          <w:p w14:paraId="54E0670C" w14:textId="46A8862B" w:rsidR="00B14519" w:rsidRPr="00781112" w:rsidRDefault="00B14519" w:rsidP="00536B0B">
            <w:pPr>
              <w:jc w:val="center"/>
              <w:rPr>
                <w:b/>
                <w:color w:val="000000" w:themeColor="text1"/>
              </w:rPr>
            </w:pPr>
            <w:r w:rsidRPr="00781112">
              <w:rPr>
                <w:rFonts w:cs="Arial"/>
                <w:b/>
                <w:color w:val="000000" w:themeColor="text1"/>
                <w:szCs w:val="16"/>
              </w:rPr>
              <w:t>2022</w:t>
            </w:r>
          </w:p>
        </w:tc>
        <w:tc>
          <w:tcPr>
            <w:tcW w:w="625" w:type="pct"/>
            <w:vAlign w:val="center"/>
          </w:tcPr>
          <w:p w14:paraId="0317CAEF" w14:textId="4A2FF736" w:rsidR="00B14519" w:rsidRPr="00781112" w:rsidRDefault="00B14519" w:rsidP="00536B0B">
            <w:pPr>
              <w:jc w:val="center"/>
              <w:rPr>
                <w:b/>
                <w:color w:val="000000" w:themeColor="text1"/>
              </w:rPr>
            </w:pPr>
            <w:r w:rsidRPr="00781112">
              <w:rPr>
                <w:rFonts w:cs="Arial"/>
                <w:b/>
                <w:color w:val="000000" w:themeColor="text1"/>
                <w:szCs w:val="16"/>
              </w:rPr>
              <w:t>2023</w:t>
            </w:r>
          </w:p>
        </w:tc>
        <w:tc>
          <w:tcPr>
            <w:tcW w:w="625" w:type="pct"/>
            <w:vAlign w:val="center"/>
          </w:tcPr>
          <w:p w14:paraId="20B86A7A" w14:textId="2D2BB96C" w:rsidR="00B14519" w:rsidRPr="00781112" w:rsidRDefault="00B14519" w:rsidP="00536B0B">
            <w:pPr>
              <w:jc w:val="center"/>
              <w:rPr>
                <w:b/>
                <w:color w:val="000000" w:themeColor="text1"/>
              </w:rPr>
            </w:pPr>
            <w:r w:rsidRPr="00781112">
              <w:rPr>
                <w:rFonts w:cs="Arial"/>
                <w:b/>
                <w:color w:val="000000" w:themeColor="text1"/>
                <w:szCs w:val="16"/>
              </w:rPr>
              <w:t>2024</w:t>
            </w:r>
          </w:p>
        </w:tc>
        <w:tc>
          <w:tcPr>
            <w:tcW w:w="625" w:type="pct"/>
            <w:vAlign w:val="center"/>
          </w:tcPr>
          <w:p w14:paraId="076A0812" w14:textId="01751FCE" w:rsidR="00B14519" w:rsidRPr="00781112" w:rsidRDefault="00B14519" w:rsidP="00536B0B">
            <w:pPr>
              <w:jc w:val="center"/>
              <w:rPr>
                <w:b/>
                <w:color w:val="000000" w:themeColor="text1"/>
              </w:rPr>
            </w:pPr>
            <w:r w:rsidRPr="00781112">
              <w:rPr>
                <w:rFonts w:cs="Arial"/>
                <w:b/>
                <w:color w:val="000000" w:themeColor="text1"/>
                <w:szCs w:val="16"/>
              </w:rPr>
              <w:t>2025</w:t>
            </w:r>
          </w:p>
        </w:tc>
      </w:tr>
      <w:tr w:rsidR="00B14519" w:rsidRPr="00781112" w14:paraId="6D8B6989" w14:textId="160D0375" w:rsidTr="00451D7E">
        <w:tc>
          <w:tcPr>
            <w:tcW w:w="624" w:type="pct"/>
            <w:shd w:val="clear" w:color="auto" w:fill="auto"/>
            <w:vAlign w:val="center"/>
          </w:tcPr>
          <w:p w14:paraId="1B70FAC0" w14:textId="0849CE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6221F405" w14:textId="189877A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6D2C8AC8" w14:textId="0101FADC"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1794FDC8" w14:textId="2C32479D" w:rsidR="00B14519" w:rsidRPr="00781112" w:rsidRDefault="00B14519" w:rsidP="004E5C74">
            <w:pPr>
              <w:jc w:val="center"/>
              <w:rPr>
                <w:rFonts w:cs="Arial"/>
                <w:color w:val="000000" w:themeColor="text1"/>
                <w:szCs w:val="16"/>
              </w:rPr>
            </w:pPr>
            <w:r w:rsidRPr="00781112">
              <w:rPr>
                <w:rFonts w:cs="Arial"/>
                <w:color w:val="000000" w:themeColor="text1"/>
                <w:szCs w:val="16"/>
              </w:rPr>
              <w:t>27.43%</w:t>
            </w:r>
          </w:p>
        </w:tc>
        <w:tc>
          <w:tcPr>
            <w:tcW w:w="625" w:type="pct"/>
            <w:vAlign w:val="center"/>
          </w:tcPr>
          <w:p w14:paraId="609A7D0F" w14:textId="138D9671" w:rsidR="00B14519" w:rsidRPr="00781112" w:rsidRDefault="00B14519" w:rsidP="004E5C74">
            <w:pPr>
              <w:jc w:val="center"/>
              <w:rPr>
                <w:rFonts w:cs="Arial"/>
                <w:color w:val="000000" w:themeColor="text1"/>
                <w:szCs w:val="16"/>
              </w:rPr>
            </w:pPr>
            <w:r w:rsidRPr="00781112">
              <w:rPr>
                <w:rFonts w:cs="Arial"/>
                <w:color w:val="000000" w:themeColor="text1"/>
                <w:szCs w:val="16"/>
              </w:rPr>
              <w:t>27.50%</w:t>
            </w:r>
          </w:p>
        </w:tc>
        <w:tc>
          <w:tcPr>
            <w:tcW w:w="625" w:type="pct"/>
            <w:vAlign w:val="center"/>
          </w:tcPr>
          <w:p w14:paraId="3DF1FAFA" w14:textId="4C333171" w:rsidR="00B14519" w:rsidRPr="00781112" w:rsidRDefault="00B14519" w:rsidP="004E5C74">
            <w:pPr>
              <w:jc w:val="center"/>
              <w:rPr>
                <w:rFonts w:cs="Arial"/>
                <w:color w:val="000000" w:themeColor="text1"/>
                <w:szCs w:val="16"/>
              </w:rPr>
            </w:pPr>
            <w:r w:rsidRPr="00781112">
              <w:rPr>
                <w:rFonts w:cs="Arial"/>
                <w:color w:val="000000" w:themeColor="text1"/>
                <w:szCs w:val="16"/>
              </w:rPr>
              <w:t>27.50%</w:t>
            </w:r>
          </w:p>
        </w:tc>
        <w:tc>
          <w:tcPr>
            <w:tcW w:w="625" w:type="pct"/>
            <w:vAlign w:val="center"/>
          </w:tcPr>
          <w:p w14:paraId="77B3DA55" w14:textId="44F9C6DA" w:rsidR="00B14519" w:rsidRPr="00781112" w:rsidRDefault="00B14519" w:rsidP="004E5C74">
            <w:pPr>
              <w:jc w:val="center"/>
              <w:rPr>
                <w:rFonts w:cs="Arial"/>
                <w:color w:val="000000" w:themeColor="text1"/>
                <w:szCs w:val="16"/>
              </w:rPr>
            </w:pPr>
            <w:r w:rsidRPr="00781112">
              <w:rPr>
                <w:rFonts w:cs="Arial"/>
                <w:color w:val="000000" w:themeColor="text1"/>
                <w:szCs w:val="16"/>
              </w:rPr>
              <w:t>27.60%</w:t>
            </w:r>
          </w:p>
        </w:tc>
        <w:tc>
          <w:tcPr>
            <w:tcW w:w="625" w:type="pct"/>
            <w:vAlign w:val="center"/>
          </w:tcPr>
          <w:p w14:paraId="59DDD0B3" w14:textId="64292362" w:rsidR="00B14519" w:rsidRPr="00781112" w:rsidRDefault="00B14519" w:rsidP="004E5C74">
            <w:pPr>
              <w:jc w:val="center"/>
              <w:rPr>
                <w:rFonts w:cs="Arial"/>
                <w:color w:val="000000" w:themeColor="text1"/>
                <w:szCs w:val="16"/>
              </w:rPr>
            </w:pPr>
            <w:r w:rsidRPr="00781112">
              <w:rPr>
                <w:rFonts w:cs="Arial"/>
                <w:color w:val="000000" w:themeColor="text1"/>
                <w:szCs w:val="16"/>
              </w:rPr>
              <w:t>27.70%</w:t>
            </w:r>
          </w:p>
        </w:tc>
      </w:tr>
      <w:tr w:rsidR="00B14519" w:rsidRPr="00781112" w14:paraId="6BD665D1" w14:textId="5FDF63E7" w:rsidTr="00451D7E">
        <w:tc>
          <w:tcPr>
            <w:tcW w:w="624" w:type="pct"/>
            <w:shd w:val="clear" w:color="auto" w:fill="auto"/>
            <w:vAlign w:val="center"/>
          </w:tcPr>
          <w:p w14:paraId="2A84087F" w14:textId="4E8F4953"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646C0D6" w14:textId="23685D2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67079A1D" w14:textId="08C9FD02"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03609D46" w14:textId="75CA57B6" w:rsidR="00B14519" w:rsidRPr="00781112" w:rsidRDefault="00B14519" w:rsidP="004E5C74">
            <w:pPr>
              <w:jc w:val="center"/>
              <w:rPr>
                <w:rFonts w:cs="Arial"/>
                <w:color w:val="000000" w:themeColor="text1"/>
                <w:szCs w:val="16"/>
              </w:rPr>
            </w:pPr>
            <w:r w:rsidRPr="00781112">
              <w:rPr>
                <w:rFonts w:cs="Arial"/>
                <w:color w:val="000000" w:themeColor="text1"/>
                <w:szCs w:val="16"/>
              </w:rPr>
              <w:t>17.00%</w:t>
            </w:r>
          </w:p>
        </w:tc>
        <w:tc>
          <w:tcPr>
            <w:tcW w:w="625" w:type="pct"/>
            <w:vAlign w:val="center"/>
          </w:tcPr>
          <w:p w14:paraId="08D72C36" w14:textId="2621CBFF" w:rsidR="00B14519" w:rsidRPr="00781112" w:rsidRDefault="00B14519" w:rsidP="004E5C74">
            <w:pPr>
              <w:jc w:val="center"/>
              <w:rPr>
                <w:rFonts w:cs="Arial"/>
                <w:color w:val="000000" w:themeColor="text1"/>
                <w:szCs w:val="16"/>
              </w:rPr>
            </w:pPr>
            <w:r w:rsidRPr="00781112">
              <w:rPr>
                <w:rFonts w:cs="Arial"/>
                <w:color w:val="000000" w:themeColor="text1"/>
                <w:szCs w:val="16"/>
              </w:rPr>
              <w:t>17.10%</w:t>
            </w:r>
          </w:p>
        </w:tc>
        <w:tc>
          <w:tcPr>
            <w:tcW w:w="625" w:type="pct"/>
            <w:vAlign w:val="center"/>
          </w:tcPr>
          <w:p w14:paraId="60E9FAA2" w14:textId="0E1508C1" w:rsidR="00B14519" w:rsidRPr="00781112" w:rsidRDefault="00B14519" w:rsidP="004E5C74">
            <w:pPr>
              <w:jc w:val="center"/>
              <w:rPr>
                <w:rFonts w:cs="Arial"/>
                <w:color w:val="000000" w:themeColor="text1"/>
                <w:szCs w:val="16"/>
              </w:rPr>
            </w:pPr>
            <w:r w:rsidRPr="00781112">
              <w:rPr>
                <w:rFonts w:cs="Arial"/>
                <w:color w:val="000000" w:themeColor="text1"/>
                <w:szCs w:val="16"/>
              </w:rPr>
              <w:t>17.10%</w:t>
            </w:r>
          </w:p>
        </w:tc>
        <w:tc>
          <w:tcPr>
            <w:tcW w:w="625" w:type="pct"/>
            <w:vAlign w:val="center"/>
          </w:tcPr>
          <w:p w14:paraId="55ED1028" w14:textId="05411637" w:rsidR="00B14519" w:rsidRPr="00781112" w:rsidRDefault="00B14519" w:rsidP="004E5C74">
            <w:pPr>
              <w:jc w:val="center"/>
              <w:rPr>
                <w:rFonts w:cs="Arial"/>
                <w:color w:val="000000" w:themeColor="text1"/>
                <w:szCs w:val="16"/>
              </w:rPr>
            </w:pPr>
            <w:r w:rsidRPr="00781112">
              <w:rPr>
                <w:rFonts w:cs="Arial"/>
                <w:color w:val="000000" w:themeColor="text1"/>
                <w:szCs w:val="16"/>
              </w:rPr>
              <w:t>17.20%</w:t>
            </w:r>
          </w:p>
        </w:tc>
        <w:tc>
          <w:tcPr>
            <w:tcW w:w="625" w:type="pct"/>
            <w:vAlign w:val="center"/>
          </w:tcPr>
          <w:p w14:paraId="3D7C28F8" w14:textId="2CE26657" w:rsidR="00B14519" w:rsidRPr="00781112" w:rsidRDefault="00B14519" w:rsidP="004E5C74">
            <w:pPr>
              <w:jc w:val="center"/>
              <w:rPr>
                <w:rFonts w:cs="Arial"/>
                <w:color w:val="000000" w:themeColor="text1"/>
                <w:szCs w:val="16"/>
              </w:rPr>
            </w:pPr>
            <w:r w:rsidRPr="00781112">
              <w:rPr>
                <w:rFonts w:cs="Arial"/>
                <w:color w:val="000000" w:themeColor="text1"/>
                <w:szCs w:val="16"/>
              </w:rPr>
              <w:t>17.30%</w:t>
            </w:r>
          </w:p>
        </w:tc>
      </w:tr>
      <w:tr w:rsidR="00B14519" w:rsidRPr="00781112" w14:paraId="7A08D372" w14:textId="5FBBCE88" w:rsidTr="00451D7E">
        <w:tc>
          <w:tcPr>
            <w:tcW w:w="624" w:type="pct"/>
            <w:shd w:val="clear" w:color="auto" w:fill="auto"/>
            <w:vAlign w:val="center"/>
          </w:tcPr>
          <w:p w14:paraId="3C8DF435" w14:textId="69FCCDF1"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CDE7790" w14:textId="3B90C904"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69727A60" w14:textId="2476755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6D9D8EC6" w14:textId="3C7C8315" w:rsidR="00B14519" w:rsidRPr="00781112" w:rsidRDefault="00B14519" w:rsidP="004E5C74">
            <w:pPr>
              <w:jc w:val="center"/>
              <w:rPr>
                <w:rFonts w:cs="Arial"/>
                <w:color w:val="000000" w:themeColor="text1"/>
                <w:szCs w:val="16"/>
              </w:rPr>
            </w:pPr>
            <w:r w:rsidRPr="00781112">
              <w:rPr>
                <w:rFonts w:cs="Arial"/>
                <w:color w:val="000000" w:themeColor="text1"/>
                <w:szCs w:val="16"/>
              </w:rPr>
              <w:t>14.44%</w:t>
            </w:r>
          </w:p>
        </w:tc>
        <w:tc>
          <w:tcPr>
            <w:tcW w:w="625" w:type="pct"/>
            <w:vAlign w:val="center"/>
          </w:tcPr>
          <w:p w14:paraId="6F53672D" w14:textId="674E45B1" w:rsidR="00B14519" w:rsidRPr="00781112" w:rsidRDefault="00B14519" w:rsidP="004E5C74">
            <w:pPr>
              <w:jc w:val="center"/>
              <w:rPr>
                <w:rFonts w:cs="Arial"/>
                <w:color w:val="000000" w:themeColor="text1"/>
                <w:szCs w:val="16"/>
              </w:rPr>
            </w:pPr>
            <w:r w:rsidRPr="00781112">
              <w:rPr>
                <w:rFonts w:cs="Arial"/>
                <w:color w:val="000000" w:themeColor="text1"/>
                <w:szCs w:val="16"/>
              </w:rPr>
              <w:t>14.50%</w:t>
            </w:r>
          </w:p>
        </w:tc>
        <w:tc>
          <w:tcPr>
            <w:tcW w:w="625" w:type="pct"/>
            <w:vAlign w:val="center"/>
          </w:tcPr>
          <w:p w14:paraId="1E839895" w14:textId="3633076A" w:rsidR="00B14519" w:rsidRPr="00781112" w:rsidRDefault="00B14519" w:rsidP="004E5C74">
            <w:pPr>
              <w:jc w:val="center"/>
              <w:rPr>
                <w:rFonts w:cs="Arial"/>
                <w:color w:val="000000" w:themeColor="text1"/>
                <w:szCs w:val="16"/>
              </w:rPr>
            </w:pPr>
            <w:r w:rsidRPr="00781112">
              <w:rPr>
                <w:rFonts w:cs="Arial"/>
                <w:color w:val="000000" w:themeColor="text1"/>
                <w:szCs w:val="16"/>
              </w:rPr>
              <w:t>14.50%</w:t>
            </w:r>
          </w:p>
        </w:tc>
        <w:tc>
          <w:tcPr>
            <w:tcW w:w="625" w:type="pct"/>
            <w:vAlign w:val="center"/>
          </w:tcPr>
          <w:p w14:paraId="64501470" w14:textId="22292C16" w:rsidR="00B14519" w:rsidRPr="00781112" w:rsidRDefault="00B14519" w:rsidP="004E5C74">
            <w:pPr>
              <w:jc w:val="center"/>
              <w:rPr>
                <w:rFonts w:cs="Arial"/>
                <w:color w:val="000000" w:themeColor="text1"/>
                <w:szCs w:val="16"/>
              </w:rPr>
            </w:pPr>
            <w:r w:rsidRPr="00781112">
              <w:rPr>
                <w:rFonts w:cs="Arial"/>
                <w:color w:val="000000" w:themeColor="text1"/>
                <w:szCs w:val="16"/>
              </w:rPr>
              <w:t>14.55%</w:t>
            </w:r>
          </w:p>
        </w:tc>
        <w:tc>
          <w:tcPr>
            <w:tcW w:w="625" w:type="pct"/>
            <w:vAlign w:val="center"/>
          </w:tcPr>
          <w:p w14:paraId="0CF7FF79" w14:textId="48B4AF2C" w:rsidR="00B14519" w:rsidRPr="00781112" w:rsidRDefault="00B14519" w:rsidP="004E5C74">
            <w:pPr>
              <w:jc w:val="center"/>
              <w:rPr>
                <w:rFonts w:cs="Arial"/>
                <w:color w:val="000000" w:themeColor="text1"/>
                <w:szCs w:val="16"/>
              </w:rPr>
            </w:pPr>
            <w:r w:rsidRPr="00781112">
              <w:rPr>
                <w:rFonts w:cs="Arial"/>
                <w:color w:val="000000" w:themeColor="text1"/>
                <w:szCs w:val="16"/>
              </w:rPr>
              <w:t>14.60%</w:t>
            </w:r>
          </w:p>
        </w:tc>
      </w:tr>
      <w:tr w:rsidR="00B14519" w:rsidRPr="00781112" w14:paraId="734BCCC4" w14:textId="02B757A8" w:rsidTr="00451D7E">
        <w:tc>
          <w:tcPr>
            <w:tcW w:w="624" w:type="pct"/>
            <w:shd w:val="clear" w:color="auto" w:fill="auto"/>
            <w:vAlign w:val="center"/>
          </w:tcPr>
          <w:p w14:paraId="20286AC8" w14:textId="018C9C4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185C8DA8" w14:textId="625489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16FD84A2" w14:textId="1BD2010B"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0005999A" w14:textId="601F796F" w:rsidR="00B14519" w:rsidRPr="00781112" w:rsidRDefault="00B14519" w:rsidP="004E5C74">
            <w:pPr>
              <w:jc w:val="center"/>
              <w:rPr>
                <w:rFonts w:cs="Arial"/>
                <w:color w:val="000000" w:themeColor="text1"/>
                <w:szCs w:val="16"/>
              </w:rPr>
            </w:pPr>
            <w:r w:rsidRPr="00781112">
              <w:rPr>
                <w:rFonts w:cs="Arial"/>
                <w:color w:val="000000" w:themeColor="text1"/>
                <w:szCs w:val="16"/>
              </w:rPr>
              <w:t>35.69%</w:t>
            </w:r>
          </w:p>
        </w:tc>
        <w:tc>
          <w:tcPr>
            <w:tcW w:w="625" w:type="pct"/>
            <w:vAlign w:val="center"/>
          </w:tcPr>
          <w:p w14:paraId="2ADA59C0" w14:textId="7F027C54" w:rsidR="00B14519" w:rsidRPr="00781112" w:rsidRDefault="00B14519" w:rsidP="004E5C74">
            <w:pPr>
              <w:jc w:val="center"/>
              <w:rPr>
                <w:rFonts w:cs="Arial"/>
                <w:color w:val="000000" w:themeColor="text1"/>
                <w:szCs w:val="16"/>
              </w:rPr>
            </w:pPr>
            <w:r w:rsidRPr="00781112">
              <w:rPr>
                <w:rFonts w:cs="Arial"/>
                <w:color w:val="000000" w:themeColor="text1"/>
                <w:szCs w:val="16"/>
              </w:rPr>
              <w:t>35.70%</w:t>
            </w:r>
          </w:p>
        </w:tc>
        <w:tc>
          <w:tcPr>
            <w:tcW w:w="625" w:type="pct"/>
            <w:vAlign w:val="center"/>
          </w:tcPr>
          <w:p w14:paraId="63258519" w14:textId="524B5DC2" w:rsidR="00B14519" w:rsidRPr="00781112" w:rsidRDefault="00B14519" w:rsidP="004E5C74">
            <w:pPr>
              <w:jc w:val="center"/>
              <w:rPr>
                <w:rFonts w:cs="Arial"/>
                <w:color w:val="000000" w:themeColor="text1"/>
                <w:szCs w:val="16"/>
              </w:rPr>
            </w:pPr>
            <w:r w:rsidRPr="00781112">
              <w:rPr>
                <w:rFonts w:cs="Arial"/>
                <w:color w:val="000000" w:themeColor="text1"/>
                <w:szCs w:val="16"/>
              </w:rPr>
              <w:t>35.75%</w:t>
            </w:r>
          </w:p>
        </w:tc>
        <w:tc>
          <w:tcPr>
            <w:tcW w:w="625" w:type="pct"/>
            <w:vAlign w:val="center"/>
          </w:tcPr>
          <w:p w14:paraId="4B2BD04F" w14:textId="59A32E65" w:rsidR="00B14519" w:rsidRPr="00781112" w:rsidRDefault="00B14519" w:rsidP="004E5C74">
            <w:pPr>
              <w:jc w:val="center"/>
              <w:rPr>
                <w:rFonts w:cs="Arial"/>
                <w:color w:val="000000" w:themeColor="text1"/>
                <w:szCs w:val="16"/>
              </w:rPr>
            </w:pPr>
            <w:r w:rsidRPr="00781112">
              <w:rPr>
                <w:rFonts w:cs="Arial"/>
                <w:color w:val="000000" w:themeColor="text1"/>
                <w:szCs w:val="16"/>
              </w:rPr>
              <w:t>35.75%</w:t>
            </w:r>
          </w:p>
        </w:tc>
        <w:tc>
          <w:tcPr>
            <w:tcW w:w="625" w:type="pct"/>
            <w:vAlign w:val="center"/>
          </w:tcPr>
          <w:p w14:paraId="2E366D74" w14:textId="47D73C6E" w:rsidR="00B14519" w:rsidRPr="00781112" w:rsidRDefault="00B14519" w:rsidP="004E5C74">
            <w:pPr>
              <w:jc w:val="center"/>
              <w:rPr>
                <w:rFonts w:cs="Arial"/>
                <w:color w:val="000000" w:themeColor="text1"/>
                <w:szCs w:val="16"/>
              </w:rPr>
            </w:pPr>
            <w:r w:rsidRPr="00781112">
              <w:rPr>
                <w:rFonts w:cs="Arial"/>
                <w:color w:val="000000" w:themeColor="text1"/>
                <w:szCs w:val="16"/>
              </w:rPr>
              <w:t>35.80%</w:t>
            </w:r>
          </w:p>
        </w:tc>
      </w:tr>
      <w:tr w:rsidR="00B14519" w:rsidRPr="00781112" w14:paraId="26043383" w14:textId="3D057A6F" w:rsidTr="00451D7E">
        <w:tc>
          <w:tcPr>
            <w:tcW w:w="624" w:type="pct"/>
            <w:shd w:val="clear" w:color="auto" w:fill="auto"/>
            <w:vAlign w:val="center"/>
          </w:tcPr>
          <w:p w14:paraId="2BCD3006" w14:textId="785241B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79B80F0C" w14:textId="52C3185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27B1E35D" w14:textId="336183A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25263A65" w14:textId="2189A9FC" w:rsidR="00B14519" w:rsidRPr="00781112" w:rsidRDefault="00B14519" w:rsidP="004E5C74">
            <w:pPr>
              <w:jc w:val="center"/>
              <w:rPr>
                <w:rFonts w:cs="Arial"/>
                <w:color w:val="000000" w:themeColor="text1"/>
                <w:szCs w:val="16"/>
              </w:rPr>
            </w:pPr>
            <w:r w:rsidRPr="00781112">
              <w:rPr>
                <w:rFonts w:cs="Arial"/>
                <w:color w:val="000000" w:themeColor="text1"/>
                <w:szCs w:val="16"/>
              </w:rPr>
              <w:t>4.00%</w:t>
            </w:r>
          </w:p>
        </w:tc>
        <w:tc>
          <w:tcPr>
            <w:tcW w:w="625" w:type="pct"/>
            <w:vAlign w:val="center"/>
          </w:tcPr>
          <w:p w14:paraId="558D49D9" w14:textId="56776B71" w:rsidR="00B14519" w:rsidRPr="00781112" w:rsidRDefault="00B14519" w:rsidP="004E5C74">
            <w:pPr>
              <w:jc w:val="center"/>
              <w:rPr>
                <w:rFonts w:cs="Arial"/>
                <w:color w:val="000000" w:themeColor="text1"/>
                <w:szCs w:val="16"/>
              </w:rPr>
            </w:pPr>
            <w:r w:rsidRPr="00781112">
              <w:rPr>
                <w:rFonts w:cs="Arial"/>
                <w:color w:val="000000" w:themeColor="text1"/>
                <w:szCs w:val="16"/>
              </w:rPr>
              <w:t>4.10%</w:t>
            </w:r>
          </w:p>
        </w:tc>
        <w:tc>
          <w:tcPr>
            <w:tcW w:w="625" w:type="pct"/>
            <w:vAlign w:val="center"/>
          </w:tcPr>
          <w:p w14:paraId="529C7F25" w14:textId="45E82B2D" w:rsidR="00B14519" w:rsidRPr="00781112" w:rsidRDefault="00B14519" w:rsidP="004E5C74">
            <w:pPr>
              <w:jc w:val="center"/>
              <w:rPr>
                <w:rFonts w:cs="Arial"/>
                <w:color w:val="000000" w:themeColor="text1"/>
                <w:szCs w:val="16"/>
              </w:rPr>
            </w:pPr>
            <w:r w:rsidRPr="00781112">
              <w:rPr>
                <w:rFonts w:cs="Arial"/>
                <w:color w:val="000000" w:themeColor="text1"/>
                <w:szCs w:val="16"/>
              </w:rPr>
              <w:t>4.10%</w:t>
            </w:r>
          </w:p>
        </w:tc>
        <w:tc>
          <w:tcPr>
            <w:tcW w:w="625" w:type="pct"/>
            <w:vAlign w:val="center"/>
          </w:tcPr>
          <w:p w14:paraId="0CD7F429" w14:textId="3C743F76" w:rsidR="00B14519" w:rsidRPr="00781112" w:rsidRDefault="00B14519" w:rsidP="004E5C74">
            <w:pPr>
              <w:jc w:val="center"/>
              <w:rPr>
                <w:rFonts w:cs="Arial"/>
                <w:color w:val="000000" w:themeColor="text1"/>
                <w:szCs w:val="16"/>
              </w:rPr>
            </w:pPr>
            <w:r w:rsidRPr="00781112">
              <w:rPr>
                <w:rFonts w:cs="Arial"/>
                <w:color w:val="000000" w:themeColor="text1"/>
                <w:szCs w:val="16"/>
              </w:rPr>
              <w:t>4.15%</w:t>
            </w:r>
          </w:p>
        </w:tc>
        <w:tc>
          <w:tcPr>
            <w:tcW w:w="625" w:type="pct"/>
            <w:vAlign w:val="center"/>
          </w:tcPr>
          <w:p w14:paraId="32C7804D" w14:textId="4585EF77" w:rsidR="00B14519" w:rsidRPr="00781112" w:rsidRDefault="00B14519" w:rsidP="004E5C74">
            <w:pPr>
              <w:jc w:val="center"/>
              <w:rPr>
                <w:rFonts w:cs="Arial"/>
                <w:color w:val="000000" w:themeColor="text1"/>
                <w:szCs w:val="16"/>
              </w:rPr>
            </w:pPr>
            <w:r w:rsidRPr="00781112">
              <w:rPr>
                <w:rFonts w:cs="Arial"/>
                <w:color w:val="000000" w:themeColor="text1"/>
                <w:szCs w:val="16"/>
              </w:rPr>
              <w:t>4.20%</w:t>
            </w:r>
          </w:p>
        </w:tc>
      </w:tr>
      <w:tr w:rsidR="00B14519" w:rsidRPr="00781112" w14:paraId="169D5323" w14:textId="1CB4A506" w:rsidTr="00451D7E">
        <w:tc>
          <w:tcPr>
            <w:tcW w:w="624" w:type="pct"/>
            <w:shd w:val="clear" w:color="auto" w:fill="auto"/>
            <w:vAlign w:val="center"/>
          </w:tcPr>
          <w:p w14:paraId="21DAE194" w14:textId="06AF53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650CB8D7" w14:textId="080D02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45DBFB21" w14:textId="372229DD"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341BF449" w14:textId="76191C29" w:rsidR="00B14519" w:rsidRPr="00781112" w:rsidRDefault="00B14519" w:rsidP="004E5C74">
            <w:pPr>
              <w:jc w:val="center"/>
              <w:rPr>
                <w:rFonts w:cs="Arial"/>
                <w:color w:val="000000" w:themeColor="text1"/>
                <w:szCs w:val="16"/>
              </w:rPr>
            </w:pPr>
            <w:r w:rsidRPr="00781112">
              <w:rPr>
                <w:rFonts w:cs="Arial"/>
                <w:color w:val="000000" w:themeColor="text1"/>
                <w:szCs w:val="16"/>
              </w:rPr>
              <w:t>1.46%</w:t>
            </w:r>
          </w:p>
        </w:tc>
        <w:tc>
          <w:tcPr>
            <w:tcW w:w="625" w:type="pct"/>
            <w:vAlign w:val="center"/>
          </w:tcPr>
          <w:p w14:paraId="5424FF66" w14:textId="7AB6DE06" w:rsidR="00B14519" w:rsidRPr="00781112" w:rsidRDefault="00B14519" w:rsidP="004E5C74">
            <w:pPr>
              <w:jc w:val="center"/>
              <w:rPr>
                <w:rFonts w:cs="Arial"/>
                <w:color w:val="000000" w:themeColor="text1"/>
                <w:szCs w:val="16"/>
              </w:rPr>
            </w:pPr>
            <w:r w:rsidRPr="00781112">
              <w:rPr>
                <w:rFonts w:cs="Arial"/>
                <w:color w:val="000000" w:themeColor="text1"/>
                <w:szCs w:val="16"/>
              </w:rPr>
              <w:t>1.50%</w:t>
            </w:r>
          </w:p>
        </w:tc>
        <w:tc>
          <w:tcPr>
            <w:tcW w:w="625" w:type="pct"/>
            <w:vAlign w:val="center"/>
          </w:tcPr>
          <w:p w14:paraId="552DC3D3" w14:textId="79B2C0C8" w:rsidR="00B14519" w:rsidRPr="00781112" w:rsidRDefault="00B14519" w:rsidP="004E5C74">
            <w:pPr>
              <w:jc w:val="center"/>
              <w:rPr>
                <w:rFonts w:cs="Arial"/>
                <w:color w:val="000000" w:themeColor="text1"/>
                <w:szCs w:val="16"/>
              </w:rPr>
            </w:pPr>
            <w:r w:rsidRPr="00781112">
              <w:rPr>
                <w:rFonts w:cs="Arial"/>
                <w:color w:val="000000" w:themeColor="text1"/>
                <w:szCs w:val="16"/>
              </w:rPr>
              <w:t>1.50%</w:t>
            </w:r>
          </w:p>
        </w:tc>
        <w:tc>
          <w:tcPr>
            <w:tcW w:w="625" w:type="pct"/>
            <w:vAlign w:val="center"/>
          </w:tcPr>
          <w:p w14:paraId="4ECE9215" w14:textId="1D6B1BD9" w:rsidR="00B14519" w:rsidRPr="00781112" w:rsidRDefault="00B14519" w:rsidP="004E5C74">
            <w:pPr>
              <w:jc w:val="center"/>
              <w:rPr>
                <w:rFonts w:cs="Arial"/>
                <w:color w:val="000000" w:themeColor="text1"/>
                <w:szCs w:val="16"/>
              </w:rPr>
            </w:pPr>
            <w:r w:rsidRPr="00781112">
              <w:rPr>
                <w:rFonts w:cs="Arial"/>
                <w:color w:val="000000" w:themeColor="text1"/>
                <w:szCs w:val="16"/>
              </w:rPr>
              <w:t>1.55%</w:t>
            </w:r>
          </w:p>
        </w:tc>
        <w:tc>
          <w:tcPr>
            <w:tcW w:w="625" w:type="pct"/>
            <w:vAlign w:val="center"/>
          </w:tcPr>
          <w:p w14:paraId="6E3EC3AC" w14:textId="066F1EBD" w:rsidR="00B14519" w:rsidRPr="00781112" w:rsidRDefault="00B14519" w:rsidP="004E5C74">
            <w:pPr>
              <w:jc w:val="center"/>
              <w:rPr>
                <w:rFonts w:cs="Arial"/>
                <w:color w:val="000000" w:themeColor="text1"/>
                <w:szCs w:val="16"/>
              </w:rPr>
            </w:pPr>
            <w:r w:rsidRPr="00781112">
              <w:rPr>
                <w:rFonts w:cs="Arial"/>
                <w:color w:val="000000" w:themeColor="text1"/>
                <w:szCs w:val="16"/>
              </w:rPr>
              <w:t>1.60%</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18FFE566" w14:textId="1BC11D3C" w:rsidR="002D145D" w:rsidRPr="00781112" w:rsidRDefault="002B7490" w:rsidP="002D145D">
      <w:pPr>
        <w:rPr>
          <w:rFonts w:cs="Arial"/>
          <w:color w:val="000000" w:themeColor="text1"/>
          <w:szCs w:val="16"/>
        </w:rPr>
      </w:pPr>
      <w:r w:rsidRPr="00781112">
        <w:rPr>
          <w:rFonts w:cs="Arial"/>
          <w:color w:val="000000" w:themeColor="text1"/>
          <w:szCs w:val="16"/>
        </w:rPr>
        <w:t xml:space="preserve">PRDE solicited broad stakeholder input on PRDE’s targets in the SPP/APR including any subsequent revisions made to those targets and the development and implementation of Indicator 17, Puerto Rico’s State Systemic Improvement Plan (SSIP). </w:t>
      </w:r>
      <w:r w:rsidRPr="00781112">
        <w:rPr>
          <w:rFonts w:cs="Arial"/>
          <w:color w:val="000000" w:themeColor="text1"/>
          <w:szCs w:val="16"/>
        </w:rPr>
        <w:br/>
      </w:r>
      <w:r w:rsidRPr="00781112">
        <w:rPr>
          <w:rFonts w:cs="Arial"/>
          <w:color w:val="000000" w:themeColor="text1"/>
          <w:szCs w:val="16"/>
        </w:rPr>
        <w:br/>
        <w:t xml:space="preserve">Our original stakeholder group, called the Comité Consultivo de Educación Especial (“Special Education Advisory Committee”), is responsible for advising PRDE regarding the needs in the education of children with disabilities and for </w:t>
      </w:r>
      <w:proofErr w:type="gramStart"/>
      <w:r w:rsidRPr="00781112">
        <w:rPr>
          <w:rFonts w:cs="Arial"/>
          <w:color w:val="000000" w:themeColor="text1"/>
          <w:szCs w:val="16"/>
        </w:rPr>
        <w:t>providing assistance</w:t>
      </w:r>
      <w:proofErr w:type="gramEnd"/>
      <w:r w:rsidRPr="00781112">
        <w:rPr>
          <w:rFonts w:cs="Arial"/>
          <w:color w:val="000000" w:themeColor="text1"/>
          <w:szCs w:val="16"/>
        </w:rPr>
        <w:t xml:space="preserve"> and feedback about reports to be submitted to the Federal Government including our SSIP. The group includes representation from various sectors such as: the non-profit organization Apoyo a Padres de Niños con Impedimentos (Support for Parents of Students with Disabilities, or APNI by its acronym in Spanish), the Puerto Rico Department of the Family, the Puerto Rico Vocational Rehabilitation Administration, the Puerto Rico Department of Health, Special Education Teachers, School Directors, parents of students with disabilities, SAEE personnel, autism representative, specialists such as a School Psychologist, Occupational Therapist, Speech Pathologist, and adult with impairment, and others. SAEE personnel participate continuously in meetings with the special education </w:t>
      </w:r>
      <w:proofErr w:type="gramStart"/>
      <w:r w:rsidRPr="00781112">
        <w:rPr>
          <w:rFonts w:cs="Arial"/>
          <w:color w:val="000000" w:themeColor="text1"/>
          <w:szCs w:val="16"/>
        </w:rPr>
        <w:t>stakeholders</w:t>
      </w:r>
      <w:proofErr w:type="gramEnd"/>
      <w:r w:rsidRPr="00781112">
        <w:rPr>
          <w:rFonts w:cs="Arial"/>
          <w:color w:val="000000" w:themeColor="text1"/>
          <w:szCs w:val="16"/>
        </w:rPr>
        <w:t xml:space="preserve"> group. </w:t>
      </w:r>
      <w:r w:rsidRPr="00781112">
        <w:rPr>
          <w:rFonts w:cs="Arial"/>
          <w:color w:val="000000" w:themeColor="text1"/>
          <w:szCs w:val="16"/>
        </w:rPr>
        <w:br/>
      </w:r>
      <w:r w:rsidRPr="00781112">
        <w:rPr>
          <w:rFonts w:cs="Arial"/>
          <w:color w:val="000000" w:themeColor="text1"/>
          <w:szCs w:val="16"/>
        </w:rPr>
        <w:lastRenderedPageBreak/>
        <w:br/>
        <w:t xml:space="preserve">The members of our stakeholder group also serve as liaisons for initiatives that benefit the special education population and their families. Recommendations provided </w:t>
      </w:r>
      <w:proofErr w:type="gramStart"/>
      <w:r w:rsidRPr="00781112">
        <w:rPr>
          <w:rFonts w:cs="Arial"/>
          <w:color w:val="000000" w:themeColor="text1"/>
          <w:szCs w:val="16"/>
        </w:rPr>
        <w:t>from</w:t>
      </w:r>
      <w:proofErr w:type="gramEnd"/>
      <w:r w:rsidRPr="00781112">
        <w:rPr>
          <w:rFonts w:cs="Arial"/>
          <w:color w:val="000000" w:themeColor="text1"/>
          <w:szCs w:val="16"/>
        </w:rPr>
        <w:t xml:space="preserve"> the stakeholders </w:t>
      </w:r>
      <w:proofErr w:type="gramStart"/>
      <w:r w:rsidRPr="00781112">
        <w:rPr>
          <w:rFonts w:cs="Arial"/>
          <w:color w:val="000000" w:themeColor="text1"/>
          <w:szCs w:val="16"/>
        </w:rPr>
        <w:t>were incorporated</w:t>
      </w:r>
      <w:proofErr w:type="gramEnd"/>
      <w:r w:rsidRPr="00781112">
        <w:rPr>
          <w:rFonts w:cs="Arial"/>
          <w:color w:val="000000" w:themeColor="text1"/>
          <w:szCs w:val="16"/>
        </w:rPr>
        <w:t xml:space="preserve"> into PRDE’s FFY 2021 APR. PRDE developed this FFY 2021 SPP/APR with broad stakeholder input. As discussed above, PRDE SAEE held various meetings with the stakeholder group and received their input regarding the SPP/APR, including feedback regarding the individual indicators including FFY 2021 data, targets, any subsequent revisions to targets, and related activities and initiatives as well as the SSIP.</w:t>
      </w:r>
      <w:r w:rsidRPr="00781112">
        <w:rPr>
          <w:rFonts w:cs="Arial"/>
          <w:color w:val="000000" w:themeColor="text1"/>
          <w:szCs w:val="16"/>
        </w:rPr>
        <w:br/>
      </w:r>
      <w:r w:rsidRPr="00781112">
        <w:rPr>
          <w:rFonts w:cs="Arial"/>
          <w:color w:val="000000" w:themeColor="text1"/>
          <w:szCs w:val="16"/>
        </w:rPr>
        <w:br/>
        <w:t xml:space="preserve">Additional mechanisms through with PRDE solicits broad stakeholder input includes PRDE work with and through the non-profit organization Apoyo a Padres de Niños con Impedimentos (Support for Parents of Students with Disabilities, or APNI by its acronym in Spanish), its operation of Parent Academies on post-secondary topics, and Communities of Learning through its SSIP efforts, among others. APNI’s work helps increase the capacity of parents and serves as an avenue for receiving feedback on improvement activities and related policies. Similarly, the Parent Academies provide capacity building sessions for parents and include feedback sessions where parents provide feedback regarding improvement activities and data and policies related to post-secondary transition. Finally, the communities of learning have been key in providing feedback regarding the Indicator 17 / the SSIP in its entirety and implementation thereof. Through </w:t>
      </w:r>
      <w:proofErr w:type="gramStart"/>
      <w:r w:rsidRPr="00781112">
        <w:rPr>
          <w:rFonts w:cs="Arial"/>
          <w:color w:val="000000" w:themeColor="text1"/>
          <w:szCs w:val="16"/>
        </w:rPr>
        <w:t>all of</w:t>
      </w:r>
      <w:proofErr w:type="gramEnd"/>
      <w:r w:rsidRPr="00781112">
        <w:rPr>
          <w:rFonts w:cs="Arial"/>
          <w:color w:val="000000" w:themeColor="text1"/>
          <w:szCs w:val="16"/>
        </w:rPr>
        <w:t xml:space="preserve"> these avenues, PRDE seeks and receives stakeholder input that is considered in the development of the SPP/APR including targets, subsequent revisions of targets, and development and implementation of the SSIP (Ind. 17). </w:t>
      </w:r>
    </w:p>
    <w:p w14:paraId="2C104549" w14:textId="03A0AB0D" w:rsidR="002D145D" w:rsidRPr="00781112" w:rsidRDefault="002D145D" w:rsidP="002D145D">
      <w:pPr>
        <w:rPr>
          <w:rFonts w:cs="Arial"/>
          <w:color w:val="000000" w:themeColor="text1"/>
          <w:szCs w:val="16"/>
        </w:rPr>
      </w:pPr>
    </w:p>
    <w:p w14:paraId="2446B7C2" w14:textId="77777777" w:rsidR="00F20369" w:rsidRPr="00781112" w:rsidRDefault="00F20369" w:rsidP="004369B2">
      <w:pPr>
        <w:rPr>
          <w:color w:val="000000" w:themeColor="text1"/>
        </w:rPr>
      </w:pPr>
      <w:bookmarkStart w:id="15" w:name="_Toc392159273"/>
    </w:p>
    <w:p w14:paraId="2F64E7B3" w14:textId="74B76004" w:rsidR="00344AE0" w:rsidRPr="00781112" w:rsidRDefault="00FA33C9">
      <w:pPr>
        <w:rPr>
          <w:b/>
          <w:color w:val="000000" w:themeColor="text1"/>
        </w:rPr>
      </w:pPr>
      <w:r>
        <w:rPr>
          <w:b/>
          <w:color w:val="000000" w:themeColor="text1"/>
        </w:rPr>
        <w:t>FFY 2021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Default="002B7490" w:rsidP="00552927">
      <w:pPr>
        <w:rPr>
          <w:rFonts w:cs="Arial"/>
          <w:color w:val="000000" w:themeColor="text1"/>
          <w:szCs w:val="16"/>
        </w:rPr>
      </w:pPr>
      <w:r w:rsidRPr="00781112">
        <w:rPr>
          <w:rFonts w:cs="Arial"/>
          <w:color w:val="000000" w:themeColor="text1"/>
          <w:szCs w:val="16"/>
        </w:rPr>
        <w:t>04/05/2023</w:t>
      </w:r>
    </w:p>
    <w:p w14:paraId="45F3603F" w14:textId="77777777" w:rsidR="007103FF" w:rsidRPr="00781112" w:rsidRDefault="007103FF" w:rsidP="00552927">
      <w:pPr>
        <w:rPr>
          <w:rFonts w:cs="Arial"/>
          <w:color w:val="000000" w:themeColor="text1"/>
          <w:szCs w:val="16"/>
        </w:rPr>
      </w:pP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 xml:space="preserve">a. Children with IEPs who received a valid score and a proficiency level </w:t>
            </w:r>
            <w:proofErr w:type="gramStart"/>
            <w:r w:rsidRPr="00781112">
              <w:rPr>
                <w:rFonts w:cs="Arial"/>
                <w:szCs w:val="16"/>
                <w:shd w:val="clear" w:color="auto" w:fill="FFFFFF"/>
              </w:rPr>
              <w:t>was assigned</w:t>
            </w:r>
            <w:proofErr w:type="gramEnd"/>
            <w:r w:rsidRPr="00781112">
              <w:rPr>
                <w:rFonts w:cs="Arial"/>
                <w:szCs w:val="16"/>
                <w:shd w:val="clear" w:color="auto" w:fill="FFFFFF"/>
              </w:rPr>
              <w:t xml:space="preserve">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5,979</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6,237</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4,680</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302</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184</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151</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1,338</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876</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525</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04/05/2023</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 xml:space="preserve">a. Children with IEPs who received a valid score and a proficiency level </w:t>
            </w:r>
            <w:proofErr w:type="gramStart"/>
            <w:r w:rsidRPr="00781112">
              <w:rPr>
                <w:rFonts w:cs="Arial"/>
                <w:szCs w:val="16"/>
                <w:shd w:val="clear" w:color="auto" w:fill="FFFFFF"/>
              </w:rPr>
              <w:t>was assigned</w:t>
            </w:r>
            <w:proofErr w:type="gramEnd"/>
            <w:r w:rsidRPr="00781112">
              <w:rPr>
                <w:rFonts w:cs="Arial"/>
                <w:szCs w:val="16"/>
                <w:shd w:val="clear" w:color="auto" w:fill="FFFFFF"/>
              </w:rPr>
              <w:t xml:space="preserve">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5,937</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6,221</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4,652</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368</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53</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15</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1,751</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196</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53</w:t>
            </w:r>
          </w:p>
        </w:tc>
      </w:tr>
      <w:bookmarkEnd w:id="15"/>
    </w:tbl>
    <w:p w14:paraId="1A4F8ED6" w14:textId="77777777" w:rsidR="00966232" w:rsidRPr="00781112" w:rsidRDefault="00966232" w:rsidP="004369B2">
      <w:pPr>
        <w:rPr>
          <w:color w:val="000000" w:themeColor="text1"/>
        </w:rPr>
      </w:pPr>
    </w:p>
    <w:p w14:paraId="1804C0E8" w14:textId="77777777" w:rsidR="007103FF" w:rsidRDefault="007103FF">
      <w:pPr>
        <w:spacing w:before="0" w:after="200" w:line="276" w:lineRule="auto"/>
        <w:rPr>
          <w:b/>
          <w:color w:val="000000" w:themeColor="text1"/>
        </w:rPr>
      </w:pPr>
      <w:r>
        <w:rPr>
          <w:b/>
          <w:color w:val="000000" w:themeColor="text1"/>
        </w:rPr>
        <w:br w:type="page"/>
      </w:r>
    </w:p>
    <w:p w14:paraId="1E1876C6" w14:textId="367A9722" w:rsidR="00E539AB" w:rsidRPr="00781112" w:rsidRDefault="0047313F" w:rsidP="004369B2">
      <w:pPr>
        <w:rPr>
          <w:b/>
          <w:color w:val="000000" w:themeColor="text1"/>
        </w:rPr>
      </w:pPr>
      <w:r>
        <w:rPr>
          <w:b/>
          <w:color w:val="000000" w:themeColor="text1"/>
        </w:rPr>
        <w:lastRenderedPageBreak/>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FA33C9" w:rsidRPr="00781112" w14:paraId="52CF9222" w14:textId="5C9FC6C2" w:rsidTr="004B3F40">
        <w:trPr>
          <w:tblHeader/>
        </w:trPr>
        <w:tc>
          <w:tcPr>
            <w:tcW w:w="198" w:type="pct"/>
            <w:shd w:val="clear" w:color="auto" w:fill="auto"/>
            <w:vAlign w:val="bottom"/>
          </w:tcPr>
          <w:p w14:paraId="5B0C0A4E" w14:textId="31160362" w:rsidR="00FA33C9" w:rsidRPr="00781112" w:rsidRDefault="00FA33C9" w:rsidP="00FA33C9">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FA33C9" w:rsidRPr="00781112" w:rsidRDefault="00FA33C9" w:rsidP="00FA33C9">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FA33C9" w:rsidRPr="00781112" w:rsidRDefault="00FA33C9" w:rsidP="00FA33C9">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FA33C9" w:rsidRPr="00781112" w:rsidRDefault="00FA33C9" w:rsidP="00FA33C9">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19033228" w:rsidR="00FA33C9" w:rsidRPr="00073BD7" w:rsidRDefault="00FA33C9" w:rsidP="00FA33C9">
            <w:pPr>
              <w:jc w:val="center"/>
              <w:rPr>
                <w:b/>
                <w:bCs/>
                <w:color w:val="000000" w:themeColor="text1"/>
              </w:rPr>
            </w:pPr>
            <w:r w:rsidRPr="00073BD7">
              <w:rPr>
                <w:b/>
                <w:bCs/>
              </w:rPr>
              <w:t>FFY 2020 Data</w:t>
            </w:r>
          </w:p>
        </w:tc>
        <w:tc>
          <w:tcPr>
            <w:tcW w:w="503" w:type="pct"/>
            <w:shd w:val="clear" w:color="auto" w:fill="auto"/>
            <w:vAlign w:val="bottom"/>
          </w:tcPr>
          <w:p w14:paraId="3E51680E" w14:textId="2AA7DE2E" w:rsidR="00FA33C9" w:rsidRPr="00073BD7" w:rsidRDefault="00FA33C9" w:rsidP="00FA33C9">
            <w:pPr>
              <w:jc w:val="center"/>
              <w:rPr>
                <w:b/>
                <w:bCs/>
                <w:color w:val="000000" w:themeColor="text1"/>
              </w:rPr>
            </w:pPr>
            <w:r w:rsidRPr="00073BD7">
              <w:rPr>
                <w:b/>
                <w:bCs/>
              </w:rPr>
              <w:t>FFY 2021 Target</w:t>
            </w:r>
          </w:p>
        </w:tc>
        <w:tc>
          <w:tcPr>
            <w:tcW w:w="503" w:type="pct"/>
            <w:shd w:val="clear" w:color="auto" w:fill="auto"/>
            <w:vAlign w:val="bottom"/>
          </w:tcPr>
          <w:p w14:paraId="29685ECA" w14:textId="050366A7" w:rsidR="00FA33C9" w:rsidRPr="00073BD7" w:rsidRDefault="00FA33C9" w:rsidP="00FA33C9">
            <w:pPr>
              <w:jc w:val="center"/>
              <w:rPr>
                <w:b/>
                <w:bCs/>
                <w:color w:val="000000" w:themeColor="text1"/>
              </w:rPr>
            </w:pPr>
            <w:r w:rsidRPr="00073BD7">
              <w:rPr>
                <w:b/>
                <w:bCs/>
              </w:rPr>
              <w:t>FFY 2021 Data</w:t>
            </w:r>
          </w:p>
        </w:tc>
        <w:tc>
          <w:tcPr>
            <w:tcW w:w="503" w:type="pct"/>
            <w:shd w:val="clear" w:color="auto" w:fill="auto"/>
            <w:vAlign w:val="bottom"/>
          </w:tcPr>
          <w:p w14:paraId="5E9D6295" w14:textId="7F28EB50" w:rsidR="00FA33C9" w:rsidRPr="00781112" w:rsidRDefault="00FA33C9" w:rsidP="00FA33C9">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FA33C9" w:rsidRPr="00781112" w:rsidRDefault="00FA33C9" w:rsidP="00FA33C9">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1,640</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5,979</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27.43%</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27.43%</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1,060</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6,237</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17.00%</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17.00%</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676</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4,680</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14.44%</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14.44%</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bl>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6E85C345" w:rsidR="00497DE4" w:rsidRPr="00781112" w:rsidRDefault="0047313F" w:rsidP="004369B2">
      <w:pPr>
        <w:rPr>
          <w:b/>
          <w:color w:val="000000" w:themeColor="text1"/>
        </w:rPr>
      </w:pPr>
      <w:r>
        <w:rPr>
          <w:b/>
          <w:color w:val="000000" w:themeColor="text1"/>
        </w:rPr>
        <w:t>FFY 2021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FA33C9" w:rsidRPr="00781112" w14:paraId="1ECD1184" w14:textId="77777777" w:rsidTr="00242D8A">
        <w:trPr>
          <w:tblHeader/>
          <w:jc w:val="center"/>
        </w:trPr>
        <w:tc>
          <w:tcPr>
            <w:tcW w:w="223" w:type="pct"/>
            <w:shd w:val="clear" w:color="auto" w:fill="auto"/>
            <w:vAlign w:val="bottom"/>
          </w:tcPr>
          <w:p w14:paraId="2B938423" w14:textId="01A79B33" w:rsidR="00FA33C9" w:rsidRPr="00781112" w:rsidRDefault="00FA33C9" w:rsidP="00FA33C9">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FA33C9" w:rsidRPr="00781112" w:rsidRDefault="00FA33C9" w:rsidP="00FA33C9">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FA33C9" w:rsidRPr="00781112" w:rsidRDefault="00FA33C9" w:rsidP="00FA33C9">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FA33C9" w:rsidRPr="00781112" w:rsidRDefault="00FA33C9" w:rsidP="00FA33C9">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1CA12D86" w:rsidR="00FA33C9" w:rsidRPr="00073BD7" w:rsidRDefault="00FA33C9" w:rsidP="00FA33C9">
            <w:pPr>
              <w:jc w:val="center"/>
              <w:rPr>
                <w:b/>
                <w:bCs/>
                <w:color w:val="000000" w:themeColor="text1"/>
              </w:rPr>
            </w:pPr>
            <w:r w:rsidRPr="00073BD7">
              <w:rPr>
                <w:b/>
                <w:bCs/>
              </w:rPr>
              <w:t>FFY 2020 Data</w:t>
            </w:r>
          </w:p>
        </w:tc>
        <w:tc>
          <w:tcPr>
            <w:tcW w:w="500" w:type="pct"/>
            <w:shd w:val="clear" w:color="auto" w:fill="auto"/>
            <w:vAlign w:val="bottom"/>
          </w:tcPr>
          <w:p w14:paraId="69212BFA" w14:textId="6E5C201B" w:rsidR="00FA33C9" w:rsidRPr="00073BD7" w:rsidRDefault="00FA33C9" w:rsidP="00FA33C9">
            <w:pPr>
              <w:jc w:val="center"/>
              <w:rPr>
                <w:b/>
                <w:bCs/>
                <w:color w:val="000000" w:themeColor="text1"/>
              </w:rPr>
            </w:pPr>
            <w:r w:rsidRPr="00073BD7">
              <w:rPr>
                <w:b/>
                <w:bCs/>
              </w:rPr>
              <w:t>FFY 2021 Target</w:t>
            </w:r>
          </w:p>
        </w:tc>
        <w:tc>
          <w:tcPr>
            <w:tcW w:w="500" w:type="pct"/>
            <w:shd w:val="clear" w:color="auto" w:fill="auto"/>
            <w:vAlign w:val="bottom"/>
          </w:tcPr>
          <w:p w14:paraId="38A0F56E" w14:textId="5F488F03" w:rsidR="00FA33C9" w:rsidRPr="00073BD7" w:rsidRDefault="00FA33C9" w:rsidP="00FA33C9">
            <w:pPr>
              <w:jc w:val="center"/>
              <w:rPr>
                <w:b/>
                <w:bCs/>
                <w:color w:val="000000" w:themeColor="text1"/>
              </w:rPr>
            </w:pPr>
            <w:r w:rsidRPr="00073BD7">
              <w:rPr>
                <w:b/>
                <w:bCs/>
              </w:rPr>
              <w:t>FFY 2021 Data</w:t>
            </w:r>
          </w:p>
        </w:tc>
        <w:tc>
          <w:tcPr>
            <w:tcW w:w="500" w:type="pct"/>
            <w:shd w:val="clear" w:color="auto" w:fill="auto"/>
            <w:vAlign w:val="bottom"/>
          </w:tcPr>
          <w:p w14:paraId="11F44E1D" w14:textId="39A61F57" w:rsidR="00FA33C9" w:rsidRPr="00781112" w:rsidRDefault="00FA33C9" w:rsidP="00FA33C9">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FA33C9" w:rsidRPr="00781112" w:rsidRDefault="00FA33C9" w:rsidP="00FA33C9">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2,119</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5,937</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35.69%</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35.69%</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249</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6,221</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4.00%</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4.00%</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68</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4,652</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1.46%</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1.46%</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bl>
    <w:p w14:paraId="197C30C8" w14:textId="77777777" w:rsidR="00CF57A2" w:rsidRPr="00781112" w:rsidRDefault="00CF57A2" w:rsidP="00580134">
      <w:pPr>
        <w:rPr>
          <w:rFonts w:cs="Arial"/>
          <w:iCs/>
          <w:color w:val="000000" w:themeColor="text1"/>
          <w:szCs w:val="16"/>
        </w:rPr>
      </w:pPr>
    </w:p>
    <w:p w14:paraId="3C6B4961" w14:textId="42649230" w:rsidR="00497DE4" w:rsidRPr="007103FF" w:rsidRDefault="00497DE4" w:rsidP="007103FF">
      <w:pPr>
        <w:spacing w:before="0" w:after="200" w:line="276" w:lineRule="auto"/>
        <w:rPr>
          <w:color w:val="000000" w:themeColor="text1"/>
        </w:rPr>
      </w:pPr>
      <w:r w:rsidRPr="00781112">
        <w:rPr>
          <w:b/>
          <w:color w:val="000000" w:themeColor="text1"/>
        </w:rPr>
        <w:t>Regulatory Information</w:t>
      </w:r>
      <w:r w:rsidR="007103FF">
        <w:rPr>
          <w:color w:val="000000" w:themeColor="text1"/>
        </w:rPr>
        <w:br/>
      </w:r>
      <w:r w:rsidR="00A14B5D"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 xml:space="preserve">Puerto Rico's publicly reported statewide assessment data for FFY 2021, including public reporting on participation of students with disabilities, </w:t>
      </w:r>
      <w:proofErr w:type="gramStart"/>
      <w:r w:rsidRPr="00781112">
        <w:rPr>
          <w:rFonts w:cs="Arial"/>
          <w:color w:val="000000" w:themeColor="text1"/>
          <w:szCs w:val="16"/>
        </w:rPr>
        <w:t>is published</w:t>
      </w:r>
      <w:proofErr w:type="gramEnd"/>
      <w:r w:rsidRPr="00781112">
        <w:rPr>
          <w:rFonts w:cs="Arial"/>
          <w:color w:val="000000" w:themeColor="text1"/>
          <w:szCs w:val="16"/>
        </w:rPr>
        <w:t xml:space="preserve"> and available on PRDE's website at: . Information  https://perfilescolar.dde.pr/dashboard/summary/index.html?schoolcode=State regarding student performance of all students on Puerto Rico’s statewide assessment (META-PR Tests) appears in the first block of data on the right-hand side of the page (“Performance by Subject and Level”), with more detailed performance data appearing in several data blocks following that first block, including performance results by subgroup (e.g., students with disabilities). Immediately above the first data block, the viewer can select the subject and grade level for which to view the student performance data. To view performance data of only students with disabilities, the viewer can filter the data by clicking on the filter icon next to “ALL STUDENTS” at the top of the page (the icon resembles a funnel) and then selecting “With Disabilities</w:t>
      </w:r>
      <w:proofErr w:type="gramStart"/>
      <w:r w:rsidRPr="00781112">
        <w:rPr>
          <w:rFonts w:cs="Arial"/>
          <w:color w:val="000000" w:themeColor="text1"/>
          <w:szCs w:val="16"/>
        </w:rPr>
        <w:t>”.</w:t>
      </w:r>
      <w:proofErr w:type="gramEnd"/>
      <w:r w:rsidRPr="00781112">
        <w:rPr>
          <w:rFonts w:cs="Arial"/>
          <w:color w:val="000000" w:themeColor="text1"/>
          <w:szCs w:val="16"/>
        </w:rPr>
        <w:t xml:space="preserve"> At the bottom of the first block of data, a link </w:t>
      </w:r>
      <w:proofErr w:type="gramStart"/>
      <w:r w:rsidRPr="00781112">
        <w:rPr>
          <w:rFonts w:cs="Arial"/>
          <w:color w:val="000000" w:themeColor="text1"/>
          <w:szCs w:val="16"/>
        </w:rPr>
        <w:t>is provided</w:t>
      </w:r>
      <w:proofErr w:type="gramEnd"/>
      <w:r w:rsidRPr="00781112">
        <w:rPr>
          <w:rFonts w:cs="Arial"/>
          <w:color w:val="000000" w:themeColor="text1"/>
          <w:szCs w:val="16"/>
        </w:rPr>
        <w:t xml:space="preserve"> to view data that includes performance data specific to those children who were provided accommodations and those children who took the alternate assessment based on alternate academic achievement standards. This link brings the viewer to the current Ind. 3 of Puerto Rico’s corresponding SPP/APR. To view school-level data, the viewer should click on the magnifying glass icon in the upper right-hand corner of the page. This will open a field that reads “Type to search a school”, allowing the viewer to type in the </w:t>
      </w:r>
      <w:proofErr w:type="gramStart"/>
      <w:r w:rsidRPr="00781112">
        <w:rPr>
          <w:rFonts w:cs="Arial"/>
          <w:color w:val="000000" w:themeColor="text1"/>
          <w:szCs w:val="16"/>
        </w:rPr>
        <w:t>school</w:t>
      </w:r>
      <w:proofErr w:type="gramEnd"/>
      <w:r w:rsidRPr="00781112">
        <w:rPr>
          <w:rFonts w:cs="Arial"/>
          <w:color w:val="000000" w:themeColor="text1"/>
          <w:szCs w:val="16"/>
        </w:rPr>
        <w:t xml:space="preserve"> name for which it would like to view school level data. Additionally, PRDE's SPP/APR, which will be published once the </w:t>
      </w:r>
      <w:proofErr w:type="gramStart"/>
      <w:r w:rsidRPr="00781112">
        <w:rPr>
          <w:rFonts w:cs="Arial"/>
          <w:color w:val="000000" w:themeColor="text1"/>
          <w:szCs w:val="16"/>
        </w:rPr>
        <w:t>final version</w:t>
      </w:r>
      <w:proofErr w:type="gramEnd"/>
      <w:r w:rsidRPr="00781112">
        <w:rPr>
          <w:rFonts w:cs="Arial"/>
          <w:color w:val="000000" w:themeColor="text1"/>
          <w:szCs w:val="16"/>
        </w:rPr>
        <w:t xml:space="preserve"> can be extracted from the EMAPS system, provides detailed data on assessment accommodations and alternate assessments.</w:t>
      </w:r>
    </w:p>
    <w:p w14:paraId="2BE473B4" w14:textId="77777777" w:rsidR="00053391" w:rsidRPr="00781112" w:rsidRDefault="00053391" w:rsidP="004369B2">
      <w:pPr>
        <w:rPr>
          <w:b/>
          <w:color w:val="000000" w:themeColor="text1"/>
        </w:rPr>
      </w:pPr>
      <w:bookmarkStart w:id="16" w:name="_Toc382082367"/>
      <w:bookmarkStart w:id="17" w:name="_Toc392159276"/>
      <w:r w:rsidRPr="00781112">
        <w:rPr>
          <w:b/>
          <w:color w:val="000000" w:themeColor="text1"/>
        </w:rPr>
        <w:t>Provide additional information about this indicator (optional)</w:t>
      </w:r>
    </w:p>
    <w:p w14:paraId="3E9E8793" w14:textId="126D5C73" w:rsidR="00A869E9" w:rsidRPr="00781112" w:rsidRDefault="002B7490" w:rsidP="000E33D0">
      <w:pPr>
        <w:rPr>
          <w:rFonts w:cs="Arial"/>
          <w:color w:val="000000" w:themeColor="text1"/>
          <w:szCs w:val="16"/>
        </w:rPr>
      </w:pPr>
      <w:r w:rsidRPr="00781112">
        <w:rPr>
          <w:rFonts w:cs="Arial"/>
          <w:color w:val="000000" w:themeColor="text1"/>
          <w:szCs w:val="16"/>
        </w:rPr>
        <w:t xml:space="preserve">As noted by OSEP in the “Prior FFY Required Actions” section below, PRDE received a waiver of the assessment requirements for the 2020-2021 school year, and as a result, did not provide baselines or targets for this indicator with the FFY 2020 SPP/APR submission. As such, PRDE </w:t>
      </w:r>
      <w:proofErr w:type="gramStart"/>
      <w:r w:rsidRPr="00781112">
        <w:rPr>
          <w:rFonts w:cs="Arial"/>
          <w:color w:val="000000" w:themeColor="text1"/>
          <w:szCs w:val="16"/>
        </w:rPr>
        <w:t>was required</w:t>
      </w:r>
      <w:proofErr w:type="gramEnd"/>
      <w:r w:rsidRPr="00781112">
        <w:rPr>
          <w:rFonts w:cs="Arial"/>
          <w:color w:val="000000" w:themeColor="text1"/>
          <w:szCs w:val="16"/>
        </w:rPr>
        <w:t xml:space="preserve"> to provide baselines and targets for FFY 2021 through FFY 2025 for Indicator 3 in its FFY 2021 SPP/APR. PRDE has provided the required baselines and targets. </w:t>
      </w:r>
      <w:r w:rsidRPr="00781112">
        <w:rPr>
          <w:rFonts w:cs="Arial"/>
          <w:color w:val="000000" w:themeColor="text1"/>
          <w:szCs w:val="16"/>
        </w:rPr>
        <w:br/>
      </w:r>
      <w:r w:rsidRPr="00781112">
        <w:rPr>
          <w:rFonts w:cs="Arial"/>
          <w:color w:val="000000" w:themeColor="text1"/>
          <w:szCs w:val="16"/>
        </w:rPr>
        <w:br/>
        <w:t xml:space="preserve">This is the first year for which PRDE has set a baseline and targets regarding the proficiency of children with IEPs on statewide assessments that </w:t>
      </w:r>
      <w:proofErr w:type="gramStart"/>
      <w:r w:rsidRPr="00781112">
        <w:rPr>
          <w:rFonts w:cs="Arial"/>
          <w:color w:val="000000" w:themeColor="text1"/>
          <w:szCs w:val="16"/>
        </w:rPr>
        <w:t>is broken</w:t>
      </w:r>
      <w:proofErr w:type="gramEnd"/>
      <w:r w:rsidRPr="00781112">
        <w:rPr>
          <w:rFonts w:cs="Arial"/>
          <w:color w:val="000000" w:themeColor="text1"/>
          <w:szCs w:val="16"/>
        </w:rPr>
        <w:t xml:space="preserve"> down by grade level. Additionally, proficiency rate </w:t>
      </w:r>
      <w:proofErr w:type="gramStart"/>
      <w:r w:rsidRPr="00781112">
        <w:rPr>
          <w:rFonts w:cs="Arial"/>
          <w:color w:val="000000" w:themeColor="text1"/>
          <w:szCs w:val="16"/>
        </w:rPr>
        <w:t>was previously reported</w:t>
      </w:r>
      <w:proofErr w:type="gramEnd"/>
      <w:r w:rsidRPr="00781112">
        <w:rPr>
          <w:rFonts w:cs="Arial"/>
          <w:color w:val="000000" w:themeColor="text1"/>
          <w:szCs w:val="16"/>
        </w:rPr>
        <w:t xml:space="preserve"> under Indicator 3C, but it is now reported separately for (i) children with IEPs against grade level academic achievement standards (regular assessment) under the new Ind. 3B and (ii) children with IEPs against alternate academic achievement standards (alternate assessment) under the new Indicator 3C. As such, where PRDE previously reported on just two proficiency rates each year (one for math and one for reading), PRDE is now reporting on twelve (12) different proficiency rates each year (six each year for each of the new Indicators 3B and 3C—both math and reading at each the 4th grade, 8th grade, and HS level). Moreover, when PRDE reported just two proficiency rates, the baseline year was 2008, eighteen (15) years ago. Due to the need to set baselines for data disaggregated by both grade levels and assessment version (regular assessment for Ind. 3B and alternate assessment for Ind. 3C), PRDE determined, in consultation with stakeholders, that it was appropriate to establish baselines based on the most recent available data, i.e., current year data.</w:t>
      </w:r>
    </w:p>
    <w:p w14:paraId="7E90E47A" w14:textId="1FCF2660" w:rsidR="000A2C83" w:rsidRPr="00781112" w:rsidRDefault="00573F6C" w:rsidP="008645AD">
      <w:pPr>
        <w:pStyle w:val="Heading2"/>
      </w:pPr>
      <w:r w:rsidRPr="00781112">
        <w:lastRenderedPageBreak/>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PRDE received a waiver of the assessment requirements and as a result, did not provide baselines or targets for this indicator, as required by the measurement table. In its FFY 2021 SPP/APR,  PRDE must provide the required baselines and targets for FFY 2021 through FFY 2025.</w:t>
      </w:r>
    </w:p>
    <w:p w14:paraId="0F1F889A" w14:textId="7DA352CF" w:rsidR="000A2C83" w:rsidRPr="00781112" w:rsidRDefault="007639D7" w:rsidP="004369B2">
      <w:pPr>
        <w:rPr>
          <w:color w:val="000000" w:themeColor="text1"/>
        </w:rPr>
      </w:pPr>
      <w:r>
        <w:rPr>
          <w:b/>
          <w:color w:val="000000" w:themeColor="text1"/>
        </w:rPr>
        <w:t>Response to actions required in FFY 2020 SPP/APR</w:t>
      </w:r>
      <w:r w:rsidR="00D22710" w:rsidRPr="00781112">
        <w:rPr>
          <w:rFonts w:cs="Arial"/>
          <w:color w:val="000000" w:themeColor="text1"/>
          <w:szCs w:val="16"/>
        </w:rPr>
        <w:t xml:space="preserve"> </w:t>
      </w:r>
    </w:p>
    <w:p w14:paraId="47C82FA5" w14:textId="5B5AA1ED" w:rsidR="000A2C83" w:rsidRPr="00781112" w:rsidRDefault="000A2C83" w:rsidP="000A2C83">
      <w:pPr>
        <w:rPr>
          <w:rFonts w:cs="Arial"/>
          <w:color w:val="000000" w:themeColor="text1"/>
          <w:szCs w:val="16"/>
        </w:rPr>
      </w:pPr>
    </w:p>
    <w:p w14:paraId="40E83F51" w14:textId="68FFF50F" w:rsidR="00053391" w:rsidRPr="00781112" w:rsidRDefault="00573F6C" w:rsidP="008645AD">
      <w:pPr>
        <w:pStyle w:val="Heading2"/>
      </w:pPr>
      <w:r w:rsidRPr="00781112">
        <w:t>3B - OSEP Response</w:t>
      </w:r>
    </w:p>
    <w:p w14:paraId="3ED35024" w14:textId="0A8D2725"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PRDE has revised the baseline for this indicator, using data from FFY 2021,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PRDE revised its targets for this indicator, and OSEP accepts those targets.</w:t>
      </w: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6"/>
      <w:bookmarkEnd w:id="17"/>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8" w:name="_Toc384383330"/>
      <w:bookmarkStart w:id="19" w:name="_Toc392159282"/>
      <w:bookmarkStart w:id="20"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 xml:space="preserve">Proficiency rate percent = [(# of children with IEPs scoring at or above proficient against alternate academic achievement standards) divided by the (total # of children with IEPs who received a valid score and for whom a proficiency level </w:t>
      </w:r>
      <w:proofErr w:type="gramStart"/>
      <w:r w:rsidR="00385214" w:rsidRPr="00781112">
        <w:rPr>
          <w:rFonts w:cs="Arial"/>
          <w:szCs w:val="16"/>
        </w:rPr>
        <w:t>was assigned</w:t>
      </w:r>
      <w:proofErr w:type="gramEnd"/>
      <w:r w:rsidR="00385214" w:rsidRPr="00781112">
        <w:rPr>
          <w:rFonts w:cs="Arial"/>
          <w:szCs w:val="16"/>
        </w:rPr>
        <w:t xml:space="preserve"> for the alternate assessment)]. Calculate separately for reading and math</w:t>
      </w:r>
      <w:proofErr w:type="gramStart"/>
      <w:r w:rsidR="00385214" w:rsidRPr="00781112">
        <w:rPr>
          <w:rFonts w:cs="Arial"/>
          <w:szCs w:val="16"/>
        </w:rPr>
        <w:t xml:space="preserve">.  </w:t>
      </w:r>
      <w:proofErr w:type="gramEnd"/>
      <w:r w:rsidR="00385214" w:rsidRPr="00781112">
        <w:rPr>
          <w:rFonts w:cs="Arial"/>
          <w:szCs w:val="16"/>
        </w:rPr>
        <w:t>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 xml:space="preserve">Include information regarding where to find public reports of assessment participation and performance results, as required by 34 CFR §300.160(f), i.e., a link to the Web site where these data </w:t>
      </w:r>
      <w:proofErr w:type="gramStart"/>
      <w:r w:rsidRPr="00781112">
        <w:rPr>
          <w:rFonts w:cs="Arial"/>
          <w:color w:val="000000" w:themeColor="text1"/>
          <w:szCs w:val="16"/>
        </w:rPr>
        <w:t>are reported</w:t>
      </w:r>
      <w:proofErr w:type="gramEnd"/>
      <w:r w:rsidRPr="00781112">
        <w:rPr>
          <w:rFonts w:cs="Arial"/>
          <w:color w:val="000000" w:themeColor="text1"/>
          <w:szCs w:val="16"/>
        </w:rPr>
        <w:t>.</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55.06%</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57.25%</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60.00%</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59.49%</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44.53%</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58.70%</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44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3"/>
        <w:gridCol w:w="697"/>
        <w:gridCol w:w="1738"/>
        <w:gridCol w:w="1256"/>
        <w:gridCol w:w="1256"/>
        <w:gridCol w:w="1256"/>
        <w:gridCol w:w="1256"/>
        <w:gridCol w:w="1256"/>
      </w:tblGrid>
      <w:tr w:rsidR="00B14519" w:rsidRPr="00781112" w14:paraId="6FE97918" w14:textId="1BF8CF9D" w:rsidTr="00451D7E">
        <w:tc>
          <w:tcPr>
            <w:tcW w:w="427" w:type="pct"/>
            <w:tcBorders>
              <w:bottom w:val="single" w:sz="4" w:space="0" w:color="auto"/>
            </w:tcBorders>
            <w:shd w:val="clear" w:color="auto" w:fill="auto"/>
          </w:tcPr>
          <w:p w14:paraId="5CDF6985" w14:textId="5342FC63" w:rsidR="00B14519" w:rsidRPr="00781112" w:rsidRDefault="00B14519" w:rsidP="00561042">
            <w:pPr>
              <w:jc w:val="center"/>
              <w:rPr>
                <w:b/>
                <w:color w:val="000000" w:themeColor="text1"/>
              </w:rPr>
            </w:pPr>
            <w:r w:rsidRPr="00781112">
              <w:rPr>
                <w:b/>
                <w:color w:val="000000" w:themeColor="text1"/>
              </w:rPr>
              <w:t>Subject</w:t>
            </w:r>
          </w:p>
        </w:tc>
        <w:tc>
          <w:tcPr>
            <w:tcW w:w="366" w:type="pct"/>
            <w:tcBorders>
              <w:bottom w:val="single" w:sz="4" w:space="0" w:color="auto"/>
            </w:tcBorders>
            <w:shd w:val="clear" w:color="auto" w:fill="auto"/>
          </w:tcPr>
          <w:p w14:paraId="01DFF2B4" w14:textId="2094C240" w:rsidR="00B14519" w:rsidRPr="00781112" w:rsidRDefault="00B14519" w:rsidP="00561042">
            <w:pPr>
              <w:jc w:val="center"/>
              <w:rPr>
                <w:b/>
                <w:color w:val="000000" w:themeColor="text1"/>
              </w:rPr>
            </w:pPr>
            <w:r w:rsidRPr="00781112">
              <w:rPr>
                <w:b/>
                <w:color w:val="000000" w:themeColor="text1"/>
              </w:rPr>
              <w:t>Group</w:t>
            </w:r>
          </w:p>
        </w:tc>
        <w:tc>
          <w:tcPr>
            <w:tcW w:w="912" w:type="pct"/>
            <w:shd w:val="clear" w:color="auto" w:fill="auto"/>
          </w:tcPr>
          <w:p w14:paraId="3976F221" w14:textId="32F28582" w:rsidR="00B14519" w:rsidRPr="00781112" w:rsidDel="008E7B87" w:rsidRDefault="00B14519" w:rsidP="00561042">
            <w:pPr>
              <w:jc w:val="center"/>
              <w:rPr>
                <w:b/>
                <w:color w:val="000000" w:themeColor="text1"/>
              </w:rPr>
            </w:pPr>
            <w:r w:rsidRPr="00781112">
              <w:rPr>
                <w:b/>
                <w:color w:val="000000" w:themeColor="text1"/>
              </w:rPr>
              <w:t>Group Name</w:t>
            </w:r>
          </w:p>
        </w:tc>
        <w:tc>
          <w:tcPr>
            <w:tcW w:w="659" w:type="pct"/>
            <w:shd w:val="clear" w:color="auto" w:fill="auto"/>
          </w:tcPr>
          <w:p w14:paraId="076E9FA3" w14:textId="2BDFEC53" w:rsidR="00B14519" w:rsidRPr="00781112" w:rsidRDefault="00B14519" w:rsidP="00561042">
            <w:pPr>
              <w:jc w:val="center"/>
              <w:rPr>
                <w:b/>
                <w:color w:val="000000" w:themeColor="text1"/>
              </w:rPr>
            </w:pPr>
            <w:r w:rsidRPr="00781112">
              <w:rPr>
                <w:b/>
                <w:color w:val="000000" w:themeColor="text1"/>
              </w:rPr>
              <w:t>2021</w:t>
            </w:r>
          </w:p>
        </w:tc>
        <w:tc>
          <w:tcPr>
            <w:tcW w:w="659" w:type="pct"/>
            <w:vAlign w:val="center"/>
          </w:tcPr>
          <w:p w14:paraId="2A95FA03" w14:textId="46828D1C" w:rsidR="00B14519" w:rsidRPr="00781112" w:rsidRDefault="00B14519" w:rsidP="00561042">
            <w:pPr>
              <w:jc w:val="center"/>
              <w:rPr>
                <w:b/>
                <w:color w:val="000000" w:themeColor="text1"/>
              </w:rPr>
            </w:pPr>
            <w:r w:rsidRPr="00781112">
              <w:rPr>
                <w:rFonts w:cs="Arial"/>
                <w:b/>
                <w:color w:val="000000" w:themeColor="text1"/>
                <w:szCs w:val="16"/>
              </w:rPr>
              <w:t>2022</w:t>
            </w:r>
          </w:p>
        </w:tc>
        <w:tc>
          <w:tcPr>
            <w:tcW w:w="659" w:type="pct"/>
            <w:vAlign w:val="center"/>
          </w:tcPr>
          <w:p w14:paraId="56A4FE1C" w14:textId="196C362E" w:rsidR="00B14519" w:rsidRPr="00781112" w:rsidRDefault="00B14519" w:rsidP="00561042">
            <w:pPr>
              <w:jc w:val="center"/>
              <w:rPr>
                <w:b/>
                <w:color w:val="000000" w:themeColor="text1"/>
              </w:rPr>
            </w:pPr>
            <w:r w:rsidRPr="00781112">
              <w:rPr>
                <w:rFonts w:cs="Arial"/>
                <w:b/>
                <w:color w:val="000000" w:themeColor="text1"/>
                <w:szCs w:val="16"/>
              </w:rPr>
              <w:t>2023</w:t>
            </w:r>
          </w:p>
        </w:tc>
        <w:tc>
          <w:tcPr>
            <w:tcW w:w="659" w:type="pct"/>
            <w:vAlign w:val="center"/>
          </w:tcPr>
          <w:p w14:paraId="6FCB9B7C" w14:textId="67672F5E" w:rsidR="00B14519" w:rsidRPr="00781112" w:rsidRDefault="00B14519" w:rsidP="00561042">
            <w:pPr>
              <w:jc w:val="center"/>
              <w:rPr>
                <w:b/>
                <w:color w:val="000000" w:themeColor="text1"/>
              </w:rPr>
            </w:pPr>
            <w:r w:rsidRPr="00781112">
              <w:rPr>
                <w:rFonts w:cs="Arial"/>
                <w:b/>
                <w:color w:val="000000" w:themeColor="text1"/>
                <w:szCs w:val="16"/>
              </w:rPr>
              <w:t>2024</w:t>
            </w:r>
          </w:p>
        </w:tc>
        <w:tc>
          <w:tcPr>
            <w:tcW w:w="659" w:type="pct"/>
            <w:vAlign w:val="center"/>
          </w:tcPr>
          <w:p w14:paraId="7118C826" w14:textId="7C910CE0" w:rsidR="00B14519" w:rsidRPr="00781112" w:rsidRDefault="00B14519" w:rsidP="00561042">
            <w:pPr>
              <w:jc w:val="center"/>
              <w:rPr>
                <w:b/>
                <w:color w:val="000000" w:themeColor="text1"/>
              </w:rPr>
            </w:pPr>
            <w:r w:rsidRPr="00781112">
              <w:rPr>
                <w:rFonts w:cs="Arial"/>
                <w:b/>
                <w:color w:val="000000" w:themeColor="text1"/>
                <w:szCs w:val="16"/>
              </w:rPr>
              <w:t>2025</w:t>
            </w:r>
          </w:p>
        </w:tc>
      </w:tr>
      <w:tr w:rsidR="00B14519" w:rsidRPr="00781112" w14:paraId="24016D03" w14:textId="0FC0BA7B" w:rsidTr="00451D7E">
        <w:tc>
          <w:tcPr>
            <w:tcW w:w="427" w:type="pct"/>
            <w:shd w:val="clear" w:color="auto" w:fill="auto"/>
            <w:vAlign w:val="center"/>
          </w:tcPr>
          <w:p w14:paraId="6AD78348"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68D451C5" w14:textId="0D62DF33"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10A86524" w14:textId="5A63BB4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3451F312" w14:textId="2295E6F6" w:rsidR="00B14519" w:rsidRPr="00781112" w:rsidRDefault="00B14519" w:rsidP="00D13592">
            <w:pPr>
              <w:jc w:val="center"/>
              <w:rPr>
                <w:rFonts w:cs="Arial"/>
                <w:color w:val="000000" w:themeColor="text1"/>
                <w:szCs w:val="16"/>
              </w:rPr>
            </w:pPr>
            <w:r w:rsidRPr="00781112">
              <w:rPr>
                <w:rFonts w:cs="Arial"/>
                <w:color w:val="000000" w:themeColor="text1"/>
                <w:szCs w:val="16"/>
              </w:rPr>
              <w:t>56.06%</w:t>
            </w:r>
          </w:p>
        </w:tc>
        <w:tc>
          <w:tcPr>
            <w:tcW w:w="659" w:type="pct"/>
            <w:vAlign w:val="center"/>
          </w:tcPr>
          <w:p w14:paraId="1A23D563" w14:textId="56F68959" w:rsidR="00B14519" w:rsidRPr="00781112" w:rsidRDefault="00B14519" w:rsidP="00D13592">
            <w:pPr>
              <w:jc w:val="center"/>
              <w:rPr>
                <w:rFonts w:cs="Arial"/>
                <w:color w:val="000000" w:themeColor="text1"/>
                <w:szCs w:val="16"/>
              </w:rPr>
            </w:pPr>
            <w:r w:rsidRPr="00781112">
              <w:rPr>
                <w:rFonts w:cs="Arial"/>
                <w:color w:val="000000" w:themeColor="text1"/>
                <w:szCs w:val="16"/>
              </w:rPr>
              <w:t>55.10%</w:t>
            </w:r>
          </w:p>
        </w:tc>
        <w:tc>
          <w:tcPr>
            <w:tcW w:w="659" w:type="pct"/>
            <w:vAlign w:val="center"/>
          </w:tcPr>
          <w:p w14:paraId="6BBDE651" w14:textId="47B65FE0" w:rsidR="00B14519" w:rsidRPr="00781112" w:rsidRDefault="00B14519" w:rsidP="00D13592">
            <w:pPr>
              <w:jc w:val="center"/>
              <w:rPr>
                <w:rFonts w:cs="Arial"/>
                <w:color w:val="000000" w:themeColor="text1"/>
                <w:szCs w:val="16"/>
              </w:rPr>
            </w:pPr>
            <w:r w:rsidRPr="00781112">
              <w:rPr>
                <w:rFonts w:cs="Arial"/>
                <w:color w:val="000000" w:themeColor="text1"/>
                <w:szCs w:val="16"/>
              </w:rPr>
              <w:t>55.10%</w:t>
            </w:r>
          </w:p>
        </w:tc>
        <w:tc>
          <w:tcPr>
            <w:tcW w:w="659" w:type="pct"/>
            <w:vAlign w:val="center"/>
          </w:tcPr>
          <w:p w14:paraId="5A275577" w14:textId="6DCA94CB" w:rsidR="00B14519" w:rsidRPr="00781112" w:rsidRDefault="00B14519" w:rsidP="00D13592">
            <w:pPr>
              <w:jc w:val="center"/>
              <w:rPr>
                <w:rFonts w:cs="Arial"/>
                <w:color w:val="000000" w:themeColor="text1"/>
                <w:szCs w:val="16"/>
              </w:rPr>
            </w:pPr>
            <w:r w:rsidRPr="00781112">
              <w:rPr>
                <w:rFonts w:cs="Arial"/>
                <w:color w:val="000000" w:themeColor="text1"/>
                <w:szCs w:val="16"/>
              </w:rPr>
              <w:t>55.15%</w:t>
            </w:r>
          </w:p>
        </w:tc>
        <w:tc>
          <w:tcPr>
            <w:tcW w:w="659" w:type="pct"/>
            <w:vAlign w:val="center"/>
          </w:tcPr>
          <w:p w14:paraId="3206928B" w14:textId="11EAF098" w:rsidR="00B14519" w:rsidRPr="00781112" w:rsidRDefault="00B14519" w:rsidP="00D13592">
            <w:pPr>
              <w:jc w:val="center"/>
              <w:rPr>
                <w:rFonts w:cs="Arial"/>
                <w:color w:val="000000" w:themeColor="text1"/>
                <w:szCs w:val="16"/>
              </w:rPr>
            </w:pPr>
            <w:r w:rsidRPr="00781112">
              <w:rPr>
                <w:rFonts w:cs="Arial"/>
                <w:color w:val="000000" w:themeColor="text1"/>
                <w:szCs w:val="16"/>
              </w:rPr>
              <w:t>55.20%</w:t>
            </w:r>
          </w:p>
        </w:tc>
      </w:tr>
      <w:tr w:rsidR="00B14519" w:rsidRPr="00781112" w14:paraId="4229AE62" w14:textId="33381C2A" w:rsidTr="00451D7E">
        <w:tc>
          <w:tcPr>
            <w:tcW w:w="427" w:type="pct"/>
            <w:shd w:val="clear" w:color="auto" w:fill="auto"/>
            <w:vAlign w:val="center"/>
          </w:tcPr>
          <w:p w14:paraId="65BFCE1A" w14:textId="0D697A5F"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0A529643" w14:textId="2519635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62F8D3A7" w14:textId="0DE3112A"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1D5B4183" w14:textId="1238BC64" w:rsidR="00B14519" w:rsidRPr="00781112" w:rsidRDefault="00B14519" w:rsidP="00D13592">
            <w:pPr>
              <w:jc w:val="center"/>
              <w:rPr>
                <w:rFonts w:cs="Arial"/>
                <w:color w:val="000000" w:themeColor="text1"/>
                <w:szCs w:val="16"/>
              </w:rPr>
            </w:pPr>
            <w:r w:rsidRPr="00781112">
              <w:rPr>
                <w:rFonts w:cs="Arial"/>
                <w:color w:val="000000" w:themeColor="text1"/>
                <w:szCs w:val="16"/>
              </w:rPr>
              <w:t>57.25%</w:t>
            </w:r>
          </w:p>
        </w:tc>
        <w:tc>
          <w:tcPr>
            <w:tcW w:w="659" w:type="pct"/>
            <w:vAlign w:val="center"/>
          </w:tcPr>
          <w:p w14:paraId="200F306C" w14:textId="40F15380" w:rsidR="00B14519" w:rsidRPr="00781112" w:rsidRDefault="00B14519" w:rsidP="00D13592">
            <w:pPr>
              <w:jc w:val="center"/>
              <w:rPr>
                <w:rFonts w:cs="Arial"/>
                <w:color w:val="000000" w:themeColor="text1"/>
                <w:szCs w:val="16"/>
              </w:rPr>
            </w:pPr>
            <w:r w:rsidRPr="00781112">
              <w:rPr>
                <w:rFonts w:cs="Arial"/>
                <w:color w:val="000000" w:themeColor="text1"/>
                <w:szCs w:val="16"/>
              </w:rPr>
              <w:t>57.30%</w:t>
            </w:r>
          </w:p>
        </w:tc>
        <w:tc>
          <w:tcPr>
            <w:tcW w:w="659" w:type="pct"/>
            <w:vAlign w:val="center"/>
          </w:tcPr>
          <w:p w14:paraId="01C155DC" w14:textId="32FC3C15" w:rsidR="00B14519" w:rsidRPr="00781112" w:rsidRDefault="00B14519" w:rsidP="00D13592">
            <w:pPr>
              <w:jc w:val="center"/>
              <w:rPr>
                <w:rFonts w:cs="Arial"/>
                <w:color w:val="000000" w:themeColor="text1"/>
                <w:szCs w:val="16"/>
              </w:rPr>
            </w:pPr>
            <w:r w:rsidRPr="00781112">
              <w:rPr>
                <w:rFonts w:cs="Arial"/>
                <w:color w:val="000000" w:themeColor="text1"/>
                <w:szCs w:val="16"/>
              </w:rPr>
              <w:t>57.30%</w:t>
            </w:r>
          </w:p>
        </w:tc>
        <w:tc>
          <w:tcPr>
            <w:tcW w:w="659" w:type="pct"/>
            <w:vAlign w:val="center"/>
          </w:tcPr>
          <w:p w14:paraId="31A2EE92" w14:textId="183FF0A7" w:rsidR="00B14519" w:rsidRPr="00781112" w:rsidRDefault="00B14519" w:rsidP="00D13592">
            <w:pPr>
              <w:jc w:val="center"/>
              <w:rPr>
                <w:rFonts w:cs="Arial"/>
                <w:color w:val="000000" w:themeColor="text1"/>
                <w:szCs w:val="16"/>
              </w:rPr>
            </w:pPr>
            <w:r w:rsidRPr="00781112">
              <w:rPr>
                <w:rFonts w:cs="Arial"/>
                <w:color w:val="000000" w:themeColor="text1"/>
                <w:szCs w:val="16"/>
              </w:rPr>
              <w:t>57.35%</w:t>
            </w:r>
          </w:p>
        </w:tc>
        <w:tc>
          <w:tcPr>
            <w:tcW w:w="659" w:type="pct"/>
            <w:vAlign w:val="center"/>
          </w:tcPr>
          <w:p w14:paraId="52A72D95" w14:textId="51822CAD" w:rsidR="00B14519" w:rsidRPr="00781112" w:rsidRDefault="00B14519" w:rsidP="00D13592">
            <w:pPr>
              <w:jc w:val="center"/>
              <w:rPr>
                <w:rFonts w:cs="Arial"/>
                <w:color w:val="000000" w:themeColor="text1"/>
                <w:szCs w:val="16"/>
              </w:rPr>
            </w:pPr>
            <w:r w:rsidRPr="00781112">
              <w:rPr>
                <w:rFonts w:cs="Arial"/>
                <w:color w:val="000000" w:themeColor="text1"/>
                <w:szCs w:val="16"/>
              </w:rPr>
              <w:t>57.40%</w:t>
            </w:r>
          </w:p>
        </w:tc>
      </w:tr>
      <w:tr w:rsidR="00B14519" w:rsidRPr="00781112" w14:paraId="53D446D4" w14:textId="31EA6E11" w:rsidTr="00451D7E">
        <w:tc>
          <w:tcPr>
            <w:tcW w:w="427" w:type="pct"/>
            <w:shd w:val="clear" w:color="auto" w:fill="auto"/>
            <w:vAlign w:val="center"/>
          </w:tcPr>
          <w:p w14:paraId="5413BB65" w14:textId="22884284"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1408EAB6" w14:textId="5A0418A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6E4FCBFF" w14:textId="158A4AA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520F380" w14:textId="38C36219" w:rsidR="00B14519" w:rsidRPr="00781112" w:rsidRDefault="00B14519" w:rsidP="00D13592">
            <w:pPr>
              <w:jc w:val="center"/>
              <w:rPr>
                <w:rFonts w:cs="Arial"/>
                <w:color w:val="000000" w:themeColor="text1"/>
                <w:szCs w:val="16"/>
              </w:rPr>
            </w:pPr>
            <w:r w:rsidRPr="00781112">
              <w:rPr>
                <w:rFonts w:cs="Arial"/>
                <w:color w:val="000000" w:themeColor="text1"/>
                <w:szCs w:val="16"/>
              </w:rPr>
              <w:t>60.00%</w:t>
            </w:r>
          </w:p>
        </w:tc>
        <w:tc>
          <w:tcPr>
            <w:tcW w:w="659" w:type="pct"/>
            <w:vAlign w:val="center"/>
          </w:tcPr>
          <w:p w14:paraId="3305DD14" w14:textId="4DBBF69C" w:rsidR="00B14519" w:rsidRPr="00781112" w:rsidRDefault="00B14519" w:rsidP="00D13592">
            <w:pPr>
              <w:jc w:val="center"/>
              <w:rPr>
                <w:rFonts w:cs="Arial"/>
                <w:color w:val="000000" w:themeColor="text1"/>
                <w:szCs w:val="16"/>
              </w:rPr>
            </w:pPr>
            <w:r w:rsidRPr="00781112">
              <w:rPr>
                <w:rFonts w:cs="Arial"/>
                <w:color w:val="000000" w:themeColor="text1"/>
                <w:szCs w:val="16"/>
              </w:rPr>
              <w:t>60.00%</w:t>
            </w:r>
          </w:p>
        </w:tc>
        <w:tc>
          <w:tcPr>
            <w:tcW w:w="659" w:type="pct"/>
            <w:vAlign w:val="center"/>
          </w:tcPr>
          <w:p w14:paraId="02FF2601" w14:textId="545909AE" w:rsidR="00B14519" w:rsidRPr="00781112" w:rsidRDefault="00B14519" w:rsidP="00D13592">
            <w:pPr>
              <w:jc w:val="center"/>
              <w:rPr>
                <w:rFonts w:cs="Arial"/>
                <w:color w:val="000000" w:themeColor="text1"/>
                <w:szCs w:val="16"/>
              </w:rPr>
            </w:pPr>
            <w:r w:rsidRPr="00781112">
              <w:rPr>
                <w:rFonts w:cs="Arial"/>
                <w:color w:val="000000" w:themeColor="text1"/>
                <w:szCs w:val="16"/>
              </w:rPr>
              <w:t>60.05%</w:t>
            </w:r>
          </w:p>
        </w:tc>
        <w:tc>
          <w:tcPr>
            <w:tcW w:w="659" w:type="pct"/>
            <w:vAlign w:val="center"/>
          </w:tcPr>
          <w:p w14:paraId="607B9906" w14:textId="6058F884" w:rsidR="00B14519" w:rsidRPr="00781112" w:rsidRDefault="00B14519" w:rsidP="00D13592">
            <w:pPr>
              <w:jc w:val="center"/>
              <w:rPr>
                <w:rFonts w:cs="Arial"/>
                <w:color w:val="000000" w:themeColor="text1"/>
                <w:szCs w:val="16"/>
              </w:rPr>
            </w:pPr>
            <w:r w:rsidRPr="00781112">
              <w:rPr>
                <w:rFonts w:cs="Arial"/>
                <w:color w:val="000000" w:themeColor="text1"/>
                <w:szCs w:val="16"/>
              </w:rPr>
              <w:t>60.10%</w:t>
            </w:r>
          </w:p>
        </w:tc>
        <w:tc>
          <w:tcPr>
            <w:tcW w:w="659" w:type="pct"/>
            <w:vAlign w:val="center"/>
          </w:tcPr>
          <w:p w14:paraId="00AA5B51" w14:textId="2B22FFA4" w:rsidR="00B14519" w:rsidRPr="00781112" w:rsidRDefault="00B14519" w:rsidP="00D13592">
            <w:pPr>
              <w:jc w:val="center"/>
              <w:rPr>
                <w:rFonts w:cs="Arial"/>
                <w:color w:val="000000" w:themeColor="text1"/>
                <w:szCs w:val="16"/>
              </w:rPr>
            </w:pPr>
            <w:r w:rsidRPr="00781112">
              <w:rPr>
                <w:rFonts w:cs="Arial"/>
                <w:color w:val="000000" w:themeColor="text1"/>
                <w:szCs w:val="16"/>
              </w:rPr>
              <w:t>60.10%</w:t>
            </w:r>
          </w:p>
        </w:tc>
      </w:tr>
      <w:tr w:rsidR="00B14519" w:rsidRPr="00781112" w14:paraId="4D7E1CB4" w14:textId="31C0C80F" w:rsidTr="00451D7E">
        <w:tc>
          <w:tcPr>
            <w:tcW w:w="427" w:type="pct"/>
            <w:shd w:val="clear" w:color="auto" w:fill="auto"/>
            <w:vAlign w:val="center"/>
          </w:tcPr>
          <w:p w14:paraId="3E17FC71"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93C59D6" w14:textId="4FA6AC8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06CBBAA1" w14:textId="25010E9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5B4F37F7" w14:textId="0586B65B" w:rsidR="00B14519" w:rsidRPr="00781112" w:rsidRDefault="00B14519" w:rsidP="00D13592">
            <w:pPr>
              <w:jc w:val="center"/>
              <w:rPr>
                <w:rFonts w:cs="Arial"/>
                <w:color w:val="000000" w:themeColor="text1"/>
                <w:szCs w:val="16"/>
              </w:rPr>
            </w:pPr>
            <w:r w:rsidRPr="00781112">
              <w:rPr>
                <w:rFonts w:cs="Arial"/>
                <w:color w:val="000000" w:themeColor="text1"/>
                <w:szCs w:val="16"/>
              </w:rPr>
              <w:t>59.49%</w:t>
            </w:r>
          </w:p>
        </w:tc>
        <w:tc>
          <w:tcPr>
            <w:tcW w:w="659" w:type="pct"/>
            <w:vAlign w:val="center"/>
          </w:tcPr>
          <w:p w14:paraId="5BCC413B" w14:textId="09A05E02" w:rsidR="00B14519" w:rsidRPr="00781112" w:rsidRDefault="00B14519" w:rsidP="00D13592">
            <w:pPr>
              <w:jc w:val="center"/>
              <w:rPr>
                <w:rFonts w:cs="Arial"/>
                <w:color w:val="000000" w:themeColor="text1"/>
                <w:szCs w:val="16"/>
              </w:rPr>
            </w:pPr>
            <w:r w:rsidRPr="00781112">
              <w:rPr>
                <w:rFonts w:cs="Arial"/>
                <w:color w:val="000000" w:themeColor="text1"/>
                <w:szCs w:val="16"/>
              </w:rPr>
              <w:t>59.50%</w:t>
            </w:r>
          </w:p>
        </w:tc>
        <w:tc>
          <w:tcPr>
            <w:tcW w:w="659" w:type="pct"/>
            <w:vAlign w:val="center"/>
          </w:tcPr>
          <w:p w14:paraId="45EF5FCE" w14:textId="00D7D29B" w:rsidR="00B14519" w:rsidRPr="00781112" w:rsidRDefault="00B14519" w:rsidP="00D13592">
            <w:pPr>
              <w:jc w:val="center"/>
              <w:rPr>
                <w:rFonts w:cs="Arial"/>
                <w:color w:val="000000" w:themeColor="text1"/>
                <w:szCs w:val="16"/>
              </w:rPr>
            </w:pPr>
            <w:r w:rsidRPr="00781112">
              <w:rPr>
                <w:rFonts w:cs="Arial"/>
                <w:color w:val="000000" w:themeColor="text1"/>
                <w:szCs w:val="16"/>
              </w:rPr>
              <w:t>59.50%</w:t>
            </w:r>
          </w:p>
        </w:tc>
        <w:tc>
          <w:tcPr>
            <w:tcW w:w="659" w:type="pct"/>
            <w:vAlign w:val="center"/>
          </w:tcPr>
          <w:p w14:paraId="68AE213E" w14:textId="4ECF4085" w:rsidR="00B14519" w:rsidRPr="00781112" w:rsidRDefault="00B14519" w:rsidP="00D13592">
            <w:pPr>
              <w:jc w:val="center"/>
              <w:rPr>
                <w:rFonts w:cs="Arial"/>
                <w:color w:val="000000" w:themeColor="text1"/>
                <w:szCs w:val="16"/>
              </w:rPr>
            </w:pPr>
            <w:r w:rsidRPr="00781112">
              <w:rPr>
                <w:rFonts w:cs="Arial"/>
                <w:color w:val="000000" w:themeColor="text1"/>
                <w:szCs w:val="16"/>
              </w:rPr>
              <w:t>59.55%</w:t>
            </w:r>
          </w:p>
        </w:tc>
        <w:tc>
          <w:tcPr>
            <w:tcW w:w="659" w:type="pct"/>
            <w:vAlign w:val="center"/>
          </w:tcPr>
          <w:p w14:paraId="7B3E2D7F" w14:textId="73124E34" w:rsidR="00B14519" w:rsidRPr="00781112" w:rsidRDefault="00B14519" w:rsidP="00D13592">
            <w:pPr>
              <w:jc w:val="center"/>
              <w:rPr>
                <w:rFonts w:cs="Arial"/>
                <w:color w:val="000000" w:themeColor="text1"/>
                <w:szCs w:val="16"/>
              </w:rPr>
            </w:pPr>
            <w:r w:rsidRPr="00781112">
              <w:rPr>
                <w:rFonts w:cs="Arial"/>
                <w:color w:val="000000" w:themeColor="text1"/>
                <w:szCs w:val="16"/>
              </w:rPr>
              <w:t>59.60%</w:t>
            </w:r>
          </w:p>
        </w:tc>
      </w:tr>
      <w:tr w:rsidR="00B14519" w:rsidRPr="00781112" w14:paraId="6A0B25C6" w14:textId="3CA923D5" w:rsidTr="00451D7E">
        <w:tc>
          <w:tcPr>
            <w:tcW w:w="427" w:type="pct"/>
            <w:shd w:val="clear" w:color="auto" w:fill="auto"/>
            <w:vAlign w:val="center"/>
          </w:tcPr>
          <w:p w14:paraId="7A201508" w14:textId="57E216E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BD3C679" w14:textId="4834DDC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75E8E6D8" w14:textId="7D040B6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4671DF75" w14:textId="2CD78B1B" w:rsidR="00B14519" w:rsidRPr="00781112" w:rsidRDefault="00B14519" w:rsidP="00D13592">
            <w:pPr>
              <w:jc w:val="center"/>
              <w:rPr>
                <w:rFonts w:cs="Arial"/>
                <w:color w:val="000000" w:themeColor="text1"/>
                <w:szCs w:val="16"/>
              </w:rPr>
            </w:pPr>
            <w:r w:rsidRPr="00781112">
              <w:rPr>
                <w:rFonts w:cs="Arial"/>
                <w:color w:val="000000" w:themeColor="text1"/>
                <w:szCs w:val="16"/>
              </w:rPr>
              <w:t>44.53%</w:t>
            </w:r>
          </w:p>
        </w:tc>
        <w:tc>
          <w:tcPr>
            <w:tcW w:w="659" w:type="pct"/>
            <w:vAlign w:val="center"/>
          </w:tcPr>
          <w:p w14:paraId="0BF63C58" w14:textId="72F24C80" w:rsidR="00B14519" w:rsidRPr="00781112" w:rsidRDefault="00B14519" w:rsidP="00D13592">
            <w:pPr>
              <w:jc w:val="center"/>
              <w:rPr>
                <w:rFonts w:cs="Arial"/>
                <w:color w:val="000000" w:themeColor="text1"/>
                <w:szCs w:val="16"/>
              </w:rPr>
            </w:pPr>
            <w:r w:rsidRPr="00781112">
              <w:rPr>
                <w:rFonts w:cs="Arial"/>
                <w:color w:val="000000" w:themeColor="text1"/>
                <w:szCs w:val="16"/>
              </w:rPr>
              <w:t>44.55%</w:t>
            </w:r>
          </w:p>
        </w:tc>
        <w:tc>
          <w:tcPr>
            <w:tcW w:w="659" w:type="pct"/>
            <w:vAlign w:val="center"/>
          </w:tcPr>
          <w:p w14:paraId="0075BBBD" w14:textId="7AFABF25" w:rsidR="00B14519" w:rsidRPr="00781112" w:rsidRDefault="00B14519" w:rsidP="00D13592">
            <w:pPr>
              <w:jc w:val="center"/>
              <w:rPr>
                <w:rFonts w:cs="Arial"/>
                <w:color w:val="000000" w:themeColor="text1"/>
                <w:szCs w:val="16"/>
              </w:rPr>
            </w:pPr>
            <w:r w:rsidRPr="00781112">
              <w:rPr>
                <w:rFonts w:cs="Arial"/>
                <w:color w:val="000000" w:themeColor="text1"/>
                <w:szCs w:val="16"/>
              </w:rPr>
              <w:t>44.60%</w:t>
            </w:r>
          </w:p>
        </w:tc>
        <w:tc>
          <w:tcPr>
            <w:tcW w:w="659" w:type="pct"/>
            <w:vAlign w:val="center"/>
          </w:tcPr>
          <w:p w14:paraId="0162408E" w14:textId="763A5CFC" w:rsidR="00B14519" w:rsidRPr="00781112" w:rsidRDefault="00B14519" w:rsidP="00D13592">
            <w:pPr>
              <w:jc w:val="center"/>
              <w:rPr>
                <w:rFonts w:cs="Arial"/>
                <w:color w:val="000000" w:themeColor="text1"/>
                <w:szCs w:val="16"/>
              </w:rPr>
            </w:pPr>
            <w:r w:rsidRPr="00781112">
              <w:rPr>
                <w:rFonts w:cs="Arial"/>
                <w:color w:val="000000" w:themeColor="text1"/>
                <w:szCs w:val="16"/>
              </w:rPr>
              <w:t>44.60%</w:t>
            </w:r>
          </w:p>
        </w:tc>
        <w:tc>
          <w:tcPr>
            <w:tcW w:w="659" w:type="pct"/>
            <w:vAlign w:val="center"/>
          </w:tcPr>
          <w:p w14:paraId="31533AB0" w14:textId="168489BE" w:rsidR="00B14519" w:rsidRPr="00781112" w:rsidRDefault="00B14519" w:rsidP="00D13592">
            <w:pPr>
              <w:jc w:val="center"/>
              <w:rPr>
                <w:rFonts w:cs="Arial"/>
                <w:color w:val="000000" w:themeColor="text1"/>
                <w:szCs w:val="16"/>
              </w:rPr>
            </w:pPr>
            <w:r w:rsidRPr="00781112">
              <w:rPr>
                <w:rFonts w:cs="Arial"/>
                <w:color w:val="000000" w:themeColor="text1"/>
                <w:szCs w:val="16"/>
              </w:rPr>
              <w:t>44.65%</w:t>
            </w:r>
          </w:p>
        </w:tc>
      </w:tr>
      <w:tr w:rsidR="00B14519" w:rsidRPr="00781112" w14:paraId="72653908" w14:textId="04D938F0" w:rsidTr="00451D7E">
        <w:tc>
          <w:tcPr>
            <w:tcW w:w="427" w:type="pct"/>
            <w:shd w:val="clear" w:color="auto" w:fill="auto"/>
            <w:vAlign w:val="center"/>
          </w:tcPr>
          <w:p w14:paraId="48B507DA" w14:textId="179672F1"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63FB17C0" w14:textId="2F2DF4D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54F8A2F9" w14:textId="5C3A3F72"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2CB0D9F" w14:textId="65605481" w:rsidR="00B14519" w:rsidRPr="00781112" w:rsidRDefault="00B14519" w:rsidP="00D13592">
            <w:pPr>
              <w:jc w:val="center"/>
              <w:rPr>
                <w:rFonts w:cs="Arial"/>
                <w:color w:val="000000" w:themeColor="text1"/>
                <w:szCs w:val="16"/>
              </w:rPr>
            </w:pPr>
            <w:r w:rsidRPr="00781112">
              <w:rPr>
                <w:rFonts w:cs="Arial"/>
                <w:color w:val="000000" w:themeColor="text1"/>
                <w:szCs w:val="16"/>
              </w:rPr>
              <w:t>58.70%</w:t>
            </w:r>
          </w:p>
        </w:tc>
        <w:tc>
          <w:tcPr>
            <w:tcW w:w="659" w:type="pct"/>
            <w:vAlign w:val="center"/>
          </w:tcPr>
          <w:p w14:paraId="72012D7E" w14:textId="10B8E7BA" w:rsidR="00B14519" w:rsidRPr="00781112" w:rsidRDefault="00B14519" w:rsidP="00D13592">
            <w:pPr>
              <w:jc w:val="center"/>
              <w:rPr>
                <w:rFonts w:cs="Arial"/>
                <w:color w:val="000000" w:themeColor="text1"/>
                <w:szCs w:val="16"/>
              </w:rPr>
            </w:pPr>
            <w:r w:rsidRPr="00781112">
              <w:rPr>
                <w:rFonts w:cs="Arial"/>
                <w:color w:val="000000" w:themeColor="text1"/>
                <w:szCs w:val="16"/>
              </w:rPr>
              <w:t>58.70%</w:t>
            </w:r>
          </w:p>
        </w:tc>
        <w:tc>
          <w:tcPr>
            <w:tcW w:w="659" w:type="pct"/>
            <w:vAlign w:val="center"/>
          </w:tcPr>
          <w:p w14:paraId="323B3F79" w14:textId="5FA94A39" w:rsidR="00B14519" w:rsidRPr="00781112" w:rsidRDefault="00B14519" w:rsidP="00D13592">
            <w:pPr>
              <w:jc w:val="center"/>
              <w:rPr>
                <w:rFonts w:cs="Arial"/>
                <w:color w:val="000000" w:themeColor="text1"/>
                <w:szCs w:val="16"/>
              </w:rPr>
            </w:pPr>
            <w:r w:rsidRPr="00781112">
              <w:rPr>
                <w:rFonts w:cs="Arial"/>
                <w:color w:val="000000" w:themeColor="text1"/>
                <w:szCs w:val="16"/>
              </w:rPr>
              <w:t>58.75%</w:t>
            </w:r>
          </w:p>
        </w:tc>
        <w:tc>
          <w:tcPr>
            <w:tcW w:w="659" w:type="pct"/>
            <w:vAlign w:val="center"/>
          </w:tcPr>
          <w:p w14:paraId="4A1DD032" w14:textId="1316ECD4" w:rsidR="00B14519" w:rsidRPr="00781112" w:rsidRDefault="00B14519" w:rsidP="00D13592">
            <w:pPr>
              <w:jc w:val="center"/>
              <w:rPr>
                <w:rFonts w:cs="Arial"/>
                <w:color w:val="000000" w:themeColor="text1"/>
                <w:szCs w:val="16"/>
              </w:rPr>
            </w:pPr>
            <w:r w:rsidRPr="00781112">
              <w:rPr>
                <w:rFonts w:cs="Arial"/>
                <w:color w:val="000000" w:themeColor="text1"/>
                <w:szCs w:val="16"/>
              </w:rPr>
              <w:t>58.75%</w:t>
            </w:r>
          </w:p>
        </w:tc>
        <w:tc>
          <w:tcPr>
            <w:tcW w:w="659" w:type="pct"/>
            <w:vAlign w:val="center"/>
          </w:tcPr>
          <w:p w14:paraId="74C8F676" w14:textId="54D72167" w:rsidR="00B14519" w:rsidRPr="00781112" w:rsidRDefault="00B14519" w:rsidP="00D13592">
            <w:pPr>
              <w:jc w:val="center"/>
              <w:rPr>
                <w:rFonts w:cs="Arial"/>
                <w:color w:val="000000" w:themeColor="text1"/>
                <w:szCs w:val="16"/>
              </w:rPr>
            </w:pPr>
            <w:r w:rsidRPr="00781112">
              <w:rPr>
                <w:rFonts w:cs="Arial"/>
                <w:color w:val="000000" w:themeColor="text1"/>
                <w:szCs w:val="16"/>
              </w:rPr>
              <w:t>58.80%</w:t>
            </w:r>
          </w:p>
        </w:tc>
      </w:tr>
    </w:tbl>
    <w:p w14:paraId="3FB6F166" w14:textId="77777777" w:rsidR="007103FF" w:rsidRDefault="007103FF" w:rsidP="007103FF">
      <w:pPr>
        <w:spacing w:before="0" w:after="200" w:line="276" w:lineRule="auto"/>
        <w:rPr>
          <w:b/>
          <w:color w:val="000000" w:themeColor="text1"/>
        </w:rPr>
      </w:pPr>
    </w:p>
    <w:p w14:paraId="2261CE05" w14:textId="3AB4F667" w:rsidR="002D145D" w:rsidRPr="007103FF" w:rsidRDefault="002D145D" w:rsidP="007103FF">
      <w:pPr>
        <w:spacing w:before="0" w:after="200"/>
        <w:rPr>
          <w:b/>
          <w:color w:val="000000" w:themeColor="text1"/>
        </w:rPr>
      </w:pPr>
      <w:r w:rsidRPr="00781112">
        <w:rPr>
          <w:b/>
          <w:color w:val="000000" w:themeColor="text1"/>
        </w:rPr>
        <w:t xml:space="preserve">Targets: Description of Stakeholder Input </w:t>
      </w:r>
      <w:r w:rsidR="007103FF">
        <w:rPr>
          <w:b/>
          <w:color w:val="000000" w:themeColor="text1"/>
        </w:rPr>
        <w:br/>
      </w:r>
      <w:r w:rsidR="002B7490" w:rsidRPr="00781112">
        <w:rPr>
          <w:rFonts w:cs="Arial"/>
          <w:color w:val="000000" w:themeColor="text1"/>
          <w:szCs w:val="16"/>
        </w:rPr>
        <w:t xml:space="preserve">PRDE solicited broad stakeholder input on PRDE’s targets in the SPP/APR including any subsequent revisions made to those targets and the development and implementation of Indicator 17, Puerto Rico’s State Systemic Improvement Plan (SSIP). </w:t>
      </w:r>
      <w:r w:rsidR="002B7490" w:rsidRPr="00781112">
        <w:rPr>
          <w:rFonts w:cs="Arial"/>
          <w:color w:val="000000" w:themeColor="text1"/>
          <w:szCs w:val="16"/>
        </w:rPr>
        <w:br/>
      </w:r>
      <w:r w:rsidR="002B7490" w:rsidRPr="00781112">
        <w:rPr>
          <w:rFonts w:cs="Arial"/>
          <w:color w:val="000000" w:themeColor="text1"/>
          <w:szCs w:val="16"/>
        </w:rPr>
        <w:br/>
        <w:t xml:space="preserve">Our original stakeholder group, called the Comité Consultivo de Educación Especial (“Special Education Advisory Committee”), is responsible for advising PRDE regarding the needs in the education of children with disabilities and for </w:t>
      </w:r>
      <w:proofErr w:type="gramStart"/>
      <w:r w:rsidR="002B7490" w:rsidRPr="00781112">
        <w:rPr>
          <w:rFonts w:cs="Arial"/>
          <w:color w:val="000000" w:themeColor="text1"/>
          <w:szCs w:val="16"/>
        </w:rPr>
        <w:t>providing assistance</w:t>
      </w:r>
      <w:proofErr w:type="gramEnd"/>
      <w:r w:rsidR="002B7490" w:rsidRPr="00781112">
        <w:rPr>
          <w:rFonts w:cs="Arial"/>
          <w:color w:val="000000" w:themeColor="text1"/>
          <w:szCs w:val="16"/>
        </w:rPr>
        <w:t xml:space="preserve"> and feedback about reports to be submitted to the Federal Government including our SSIP. The group includes representation from various sectors such as: the non-profit organization Apoyo a Padres de Niños con Impedimentos (Support for Parents of Students with Disabilities, or APNI by its acronym in Spanish), the Puerto Rico Department of the Family, the Puerto Rico Vocational Rehabilitation Administration, the Puerto Rico Department of Health, Special Education Teachers, School Directors, parents of students with disabilities, SAEE personnel, autism representative, specialists such as a School Psychologist, Occupational Therapist, Speech Pathologist, and adult with impairment, and others. SAEE personnel participate continuously in meetings with the special education </w:t>
      </w:r>
      <w:proofErr w:type="gramStart"/>
      <w:r w:rsidR="002B7490" w:rsidRPr="00781112">
        <w:rPr>
          <w:rFonts w:cs="Arial"/>
          <w:color w:val="000000" w:themeColor="text1"/>
          <w:szCs w:val="16"/>
        </w:rPr>
        <w:lastRenderedPageBreak/>
        <w:t>stakeholders</w:t>
      </w:r>
      <w:proofErr w:type="gramEnd"/>
      <w:r w:rsidR="002B7490" w:rsidRPr="00781112">
        <w:rPr>
          <w:rFonts w:cs="Arial"/>
          <w:color w:val="000000" w:themeColor="text1"/>
          <w:szCs w:val="16"/>
        </w:rPr>
        <w:t xml:space="preserve"> group. </w:t>
      </w:r>
      <w:r w:rsidR="002B7490" w:rsidRPr="00781112">
        <w:rPr>
          <w:rFonts w:cs="Arial"/>
          <w:color w:val="000000" w:themeColor="text1"/>
          <w:szCs w:val="16"/>
        </w:rPr>
        <w:br/>
      </w:r>
      <w:r w:rsidR="002B7490" w:rsidRPr="00781112">
        <w:rPr>
          <w:rFonts w:cs="Arial"/>
          <w:color w:val="000000" w:themeColor="text1"/>
          <w:szCs w:val="16"/>
        </w:rPr>
        <w:br/>
        <w:t xml:space="preserve">The members of our stakeholder group also serve as liaisons for initiatives that benefit the special education population and their families. Recommendations provided </w:t>
      </w:r>
      <w:proofErr w:type="gramStart"/>
      <w:r w:rsidR="002B7490" w:rsidRPr="00781112">
        <w:rPr>
          <w:rFonts w:cs="Arial"/>
          <w:color w:val="000000" w:themeColor="text1"/>
          <w:szCs w:val="16"/>
        </w:rPr>
        <w:t>from</w:t>
      </w:r>
      <w:proofErr w:type="gramEnd"/>
      <w:r w:rsidR="002B7490" w:rsidRPr="00781112">
        <w:rPr>
          <w:rFonts w:cs="Arial"/>
          <w:color w:val="000000" w:themeColor="text1"/>
          <w:szCs w:val="16"/>
        </w:rPr>
        <w:t xml:space="preserve"> the stakeholders </w:t>
      </w:r>
      <w:proofErr w:type="gramStart"/>
      <w:r w:rsidR="002B7490" w:rsidRPr="00781112">
        <w:rPr>
          <w:rFonts w:cs="Arial"/>
          <w:color w:val="000000" w:themeColor="text1"/>
          <w:szCs w:val="16"/>
        </w:rPr>
        <w:t>were incorporated</w:t>
      </w:r>
      <w:proofErr w:type="gramEnd"/>
      <w:r w:rsidR="002B7490" w:rsidRPr="00781112">
        <w:rPr>
          <w:rFonts w:cs="Arial"/>
          <w:color w:val="000000" w:themeColor="text1"/>
          <w:szCs w:val="16"/>
        </w:rPr>
        <w:t xml:space="preserve"> into PRDE’s FFY 2021 APR. PRDE developed this FFY 2021 SPP/APR with broad stakeholder input. As discussed above, PRDE SAEE held various meetings with the stakeholder group and received their input regarding the SPP/APR, including feedback regarding the individual indicators including FFY 2021 data, targets, any subsequent revisions to targets, and related activities and initiatives as well as the SSIP.</w:t>
      </w:r>
      <w:r w:rsidR="002B7490" w:rsidRPr="00781112">
        <w:rPr>
          <w:rFonts w:cs="Arial"/>
          <w:color w:val="000000" w:themeColor="text1"/>
          <w:szCs w:val="16"/>
        </w:rPr>
        <w:br/>
      </w:r>
      <w:r w:rsidR="002B7490" w:rsidRPr="00781112">
        <w:rPr>
          <w:rFonts w:cs="Arial"/>
          <w:color w:val="000000" w:themeColor="text1"/>
          <w:szCs w:val="16"/>
        </w:rPr>
        <w:br/>
        <w:t xml:space="preserve">Additional mechanisms through with PRDE solicits broad stakeholder input includes PRDE work with and through the non-profit organization Apoyo a Padres de Niños con Impedimentos (Support for Parents of Students with Disabilities, or APNI by its acronym in Spanish), its operation of Parent Academies on post-secondary topics, and Communities of Learning through its SSIP efforts, among others. APNI’s work helps increase the capacity of parents and serves as an avenue for receiving feedback on improvement activities and related policies. Similarly, the Parent Academies provide capacity building sessions for parents and include feedback sessions where parents provide feedback regarding improvement activities and data and policies related to post-secondary transition. Finally, the communities of learning have been key in providing feedback regarding the Indicator 17 / the SSIP in its entirety and implementation thereof. Through </w:t>
      </w:r>
      <w:proofErr w:type="gramStart"/>
      <w:r w:rsidR="002B7490" w:rsidRPr="00781112">
        <w:rPr>
          <w:rFonts w:cs="Arial"/>
          <w:color w:val="000000" w:themeColor="text1"/>
          <w:szCs w:val="16"/>
        </w:rPr>
        <w:t>all of</w:t>
      </w:r>
      <w:proofErr w:type="gramEnd"/>
      <w:r w:rsidR="002B7490" w:rsidRPr="00781112">
        <w:rPr>
          <w:rFonts w:cs="Arial"/>
          <w:color w:val="000000" w:themeColor="text1"/>
          <w:szCs w:val="16"/>
        </w:rPr>
        <w:t xml:space="preserve"> these avenues, PRDE seeks and receives stakeholder input that is considered in the development of the SPP/APR including targets, subsequent revisions of targets, and development and implementation of the SSIP (Ind. 17). </w:t>
      </w:r>
    </w:p>
    <w:p w14:paraId="48857BD3" w14:textId="77777777" w:rsidR="007103FF" w:rsidRDefault="007103FF">
      <w:pPr>
        <w:rPr>
          <w:b/>
          <w:color w:val="000000" w:themeColor="text1"/>
        </w:rPr>
      </w:pPr>
    </w:p>
    <w:p w14:paraId="01651096" w14:textId="718CFAFC" w:rsidR="000A5A2E" w:rsidRPr="00781112" w:rsidRDefault="00FA33C9">
      <w:pPr>
        <w:rPr>
          <w:b/>
          <w:color w:val="000000" w:themeColor="text1"/>
        </w:rPr>
      </w:pPr>
      <w:r>
        <w:rPr>
          <w:b/>
          <w:color w:val="000000" w:themeColor="text1"/>
        </w:rPr>
        <w:t>FFY 2021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7A786FF9" w14:textId="43EC253E" w:rsidR="00A63347" w:rsidRPr="007103FF" w:rsidRDefault="002B7490">
      <w:pPr>
        <w:rPr>
          <w:rFonts w:cs="Arial"/>
          <w:color w:val="000000" w:themeColor="text1"/>
          <w:szCs w:val="16"/>
        </w:rPr>
      </w:pPr>
      <w:r w:rsidRPr="00781112">
        <w:rPr>
          <w:rFonts w:cs="Arial"/>
          <w:color w:val="000000" w:themeColor="text1"/>
          <w:szCs w:val="16"/>
        </w:rPr>
        <w:t>04/05/2023</w:t>
      </w: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t>
            </w:r>
            <w:proofErr w:type="gramStart"/>
            <w:r w:rsidRPr="00781112">
              <w:rPr>
                <w:rFonts w:cs="Arial"/>
                <w:szCs w:val="16"/>
                <w:shd w:val="clear" w:color="auto" w:fill="FFFFFF"/>
              </w:rPr>
              <w:t>was assigned</w:t>
            </w:r>
            <w:proofErr w:type="gramEnd"/>
            <w:r w:rsidRPr="00781112">
              <w:rPr>
                <w:rFonts w:cs="Arial"/>
                <w:szCs w:val="16"/>
                <w:shd w:val="clear" w:color="auto" w:fill="FFFFFF"/>
              </w:rPr>
              <w:t xml:space="preserve">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158</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131</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140</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87</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75</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84</w:t>
            </w:r>
          </w:p>
        </w:tc>
      </w:tr>
    </w:tbl>
    <w:p w14:paraId="4BCF7A20" w14:textId="77777777" w:rsidR="007103FF" w:rsidRDefault="007103FF" w:rsidP="00286BDF">
      <w:pPr>
        <w:rPr>
          <w:rFonts w:cs="Arial"/>
          <w:b/>
          <w:color w:val="000000" w:themeColor="text1"/>
          <w:szCs w:val="16"/>
        </w:rPr>
      </w:pPr>
    </w:p>
    <w:p w14:paraId="31899BDA" w14:textId="275A3C7E"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04/05/2023</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t>
            </w:r>
            <w:proofErr w:type="gramStart"/>
            <w:r w:rsidRPr="00781112">
              <w:rPr>
                <w:rFonts w:cs="Arial"/>
                <w:szCs w:val="16"/>
                <w:shd w:val="clear" w:color="auto" w:fill="FFFFFF"/>
              </w:rPr>
              <w:t>was assigned</w:t>
            </w:r>
            <w:proofErr w:type="gramEnd"/>
            <w:r w:rsidRPr="00781112">
              <w:rPr>
                <w:rFonts w:cs="Arial"/>
                <w:szCs w:val="16"/>
                <w:shd w:val="clear" w:color="auto" w:fill="FFFFFF"/>
              </w:rPr>
              <w:t xml:space="preserve">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158</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128</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138</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94</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57</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81</w:t>
            </w:r>
          </w:p>
        </w:tc>
      </w:tr>
    </w:tbl>
    <w:p w14:paraId="56C37F05" w14:textId="77777777" w:rsidR="00241BD0" w:rsidRPr="00781112" w:rsidRDefault="00241BD0" w:rsidP="004369B2">
      <w:pPr>
        <w:rPr>
          <w:color w:val="000000" w:themeColor="text1"/>
        </w:rPr>
      </w:pPr>
    </w:p>
    <w:p w14:paraId="0E0A129D" w14:textId="6716B156" w:rsidR="00BD7229"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FA33C9" w:rsidRPr="00781112" w14:paraId="73241F59" w14:textId="77777777" w:rsidTr="00140972">
        <w:trPr>
          <w:tblHeader/>
        </w:trPr>
        <w:tc>
          <w:tcPr>
            <w:tcW w:w="221" w:type="pct"/>
            <w:shd w:val="clear" w:color="auto" w:fill="auto"/>
            <w:vAlign w:val="bottom"/>
          </w:tcPr>
          <w:p w14:paraId="3378C689" w14:textId="77777777" w:rsidR="00FA33C9" w:rsidRPr="00781112" w:rsidRDefault="00FA33C9" w:rsidP="00FA33C9">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9" w:type="pct"/>
            <w:shd w:val="clear" w:color="auto" w:fill="auto"/>
            <w:vAlign w:val="bottom"/>
          </w:tcPr>
          <w:p w14:paraId="36E5B9C7" w14:textId="23CF68D2"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6C9E1E29" w:rsidR="00FA33C9" w:rsidRPr="00073BD7" w:rsidRDefault="00FA33C9" w:rsidP="00FA33C9">
            <w:pPr>
              <w:jc w:val="center"/>
              <w:rPr>
                <w:b/>
                <w:bCs/>
                <w:color w:val="000000" w:themeColor="text1"/>
              </w:rPr>
            </w:pPr>
            <w:r w:rsidRPr="00073BD7">
              <w:rPr>
                <w:b/>
                <w:bCs/>
              </w:rPr>
              <w:t>FFY 2020 Data</w:t>
            </w:r>
          </w:p>
        </w:tc>
        <w:tc>
          <w:tcPr>
            <w:tcW w:w="754" w:type="pct"/>
            <w:shd w:val="clear" w:color="auto" w:fill="auto"/>
            <w:vAlign w:val="bottom"/>
          </w:tcPr>
          <w:p w14:paraId="09D4299D" w14:textId="08F7F6A5"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2B4D24C2" w14:textId="2BBDD336"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4987ED35"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FA33C9" w:rsidRPr="00781112" w:rsidRDefault="00FA33C9" w:rsidP="00FA33C9">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87</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158</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56.06%</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55.06%</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75</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131</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57.25%</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57.25%</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84</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140</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60.00%</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60.00%</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bl>
    <w:p w14:paraId="493A373E" w14:textId="77777777" w:rsidR="00445640" w:rsidRPr="00781112" w:rsidRDefault="00445640" w:rsidP="000C3A20">
      <w:pPr>
        <w:rPr>
          <w:color w:val="000000" w:themeColor="text1"/>
        </w:rPr>
      </w:pPr>
    </w:p>
    <w:p w14:paraId="73E73F7F" w14:textId="2C5C8C18" w:rsidR="00BD7229" w:rsidRPr="00781112" w:rsidRDefault="0047313F" w:rsidP="004369B2">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FA33C9" w:rsidRPr="00781112" w14:paraId="2361B602" w14:textId="77777777" w:rsidTr="00140972">
        <w:trPr>
          <w:tblHeader/>
        </w:trPr>
        <w:tc>
          <w:tcPr>
            <w:tcW w:w="220" w:type="pct"/>
            <w:shd w:val="clear" w:color="auto" w:fill="auto"/>
            <w:vAlign w:val="bottom"/>
          </w:tcPr>
          <w:p w14:paraId="097BD4DD" w14:textId="77777777" w:rsidR="00FA33C9" w:rsidRPr="00781112" w:rsidRDefault="00FA33C9" w:rsidP="00FA33C9">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8" w:type="pct"/>
            <w:shd w:val="clear" w:color="auto" w:fill="auto"/>
            <w:vAlign w:val="bottom"/>
          </w:tcPr>
          <w:p w14:paraId="534757DA" w14:textId="5F85E8DF"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75774783" w:rsidR="00FA33C9" w:rsidRPr="00073BD7" w:rsidRDefault="00FA33C9" w:rsidP="00FA33C9">
            <w:pPr>
              <w:jc w:val="center"/>
              <w:rPr>
                <w:b/>
                <w:bCs/>
                <w:color w:val="000000" w:themeColor="text1"/>
              </w:rPr>
            </w:pPr>
            <w:r w:rsidRPr="00073BD7">
              <w:rPr>
                <w:b/>
                <w:bCs/>
              </w:rPr>
              <w:t>FFY 2020 Data</w:t>
            </w:r>
          </w:p>
        </w:tc>
        <w:tc>
          <w:tcPr>
            <w:tcW w:w="752" w:type="pct"/>
            <w:shd w:val="clear" w:color="auto" w:fill="auto"/>
            <w:vAlign w:val="bottom"/>
          </w:tcPr>
          <w:p w14:paraId="37651EF9" w14:textId="7BFF61C6"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3D61FBEB" w14:textId="0F56EC6F"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730A2874"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FA33C9" w:rsidRPr="00781112" w:rsidRDefault="00FA33C9" w:rsidP="00FA33C9">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94</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158</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59.49%</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59.49%</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57</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128</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44.53%</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44.53%</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81</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138</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58.70%</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58.70%</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bl>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 xml:space="preserve">Puerto Rico's publicly reported statewide assessment data for FFY 2021, including public reporting on participation of students with disabilities, </w:t>
      </w:r>
      <w:proofErr w:type="gramStart"/>
      <w:r w:rsidRPr="00781112">
        <w:rPr>
          <w:rFonts w:cs="Arial"/>
          <w:color w:val="000000" w:themeColor="text1"/>
          <w:szCs w:val="16"/>
          <w:shd w:val="clear" w:color="auto" w:fill="FFFFFF"/>
        </w:rPr>
        <w:t>is published</w:t>
      </w:r>
      <w:proofErr w:type="gramEnd"/>
      <w:r w:rsidRPr="00781112">
        <w:rPr>
          <w:rFonts w:cs="Arial"/>
          <w:color w:val="000000" w:themeColor="text1"/>
          <w:szCs w:val="16"/>
          <w:shd w:val="clear" w:color="auto" w:fill="FFFFFF"/>
        </w:rPr>
        <w:t xml:space="preserve"> and available on PRDE's website at: https://perfilescolar.dde.pr/dashboard/standardizedtest/?schoolcode=State. Information regarding student performance of all students on Puerto Rico’s statewide assessment (META-PR Tests) appears in the first block of data on the right hand side of the page (“Performance by Subject and Level”), with more detailed performance data appearing in several data blocks following that first block, including performance results by subgroup (e.g., students with disabilities). Immediately above the first data block, the viewer can select the subject and grade level for which to view the student performance data. To view performance data of only students with disabilities, the viewer can filter the data by clicking on the filter icon next to “ALL STUDENTS” at the top of the page (the icon resembles a funnel) and then selecting “With Disabilities</w:t>
      </w:r>
      <w:proofErr w:type="gramStart"/>
      <w:r w:rsidRPr="00781112">
        <w:rPr>
          <w:rFonts w:cs="Arial"/>
          <w:color w:val="000000" w:themeColor="text1"/>
          <w:szCs w:val="16"/>
          <w:shd w:val="clear" w:color="auto" w:fill="FFFFFF"/>
        </w:rPr>
        <w:t>”.</w:t>
      </w:r>
      <w:proofErr w:type="gramEnd"/>
      <w:r w:rsidRPr="00781112">
        <w:rPr>
          <w:rFonts w:cs="Arial"/>
          <w:color w:val="000000" w:themeColor="text1"/>
          <w:szCs w:val="16"/>
          <w:shd w:val="clear" w:color="auto" w:fill="FFFFFF"/>
        </w:rPr>
        <w:t xml:space="preserve"> At the bottom of the first block of data, a link </w:t>
      </w:r>
      <w:proofErr w:type="gramStart"/>
      <w:r w:rsidRPr="00781112">
        <w:rPr>
          <w:rFonts w:cs="Arial"/>
          <w:color w:val="000000" w:themeColor="text1"/>
          <w:szCs w:val="16"/>
          <w:shd w:val="clear" w:color="auto" w:fill="FFFFFF"/>
        </w:rPr>
        <w:t>is provided</w:t>
      </w:r>
      <w:proofErr w:type="gramEnd"/>
      <w:r w:rsidRPr="00781112">
        <w:rPr>
          <w:rFonts w:cs="Arial"/>
          <w:color w:val="000000" w:themeColor="text1"/>
          <w:szCs w:val="16"/>
          <w:shd w:val="clear" w:color="auto" w:fill="FFFFFF"/>
        </w:rPr>
        <w:t xml:space="preserve"> to view data that includes performance data specific to those children who were provided accommodations and those children who took the alternate assessment based on alternate academic achievement standards. This link brings the viewer to the current Ind. 3 of Puerto Rico’s corresponding SPP/APR. To view school-level data, the viewer should click on the magnifying glass icon in the upper </w:t>
      </w:r>
      <w:proofErr w:type="gramStart"/>
      <w:r w:rsidRPr="00781112">
        <w:rPr>
          <w:rFonts w:cs="Arial"/>
          <w:color w:val="000000" w:themeColor="text1"/>
          <w:szCs w:val="16"/>
          <w:shd w:val="clear" w:color="auto" w:fill="FFFFFF"/>
        </w:rPr>
        <w:t>right hand</w:t>
      </w:r>
      <w:proofErr w:type="gramEnd"/>
      <w:r w:rsidRPr="00781112">
        <w:rPr>
          <w:rFonts w:cs="Arial"/>
          <w:color w:val="000000" w:themeColor="text1"/>
          <w:szCs w:val="16"/>
          <w:shd w:val="clear" w:color="auto" w:fill="FFFFFF"/>
        </w:rPr>
        <w:t xml:space="preserve"> corner of the page. This will open a field that reads “Type to search a school”, allowing the viewer to type in the </w:t>
      </w:r>
      <w:proofErr w:type="gramStart"/>
      <w:r w:rsidRPr="00781112">
        <w:rPr>
          <w:rFonts w:cs="Arial"/>
          <w:color w:val="000000" w:themeColor="text1"/>
          <w:szCs w:val="16"/>
          <w:shd w:val="clear" w:color="auto" w:fill="FFFFFF"/>
        </w:rPr>
        <w:t>school</w:t>
      </w:r>
      <w:proofErr w:type="gramEnd"/>
      <w:r w:rsidRPr="00781112">
        <w:rPr>
          <w:rFonts w:cs="Arial"/>
          <w:color w:val="000000" w:themeColor="text1"/>
          <w:szCs w:val="16"/>
          <w:shd w:val="clear" w:color="auto" w:fill="FFFFFF"/>
        </w:rPr>
        <w:t xml:space="preserve"> name for which it would like to view school level data. Additionally, PRDE's SPP/APR, which will be published once the </w:t>
      </w:r>
      <w:proofErr w:type="gramStart"/>
      <w:r w:rsidRPr="00781112">
        <w:rPr>
          <w:rFonts w:cs="Arial"/>
          <w:color w:val="000000" w:themeColor="text1"/>
          <w:szCs w:val="16"/>
          <w:shd w:val="clear" w:color="auto" w:fill="FFFFFF"/>
        </w:rPr>
        <w:t>final version</w:t>
      </w:r>
      <w:proofErr w:type="gramEnd"/>
      <w:r w:rsidRPr="00781112">
        <w:rPr>
          <w:rFonts w:cs="Arial"/>
          <w:color w:val="000000" w:themeColor="text1"/>
          <w:szCs w:val="16"/>
          <w:shd w:val="clear" w:color="auto" w:fill="FFFFFF"/>
        </w:rPr>
        <w:t xml:space="preserve"> can be extracted from the EMAPS system, provides detailed data on assessment accommodations and alternate assessments.</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 xml:space="preserve">As noted by OSEP in the “Prior FFY Required Actions” section below, PRDE received a waiver of the assessment requirements for the 2020-2021 school year, and as a result, did not provide baselines or targets for this indicator with the FFY 2020 SPP/APR submission. As such, PRDE </w:t>
      </w:r>
      <w:proofErr w:type="gramStart"/>
      <w:r w:rsidRPr="00781112">
        <w:rPr>
          <w:rFonts w:cs="Arial"/>
          <w:color w:val="000000" w:themeColor="text1"/>
          <w:szCs w:val="16"/>
          <w:shd w:val="clear" w:color="auto" w:fill="FFFFFF"/>
        </w:rPr>
        <w:t>was required</w:t>
      </w:r>
      <w:proofErr w:type="gramEnd"/>
      <w:r w:rsidRPr="00781112">
        <w:rPr>
          <w:rFonts w:cs="Arial"/>
          <w:color w:val="000000" w:themeColor="text1"/>
          <w:szCs w:val="16"/>
          <w:shd w:val="clear" w:color="auto" w:fill="FFFFFF"/>
        </w:rPr>
        <w:t xml:space="preserve"> to provide baselines and targets for FFY 2021 through FFY 2025 for Indicator 3 in its FFY 2021 SPP/APR. PRDE has provided the required baselines and targets. </w:t>
      </w:r>
      <w:r w:rsidRPr="00781112">
        <w:rPr>
          <w:rFonts w:cs="Arial"/>
          <w:color w:val="000000" w:themeColor="text1"/>
          <w:szCs w:val="16"/>
          <w:shd w:val="clear" w:color="auto" w:fill="FFFFFF"/>
        </w:rPr>
        <w:br/>
        <w:t xml:space="preserve">This is the first year for which PRDE has set baselines and targets regarding the proficiency of children with IEPs on statewide assessments that </w:t>
      </w:r>
      <w:proofErr w:type="gramStart"/>
      <w:r w:rsidRPr="00781112">
        <w:rPr>
          <w:rFonts w:cs="Arial"/>
          <w:color w:val="000000" w:themeColor="text1"/>
          <w:szCs w:val="16"/>
          <w:shd w:val="clear" w:color="auto" w:fill="FFFFFF"/>
        </w:rPr>
        <w:t>is broken</w:t>
      </w:r>
      <w:proofErr w:type="gramEnd"/>
      <w:r w:rsidRPr="00781112">
        <w:rPr>
          <w:rFonts w:cs="Arial"/>
          <w:color w:val="000000" w:themeColor="text1"/>
          <w:szCs w:val="16"/>
          <w:shd w:val="clear" w:color="auto" w:fill="FFFFFF"/>
        </w:rPr>
        <w:t xml:space="preserve"> down by grade level. Additionally, proficiency rate </w:t>
      </w:r>
      <w:proofErr w:type="gramStart"/>
      <w:r w:rsidRPr="00781112">
        <w:rPr>
          <w:rFonts w:cs="Arial"/>
          <w:color w:val="000000" w:themeColor="text1"/>
          <w:szCs w:val="16"/>
          <w:shd w:val="clear" w:color="auto" w:fill="FFFFFF"/>
        </w:rPr>
        <w:t>was previously reported</w:t>
      </w:r>
      <w:proofErr w:type="gramEnd"/>
      <w:r w:rsidRPr="00781112">
        <w:rPr>
          <w:rFonts w:cs="Arial"/>
          <w:color w:val="000000" w:themeColor="text1"/>
          <w:szCs w:val="16"/>
          <w:shd w:val="clear" w:color="auto" w:fill="FFFFFF"/>
        </w:rPr>
        <w:t xml:space="preserve"> under Indicator 3C, but it is now reported separately for (i) children with IEPs against grade level academic achievement standards (regular assessment) under the new Ind. 3B and (ii) children with IEPs against alternate academic achievement standards (alternate assessment) under the new Indicator 3C. As such, where PRDE previously reported on just two proficiency rates each year (one for math and one for reading), PRDE is now reporting on twelve (12) different proficiency rates each year (six each year for each of the new Indicators 3B and 3C—both math and reading at each the 4th grade, 8th grade, and HS level). Moreover, when PRDE reported just two proficiency rates, the baseline year was 2008, fifteen (15) years ago. Due to the need to set baselines for data disaggregated by both grade levels and assessment version (regular assessment for Ind. 3B and alternate assessment for Ind. 3C), PRDE determined, in consultation with stakeholders, that it was appropriate to establish these baselines based on the most recent available data, i.e., current year data.</w:t>
      </w: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PRDE received a waiver of the assessment requirements and as a result, did not provide baselines or targets for this indicator, as required by the measurement table. In its FFY 2021 SPP/APR, PRDE must provide the required baselines and targets for FFY 2021 through FFY 2025.</w:t>
      </w:r>
    </w:p>
    <w:p w14:paraId="0EFAA7F7" w14:textId="555DA253" w:rsidR="00247959" w:rsidRPr="007103FF" w:rsidRDefault="007639D7" w:rsidP="000A2C83">
      <w:pPr>
        <w:rPr>
          <w:b/>
          <w:color w:val="000000" w:themeColor="text1"/>
        </w:rPr>
      </w:pPr>
      <w:r>
        <w:rPr>
          <w:b/>
          <w:color w:val="000000" w:themeColor="text1"/>
        </w:rPr>
        <w:t>Response to actions required in FFY 2020 SPP/APR</w:t>
      </w:r>
    </w:p>
    <w:p w14:paraId="1E98E6A2" w14:textId="3C798D76" w:rsidR="00796DC0" w:rsidRPr="00781112" w:rsidRDefault="00573F6C" w:rsidP="008645AD">
      <w:pPr>
        <w:pStyle w:val="Heading2"/>
      </w:pPr>
      <w:r w:rsidRPr="00781112">
        <w:t>3C - OSEP Response</w:t>
      </w:r>
    </w:p>
    <w:p w14:paraId="742F0548" w14:textId="6CBFA0D3"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PRDE has revised the baseline for this indicator, using data from FFY 2021,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PRDE revised its targets for this indicator, and OSEP accepts those targets.</w:t>
      </w: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476C8C14"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2021-2022 school year) subtracted from the (proficiency rate for all students scoring at or above proficient against grade level academic achievement standards for the 2021-2022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w:t>
      </w:r>
      <w:proofErr w:type="gramStart"/>
      <w:r w:rsidRPr="00781112">
        <w:rPr>
          <w:b w:val="0"/>
          <w:bCs/>
        </w:rPr>
        <w:t xml:space="preserve">.  </w:t>
      </w:r>
      <w:proofErr w:type="gramEnd"/>
      <w:r w:rsidRPr="00781112">
        <w:rPr>
          <w:b w:val="0"/>
          <w:bCs/>
        </w:rPr>
        <w:t>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xml:space="preserve">, a link to the Web site where these data </w:t>
      </w:r>
      <w:proofErr w:type="gramStart"/>
      <w:r w:rsidRPr="00781112">
        <w:rPr>
          <w:b w:val="0"/>
          <w:bCs/>
        </w:rPr>
        <w:t>are reported</w:t>
      </w:r>
      <w:proofErr w:type="gramEnd"/>
      <w:r w:rsidRPr="00781112">
        <w:rPr>
          <w:b w:val="0"/>
          <w:bCs/>
        </w:rPr>
        <w:t>.</w:t>
      </w:r>
    </w:p>
    <w:p w14:paraId="6D783CD1" w14:textId="735718BB"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2021-2022 school year compared to the proficiency rate for all students who were proficient against grade level academic achievement standards for the 2021-2022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9.51</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17.64</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22.58</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6.52</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1.89</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2021</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3.92</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6"/>
        <w:gridCol w:w="722"/>
        <w:gridCol w:w="1172"/>
        <w:gridCol w:w="1334"/>
        <w:gridCol w:w="1333"/>
        <w:gridCol w:w="1333"/>
        <w:gridCol w:w="1333"/>
        <w:gridCol w:w="1333"/>
      </w:tblGrid>
      <w:tr w:rsidR="00B14519" w:rsidRPr="00781112" w14:paraId="32AE1F59" w14:textId="77777777" w:rsidTr="00451D7E">
        <w:tc>
          <w:tcPr>
            <w:tcW w:w="473" w:type="pct"/>
            <w:tcBorders>
              <w:bottom w:val="single" w:sz="4" w:space="0" w:color="auto"/>
            </w:tcBorders>
            <w:shd w:val="clear" w:color="auto" w:fill="auto"/>
            <w:vAlign w:val="center"/>
          </w:tcPr>
          <w:p w14:paraId="6A9E2F19" w14:textId="77777777" w:rsidR="00B14519" w:rsidRPr="00781112" w:rsidRDefault="00B14519" w:rsidP="00827FF4">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5181D1E9" w14:textId="77777777" w:rsidR="00B14519" w:rsidRPr="00781112" w:rsidRDefault="00B14519" w:rsidP="00827FF4">
            <w:pPr>
              <w:jc w:val="center"/>
              <w:rPr>
                <w:b/>
                <w:color w:val="000000" w:themeColor="text1"/>
              </w:rPr>
            </w:pPr>
            <w:r w:rsidRPr="00781112">
              <w:rPr>
                <w:b/>
                <w:color w:val="000000" w:themeColor="text1"/>
              </w:rPr>
              <w:t>Group</w:t>
            </w:r>
          </w:p>
        </w:tc>
        <w:tc>
          <w:tcPr>
            <w:tcW w:w="619" w:type="pct"/>
            <w:shd w:val="clear" w:color="auto" w:fill="auto"/>
            <w:vAlign w:val="center"/>
          </w:tcPr>
          <w:p w14:paraId="7C5EACD6" w14:textId="77777777" w:rsidR="00B14519" w:rsidRPr="00781112" w:rsidDel="008E7B87" w:rsidRDefault="00B14519" w:rsidP="00827FF4">
            <w:pPr>
              <w:jc w:val="center"/>
              <w:rPr>
                <w:b/>
                <w:color w:val="000000" w:themeColor="text1"/>
              </w:rPr>
            </w:pPr>
            <w:r w:rsidRPr="00781112">
              <w:rPr>
                <w:b/>
                <w:color w:val="000000" w:themeColor="text1"/>
              </w:rPr>
              <w:t>Group Name</w:t>
            </w:r>
          </w:p>
        </w:tc>
        <w:tc>
          <w:tcPr>
            <w:tcW w:w="705" w:type="pct"/>
            <w:shd w:val="clear" w:color="auto" w:fill="auto"/>
            <w:vAlign w:val="center"/>
          </w:tcPr>
          <w:p w14:paraId="57197BBC" w14:textId="77777777" w:rsidR="00B14519" w:rsidRPr="00781112" w:rsidRDefault="00B14519" w:rsidP="00827FF4">
            <w:pPr>
              <w:jc w:val="center"/>
              <w:rPr>
                <w:b/>
                <w:color w:val="000000" w:themeColor="text1"/>
              </w:rPr>
            </w:pPr>
            <w:r w:rsidRPr="00781112">
              <w:rPr>
                <w:b/>
                <w:color w:val="000000" w:themeColor="text1"/>
              </w:rPr>
              <w:t>2021</w:t>
            </w:r>
          </w:p>
        </w:tc>
        <w:tc>
          <w:tcPr>
            <w:tcW w:w="705" w:type="pct"/>
            <w:vAlign w:val="center"/>
          </w:tcPr>
          <w:p w14:paraId="07ACCE04" w14:textId="77777777" w:rsidR="00B14519" w:rsidRPr="00781112" w:rsidRDefault="00B14519" w:rsidP="00827FF4">
            <w:pPr>
              <w:jc w:val="center"/>
              <w:rPr>
                <w:b/>
                <w:color w:val="000000" w:themeColor="text1"/>
              </w:rPr>
            </w:pPr>
            <w:r w:rsidRPr="00781112">
              <w:rPr>
                <w:rFonts w:cs="Arial"/>
                <w:b/>
                <w:color w:val="000000" w:themeColor="text1"/>
                <w:szCs w:val="16"/>
              </w:rPr>
              <w:t>2022</w:t>
            </w:r>
          </w:p>
        </w:tc>
        <w:tc>
          <w:tcPr>
            <w:tcW w:w="705" w:type="pct"/>
            <w:vAlign w:val="center"/>
          </w:tcPr>
          <w:p w14:paraId="0B682674" w14:textId="77777777" w:rsidR="00B14519" w:rsidRPr="00781112" w:rsidRDefault="00B14519" w:rsidP="00827FF4">
            <w:pPr>
              <w:jc w:val="center"/>
              <w:rPr>
                <w:b/>
                <w:color w:val="000000" w:themeColor="text1"/>
              </w:rPr>
            </w:pPr>
            <w:r w:rsidRPr="00781112">
              <w:rPr>
                <w:rFonts w:cs="Arial"/>
                <w:b/>
                <w:color w:val="000000" w:themeColor="text1"/>
                <w:szCs w:val="16"/>
              </w:rPr>
              <w:t>2023</w:t>
            </w:r>
          </w:p>
        </w:tc>
        <w:tc>
          <w:tcPr>
            <w:tcW w:w="705" w:type="pct"/>
            <w:vAlign w:val="center"/>
          </w:tcPr>
          <w:p w14:paraId="3597F00E" w14:textId="77777777" w:rsidR="00B14519" w:rsidRPr="00781112" w:rsidRDefault="00B14519" w:rsidP="00827FF4">
            <w:pPr>
              <w:jc w:val="center"/>
              <w:rPr>
                <w:b/>
                <w:color w:val="000000" w:themeColor="text1"/>
              </w:rPr>
            </w:pPr>
            <w:r w:rsidRPr="00781112">
              <w:rPr>
                <w:rFonts w:cs="Arial"/>
                <w:b/>
                <w:color w:val="000000" w:themeColor="text1"/>
                <w:szCs w:val="16"/>
              </w:rPr>
              <w:t>2024</w:t>
            </w:r>
          </w:p>
        </w:tc>
        <w:tc>
          <w:tcPr>
            <w:tcW w:w="705" w:type="pct"/>
            <w:vAlign w:val="center"/>
          </w:tcPr>
          <w:p w14:paraId="20E1209B" w14:textId="77777777" w:rsidR="00B14519" w:rsidRPr="00781112" w:rsidRDefault="00B14519" w:rsidP="00827FF4">
            <w:pPr>
              <w:jc w:val="center"/>
              <w:rPr>
                <w:b/>
                <w:color w:val="000000" w:themeColor="text1"/>
              </w:rPr>
            </w:pPr>
            <w:r w:rsidRPr="00781112">
              <w:rPr>
                <w:rFonts w:cs="Arial"/>
                <w:b/>
                <w:color w:val="000000" w:themeColor="text1"/>
                <w:szCs w:val="16"/>
              </w:rPr>
              <w:t>2025</w:t>
            </w:r>
          </w:p>
        </w:tc>
      </w:tr>
      <w:tr w:rsidR="00B14519" w:rsidRPr="00781112" w14:paraId="506F660C" w14:textId="77777777" w:rsidTr="00451D7E">
        <w:tc>
          <w:tcPr>
            <w:tcW w:w="473" w:type="pct"/>
            <w:shd w:val="clear" w:color="auto" w:fill="auto"/>
            <w:vAlign w:val="center"/>
          </w:tcPr>
          <w:p w14:paraId="5CF55C1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4BDAD87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25B01019" w14:textId="68614C3D"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E665D01" w14:textId="380A2C73" w:rsidR="00B14519" w:rsidRPr="00781112" w:rsidRDefault="00B14519" w:rsidP="00827FF4">
            <w:pPr>
              <w:jc w:val="center"/>
              <w:rPr>
                <w:rFonts w:cs="Arial"/>
                <w:color w:val="000000" w:themeColor="text1"/>
                <w:szCs w:val="16"/>
              </w:rPr>
            </w:pPr>
            <w:r w:rsidRPr="00781112">
              <w:rPr>
                <w:rFonts w:cs="Arial"/>
                <w:color w:val="000000" w:themeColor="text1"/>
                <w:szCs w:val="16"/>
              </w:rPr>
              <w:t>9.51</w:t>
            </w:r>
          </w:p>
        </w:tc>
        <w:tc>
          <w:tcPr>
            <w:tcW w:w="705" w:type="pct"/>
            <w:vAlign w:val="center"/>
          </w:tcPr>
          <w:p w14:paraId="680AEBF8" w14:textId="435AE40D" w:rsidR="00B14519" w:rsidRPr="00781112" w:rsidRDefault="00B14519" w:rsidP="00827FF4">
            <w:pPr>
              <w:jc w:val="center"/>
              <w:rPr>
                <w:rFonts w:cs="Arial"/>
                <w:color w:val="000000" w:themeColor="text1"/>
                <w:szCs w:val="16"/>
              </w:rPr>
            </w:pPr>
            <w:r w:rsidRPr="00781112">
              <w:rPr>
                <w:rFonts w:cs="Arial"/>
                <w:color w:val="000000" w:themeColor="text1"/>
                <w:szCs w:val="16"/>
              </w:rPr>
              <w:t>9.50</w:t>
            </w:r>
            <w:r w:rsidRPr="00781112">
              <w:t xml:space="preserve"> </w:t>
            </w:r>
          </w:p>
        </w:tc>
        <w:tc>
          <w:tcPr>
            <w:tcW w:w="705" w:type="pct"/>
            <w:vAlign w:val="center"/>
          </w:tcPr>
          <w:p w14:paraId="060B65A2" w14:textId="3C5E7042" w:rsidR="00B14519" w:rsidRPr="00781112" w:rsidRDefault="00B14519" w:rsidP="00827FF4">
            <w:pPr>
              <w:jc w:val="center"/>
              <w:rPr>
                <w:rFonts w:cs="Arial"/>
                <w:color w:val="000000" w:themeColor="text1"/>
                <w:szCs w:val="16"/>
              </w:rPr>
            </w:pPr>
            <w:r w:rsidRPr="00781112">
              <w:rPr>
                <w:rFonts w:cs="Arial"/>
                <w:color w:val="000000" w:themeColor="text1"/>
                <w:szCs w:val="16"/>
              </w:rPr>
              <w:t>9.50</w:t>
            </w:r>
          </w:p>
        </w:tc>
        <w:tc>
          <w:tcPr>
            <w:tcW w:w="705" w:type="pct"/>
            <w:vAlign w:val="center"/>
          </w:tcPr>
          <w:p w14:paraId="7E46B7D6" w14:textId="00FC807B" w:rsidR="00B14519" w:rsidRPr="00781112" w:rsidRDefault="00B14519" w:rsidP="00827FF4">
            <w:pPr>
              <w:jc w:val="center"/>
              <w:rPr>
                <w:rFonts w:cs="Arial"/>
                <w:color w:val="000000" w:themeColor="text1"/>
                <w:szCs w:val="16"/>
              </w:rPr>
            </w:pPr>
            <w:r w:rsidRPr="00781112">
              <w:rPr>
                <w:rFonts w:cs="Arial"/>
                <w:color w:val="000000" w:themeColor="text1"/>
                <w:szCs w:val="16"/>
              </w:rPr>
              <w:t>9.45</w:t>
            </w:r>
          </w:p>
        </w:tc>
        <w:tc>
          <w:tcPr>
            <w:tcW w:w="705" w:type="pct"/>
            <w:vAlign w:val="center"/>
          </w:tcPr>
          <w:p w14:paraId="7A079196" w14:textId="4665429A" w:rsidR="00B14519" w:rsidRPr="00781112" w:rsidRDefault="00B14519" w:rsidP="00827FF4">
            <w:pPr>
              <w:jc w:val="center"/>
              <w:rPr>
                <w:rFonts w:cs="Arial"/>
                <w:color w:val="000000" w:themeColor="text1"/>
                <w:szCs w:val="16"/>
              </w:rPr>
            </w:pPr>
            <w:r w:rsidRPr="00781112">
              <w:rPr>
                <w:rFonts w:cs="Arial"/>
                <w:color w:val="000000" w:themeColor="text1"/>
                <w:szCs w:val="16"/>
              </w:rPr>
              <w:t>9.40</w:t>
            </w:r>
          </w:p>
        </w:tc>
      </w:tr>
      <w:tr w:rsidR="00B14519" w:rsidRPr="00781112" w14:paraId="109FA148" w14:textId="77777777" w:rsidTr="00451D7E">
        <w:tc>
          <w:tcPr>
            <w:tcW w:w="473" w:type="pct"/>
            <w:shd w:val="clear" w:color="auto" w:fill="auto"/>
            <w:vAlign w:val="center"/>
          </w:tcPr>
          <w:p w14:paraId="5CAAC2A8"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1DFAA13E"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330884D1" w14:textId="3ED7AA1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68DC0FBA" w14:textId="3776550F" w:rsidR="00B14519" w:rsidRPr="00781112" w:rsidRDefault="00B14519" w:rsidP="00827FF4">
            <w:pPr>
              <w:jc w:val="center"/>
              <w:rPr>
                <w:rFonts w:cs="Arial"/>
                <w:color w:val="000000" w:themeColor="text1"/>
                <w:szCs w:val="16"/>
              </w:rPr>
            </w:pPr>
            <w:r w:rsidRPr="00781112">
              <w:rPr>
                <w:rFonts w:cs="Arial"/>
                <w:color w:val="000000" w:themeColor="text1"/>
                <w:szCs w:val="16"/>
              </w:rPr>
              <w:t>17.64</w:t>
            </w:r>
          </w:p>
        </w:tc>
        <w:tc>
          <w:tcPr>
            <w:tcW w:w="705" w:type="pct"/>
            <w:vAlign w:val="center"/>
          </w:tcPr>
          <w:p w14:paraId="5D544F8D" w14:textId="7D5BE3EF" w:rsidR="00B14519" w:rsidRPr="00781112" w:rsidRDefault="00B14519" w:rsidP="00827FF4">
            <w:pPr>
              <w:jc w:val="center"/>
              <w:rPr>
                <w:rFonts w:cs="Arial"/>
                <w:color w:val="000000" w:themeColor="text1"/>
                <w:szCs w:val="16"/>
              </w:rPr>
            </w:pPr>
            <w:r w:rsidRPr="00781112">
              <w:rPr>
                <w:rFonts w:cs="Arial"/>
                <w:color w:val="000000" w:themeColor="text1"/>
                <w:szCs w:val="16"/>
              </w:rPr>
              <w:t>17.60</w:t>
            </w:r>
          </w:p>
        </w:tc>
        <w:tc>
          <w:tcPr>
            <w:tcW w:w="705" w:type="pct"/>
            <w:vAlign w:val="center"/>
          </w:tcPr>
          <w:p w14:paraId="067CAD2B" w14:textId="5DA2AE3C" w:rsidR="00B14519" w:rsidRPr="00781112" w:rsidRDefault="00B14519" w:rsidP="00827FF4">
            <w:pPr>
              <w:jc w:val="center"/>
              <w:rPr>
                <w:rFonts w:cs="Arial"/>
                <w:color w:val="000000" w:themeColor="text1"/>
                <w:szCs w:val="16"/>
              </w:rPr>
            </w:pPr>
            <w:r w:rsidRPr="00781112">
              <w:rPr>
                <w:rFonts w:cs="Arial"/>
                <w:color w:val="000000" w:themeColor="text1"/>
                <w:szCs w:val="16"/>
              </w:rPr>
              <w:t>17.60</w:t>
            </w:r>
          </w:p>
        </w:tc>
        <w:tc>
          <w:tcPr>
            <w:tcW w:w="705" w:type="pct"/>
            <w:vAlign w:val="center"/>
          </w:tcPr>
          <w:p w14:paraId="780BEF08" w14:textId="2245CB58" w:rsidR="00B14519" w:rsidRPr="00781112" w:rsidRDefault="00B14519" w:rsidP="00827FF4">
            <w:pPr>
              <w:jc w:val="center"/>
              <w:rPr>
                <w:rFonts w:cs="Arial"/>
                <w:color w:val="000000" w:themeColor="text1"/>
                <w:szCs w:val="16"/>
              </w:rPr>
            </w:pPr>
            <w:r w:rsidRPr="00781112">
              <w:rPr>
                <w:rFonts w:cs="Arial"/>
                <w:color w:val="000000" w:themeColor="text1"/>
                <w:szCs w:val="16"/>
              </w:rPr>
              <w:t>17.55</w:t>
            </w:r>
          </w:p>
        </w:tc>
        <w:tc>
          <w:tcPr>
            <w:tcW w:w="705" w:type="pct"/>
            <w:vAlign w:val="center"/>
          </w:tcPr>
          <w:p w14:paraId="7CDE10BF" w14:textId="33273B74" w:rsidR="00B14519" w:rsidRPr="00781112" w:rsidRDefault="00B14519" w:rsidP="00827FF4">
            <w:pPr>
              <w:jc w:val="center"/>
              <w:rPr>
                <w:rFonts w:cs="Arial"/>
                <w:color w:val="000000" w:themeColor="text1"/>
                <w:szCs w:val="16"/>
              </w:rPr>
            </w:pPr>
            <w:r w:rsidRPr="00781112">
              <w:rPr>
                <w:rFonts w:cs="Arial"/>
                <w:color w:val="000000" w:themeColor="text1"/>
                <w:szCs w:val="16"/>
              </w:rPr>
              <w:t>17.50</w:t>
            </w:r>
          </w:p>
        </w:tc>
      </w:tr>
      <w:tr w:rsidR="00B14519" w:rsidRPr="00781112" w14:paraId="736D24EA" w14:textId="77777777" w:rsidTr="00451D7E">
        <w:tc>
          <w:tcPr>
            <w:tcW w:w="473" w:type="pct"/>
            <w:shd w:val="clear" w:color="auto" w:fill="auto"/>
            <w:vAlign w:val="center"/>
          </w:tcPr>
          <w:p w14:paraId="56FB00C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76599FEA"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6758DB1A" w14:textId="51D63552"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56DA6177" w14:textId="20AF4748" w:rsidR="00B14519" w:rsidRPr="00781112" w:rsidRDefault="00B14519" w:rsidP="00827FF4">
            <w:pPr>
              <w:jc w:val="center"/>
              <w:rPr>
                <w:rFonts w:cs="Arial"/>
                <w:color w:val="000000" w:themeColor="text1"/>
                <w:szCs w:val="16"/>
              </w:rPr>
            </w:pPr>
            <w:r w:rsidRPr="00781112">
              <w:rPr>
                <w:rFonts w:cs="Arial"/>
                <w:color w:val="000000" w:themeColor="text1"/>
                <w:szCs w:val="16"/>
              </w:rPr>
              <w:t>22.58</w:t>
            </w:r>
          </w:p>
        </w:tc>
        <w:tc>
          <w:tcPr>
            <w:tcW w:w="705" w:type="pct"/>
            <w:vAlign w:val="center"/>
          </w:tcPr>
          <w:p w14:paraId="12D9F716" w14:textId="7A56543C" w:rsidR="00B14519" w:rsidRPr="00781112" w:rsidRDefault="00B14519" w:rsidP="00827FF4">
            <w:pPr>
              <w:jc w:val="center"/>
              <w:rPr>
                <w:rFonts w:cs="Arial"/>
                <w:color w:val="000000" w:themeColor="text1"/>
                <w:szCs w:val="16"/>
              </w:rPr>
            </w:pPr>
            <w:r w:rsidRPr="00781112">
              <w:rPr>
                <w:rFonts w:cs="Arial"/>
                <w:color w:val="000000" w:themeColor="text1"/>
                <w:szCs w:val="16"/>
              </w:rPr>
              <w:t>22.50</w:t>
            </w:r>
          </w:p>
        </w:tc>
        <w:tc>
          <w:tcPr>
            <w:tcW w:w="705" w:type="pct"/>
            <w:vAlign w:val="center"/>
          </w:tcPr>
          <w:p w14:paraId="4EE8CD33" w14:textId="2A4DD9F9" w:rsidR="00B14519" w:rsidRPr="00781112" w:rsidRDefault="00B14519" w:rsidP="00827FF4">
            <w:pPr>
              <w:jc w:val="center"/>
              <w:rPr>
                <w:rFonts w:cs="Arial"/>
                <w:color w:val="000000" w:themeColor="text1"/>
                <w:szCs w:val="16"/>
              </w:rPr>
            </w:pPr>
            <w:r w:rsidRPr="00781112">
              <w:rPr>
                <w:rFonts w:cs="Arial"/>
                <w:color w:val="000000" w:themeColor="text1"/>
                <w:szCs w:val="16"/>
              </w:rPr>
              <w:t>22.50</w:t>
            </w:r>
          </w:p>
        </w:tc>
        <w:tc>
          <w:tcPr>
            <w:tcW w:w="705" w:type="pct"/>
            <w:vAlign w:val="center"/>
          </w:tcPr>
          <w:p w14:paraId="5414FEEF" w14:textId="05CDB931" w:rsidR="00B14519" w:rsidRPr="00781112" w:rsidRDefault="00B14519" w:rsidP="00827FF4">
            <w:pPr>
              <w:jc w:val="center"/>
              <w:rPr>
                <w:rFonts w:cs="Arial"/>
                <w:color w:val="000000" w:themeColor="text1"/>
                <w:szCs w:val="16"/>
              </w:rPr>
            </w:pPr>
            <w:r w:rsidRPr="00781112">
              <w:rPr>
                <w:rFonts w:cs="Arial"/>
                <w:color w:val="000000" w:themeColor="text1"/>
                <w:szCs w:val="16"/>
              </w:rPr>
              <w:t>22.45</w:t>
            </w:r>
          </w:p>
        </w:tc>
        <w:tc>
          <w:tcPr>
            <w:tcW w:w="705" w:type="pct"/>
            <w:vAlign w:val="center"/>
          </w:tcPr>
          <w:p w14:paraId="4484F5C2" w14:textId="609E66AA" w:rsidR="00B14519" w:rsidRPr="00781112" w:rsidRDefault="00B14519" w:rsidP="00827FF4">
            <w:pPr>
              <w:jc w:val="center"/>
              <w:rPr>
                <w:rFonts w:cs="Arial"/>
                <w:color w:val="000000" w:themeColor="text1"/>
                <w:szCs w:val="16"/>
              </w:rPr>
            </w:pPr>
            <w:r w:rsidRPr="00781112">
              <w:rPr>
                <w:rFonts w:cs="Arial"/>
                <w:color w:val="000000" w:themeColor="text1"/>
                <w:szCs w:val="16"/>
              </w:rPr>
              <w:t>22.45</w:t>
            </w:r>
          </w:p>
        </w:tc>
      </w:tr>
      <w:tr w:rsidR="00B14519" w:rsidRPr="00781112" w14:paraId="311AB0DD" w14:textId="77777777" w:rsidTr="00451D7E">
        <w:tc>
          <w:tcPr>
            <w:tcW w:w="473" w:type="pct"/>
            <w:shd w:val="clear" w:color="auto" w:fill="auto"/>
            <w:vAlign w:val="center"/>
          </w:tcPr>
          <w:p w14:paraId="3D2E0CB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AAA6495"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65E16006" w14:textId="0FBAD82F"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122DB35A" w14:textId="50E48575" w:rsidR="00B14519" w:rsidRPr="00781112" w:rsidRDefault="00B14519" w:rsidP="00827FF4">
            <w:pPr>
              <w:jc w:val="center"/>
              <w:rPr>
                <w:rFonts w:cs="Arial"/>
                <w:color w:val="000000" w:themeColor="text1"/>
                <w:szCs w:val="16"/>
              </w:rPr>
            </w:pPr>
            <w:r w:rsidRPr="00781112">
              <w:rPr>
                <w:rFonts w:cs="Arial"/>
                <w:color w:val="000000" w:themeColor="text1"/>
                <w:szCs w:val="16"/>
              </w:rPr>
              <w:t>6.52</w:t>
            </w:r>
          </w:p>
        </w:tc>
        <w:tc>
          <w:tcPr>
            <w:tcW w:w="705" w:type="pct"/>
            <w:vAlign w:val="center"/>
          </w:tcPr>
          <w:p w14:paraId="7E46501E" w14:textId="6CB1A41D" w:rsidR="00B14519" w:rsidRPr="00781112" w:rsidRDefault="00B14519" w:rsidP="00827FF4">
            <w:pPr>
              <w:jc w:val="center"/>
              <w:rPr>
                <w:rFonts w:cs="Arial"/>
                <w:color w:val="000000" w:themeColor="text1"/>
                <w:szCs w:val="16"/>
              </w:rPr>
            </w:pPr>
            <w:r w:rsidRPr="00781112">
              <w:rPr>
                <w:rFonts w:cs="Arial"/>
                <w:color w:val="000000" w:themeColor="text1"/>
                <w:szCs w:val="16"/>
              </w:rPr>
              <w:t>6.52</w:t>
            </w:r>
          </w:p>
        </w:tc>
        <w:tc>
          <w:tcPr>
            <w:tcW w:w="705" w:type="pct"/>
            <w:vAlign w:val="center"/>
          </w:tcPr>
          <w:p w14:paraId="6A7C9997" w14:textId="58A4736A" w:rsidR="00B14519" w:rsidRPr="00781112" w:rsidRDefault="00B14519" w:rsidP="00827FF4">
            <w:pPr>
              <w:jc w:val="center"/>
              <w:rPr>
                <w:rFonts w:cs="Arial"/>
                <w:color w:val="000000" w:themeColor="text1"/>
                <w:szCs w:val="16"/>
              </w:rPr>
            </w:pPr>
            <w:r w:rsidRPr="00781112">
              <w:rPr>
                <w:rFonts w:cs="Arial"/>
                <w:color w:val="000000" w:themeColor="text1"/>
                <w:szCs w:val="16"/>
              </w:rPr>
              <w:t>6.51</w:t>
            </w:r>
          </w:p>
        </w:tc>
        <w:tc>
          <w:tcPr>
            <w:tcW w:w="705" w:type="pct"/>
            <w:vAlign w:val="center"/>
          </w:tcPr>
          <w:p w14:paraId="491D1816" w14:textId="09E4A313" w:rsidR="00B14519" w:rsidRPr="00781112" w:rsidRDefault="00B14519" w:rsidP="00827FF4">
            <w:pPr>
              <w:jc w:val="center"/>
              <w:rPr>
                <w:rFonts w:cs="Arial"/>
                <w:color w:val="000000" w:themeColor="text1"/>
                <w:szCs w:val="16"/>
              </w:rPr>
            </w:pPr>
            <w:r w:rsidRPr="00781112">
              <w:rPr>
                <w:rFonts w:cs="Arial"/>
                <w:color w:val="000000" w:themeColor="text1"/>
                <w:szCs w:val="16"/>
              </w:rPr>
              <w:t>6.50</w:t>
            </w:r>
          </w:p>
        </w:tc>
        <w:tc>
          <w:tcPr>
            <w:tcW w:w="705" w:type="pct"/>
            <w:vAlign w:val="center"/>
          </w:tcPr>
          <w:p w14:paraId="7C31E2D9" w14:textId="6B280022" w:rsidR="00B14519" w:rsidRPr="00781112" w:rsidRDefault="00B14519" w:rsidP="00827FF4">
            <w:pPr>
              <w:jc w:val="center"/>
              <w:rPr>
                <w:rFonts w:cs="Arial"/>
                <w:color w:val="000000" w:themeColor="text1"/>
                <w:szCs w:val="16"/>
              </w:rPr>
            </w:pPr>
            <w:r w:rsidRPr="00781112">
              <w:rPr>
                <w:rFonts w:cs="Arial"/>
                <w:color w:val="000000" w:themeColor="text1"/>
                <w:szCs w:val="16"/>
              </w:rPr>
              <w:t>6.50</w:t>
            </w:r>
          </w:p>
        </w:tc>
      </w:tr>
      <w:tr w:rsidR="00B14519" w:rsidRPr="00781112" w14:paraId="1F14A6A0" w14:textId="77777777" w:rsidTr="00451D7E">
        <w:tc>
          <w:tcPr>
            <w:tcW w:w="473" w:type="pct"/>
            <w:shd w:val="clear" w:color="auto" w:fill="auto"/>
            <w:vAlign w:val="center"/>
          </w:tcPr>
          <w:p w14:paraId="67FFD63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CC9E434"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48449221" w14:textId="1DE29BDC"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9A6E3C5" w14:textId="2E8BFD65" w:rsidR="00B14519" w:rsidRPr="00781112" w:rsidRDefault="00B14519" w:rsidP="00827FF4">
            <w:pPr>
              <w:jc w:val="center"/>
              <w:rPr>
                <w:rFonts w:cs="Arial"/>
                <w:color w:val="000000" w:themeColor="text1"/>
                <w:szCs w:val="16"/>
              </w:rPr>
            </w:pPr>
            <w:r w:rsidRPr="00781112">
              <w:rPr>
                <w:rFonts w:cs="Arial"/>
                <w:color w:val="000000" w:themeColor="text1"/>
                <w:szCs w:val="16"/>
              </w:rPr>
              <w:t>5.00</w:t>
            </w:r>
          </w:p>
        </w:tc>
        <w:tc>
          <w:tcPr>
            <w:tcW w:w="705" w:type="pct"/>
            <w:vAlign w:val="center"/>
          </w:tcPr>
          <w:p w14:paraId="627C9FA2" w14:textId="428379CE" w:rsidR="00B14519" w:rsidRPr="00781112" w:rsidRDefault="00B14519" w:rsidP="00827FF4">
            <w:pPr>
              <w:jc w:val="center"/>
              <w:rPr>
                <w:rFonts w:cs="Arial"/>
                <w:color w:val="000000" w:themeColor="text1"/>
                <w:szCs w:val="16"/>
              </w:rPr>
            </w:pPr>
            <w:r w:rsidRPr="00781112">
              <w:rPr>
                <w:rFonts w:cs="Arial"/>
                <w:color w:val="000000" w:themeColor="text1"/>
                <w:szCs w:val="16"/>
              </w:rPr>
              <w:t>5.00</w:t>
            </w:r>
          </w:p>
        </w:tc>
        <w:tc>
          <w:tcPr>
            <w:tcW w:w="705" w:type="pct"/>
            <w:vAlign w:val="center"/>
          </w:tcPr>
          <w:p w14:paraId="6204E3FD" w14:textId="081B5532" w:rsidR="00B14519" w:rsidRPr="00781112" w:rsidRDefault="00B14519" w:rsidP="00827FF4">
            <w:pPr>
              <w:jc w:val="center"/>
              <w:rPr>
                <w:rFonts w:cs="Arial"/>
                <w:color w:val="000000" w:themeColor="text1"/>
                <w:szCs w:val="16"/>
              </w:rPr>
            </w:pPr>
            <w:r w:rsidRPr="00781112">
              <w:rPr>
                <w:rFonts w:cs="Arial"/>
                <w:color w:val="000000" w:themeColor="text1"/>
                <w:szCs w:val="16"/>
              </w:rPr>
              <w:t>5.00</w:t>
            </w:r>
          </w:p>
        </w:tc>
        <w:tc>
          <w:tcPr>
            <w:tcW w:w="705" w:type="pct"/>
            <w:vAlign w:val="center"/>
          </w:tcPr>
          <w:p w14:paraId="70AB4E74" w14:textId="67486BA0" w:rsidR="00B14519" w:rsidRPr="00781112" w:rsidRDefault="00B14519" w:rsidP="00827FF4">
            <w:pPr>
              <w:jc w:val="center"/>
              <w:rPr>
                <w:rFonts w:cs="Arial"/>
                <w:color w:val="000000" w:themeColor="text1"/>
                <w:szCs w:val="16"/>
              </w:rPr>
            </w:pPr>
            <w:r w:rsidRPr="00781112">
              <w:rPr>
                <w:rFonts w:cs="Arial"/>
                <w:color w:val="000000" w:themeColor="text1"/>
                <w:szCs w:val="16"/>
              </w:rPr>
              <w:t>5.00</w:t>
            </w:r>
          </w:p>
        </w:tc>
        <w:tc>
          <w:tcPr>
            <w:tcW w:w="705" w:type="pct"/>
            <w:vAlign w:val="center"/>
          </w:tcPr>
          <w:p w14:paraId="76EDA768" w14:textId="58627E7B" w:rsidR="00B14519" w:rsidRPr="00781112" w:rsidRDefault="00B14519" w:rsidP="00827FF4">
            <w:pPr>
              <w:jc w:val="center"/>
              <w:rPr>
                <w:rFonts w:cs="Arial"/>
                <w:color w:val="000000" w:themeColor="text1"/>
                <w:szCs w:val="16"/>
              </w:rPr>
            </w:pPr>
            <w:r w:rsidRPr="00781112">
              <w:rPr>
                <w:rFonts w:cs="Arial"/>
                <w:color w:val="000000" w:themeColor="text1"/>
                <w:szCs w:val="16"/>
              </w:rPr>
              <w:t>1.88</w:t>
            </w:r>
          </w:p>
        </w:tc>
      </w:tr>
      <w:tr w:rsidR="00B14519" w:rsidRPr="00781112" w14:paraId="60CD7006" w14:textId="77777777" w:rsidTr="00451D7E">
        <w:tc>
          <w:tcPr>
            <w:tcW w:w="473" w:type="pct"/>
            <w:shd w:val="clear" w:color="auto" w:fill="auto"/>
            <w:vAlign w:val="center"/>
          </w:tcPr>
          <w:p w14:paraId="76491141"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6C27CF3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4E465544" w14:textId="4F893AB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7B41E026" w14:textId="6E6F2C10" w:rsidR="00B14519" w:rsidRPr="00781112" w:rsidRDefault="00B14519" w:rsidP="00827FF4">
            <w:pPr>
              <w:jc w:val="center"/>
              <w:rPr>
                <w:rFonts w:cs="Arial"/>
                <w:color w:val="000000" w:themeColor="text1"/>
                <w:szCs w:val="16"/>
              </w:rPr>
            </w:pPr>
            <w:r w:rsidRPr="00781112">
              <w:rPr>
                <w:rFonts w:cs="Arial"/>
                <w:color w:val="000000" w:themeColor="text1"/>
                <w:szCs w:val="16"/>
              </w:rPr>
              <w:t>5.00</w:t>
            </w:r>
          </w:p>
        </w:tc>
        <w:tc>
          <w:tcPr>
            <w:tcW w:w="705" w:type="pct"/>
            <w:vAlign w:val="center"/>
          </w:tcPr>
          <w:p w14:paraId="294118D4" w14:textId="54195603" w:rsidR="00B14519" w:rsidRPr="00781112" w:rsidRDefault="00B14519" w:rsidP="00827FF4">
            <w:pPr>
              <w:jc w:val="center"/>
              <w:rPr>
                <w:rFonts w:cs="Arial"/>
                <w:color w:val="000000" w:themeColor="text1"/>
                <w:szCs w:val="16"/>
              </w:rPr>
            </w:pPr>
            <w:r w:rsidRPr="00781112">
              <w:rPr>
                <w:rFonts w:cs="Arial"/>
                <w:color w:val="000000" w:themeColor="text1"/>
                <w:szCs w:val="16"/>
              </w:rPr>
              <w:t>5.00</w:t>
            </w:r>
          </w:p>
        </w:tc>
        <w:tc>
          <w:tcPr>
            <w:tcW w:w="705" w:type="pct"/>
            <w:vAlign w:val="center"/>
          </w:tcPr>
          <w:p w14:paraId="41623CC8" w14:textId="4F75F535" w:rsidR="00B14519" w:rsidRPr="00781112" w:rsidRDefault="00B14519" w:rsidP="00827FF4">
            <w:pPr>
              <w:jc w:val="center"/>
              <w:rPr>
                <w:rFonts w:cs="Arial"/>
                <w:color w:val="000000" w:themeColor="text1"/>
                <w:szCs w:val="16"/>
              </w:rPr>
            </w:pPr>
            <w:r w:rsidRPr="00781112">
              <w:rPr>
                <w:rFonts w:cs="Arial"/>
                <w:color w:val="000000" w:themeColor="text1"/>
                <w:szCs w:val="16"/>
              </w:rPr>
              <w:t>5.00</w:t>
            </w:r>
          </w:p>
        </w:tc>
        <w:tc>
          <w:tcPr>
            <w:tcW w:w="705" w:type="pct"/>
            <w:vAlign w:val="center"/>
          </w:tcPr>
          <w:p w14:paraId="70C28E3C" w14:textId="4F91601C" w:rsidR="00B14519" w:rsidRPr="00781112" w:rsidRDefault="00B14519" w:rsidP="00827FF4">
            <w:pPr>
              <w:jc w:val="center"/>
              <w:rPr>
                <w:rFonts w:cs="Arial"/>
                <w:color w:val="000000" w:themeColor="text1"/>
                <w:szCs w:val="16"/>
              </w:rPr>
            </w:pPr>
            <w:r w:rsidRPr="00781112">
              <w:rPr>
                <w:rFonts w:cs="Arial"/>
                <w:color w:val="000000" w:themeColor="text1"/>
                <w:szCs w:val="16"/>
              </w:rPr>
              <w:t>5.00</w:t>
            </w:r>
          </w:p>
        </w:tc>
        <w:tc>
          <w:tcPr>
            <w:tcW w:w="705" w:type="pct"/>
            <w:vAlign w:val="center"/>
          </w:tcPr>
          <w:p w14:paraId="72D77BDF" w14:textId="662A73D4" w:rsidR="00B14519" w:rsidRPr="00781112" w:rsidRDefault="00B14519" w:rsidP="00827FF4">
            <w:pPr>
              <w:jc w:val="center"/>
              <w:rPr>
                <w:rFonts w:cs="Arial"/>
                <w:color w:val="000000" w:themeColor="text1"/>
                <w:szCs w:val="16"/>
              </w:rPr>
            </w:pPr>
            <w:r w:rsidRPr="00781112">
              <w:rPr>
                <w:rFonts w:cs="Arial"/>
                <w:color w:val="000000" w:themeColor="text1"/>
                <w:szCs w:val="16"/>
              </w:rPr>
              <w:t>3.91</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 xml:space="preserve">PRDE solicited broad stakeholder input on PRDE’s targets in the SPP/APR including any subsequent revisions made to those targets and the development and implementation of Indicator 17, Puerto Rico’s State Systemic Improvement Plan (SSIP). </w:t>
      </w:r>
      <w:r w:rsidRPr="00781112">
        <w:rPr>
          <w:rFonts w:cs="Arial"/>
          <w:color w:val="000000" w:themeColor="text1"/>
          <w:szCs w:val="16"/>
        </w:rPr>
        <w:br/>
      </w:r>
      <w:r w:rsidRPr="00781112">
        <w:rPr>
          <w:rFonts w:cs="Arial"/>
          <w:color w:val="000000" w:themeColor="text1"/>
          <w:szCs w:val="16"/>
        </w:rPr>
        <w:br/>
        <w:t xml:space="preserve">Our original stakeholder group, called the Comité Consultivo de Educación Especial (“Special Education Advisory Committee”), is responsible for advising PRDE regarding the needs in the education of children with disabilities and for </w:t>
      </w:r>
      <w:proofErr w:type="gramStart"/>
      <w:r w:rsidRPr="00781112">
        <w:rPr>
          <w:rFonts w:cs="Arial"/>
          <w:color w:val="000000" w:themeColor="text1"/>
          <w:szCs w:val="16"/>
        </w:rPr>
        <w:t>providing assistance</w:t>
      </w:r>
      <w:proofErr w:type="gramEnd"/>
      <w:r w:rsidRPr="00781112">
        <w:rPr>
          <w:rFonts w:cs="Arial"/>
          <w:color w:val="000000" w:themeColor="text1"/>
          <w:szCs w:val="16"/>
        </w:rPr>
        <w:t xml:space="preserve"> and feedback about reports to be submitted to the Federal Government including our SSIP. The group includes representation from various sectors such as: the non-profit organization Apoyo a Padres de Niños con Impedimentos (Support for Parents of Students with Disabilities, or APNI by its acronym in Spanish), the Puerto Rico Department </w:t>
      </w:r>
      <w:r w:rsidRPr="00781112">
        <w:rPr>
          <w:rFonts w:cs="Arial"/>
          <w:color w:val="000000" w:themeColor="text1"/>
          <w:szCs w:val="16"/>
        </w:rPr>
        <w:lastRenderedPageBreak/>
        <w:t xml:space="preserve">of the Family, the Puerto Rico Vocational Rehabilitation Administration, the Puerto Rico Department of Health, Special Education Teachers, School Directors, parents of students with disabilities, SAEE personnel, autism representative, specialists such as a School Psychologist, Occupational Therapist, Speech Pathologist, and adult with impairment, and others. SAEE personnel participate continuously in meetings with the special education </w:t>
      </w:r>
      <w:proofErr w:type="gramStart"/>
      <w:r w:rsidRPr="00781112">
        <w:rPr>
          <w:rFonts w:cs="Arial"/>
          <w:color w:val="000000" w:themeColor="text1"/>
          <w:szCs w:val="16"/>
        </w:rPr>
        <w:t>stakeholders</w:t>
      </w:r>
      <w:proofErr w:type="gramEnd"/>
      <w:r w:rsidRPr="00781112">
        <w:rPr>
          <w:rFonts w:cs="Arial"/>
          <w:color w:val="000000" w:themeColor="text1"/>
          <w:szCs w:val="16"/>
        </w:rPr>
        <w:t xml:space="preserve"> group. </w:t>
      </w:r>
      <w:r w:rsidRPr="00781112">
        <w:rPr>
          <w:rFonts w:cs="Arial"/>
          <w:color w:val="000000" w:themeColor="text1"/>
          <w:szCs w:val="16"/>
        </w:rPr>
        <w:br/>
      </w:r>
      <w:r w:rsidRPr="00781112">
        <w:rPr>
          <w:rFonts w:cs="Arial"/>
          <w:color w:val="000000" w:themeColor="text1"/>
          <w:szCs w:val="16"/>
        </w:rPr>
        <w:br/>
        <w:t xml:space="preserve">The members of our stakeholder group also serve as liaisons for initiatives that benefit the special education population and their families. Recommendations provided </w:t>
      </w:r>
      <w:proofErr w:type="gramStart"/>
      <w:r w:rsidRPr="00781112">
        <w:rPr>
          <w:rFonts w:cs="Arial"/>
          <w:color w:val="000000" w:themeColor="text1"/>
          <w:szCs w:val="16"/>
        </w:rPr>
        <w:t>from</w:t>
      </w:r>
      <w:proofErr w:type="gramEnd"/>
      <w:r w:rsidRPr="00781112">
        <w:rPr>
          <w:rFonts w:cs="Arial"/>
          <w:color w:val="000000" w:themeColor="text1"/>
          <w:szCs w:val="16"/>
        </w:rPr>
        <w:t xml:space="preserve"> the stakeholders </w:t>
      </w:r>
      <w:proofErr w:type="gramStart"/>
      <w:r w:rsidRPr="00781112">
        <w:rPr>
          <w:rFonts w:cs="Arial"/>
          <w:color w:val="000000" w:themeColor="text1"/>
          <w:szCs w:val="16"/>
        </w:rPr>
        <w:t>were incorporated</w:t>
      </w:r>
      <w:proofErr w:type="gramEnd"/>
      <w:r w:rsidRPr="00781112">
        <w:rPr>
          <w:rFonts w:cs="Arial"/>
          <w:color w:val="000000" w:themeColor="text1"/>
          <w:szCs w:val="16"/>
        </w:rPr>
        <w:t xml:space="preserve"> into PRDE’s FFY 2021 APR. PRDE developed this FFY 2021 SPP/APR with broad stakeholder input. As discussed above, PRDE SAEE held various meetings with the stakeholder group and received their input regarding the SPP/APR, including feedback regarding the individual indicators including FFY 2021 data, targets, any subsequent revisions to targets, and related activities and initiatives as well as the SSIP.</w:t>
      </w:r>
      <w:r w:rsidRPr="00781112">
        <w:rPr>
          <w:rFonts w:cs="Arial"/>
          <w:color w:val="000000" w:themeColor="text1"/>
          <w:szCs w:val="16"/>
        </w:rPr>
        <w:br/>
      </w:r>
      <w:r w:rsidRPr="00781112">
        <w:rPr>
          <w:rFonts w:cs="Arial"/>
          <w:color w:val="000000" w:themeColor="text1"/>
          <w:szCs w:val="16"/>
        </w:rPr>
        <w:br/>
        <w:t xml:space="preserve">Additional mechanisms through with PRDE solicits broad stakeholder input includes PRDE work with and through the non-profit organization Apoyo a Padres de Niños con Impedimentos (Support for Parents of Students with Disabilities, or APNI by its acronym in Spanish), its operation of Parent Academies on post-secondary topics, and Communities of Learning through its SSIP efforts, among others. APNI’s work helps increase the capacity of parents and serves as an avenue for receiving feedback on improvement activities and related policies. Similarly, the Parent Academies provide capacity building sessions for parents and include feedback sessions where parents provide feedback regarding improvement activities and data and policies related to post-secondary transition. Finally, the communities of learning have been key in providing feedback regarding the Indicator 17 / the SSIP in its entirety and implementation thereof. Through </w:t>
      </w:r>
      <w:proofErr w:type="gramStart"/>
      <w:r w:rsidRPr="00781112">
        <w:rPr>
          <w:rFonts w:cs="Arial"/>
          <w:color w:val="000000" w:themeColor="text1"/>
          <w:szCs w:val="16"/>
        </w:rPr>
        <w:t>all of</w:t>
      </w:r>
      <w:proofErr w:type="gramEnd"/>
      <w:r w:rsidRPr="00781112">
        <w:rPr>
          <w:rFonts w:cs="Arial"/>
          <w:color w:val="000000" w:themeColor="text1"/>
          <w:szCs w:val="16"/>
        </w:rPr>
        <w:t xml:space="preserve"> these avenues, PRDE seeks and receives stakeholder input that is considered in the development of the SPP/APR including targets, subsequent revisions of targets, and development and implementation of the SSIP (Ind. 17). </w:t>
      </w:r>
    </w:p>
    <w:p w14:paraId="1A8E431E" w14:textId="45368C9A" w:rsidR="00DD5B7A" w:rsidRPr="00781112" w:rsidRDefault="00DD5B7A" w:rsidP="00DD5B7A">
      <w:pPr>
        <w:rPr>
          <w:rFonts w:cs="Arial"/>
          <w:color w:val="000000" w:themeColor="text1"/>
          <w:szCs w:val="16"/>
        </w:rPr>
      </w:pPr>
    </w:p>
    <w:p w14:paraId="5EB19DE7" w14:textId="77777777" w:rsidR="00DD5B7A" w:rsidRPr="00781112" w:rsidRDefault="00DD5B7A" w:rsidP="00DD5B7A">
      <w:pPr>
        <w:spacing w:before="0" w:after="200" w:line="276" w:lineRule="auto"/>
        <w:rPr>
          <w:b/>
          <w:color w:val="000000" w:themeColor="text1"/>
        </w:rPr>
      </w:pPr>
    </w:p>
    <w:p w14:paraId="5F03961C" w14:textId="6F5CB644" w:rsidR="00DD5B7A" w:rsidRPr="00781112" w:rsidRDefault="00FA33C9" w:rsidP="00DD5B7A">
      <w:pPr>
        <w:rPr>
          <w:b/>
          <w:color w:val="000000" w:themeColor="text1"/>
        </w:rPr>
      </w:pPr>
      <w:r>
        <w:rPr>
          <w:b/>
          <w:color w:val="000000" w:themeColor="text1"/>
        </w:rPr>
        <w:t>FFY 2021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 xml:space="preserve">a. All Students who received a valid score and a proficiency </w:t>
            </w:r>
            <w:proofErr w:type="gramStart"/>
            <w:r w:rsidRPr="00781112">
              <w:rPr>
                <w:rFonts w:cs="Arial"/>
                <w:color w:val="000000" w:themeColor="text1"/>
                <w:szCs w:val="16"/>
              </w:rPr>
              <w:t>was assigned</w:t>
            </w:r>
            <w:proofErr w:type="gramEnd"/>
            <w:r w:rsidRPr="00781112">
              <w:rPr>
                <w:rFonts w:cs="Arial"/>
                <w:color w:val="000000" w:themeColor="text1"/>
                <w:szCs w:val="16"/>
              </w:rPr>
              <w:t xml:space="preserve">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18,272</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20,537</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19,319</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t>
            </w:r>
            <w:proofErr w:type="gramStart"/>
            <w:r w:rsidRPr="00781112">
              <w:rPr>
                <w:rFonts w:cs="Arial"/>
                <w:color w:val="000000" w:themeColor="text1"/>
                <w:szCs w:val="16"/>
              </w:rPr>
              <w:t>was assigned</w:t>
            </w:r>
            <w:proofErr w:type="gramEnd"/>
            <w:r w:rsidRPr="00781112">
              <w:rPr>
                <w:rFonts w:cs="Arial"/>
                <w:color w:val="000000" w:themeColor="text1"/>
                <w:szCs w:val="16"/>
              </w:rPr>
              <w:t xml:space="preserve">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5,979</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6,237</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4,680</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5,238</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6,148</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6,430</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1,511</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965</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722</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302</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184</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151</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1,338</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876</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525</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 xml:space="preserve">a. All Students who received a valid score and a proficiency </w:t>
            </w:r>
            <w:proofErr w:type="gramStart"/>
            <w:r w:rsidRPr="00781112">
              <w:rPr>
                <w:rFonts w:cs="Arial"/>
                <w:color w:val="000000" w:themeColor="text1"/>
                <w:szCs w:val="16"/>
              </w:rPr>
              <w:t>was assigned</w:t>
            </w:r>
            <w:proofErr w:type="gramEnd"/>
            <w:r w:rsidRPr="00781112">
              <w:rPr>
                <w:rFonts w:cs="Arial"/>
                <w:color w:val="000000" w:themeColor="text1"/>
                <w:szCs w:val="16"/>
              </w:rPr>
              <w:t xml:space="preserve">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18,165</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20,468</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19,210</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t>
            </w:r>
            <w:proofErr w:type="gramStart"/>
            <w:r w:rsidRPr="00781112">
              <w:rPr>
                <w:rFonts w:cs="Arial"/>
                <w:color w:val="000000" w:themeColor="text1"/>
                <w:szCs w:val="16"/>
              </w:rPr>
              <w:t>was assigned</w:t>
            </w:r>
            <w:proofErr w:type="gramEnd"/>
            <w:r w:rsidRPr="00781112">
              <w:rPr>
                <w:rFonts w:cs="Arial"/>
                <w:color w:val="000000" w:themeColor="text1"/>
                <w:szCs w:val="16"/>
              </w:rPr>
              <w:t xml:space="preserve">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5,937</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6,221</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4,652</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5,718</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997</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958</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lastRenderedPageBreak/>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1,949</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210</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75</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368</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53</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15</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1,751</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196</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53</w:t>
            </w:r>
          </w:p>
        </w:tc>
      </w:tr>
    </w:tbl>
    <w:p w14:paraId="1EA160DB" w14:textId="77777777" w:rsidR="00DD5B7A" w:rsidRPr="00781112" w:rsidRDefault="00DD5B7A" w:rsidP="00DD5B7A">
      <w:pPr>
        <w:rPr>
          <w:color w:val="000000" w:themeColor="text1"/>
        </w:rPr>
      </w:pPr>
    </w:p>
    <w:p w14:paraId="300D6CD4" w14:textId="52C9441D" w:rsidR="00DD5B7A" w:rsidRPr="00781112" w:rsidRDefault="0047313F" w:rsidP="00DD5B7A">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FA33C9" w:rsidRPr="00781112" w14:paraId="2F7F1DE8" w14:textId="77777777" w:rsidTr="00360DD6">
        <w:trPr>
          <w:tblHeader/>
        </w:trPr>
        <w:tc>
          <w:tcPr>
            <w:tcW w:w="331" w:type="pct"/>
            <w:shd w:val="clear" w:color="auto" w:fill="auto"/>
            <w:vAlign w:val="bottom"/>
          </w:tcPr>
          <w:p w14:paraId="0E14CE7F"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FA33C9" w:rsidRPr="00781112" w:rsidRDefault="00FA33C9" w:rsidP="00FA33C9">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0E46FEA8" w:rsidR="00FA33C9" w:rsidRPr="00073BD7" w:rsidRDefault="00FA33C9" w:rsidP="00FA33C9">
            <w:pPr>
              <w:jc w:val="center"/>
              <w:rPr>
                <w:b/>
                <w:bCs/>
                <w:color w:val="000000" w:themeColor="text1"/>
              </w:rPr>
            </w:pPr>
            <w:r w:rsidRPr="00073BD7">
              <w:rPr>
                <w:b/>
                <w:bCs/>
              </w:rPr>
              <w:t>FFY 2020 Data</w:t>
            </w:r>
          </w:p>
        </w:tc>
        <w:tc>
          <w:tcPr>
            <w:tcW w:w="517" w:type="pct"/>
            <w:shd w:val="clear" w:color="auto" w:fill="auto"/>
            <w:vAlign w:val="bottom"/>
          </w:tcPr>
          <w:p w14:paraId="69544656" w14:textId="54A418A5" w:rsidR="00FA33C9" w:rsidRPr="00073BD7" w:rsidRDefault="00FA33C9" w:rsidP="00FA33C9">
            <w:pPr>
              <w:jc w:val="center"/>
              <w:rPr>
                <w:b/>
                <w:bCs/>
                <w:color w:val="000000" w:themeColor="text1"/>
              </w:rPr>
            </w:pPr>
            <w:r w:rsidRPr="00073BD7">
              <w:rPr>
                <w:b/>
                <w:bCs/>
              </w:rPr>
              <w:t>FFY 2021 Target</w:t>
            </w:r>
          </w:p>
        </w:tc>
        <w:tc>
          <w:tcPr>
            <w:tcW w:w="517" w:type="pct"/>
            <w:shd w:val="clear" w:color="auto" w:fill="auto"/>
            <w:vAlign w:val="bottom"/>
          </w:tcPr>
          <w:p w14:paraId="611B3DE3" w14:textId="365252D3" w:rsidR="00FA33C9" w:rsidRPr="00073BD7" w:rsidRDefault="00FA33C9" w:rsidP="00FA33C9">
            <w:pPr>
              <w:jc w:val="center"/>
              <w:rPr>
                <w:b/>
                <w:bCs/>
                <w:color w:val="000000" w:themeColor="text1"/>
              </w:rPr>
            </w:pPr>
            <w:r w:rsidRPr="00073BD7">
              <w:rPr>
                <w:b/>
                <w:bCs/>
              </w:rPr>
              <w:t>FFY 2021 Data</w:t>
            </w:r>
          </w:p>
        </w:tc>
        <w:tc>
          <w:tcPr>
            <w:tcW w:w="517" w:type="pct"/>
            <w:shd w:val="clear" w:color="auto" w:fill="auto"/>
            <w:vAlign w:val="bottom"/>
          </w:tcPr>
          <w:p w14:paraId="6D2215D6" w14:textId="77777777" w:rsidR="00FA33C9" w:rsidRPr="00781112" w:rsidRDefault="00FA33C9" w:rsidP="00FA33C9">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FA33C9" w:rsidRPr="00781112" w:rsidRDefault="00FA33C9" w:rsidP="00FA33C9">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27.43%</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36.94%</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9.51</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9.51</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17.00%</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34.64%</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17.64</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17.64</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14.44%</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37.02%</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22.58</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22.58</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bl>
    <w:p w14:paraId="006E999D" w14:textId="77777777" w:rsidR="00DD5B7A" w:rsidRPr="00781112" w:rsidRDefault="00DD5B7A" w:rsidP="00DD5B7A">
      <w:pPr>
        <w:spacing w:before="0" w:after="200" w:line="276" w:lineRule="auto"/>
        <w:rPr>
          <w:b/>
          <w:color w:val="000000" w:themeColor="text1"/>
        </w:rPr>
      </w:pPr>
    </w:p>
    <w:p w14:paraId="2E07CCBD" w14:textId="0F403D2D" w:rsidR="00DD5B7A" w:rsidRPr="00781112" w:rsidRDefault="0047313F" w:rsidP="00DD5B7A">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FA33C9" w:rsidRPr="00781112" w14:paraId="6355AB57" w14:textId="77777777" w:rsidTr="001B7E95">
        <w:trPr>
          <w:tblHeader/>
        </w:trPr>
        <w:tc>
          <w:tcPr>
            <w:tcW w:w="331" w:type="pct"/>
            <w:shd w:val="clear" w:color="auto" w:fill="auto"/>
            <w:vAlign w:val="bottom"/>
          </w:tcPr>
          <w:p w14:paraId="7C464B0B"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FA33C9" w:rsidRPr="00781112" w:rsidRDefault="00FA33C9" w:rsidP="00FA33C9">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2E7796A1" w:rsidR="00FA33C9" w:rsidRPr="00073BD7" w:rsidRDefault="00FA33C9" w:rsidP="00FA33C9">
            <w:pPr>
              <w:jc w:val="center"/>
              <w:rPr>
                <w:b/>
                <w:bCs/>
                <w:color w:val="000000" w:themeColor="text1"/>
              </w:rPr>
            </w:pPr>
            <w:r w:rsidRPr="00073BD7">
              <w:rPr>
                <w:b/>
                <w:bCs/>
              </w:rPr>
              <w:t>FFY 2020 Data</w:t>
            </w:r>
          </w:p>
        </w:tc>
        <w:tc>
          <w:tcPr>
            <w:tcW w:w="508" w:type="pct"/>
            <w:shd w:val="clear" w:color="auto" w:fill="auto"/>
            <w:vAlign w:val="bottom"/>
          </w:tcPr>
          <w:p w14:paraId="275741A5" w14:textId="3CDA6991" w:rsidR="00FA33C9" w:rsidRPr="00073BD7" w:rsidRDefault="00FA33C9" w:rsidP="00FA33C9">
            <w:pPr>
              <w:jc w:val="center"/>
              <w:rPr>
                <w:b/>
                <w:bCs/>
                <w:color w:val="000000" w:themeColor="text1"/>
              </w:rPr>
            </w:pPr>
            <w:r w:rsidRPr="00073BD7">
              <w:rPr>
                <w:b/>
                <w:bCs/>
              </w:rPr>
              <w:t>FFY 2021 Target</w:t>
            </w:r>
          </w:p>
        </w:tc>
        <w:tc>
          <w:tcPr>
            <w:tcW w:w="508" w:type="pct"/>
            <w:shd w:val="clear" w:color="auto" w:fill="auto"/>
            <w:vAlign w:val="bottom"/>
          </w:tcPr>
          <w:p w14:paraId="597E0BC4" w14:textId="2210B9AB" w:rsidR="00FA33C9" w:rsidRPr="00073BD7" w:rsidRDefault="00FA33C9" w:rsidP="00FA33C9">
            <w:pPr>
              <w:jc w:val="center"/>
              <w:rPr>
                <w:b/>
                <w:bCs/>
                <w:color w:val="000000" w:themeColor="text1"/>
              </w:rPr>
            </w:pPr>
            <w:r w:rsidRPr="00073BD7">
              <w:rPr>
                <w:b/>
                <w:bCs/>
              </w:rPr>
              <w:t>FFY 2021 Data</w:t>
            </w:r>
          </w:p>
        </w:tc>
        <w:tc>
          <w:tcPr>
            <w:tcW w:w="508" w:type="pct"/>
            <w:shd w:val="clear" w:color="auto" w:fill="auto"/>
            <w:vAlign w:val="bottom"/>
          </w:tcPr>
          <w:p w14:paraId="53963A37" w14:textId="77777777" w:rsidR="00FA33C9" w:rsidRPr="00781112" w:rsidRDefault="00FA33C9" w:rsidP="00FA33C9">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FA33C9" w:rsidRPr="00781112" w:rsidRDefault="00FA33C9" w:rsidP="00FA33C9">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35.69%</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42.21%</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6.52</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6.52</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4.00%</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5.90%</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5.00</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1.89</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1.46%</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5.38%</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5.00</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3.92</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bl>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r w:rsidRPr="00781112">
        <w:rPr>
          <w:rFonts w:cs="Arial"/>
          <w:color w:val="000000" w:themeColor="text1"/>
          <w:szCs w:val="16"/>
        </w:rPr>
        <w:t xml:space="preserve">As noted by OSEP in the “Prior FFY Required Actions” section below, PRDE received a waiver of the assessment requirements for the 2020-2021 school year, and as a result, did not provide baselines or targets for this indicator with the FFY 2020 SPP/APR submission. As such, PRDE </w:t>
      </w:r>
      <w:proofErr w:type="gramStart"/>
      <w:r w:rsidRPr="00781112">
        <w:rPr>
          <w:rFonts w:cs="Arial"/>
          <w:color w:val="000000" w:themeColor="text1"/>
          <w:szCs w:val="16"/>
        </w:rPr>
        <w:t>was required</w:t>
      </w:r>
      <w:proofErr w:type="gramEnd"/>
      <w:r w:rsidRPr="00781112">
        <w:rPr>
          <w:rFonts w:cs="Arial"/>
          <w:color w:val="000000" w:themeColor="text1"/>
          <w:szCs w:val="16"/>
        </w:rPr>
        <w:t xml:space="preserve"> to provide baselines and targets for FFY 2021 through FFY 2025 for Indicator 3D in its FFY 2021 SPP/APR. PRDE has provided the required baselines and targets. This represents the establishment of the baseline for Indicator 3D, not a revision to the baseline. As this is a new indicator, PRDE determined, in consultation with stakeholders, that it was appropriate to establish its baselines based on the most recent available data, i.e., current year data. </w:t>
      </w: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PRDE received a waiver of the assessment requirements and as a result, did not provide baselines or targets for this indicator, as required by the measurement table. In its FFY 2021 SPP/APR, PRDE must provide the required baselines and targets for FFY 2021 through FFY 2025.</w:t>
      </w:r>
    </w:p>
    <w:p w14:paraId="47ABF9E7" w14:textId="76AF8E5D" w:rsidR="00764DDE" w:rsidRPr="00781112" w:rsidRDefault="007639D7" w:rsidP="00764DDE">
      <w:pPr>
        <w:rPr>
          <w:color w:val="000000" w:themeColor="text1"/>
        </w:rPr>
      </w:pPr>
      <w:r>
        <w:rPr>
          <w:b/>
          <w:color w:val="000000" w:themeColor="text1"/>
        </w:rPr>
        <w:t>Response to actions required in FFY 2020 SPP/APR</w:t>
      </w:r>
      <w:r w:rsidR="00764DDE" w:rsidRPr="00781112">
        <w:rPr>
          <w:rFonts w:cs="Arial"/>
          <w:color w:val="000000" w:themeColor="text1"/>
          <w:szCs w:val="16"/>
        </w:rPr>
        <w:t xml:space="preserve"> </w:t>
      </w:r>
    </w:p>
    <w:p w14:paraId="2B9EE617" w14:textId="322813AD" w:rsidR="00764DDE" w:rsidRPr="00781112" w:rsidRDefault="00764DDE" w:rsidP="00764DDE">
      <w:pPr>
        <w:rPr>
          <w:rFonts w:cs="Arial"/>
          <w:color w:val="000000" w:themeColor="text1"/>
          <w:szCs w:val="16"/>
        </w:rPr>
      </w:pP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r w:rsidRPr="00781112">
        <w:rPr>
          <w:rFonts w:cs="Arial"/>
          <w:color w:val="000000" w:themeColor="text1"/>
          <w:szCs w:val="16"/>
          <w:shd w:val="clear" w:color="auto" w:fill="FFFFFF"/>
        </w:rPr>
        <w:t>PRDE has established the baseline for this indicator, using data from FFY 2021,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PRDE submitted its targets for FFY 2021 through FFY 2025 for this indicator, and OSEP accepts those targets.</w:t>
      </w: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8"/>
      <w:bookmarkEnd w:id="19"/>
    </w:p>
    <w:p w14:paraId="6B24B370" w14:textId="77777777" w:rsidR="006E5AE4" w:rsidRPr="00781112" w:rsidRDefault="006E5AE4" w:rsidP="00A018D4">
      <w:pPr>
        <w:rPr>
          <w:color w:val="000000" w:themeColor="text1"/>
          <w:szCs w:val="20"/>
        </w:rPr>
      </w:pPr>
      <w:bookmarkStart w:id="21" w:name="_Toc384383331"/>
      <w:bookmarkStart w:id="22"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 xml:space="preserve">discipline data, including State’s analysis of State’s Discipline data collected under IDEA Section 618, where applicable. Discrepancy can </w:t>
      </w:r>
      <w:proofErr w:type="gramStart"/>
      <w:r w:rsidRPr="00781112">
        <w:rPr>
          <w:rFonts w:cs="Arial"/>
          <w:color w:val="000000" w:themeColor="text1"/>
          <w:szCs w:val="16"/>
          <w:shd w:val="clear" w:color="auto" w:fill="FFFFFF"/>
        </w:rPr>
        <w:t>be computed</w:t>
      </w:r>
      <w:proofErr w:type="gramEnd"/>
      <w:r w:rsidRPr="00781112">
        <w:rPr>
          <w:rFonts w:cs="Arial"/>
          <w:color w:val="000000" w:themeColor="text1"/>
          <w:szCs w:val="16"/>
          <w:shd w:val="clear" w:color="auto" w:fill="FFFFFF"/>
        </w:rPr>
        <w:t xml:space="preserve">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w:t>
      </w:r>
    </w:p>
    <w:p w14:paraId="3AD8FD7E" w14:textId="47F57D4C"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2021 SPP/APR, use data from 2020-2021),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 xml:space="preserve">In the description, specify which method the State used to determine </w:t>
      </w:r>
      <w:proofErr w:type="gramStart"/>
      <w:r w:rsidRPr="00781112">
        <w:rPr>
          <w:rFonts w:cs="Arial"/>
          <w:color w:val="000000" w:themeColor="text1"/>
          <w:szCs w:val="16"/>
        </w:rPr>
        <w:t>possible discrepancies</w:t>
      </w:r>
      <w:proofErr w:type="gramEnd"/>
      <w:r w:rsidRPr="00781112">
        <w:rPr>
          <w:rFonts w:cs="Arial"/>
          <w:color w:val="000000" w:themeColor="text1"/>
          <w:szCs w:val="16"/>
        </w:rPr>
        <w:t xml:space="preserve"> and explain what constitutes those discrepancies.</w:t>
      </w:r>
    </w:p>
    <w:p w14:paraId="222C5D4B" w14:textId="269C53BA" w:rsidR="004F019B" w:rsidRPr="00781112" w:rsidRDefault="004F019B" w:rsidP="004F019B">
      <w:pPr>
        <w:rPr>
          <w:rFonts w:cs="Arial"/>
          <w:szCs w:val="16"/>
        </w:rPr>
      </w:pPr>
      <w:r w:rsidRPr="00781112">
        <w:rPr>
          <w:rFonts w:cs="Arial"/>
          <w:szCs w:val="16"/>
        </w:rPr>
        <w:t xml:space="preserve">Because the measurement table requires that the data examined for this indicator are lag year data, States should examine the 618 data that </w:t>
      </w:r>
      <w:proofErr w:type="gramStart"/>
      <w:r w:rsidRPr="00781112">
        <w:rPr>
          <w:rFonts w:cs="Arial"/>
          <w:szCs w:val="16"/>
        </w:rPr>
        <w:t>was submitted</w:t>
      </w:r>
      <w:proofErr w:type="gramEnd"/>
      <w:r w:rsidRPr="00781112">
        <w:rPr>
          <w:rFonts w:cs="Arial"/>
          <w:szCs w:val="16"/>
        </w:rPr>
        <w:t xml:space="preserve"> by LEAs that were in operation during the school year before the reporting year. For example, if a State has 100 LEAs operating in the 2020-2021 school year, those 100 LEAs would have reported 618 data in 2021-2022 on the number of children suspended/expelled. If the State then opens </w:t>
      </w:r>
      <w:proofErr w:type="gramStart"/>
      <w:r w:rsidRPr="00781112">
        <w:rPr>
          <w:rFonts w:cs="Arial"/>
          <w:szCs w:val="16"/>
        </w:rPr>
        <w:t>15</w:t>
      </w:r>
      <w:proofErr w:type="gramEnd"/>
      <w:r w:rsidRPr="00781112">
        <w:rPr>
          <w:rFonts w:cs="Arial"/>
          <w:szCs w:val="16"/>
        </w:rPr>
        <w:t xml:space="preserve">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w:t>
      </w:r>
      <w:proofErr w:type="gramStart"/>
      <w:r w:rsidRPr="00781112">
        <w:rPr>
          <w:rFonts w:cs="Arial"/>
          <w:szCs w:val="16"/>
        </w:rPr>
        <w:t>its</w:t>
      </w:r>
      <w:proofErr w:type="gramEnd"/>
      <w:r w:rsidRPr="00781112">
        <w:rPr>
          <w:rFonts w:cs="Arial"/>
          <w:szCs w:val="16"/>
        </w:rPr>
        <w:t xml:space="preserve"> calculation for this indicator. For the FFY 2021 SPP/APR submission, States must use the number of LEAs reported in 2020-2021 (which can </w:t>
      </w:r>
      <w:proofErr w:type="gramStart"/>
      <w:r w:rsidRPr="00781112">
        <w:rPr>
          <w:rFonts w:cs="Arial"/>
          <w:szCs w:val="16"/>
        </w:rPr>
        <w:t>be found</w:t>
      </w:r>
      <w:proofErr w:type="gramEnd"/>
      <w:r w:rsidRPr="00781112">
        <w:rPr>
          <w:rFonts w:cs="Arial"/>
          <w:szCs w:val="16"/>
        </w:rPr>
        <w:t xml:space="preserve"> in the FFY 2020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 xml:space="preserve">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406A7CC3" w14:textId="5644C489"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3" w:name="_Toc384383332"/>
      <w:bookmarkStart w:id="24" w:name="_Toc392159284"/>
      <w:bookmarkEnd w:id="21"/>
      <w:bookmarkEnd w:id="22"/>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2005</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0.00%</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2020</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0.10%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0.10%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F4988E8" w14:textId="56ECA0F8" w:rsidR="00BB7BC9" w:rsidRPr="00781112" w:rsidRDefault="00BB7BC9" w:rsidP="00A018D4">
            <w:pPr>
              <w:jc w:val="center"/>
              <w:rPr>
                <w:rFonts w:cs="Arial"/>
                <w:color w:val="000000" w:themeColor="text1"/>
                <w:szCs w:val="16"/>
              </w:rPr>
            </w:pPr>
          </w:p>
        </w:tc>
        <w:tc>
          <w:tcPr>
            <w:tcW w:w="833" w:type="pct"/>
            <w:tcBorders>
              <w:bottom w:val="single" w:sz="4" w:space="0" w:color="auto"/>
            </w:tcBorders>
            <w:shd w:val="clear" w:color="auto" w:fill="auto"/>
            <w:vAlign w:val="center"/>
          </w:tcPr>
          <w:p w14:paraId="3315EDFF" w14:textId="1943A2C3" w:rsidR="00BB7BC9" w:rsidRPr="00781112" w:rsidRDefault="00BB7BC9" w:rsidP="00A018D4">
            <w:pPr>
              <w:jc w:val="center"/>
              <w:rPr>
                <w:rFonts w:cs="Arial"/>
                <w:color w:val="000000" w:themeColor="text1"/>
                <w:szCs w:val="16"/>
              </w:rPr>
            </w:pPr>
          </w:p>
        </w:tc>
        <w:tc>
          <w:tcPr>
            <w:tcW w:w="834" w:type="pct"/>
            <w:tcBorders>
              <w:bottom w:val="single" w:sz="4" w:space="0" w:color="auto"/>
            </w:tcBorders>
            <w:shd w:val="clear" w:color="auto" w:fill="auto"/>
            <w:vAlign w:val="center"/>
          </w:tcPr>
          <w:p w14:paraId="6B580E93" w14:textId="6155D799" w:rsidR="00BB7BC9" w:rsidRPr="00781112" w:rsidRDefault="00BB7BC9" w:rsidP="00A018D4">
            <w:pPr>
              <w:jc w:val="center"/>
              <w:rPr>
                <w:rFonts w:cs="Arial"/>
                <w:color w:val="000000" w:themeColor="text1"/>
                <w:szCs w:val="16"/>
              </w:rPr>
            </w:pP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1"/>
        <w:gridCol w:w="1696"/>
        <w:gridCol w:w="1696"/>
        <w:gridCol w:w="1696"/>
        <w:gridCol w:w="1697"/>
      </w:tblGrid>
      <w:tr w:rsidR="00B14519" w:rsidRPr="00781112" w14:paraId="00255703" w14:textId="57B86D35" w:rsidTr="00451D7E">
        <w:trPr>
          <w:trHeight w:val="350"/>
        </w:trPr>
        <w:tc>
          <w:tcPr>
            <w:tcW w:w="271" w:type="pct"/>
            <w:tcBorders>
              <w:bottom w:val="single" w:sz="4" w:space="0" w:color="auto"/>
            </w:tcBorders>
            <w:shd w:val="clear" w:color="auto" w:fill="auto"/>
          </w:tcPr>
          <w:p w14:paraId="12833EEC" w14:textId="77777777" w:rsidR="00B14519" w:rsidRPr="00781112" w:rsidRDefault="00B14519" w:rsidP="00373F78">
            <w:pPr>
              <w:jc w:val="center"/>
              <w:rPr>
                <w:b/>
                <w:color w:val="000000" w:themeColor="text1"/>
              </w:rPr>
            </w:pPr>
            <w:r w:rsidRPr="00781112">
              <w:rPr>
                <w:b/>
                <w:color w:val="000000" w:themeColor="text1"/>
              </w:rPr>
              <w:t>FFY</w:t>
            </w:r>
          </w:p>
        </w:tc>
        <w:tc>
          <w:tcPr>
            <w:tcW w:w="899" w:type="pct"/>
            <w:shd w:val="clear" w:color="auto" w:fill="auto"/>
          </w:tcPr>
          <w:p w14:paraId="50119DBA" w14:textId="04DC2A77" w:rsidR="00B14519" w:rsidRPr="00781112" w:rsidRDefault="00B14519" w:rsidP="00373F78">
            <w:pPr>
              <w:jc w:val="center"/>
              <w:rPr>
                <w:b/>
                <w:color w:val="000000" w:themeColor="text1"/>
              </w:rPr>
            </w:pPr>
            <w:r w:rsidRPr="00781112">
              <w:rPr>
                <w:b/>
                <w:color w:val="000000" w:themeColor="text1"/>
              </w:rPr>
              <w:t>2021</w:t>
            </w:r>
          </w:p>
        </w:tc>
        <w:tc>
          <w:tcPr>
            <w:tcW w:w="957" w:type="pct"/>
          </w:tcPr>
          <w:p w14:paraId="59425E52" w14:textId="30A73A95" w:rsidR="00B14519" w:rsidRPr="00781112" w:rsidRDefault="00B14519" w:rsidP="00373F78">
            <w:pPr>
              <w:jc w:val="center"/>
              <w:rPr>
                <w:b/>
                <w:color w:val="000000" w:themeColor="text1"/>
              </w:rPr>
            </w:pPr>
            <w:r w:rsidRPr="00781112">
              <w:rPr>
                <w:rFonts w:cs="Arial"/>
                <w:b/>
                <w:color w:val="000000" w:themeColor="text1"/>
                <w:szCs w:val="16"/>
              </w:rPr>
              <w:t>2022</w:t>
            </w:r>
          </w:p>
        </w:tc>
        <w:tc>
          <w:tcPr>
            <w:tcW w:w="957" w:type="pct"/>
          </w:tcPr>
          <w:p w14:paraId="62296859" w14:textId="1A7F3D46" w:rsidR="00B14519" w:rsidRPr="00781112" w:rsidRDefault="00B14519" w:rsidP="00373F78">
            <w:pPr>
              <w:jc w:val="center"/>
              <w:rPr>
                <w:b/>
                <w:color w:val="000000" w:themeColor="text1"/>
              </w:rPr>
            </w:pPr>
            <w:r w:rsidRPr="00781112">
              <w:rPr>
                <w:rFonts w:cs="Arial"/>
                <w:b/>
                <w:color w:val="000000" w:themeColor="text1"/>
                <w:szCs w:val="16"/>
              </w:rPr>
              <w:t>2023</w:t>
            </w:r>
          </w:p>
        </w:tc>
        <w:tc>
          <w:tcPr>
            <w:tcW w:w="957" w:type="pct"/>
          </w:tcPr>
          <w:p w14:paraId="69950222" w14:textId="1E5E636C" w:rsidR="00B14519" w:rsidRPr="00781112" w:rsidRDefault="00B14519" w:rsidP="00373F78">
            <w:pPr>
              <w:jc w:val="center"/>
              <w:rPr>
                <w:b/>
                <w:color w:val="000000" w:themeColor="text1"/>
              </w:rPr>
            </w:pPr>
            <w:r w:rsidRPr="00781112">
              <w:rPr>
                <w:rFonts w:cs="Arial"/>
                <w:b/>
                <w:color w:val="000000" w:themeColor="text1"/>
                <w:szCs w:val="16"/>
              </w:rPr>
              <w:t>2024</w:t>
            </w:r>
          </w:p>
        </w:tc>
        <w:tc>
          <w:tcPr>
            <w:tcW w:w="957" w:type="pct"/>
          </w:tcPr>
          <w:p w14:paraId="147FD075" w14:textId="2618FA88"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1ACE760A" w14:textId="1AE21F6E" w:rsidTr="00451D7E">
        <w:trPr>
          <w:trHeight w:val="357"/>
        </w:trPr>
        <w:tc>
          <w:tcPr>
            <w:tcW w:w="271" w:type="pct"/>
            <w:shd w:val="clear" w:color="auto" w:fill="auto"/>
            <w:vAlign w:val="center"/>
          </w:tcPr>
          <w:p w14:paraId="3387B9B3" w14:textId="0ED5756F" w:rsidR="00B14519" w:rsidRPr="00781112" w:rsidRDefault="00B14519"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899" w:type="pct"/>
            <w:shd w:val="clear" w:color="auto" w:fill="auto"/>
            <w:vAlign w:val="center"/>
          </w:tcPr>
          <w:p w14:paraId="78EBD6ED" w14:textId="4FA09BBD" w:rsidR="00B14519" w:rsidRPr="00781112" w:rsidRDefault="00B14519" w:rsidP="00373F78">
            <w:pPr>
              <w:jc w:val="center"/>
              <w:rPr>
                <w:rFonts w:cs="Arial"/>
                <w:color w:val="000000" w:themeColor="text1"/>
                <w:szCs w:val="16"/>
              </w:rPr>
            </w:pPr>
            <w:r w:rsidRPr="00781112">
              <w:rPr>
                <w:rFonts w:cs="Arial"/>
                <w:color w:val="000000" w:themeColor="text1"/>
                <w:szCs w:val="16"/>
              </w:rPr>
              <w:t>0.00%</w:t>
            </w:r>
          </w:p>
        </w:tc>
        <w:tc>
          <w:tcPr>
            <w:tcW w:w="957" w:type="pct"/>
          </w:tcPr>
          <w:p w14:paraId="6FDC82B2" w14:textId="0C85D604" w:rsidR="00B14519" w:rsidRPr="00781112" w:rsidRDefault="00B14519" w:rsidP="00373F78">
            <w:pPr>
              <w:jc w:val="center"/>
              <w:rPr>
                <w:rFonts w:cs="Arial"/>
                <w:color w:val="000000" w:themeColor="text1"/>
                <w:szCs w:val="16"/>
              </w:rPr>
            </w:pPr>
            <w:r w:rsidRPr="00781112">
              <w:rPr>
                <w:color w:val="000000" w:themeColor="text1"/>
                <w:szCs w:val="16"/>
              </w:rPr>
              <w:t>0.00%</w:t>
            </w:r>
          </w:p>
        </w:tc>
        <w:tc>
          <w:tcPr>
            <w:tcW w:w="957" w:type="pct"/>
          </w:tcPr>
          <w:p w14:paraId="798EC84B" w14:textId="0E47DBF4" w:rsidR="00B14519" w:rsidRPr="00781112" w:rsidRDefault="00B14519" w:rsidP="00373F78">
            <w:pPr>
              <w:jc w:val="center"/>
              <w:rPr>
                <w:rFonts w:cs="Arial"/>
                <w:color w:val="000000" w:themeColor="text1"/>
                <w:szCs w:val="16"/>
              </w:rPr>
            </w:pPr>
            <w:r w:rsidRPr="00781112">
              <w:rPr>
                <w:color w:val="000000" w:themeColor="text1"/>
                <w:szCs w:val="16"/>
              </w:rPr>
              <w:t>0.00%</w:t>
            </w:r>
          </w:p>
        </w:tc>
        <w:tc>
          <w:tcPr>
            <w:tcW w:w="957" w:type="pct"/>
          </w:tcPr>
          <w:p w14:paraId="75A6D928" w14:textId="791A7001" w:rsidR="00B14519" w:rsidRPr="00781112" w:rsidRDefault="00B14519" w:rsidP="00373F78">
            <w:pPr>
              <w:jc w:val="center"/>
              <w:rPr>
                <w:rFonts w:cs="Arial"/>
                <w:color w:val="000000" w:themeColor="text1"/>
                <w:szCs w:val="16"/>
              </w:rPr>
            </w:pPr>
            <w:r w:rsidRPr="00781112">
              <w:rPr>
                <w:color w:val="000000" w:themeColor="text1"/>
                <w:szCs w:val="16"/>
              </w:rPr>
              <w:t>0.00%</w:t>
            </w:r>
          </w:p>
        </w:tc>
        <w:tc>
          <w:tcPr>
            <w:tcW w:w="957" w:type="pct"/>
          </w:tcPr>
          <w:p w14:paraId="1CE5D3BC" w14:textId="661D574C" w:rsidR="00B14519" w:rsidRPr="00781112" w:rsidRDefault="00B14519" w:rsidP="00373F78">
            <w:pPr>
              <w:jc w:val="center"/>
              <w:rPr>
                <w:rFonts w:cs="Arial"/>
                <w:color w:val="000000" w:themeColor="text1"/>
                <w:szCs w:val="16"/>
              </w:rPr>
            </w:pPr>
            <w:r w:rsidRPr="00781112">
              <w:rPr>
                <w:color w:val="000000" w:themeColor="text1"/>
                <w:szCs w:val="16"/>
              </w:rPr>
              <w:t>0.00%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 xml:space="preserve">PRDE solicited broad stakeholder input on PRDE’s targets in the SPP/APR including any subsequent revisions made to those targets and the development and implementation of Indicator 17, Puerto Rico’s State Systemic Improvement Plan (SSIP). </w:t>
      </w:r>
      <w:r w:rsidRPr="00781112">
        <w:rPr>
          <w:rFonts w:cs="Arial"/>
          <w:color w:val="000000" w:themeColor="text1"/>
          <w:szCs w:val="16"/>
        </w:rPr>
        <w:br/>
      </w:r>
      <w:r w:rsidRPr="00781112">
        <w:rPr>
          <w:rFonts w:cs="Arial"/>
          <w:color w:val="000000" w:themeColor="text1"/>
          <w:szCs w:val="16"/>
        </w:rPr>
        <w:br/>
        <w:t xml:space="preserve">Our original stakeholder group, called the Comité Consultivo de Educación Especial (“Special Education Advisory Committee”), is responsible for advising PRDE regarding the needs in the education of children with disabilities and for </w:t>
      </w:r>
      <w:proofErr w:type="gramStart"/>
      <w:r w:rsidRPr="00781112">
        <w:rPr>
          <w:rFonts w:cs="Arial"/>
          <w:color w:val="000000" w:themeColor="text1"/>
          <w:szCs w:val="16"/>
        </w:rPr>
        <w:t>providing assistance</w:t>
      </w:r>
      <w:proofErr w:type="gramEnd"/>
      <w:r w:rsidRPr="00781112">
        <w:rPr>
          <w:rFonts w:cs="Arial"/>
          <w:color w:val="000000" w:themeColor="text1"/>
          <w:szCs w:val="16"/>
        </w:rPr>
        <w:t xml:space="preserve"> and feedback about reports to be submitted to the Federal Government including our SSIP. The group includes representation from various sectors such as: the non-profit organization Apoyo a Padres de Niños con Impedimentos (Support for Parents of Students with Disabilities, or APNI by its acronym in Spanish), the Puerto Rico Department of the Family, the Puerto Rico Vocational Rehabilitation Administration, the Puerto Rico Department of Health, Special Education Teachers, School Directors, parents of students with disabilities, SAEE personnel, autism representative, specialists such as a School Psychologist, Occupational Therapist, Speech Pathologist, and adult with impairment, and others. SAEE personnel participate continuously in meetings with the special education </w:t>
      </w:r>
      <w:proofErr w:type="gramStart"/>
      <w:r w:rsidRPr="00781112">
        <w:rPr>
          <w:rFonts w:cs="Arial"/>
          <w:color w:val="000000" w:themeColor="text1"/>
          <w:szCs w:val="16"/>
        </w:rPr>
        <w:t>stakeholders</w:t>
      </w:r>
      <w:proofErr w:type="gramEnd"/>
      <w:r w:rsidRPr="00781112">
        <w:rPr>
          <w:rFonts w:cs="Arial"/>
          <w:color w:val="000000" w:themeColor="text1"/>
          <w:szCs w:val="16"/>
        </w:rPr>
        <w:t xml:space="preserve"> group. </w:t>
      </w:r>
      <w:r w:rsidRPr="00781112">
        <w:rPr>
          <w:rFonts w:cs="Arial"/>
          <w:color w:val="000000" w:themeColor="text1"/>
          <w:szCs w:val="16"/>
        </w:rPr>
        <w:br/>
      </w:r>
      <w:r w:rsidRPr="00781112">
        <w:rPr>
          <w:rFonts w:cs="Arial"/>
          <w:color w:val="000000" w:themeColor="text1"/>
          <w:szCs w:val="16"/>
        </w:rPr>
        <w:br/>
        <w:t xml:space="preserve">The members of our stakeholder group also serve as liaisons for initiatives that benefit the special education population and their families. Recommendations provided </w:t>
      </w:r>
      <w:proofErr w:type="gramStart"/>
      <w:r w:rsidRPr="00781112">
        <w:rPr>
          <w:rFonts w:cs="Arial"/>
          <w:color w:val="000000" w:themeColor="text1"/>
          <w:szCs w:val="16"/>
        </w:rPr>
        <w:t>from</w:t>
      </w:r>
      <w:proofErr w:type="gramEnd"/>
      <w:r w:rsidRPr="00781112">
        <w:rPr>
          <w:rFonts w:cs="Arial"/>
          <w:color w:val="000000" w:themeColor="text1"/>
          <w:szCs w:val="16"/>
        </w:rPr>
        <w:t xml:space="preserve"> the stakeholders </w:t>
      </w:r>
      <w:proofErr w:type="gramStart"/>
      <w:r w:rsidRPr="00781112">
        <w:rPr>
          <w:rFonts w:cs="Arial"/>
          <w:color w:val="000000" w:themeColor="text1"/>
          <w:szCs w:val="16"/>
        </w:rPr>
        <w:t>were incorporated</w:t>
      </w:r>
      <w:proofErr w:type="gramEnd"/>
      <w:r w:rsidRPr="00781112">
        <w:rPr>
          <w:rFonts w:cs="Arial"/>
          <w:color w:val="000000" w:themeColor="text1"/>
          <w:szCs w:val="16"/>
        </w:rPr>
        <w:t xml:space="preserve"> into PRDE’s FFY 2021 APR. PRDE developed this FFY 2021 SPP/APR with broad stakeholder input. As discussed above, PRDE SAEE held various meetings with the stakeholder group and received their input regarding the SPP/APR, including feedback regarding the individual indicators including FFY 2021 data, targets, any subsequent revisions to targets, and related activities and initiatives as well as the SSIP.</w:t>
      </w:r>
      <w:r w:rsidRPr="00781112">
        <w:rPr>
          <w:rFonts w:cs="Arial"/>
          <w:color w:val="000000" w:themeColor="text1"/>
          <w:szCs w:val="16"/>
        </w:rPr>
        <w:br/>
      </w:r>
      <w:r w:rsidRPr="00781112">
        <w:rPr>
          <w:rFonts w:cs="Arial"/>
          <w:color w:val="000000" w:themeColor="text1"/>
          <w:szCs w:val="16"/>
        </w:rPr>
        <w:br/>
        <w:t xml:space="preserve">Additional mechanisms through with PRDE solicits broad stakeholder input includes PRDE work with and through the non-profit organization Apoyo a Padres de Niños con Impedimentos (Support for Parents of Students with Disabilities, or APNI by its acronym in Spanish), its operation of Parent Academies on post-secondary topics, and Communities of Learning through its SSIP efforts, among others. APNI’s work helps increase the capacity of parents and serves as an avenue for receiving feedback on improvement activities and related policies. Similarly, the Parent Academies provide capacity building sessions for parents and include feedback sessions where parents provide feedback regarding improvement activities and data and policies related to post-secondary transition. Finally, the communities of learning have been key in providing feedback regarding the Indicator 17 / the SSIP in its entirety and implementation thereof. Through </w:t>
      </w:r>
      <w:proofErr w:type="gramStart"/>
      <w:r w:rsidRPr="00781112">
        <w:rPr>
          <w:rFonts w:cs="Arial"/>
          <w:color w:val="000000" w:themeColor="text1"/>
          <w:szCs w:val="16"/>
        </w:rPr>
        <w:t>all of</w:t>
      </w:r>
      <w:proofErr w:type="gramEnd"/>
      <w:r w:rsidRPr="00781112">
        <w:rPr>
          <w:rFonts w:cs="Arial"/>
          <w:color w:val="000000" w:themeColor="text1"/>
          <w:szCs w:val="16"/>
        </w:rPr>
        <w:t xml:space="preserve"> these avenues, PRDE seeks and receives stakeholder input that is considered in the development of the SPP/APR including targets, subsequent revisions of targets, and development and implementation of the SSIP (Ind. 17). </w:t>
      </w:r>
    </w:p>
    <w:p w14:paraId="3FD5337B" w14:textId="54E74935" w:rsidR="002D145D" w:rsidRPr="00781112" w:rsidRDefault="002D145D" w:rsidP="002D145D">
      <w:pPr>
        <w:rPr>
          <w:rFonts w:cs="Arial"/>
          <w:color w:val="000000" w:themeColor="text1"/>
          <w:szCs w:val="16"/>
        </w:rPr>
      </w:pPr>
    </w:p>
    <w:p w14:paraId="2AE297AB" w14:textId="77777777" w:rsidR="007E6F97" w:rsidRPr="00781112" w:rsidRDefault="007E6F97" w:rsidP="004369B2">
      <w:pPr>
        <w:rPr>
          <w:color w:val="000000" w:themeColor="text1"/>
        </w:rPr>
      </w:pPr>
    </w:p>
    <w:bookmarkEnd w:id="23"/>
    <w:bookmarkEnd w:id="24"/>
    <w:p w14:paraId="2E616696" w14:textId="27349DED" w:rsidR="00D03701" w:rsidRPr="00781112" w:rsidRDefault="0047313F">
      <w:pPr>
        <w:rPr>
          <w:b/>
          <w:color w:val="000000" w:themeColor="text1"/>
        </w:rPr>
      </w:pPr>
      <w:r>
        <w:rPr>
          <w:b/>
          <w:color w:val="000000" w:themeColor="text1"/>
        </w:rPr>
        <w:t>FFY 2021 SPP/APR Data</w:t>
      </w:r>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LEAs that met the State-established n/cell size. Report the number of LEAs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7</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450F98" w:rsidRPr="00781112" w14:paraId="25961F2E" w14:textId="5D241BED" w:rsidTr="00E95FBF">
        <w:trPr>
          <w:trHeight w:val="994"/>
          <w:jc w:val="center"/>
        </w:trPr>
        <w:tc>
          <w:tcPr>
            <w:tcW w:w="653" w:type="pct"/>
            <w:shd w:val="clear" w:color="auto" w:fill="auto"/>
            <w:vAlign w:val="bottom"/>
          </w:tcPr>
          <w:p w14:paraId="1D711F21" w14:textId="471FE8E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289B64FE" w:rsidR="00450F98" w:rsidRPr="00073BD7" w:rsidRDefault="00450F98" w:rsidP="00450F98">
            <w:pPr>
              <w:jc w:val="center"/>
              <w:rPr>
                <w:rFonts w:cs="Arial"/>
                <w:b/>
                <w:bCs/>
                <w:color w:val="000000" w:themeColor="text1"/>
                <w:szCs w:val="16"/>
              </w:rPr>
            </w:pPr>
            <w:r w:rsidRPr="00073BD7">
              <w:rPr>
                <w:b/>
                <w:bCs/>
              </w:rPr>
              <w:t>FFY 2020 Data</w:t>
            </w:r>
          </w:p>
        </w:tc>
        <w:tc>
          <w:tcPr>
            <w:tcW w:w="876" w:type="pct"/>
            <w:shd w:val="clear" w:color="auto" w:fill="auto"/>
            <w:vAlign w:val="bottom"/>
          </w:tcPr>
          <w:p w14:paraId="2298BC2C" w14:textId="6C7E1A38" w:rsidR="00450F98" w:rsidRPr="00073BD7" w:rsidRDefault="00450F98" w:rsidP="00450F98">
            <w:pPr>
              <w:jc w:val="center"/>
              <w:rPr>
                <w:rFonts w:cs="Arial"/>
                <w:b/>
                <w:bCs/>
                <w:color w:val="000000" w:themeColor="text1"/>
                <w:szCs w:val="16"/>
              </w:rPr>
            </w:pPr>
            <w:r w:rsidRPr="00073BD7">
              <w:rPr>
                <w:b/>
                <w:bCs/>
              </w:rPr>
              <w:t>FFY 2021 Target</w:t>
            </w:r>
          </w:p>
        </w:tc>
        <w:tc>
          <w:tcPr>
            <w:tcW w:w="584" w:type="pct"/>
            <w:shd w:val="clear" w:color="auto" w:fill="auto"/>
            <w:vAlign w:val="bottom"/>
          </w:tcPr>
          <w:p w14:paraId="3E9B682A" w14:textId="3CC0CE28" w:rsidR="00450F98" w:rsidRPr="00073BD7" w:rsidRDefault="00450F98" w:rsidP="00450F98">
            <w:pPr>
              <w:jc w:val="center"/>
              <w:rPr>
                <w:rFonts w:cs="Arial"/>
                <w:b/>
                <w:bCs/>
                <w:color w:val="000000" w:themeColor="text1"/>
                <w:szCs w:val="16"/>
              </w:rPr>
            </w:pPr>
            <w:r w:rsidRPr="00073BD7">
              <w:rPr>
                <w:b/>
                <w:bCs/>
              </w:rPr>
              <w:t>FFY 2021 Data</w:t>
            </w:r>
          </w:p>
        </w:tc>
        <w:tc>
          <w:tcPr>
            <w:tcW w:w="667" w:type="pct"/>
            <w:shd w:val="clear" w:color="auto" w:fill="auto"/>
            <w:vAlign w:val="bottom"/>
          </w:tcPr>
          <w:p w14:paraId="7B5A071B" w14:textId="6C45C0BB" w:rsidR="00450F98" w:rsidRPr="00781112" w:rsidRDefault="00450F98" w:rsidP="00450F98">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450F98" w:rsidRPr="00781112" w:rsidRDefault="00450F98" w:rsidP="00450F98">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A862C3" w:rsidP="00A018D4">
            <w:pPr>
              <w:jc w:val="center"/>
              <w:rPr>
                <w:rFonts w:cs="Arial"/>
                <w:color w:val="000000" w:themeColor="text1"/>
                <w:szCs w:val="16"/>
              </w:rPr>
            </w:pP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634" w:type="pct"/>
            <w:shd w:val="clear" w:color="auto" w:fill="auto"/>
          </w:tcPr>
          <w:p w14:paraId="12EAED8C" w14:textId="23973C25" w:rsidR="00A862C3" w:rsidRPr="00781112" w:rsidRDefault="00A862C3" w:rsidP="00A018D4">
            <w:pPr>
              <w:jc w:val="center"/>
              <w:rPr>
                <w:rFonts w:cs="Arial"/>
                <w:color w:val="000000" w:themeColor="text1"/>
                <w:szCs w:val="16"/>
              </w:rPr>
            </w:pP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84" w:type="pct"/>
            <w:shd w:val="clear" w:color="auto" w:fill="auto"/>
          </w:tcPr>
          <w:p w14:paraId="411F4E7C" w14:textId="0AFD7B4B" w:rsidR="00A862C3" w:rsidRPr="00781112" w:rsidRDefault="00A862C3" w:rsidP="00A018D4">
            <w:pPr>
              <w:jc w:val="center"/>
              <w:rPr>
                <w:rFonts w:cs="Arial"/>
                <w:color w:val="000000" w:themeColor="text1"/>
                <w:szCs w:val="16"/>
              </w:rPr>
            </w:pP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 xml:space="preserve">PRDE is a unitary system, serving as both the SEA and the sole LEA in Puerto Rico. PRDE is composed of seven educational regions. Previously, PRDE operated four school districts within each educational region (a total of </w:t>
      </w:r>
      <w:proofErr w:type="gramStart"/>
      <w:r w:rsidRPr="00781112">
        <w:rPr>
          <w:rFonts w:cs="Arial"/>
          <w:color w:val="000000" w:themeColor="text1"/>
          <w:szCs w:val="16"/>
        </w:rPr>
        <w:t>28</w:t>
      </w:r>
      <w:proofErr w:type="gramEnd"/>
      <w:r w:rsidRPr="00781112">
        <w:rPr>
          <w:rFonts w:cs="Arial"/>
          <w:color w:val="000000" w:themeColor="text1"/>
          <w:szCs w:val="16"/>
        </w:rPr>
        <w:t xml:space="preserve"> school districts). During FFY 2018, PRDE eliminated the administrative district divisions within each educational region while maintaining the seven education regions, now known as the Oficina Regional Educativa (or OREs, by its acronym in Spanish). While the OREs may in some ways operate similarly to school districts, they do not constitute LEAs, and this does not impact PRDE's status as a unitary system.</w:t>
      </w:r>
      <w:r w:rsidRPr="00781112">
        <w:rPr>
          <w:rFonts w:cs="Arial"/>
          <w:color w:val="000000" w:themeColor="text1"/>
          <w:szCs w:val="16"/>
        </w:rPr>
        <w:br/>
      </w:r>
      <w:r w:rsidRPr="00781112">
        <w:rPr>
          <w:rFonts w:cs="Arial"/>
          <w:color w:val="000000" w:themeColor="text1"/>
          <w:szCs w:val="16"/>
        </w:rPr>
        <w:br/>
        <w:t xml:space="preserve">PRDE’s status as a unitary system makes applying the actual measurement for Indicator 4a challenging; however, as discussed below, PRDE worked closely with OSEP to determine an appropriate methodology to reporting under Ind. 4a. </w:t>
      </w:r>
      <w:r w:rsidRPr="00781112">
        <w:rPr>
          <w:rFonts w:cs="Arial"/>
          <w:color w:val="000000" w:themeColor="text1"/>
          <w:szCs w:val="16"/>
        </w:rPr>
        <w:br/>
      </w:r>
      <w:r w:rsidRPr="00781112">
        <w:rPr>
          <w:rFonts w:cs="Arial"/>
          <w:color w:val="000000" w:themeColor="text1"/>
          <w:szCs w:val="16"/>
        </w:rPr>
        <w:br/>
        <w:t xml:space="preserve">On July 10, 2015, OSEP issued a letter to PRDE providing instructions as to the methodologies OSEP would require PRDE, as a unitary system, to use in reporting on Indicator 4A in the FFY 2014 and future SPP/APR submissions. Specifically, OSEP provided PRDE with two methodology options. As reported in the FFY 2014 SPP/APR, PRDE selected to employ the second option offered in OSEP’s letter: to compare the rates of children with disabilities suspended or expelled among districts, although they are not LEAs as defined under the IDEA. </w:t>
      </w:r>
      <w:r w:rsidRPr="00781112">
        <w:rPr>
          <w:rFonts w:cs="Arial"/>
          <w:color w:val="000000" w:themeColor="text1"/>
          <w:szCs w:val="16"/>
        </w:rPr>
        <w:br/>
      </w:r>
      <w:r w:rsidRPr="00781112">
        <w:rPr>
          <w:rFonts w:cs="Arial"/>
          <w:color w:val="000000" w:themeColor="text1"/>
          <w:szCs w:val="16"/>
        </w:rPr>
        <w:br/>
        <w:t xml:space="preserve">As such, beginning with the FFY 2014 SPP/APR, PRDE compared the rates of suspension and expulsion for children with IEPs among the </w:t>
      </w:r>
      <w:proofErr w:type="gramStart"/>
      <w:r w:rsidRPr="00781112">
        <w:rPr>
          <w:rFonts w:cs="Arial"/>
          <w:color w:val="000000" w:themeColor="text1"/>
          <w:szCs w:val="16"/>
        </w:rPr>
        <w:t>28</w:t>
      </w:r>
      <w:proofErr w:type="gramEnd"/>
      <w:r w:rsidRPr="00781112">
        <w:rPr>
          <w:rFonts w:cs="Arial"/>
          <w:color w:val="000000" w:themeColor="text1"/>
          <w:szCs w:val="16"/>
        </w:rPr>
        <w:t xml:space="preserve"> school districts (although they are not LEAs) within Puerto Rico. With the administrative change eliminating the 28 school districts, PRDE began comparing the rates of suspension and expulsion for children with IEPs among the 7 OREs (although they are not LEAs) beginning with the FFY 2018 APR submission.</w:t>
      </w:r>
      <w:r w:rsidRPr="00781112">
        <w:rPr>
          <w:rFonts w:cs="Arial"/>
          <w:color w:val="000000" w:themeColor="text1"/>
          <w:szCs w:val="16"/>
        </w:rPr>
        <w:br/>
      </w:r>
      <w:r w:rsidRPr="00781112">
        <w:rPr>
          <w:rFonts w:cs="Arial"/>
          <w:color w:val="000000" w:themeColor="text1"/>
          <w:szCs w:val="16"/>
        </w:rPr>
        <w:br/>
        <w:t xml:space="preserve">Under this methodology, PRDE compares ORE rates for suspension/expulsion of students with disabilities to the statewide bar, defined below, for suspension/expulsion of students with disabilities to evaluate comparability. An ORE is determined to have a significant discrepancy when its </w:t>
      </w:r>
      <w:r w:rsidRPr="00781112">
        <w:rPr>
          <w:rFonts w:cs="Arial"/>
          <w:color w:val="000000" w:themeColor="text1"/>
          <w:szCs w:val="16"/>
        </w:rPr>
        <w:lastRenderedPageBreak/>
        <w:t xml:space="preserve">suspension/expulsion rate for children with disabilities is at least five percentage points more than the state’s average suspension expulsion rate for all children with disabilities (the “statewide bar”). </w:t>
      </w:r>
      <w:r w:rsidRPr="00781112">
        <w:rPr>
          <w:rFonts w:cs="Arial"/>
          <w:color w:val="000000" w:themeColor="text1"/>
          <w:szCs w:val="16"/>
        </w:rPr>
        <w:br/>
      </w:r>
      <w:r w:rsidRPr="00781112">
        <w:rPr>
          <w:rFonts w:cs="Arial"/>
          <w:color w:val="000000" w:themeColor="text1"/>
          <w:szCs w:val="16"/>
        </w:rPr>
        <w:br/>
        <w:t xml:space="preserve">The statewide bar </w:t>
      </w:r>
      <w:proofErr w:type="gramStart"/>
      <w:r w:rsidRPr="00781112">
        <w:rPr>
          <w:rFonts w:cs="Arial"/>
          <w:color w:val="000000" w:themeColor="text1"/>
          <w:szCs w:val="16"/>
        </w:rPr>
        <w:t>is calculated</w:t>
      </w:r>
      <w:proofErr w:type="gramEnd"/>
      <w:r w:rsidRPr="00781112">
        <w:rPr>
          <w:rFonts w:cs="Arial"/>
          <w:color w:val="000000" w:themeColor="text1"/>
          <w:szCs w:val="16"/>
        </w:rPr>
        <w:t xml:space="preserve"> by (i) first calculating the state’s average suspension expulsion rate for all children with disabilities (i.e., the State-level long-term suspension and expulsion rate) and (ii) then adding five percentage points. The state’s average suspension expulsion rate for all children with disabilities (i.e., the State-level long-term suspension and expulsion rate) is calculated by dividing the statewide total number of students with disabilities suspended/expelled for more than </w:t>
      </w:r>
      <w:proofErr w:type="gramStart"/>
      <w:r w:rsidRPr="00781112">
        <w:rPr>
          <w:rFonts w:cs="Arial"/>
          <w:color w:val="000000" w:themeColor="text1"/>
          <w:szCs w:val="16"/>
        </w:rPr>
        <w:t>10</w:t>
      </w:r>
      <w:proofErr w:type="gramEnd"/>
      <w:r w:rsidRPr="00781112">
        <w:rPr>
          <w:rFonts w:cs="Arial"/>
          <w:color w:val="000000" w:themeColor="text1"/>
          <w:szCs w:val="16"/>
        </w:rPr>
        <w:t xml:space="preserve"> school days in a school year by the statewide total number of students with disabilities. PRDE uses a minimum “n” size requirement to exclude OREs from the calculation. Thus, if the ORE has fewer than </w:t>
      </w:r>
      <w:proofErr w:type="gramStart"/>
      <w:r w:rsidRPr="00781112">
        <w:rPr>
          <w:rFonts w:cs="Arial"/>
          <w:color w:val="000000" w:themeColor="text1"/>
          <w:szCs w:val="16"/>
        </w:rPr>
        <w:t>10</w:t>
      </w:r>
      <w:proofErr w:type="gramEnd"/>
      <w:r w:rsidRPr="00781112">
        <w:rPr>
          <w:rFonts w:cs="Arial"/>
          <w:color w:val="000000" w:themeColor="text1"/>
          <w:szCs w:val="16"/>
        </w:rPr>
        <w:t xml:space="preserve"> students with disabilities who were suspended more than 10 school days during the data reporting year, that ORE is not included in the calculation. ORE rates are calculated by dividing the ORE’s total number of students with disabilities suspended/expelled for more than 10 school days by the total number of students with disabilities in the ORE. </w:t>
      </w:r>
      <w:r w:rsidRPr="00781112">
        <w:rPr>
          <w:rFonts w:cs="Arial"/>
          <w:color w:val="000000" w:themeColor="text1"/>
          <w:szCs w:val="16"/>
        </w:rPr>
        <w:br/>
      </w:r>
      <w:r w:rsidRPr="00781112">
        <w:rPr>
          <w:rFonts w:cs="Arial"/>
          <w:color w:val="000000" w:themeColor="text1"/>
          <w:szCs w:val="16"/>
        </w:rPr>
        <w:br/>
        <w:t xml:space="preserve">In reviewing all 7 OREs for the FFY 2021 SPP/APR, PRDE found that none of the 7 OREs met the minimum n size for this indicator. As such, no further analysis </w:t>
      </w:r>
      <w:proofErr w:type="gramStart"/>
      <w:r w:rsidRPr="00781112">
        <w:rPr>
          <w:rFonts w:cs="Arial"/>
          <w:color w:val="000000" w:themeColor="text1"/>
          <w:szCs w:val="16"/>
        </w:rPr>
        <w:t>was required</w:t>
      </w:r>
      <w:proofErr w:type="gramEnd"/>
      <w:r w:rsidRPr="00781112">
        <w:rPr>
          <w:rFonts w:cs="Arial"/>
          <w:color w:val="000000" w:themeColor="text1"/>
          <w:szCs w:val="16"/>
        </w:rPr>
        <w:t>.</w:t>
      </w:r>
    </w:p>
    <w:p w14:paraId="47F07052" w14:textId="77777777" w:rsidR="00BB504D" w:rsidRPr="00781112" w:rsidRDefault="00BB504D" w:rsidP="004369B2">
      <w:pPr>
        <w:rPr>
          <w:b/>
          <w:color w:val="000000" w:themeColor="text1"/>
        </w:rPr>
      </w:pPr>
      <w:bookmarkStart w:id="25" w:name="_Toc384383334"/>
      <w:bookmarkStart w:id="26"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t xml:space="preserve">For the FFY 2021 SPP/APR, the relevant data for Indicator 4a corresponds to the 2020-2021 school year. PRDE’s total number of students with disabilities suspended/expelled for more than </w:t>
      </w:r>
      <w:proofErr w:type="gramStart"/>
      <w:r w:rsidRPr="00781112">
        <w:rPr>
          <w:rFonts w:cs="Arial"/>
          <w:color w:val="000000" w:themeColor="text1"/>
          <w:szCs w:val="16"/>
        </w:rPr>
        <w:t>10</w:t>
      </w:r>
      <w:proofErr w:type="gramEnd"/>
      <w:r w:rsidRPr="00781112">
        <w:rPr>
          <w:rFonts w:cs="Arial"/>
          <w:color w:val="000000" w:themeColor="text1"/>
          <w:szCs w:val="16"/>
        </w:rPr>
        <w:t xml:space="preserve"> school days during the 2020-2021 school year was zero (0). As such, the State-level long-term suspension and expulsion rate for the 2020-2021 school year was 0% (as was the rate for each of the OREs). </w:t>
      </w:r>
      <w:r w:rsidRPr="00781112">
        <w:rPr>
          <w:rFonts w:cs="Arial"/>
          <w:color w:val="000000" w:themeColor="text1"/>
          <w:szCs w:val="16"/>
        </w:rPr>
        <w:br/>
      </w:r>
      <w:r w:rsidRPr="00781112">
        <w:rPr>
          <w:rFonts w:cs="Arial"/>
          <w:color w:val="000000" w:themeColor="text1"/>
          <w:szCs w:val="16"/>
        </w:rPr>
        <w:br/>
        <w:t xml:space="preserve">Important for context, and as discussed in the introduction section to this SPP/APR, PRDE schools operated </w:t>
      </w:r>
      <w:proofErr w:type="gramStart"/>
      <w:r w:rsidRPr="00781112">
        <w:rPr>
          <w:rFonts w:cs="Arial"/>
          <w:color w:val="000000" w:themeColor="text1"/>
          <w:szCs w:val="16"/>
        </w:rPr>
        <w:t>virtually for</w:t>
      </w:r>
      <w:proofErr w:type="gramEnd"/>
      <w:r w:rsidRPr="00781112">
        <w:rPr>
          <w:rFonts w:cs="Arial"/>
          <w:color w:val="000000" w:themeColor="text1"/>
          <w:szCs w:val="16"/>
        </w:rPr>
        <w:t xml:space="preserve"> essentially the entire 2020-2021 school year. A limited number of schools began to open for in-person learning on March 15, 2021, but unfortunately, Puerto Rico experienced a significant spike in COVID-19 cases shortly thereafter, and all PRDE schools were again closed by government order issued April 8, 2021, and remained closed for in-person learning for the remainder of the 2020-2021 school year. Operating schools virtually for the entire 2020-2021 school year is expected to have resulted in </w:t>
      </w:r>
      <w:proofErr w:type="gramStart"/>
      <w:r w:rsidRPr="00781112">
        <w:rPr>
          <w:rFonts w:cs="Arial"/>
          <w:color w:val="000000" w:themeColor="text1"/>
          <w:szCs w:val="16"/>
        </w:rPr>
        <w:t>lower than normal</w:t>
      </w:r>
      <w:proofErr w:type="gramEnd"/>
      <w:r w:rsidRPr="00781112">
        <w:rPr>
          <w:rFonts w:cs="Arial"/>
          <w:color w:val="000000" w:themeColor="text1"/>
          <w:szCs w:val="16"/>
        </w:rPr>
        <w:t xml:space="preserve"> suspensions and expulsions. </w:t>
      </w:r>
    </w:p>
    <w:bookmarkEnd w:id="25"/>
    <w:bookmarkEnd w:id="26"/>
    <w:p w14:paraId="227CCB46" w14:textId="77777777" w:rsidR="007E6F97" w:rsidRPr="00781112" w:rsidRDefault="007E6F97" w:rsidP="004369B2">
      <w:pPr>
        <w:rPr>
          <w:color w:val="000000" w:themeColor="text1"/>
        </w:rPr>
      </w:pPr>
    </w:p>
    <w:p w14:paraId="3F63E777" w14:textId="4BB19917" w:rsidR="00082667" w:rsidRPr="00781112" w:rsidRDefault="00082667" w:rsidP="004369B2">
      <w:pPr>
        <w:rPr>
          <w:color w:val="000000" w:themeColor="text1"/>
        </w:rPr>
      </w:pPr>
      <w:r w:rsidRPr="00781112">
        <w:rPr>
          <w:b/>
          <w:color w:val="000000" w:themeColor="text1"/>
        </w:rPr>
        <w:t>Review of Policies, Procedures, and Practices (completed in FFY 2021 using 2020-2021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D57DA" w:rsidP="00082667">
      <w:pPr>
        <w:rPr>
          <w:rFonts w:cs="Arial"/>
          <w:color w:val="000000" w:themeColor="text1"/>
          <w:szCs w:val="16"/>
        </w:rPr>
      </w:pP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 xml:space="preserve">The State DID NOT identify noncompliance with Part B requirements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required by 34 CFR §300.170(b)</w:t>
      </w:r>
    </w:p>
    <w:p w14:paraId="1295BAEB" w14:textId="77777777" w:rsidR="007E6F97" w:rsidRPr="00781112" w:rsidRDefault="007E6F97" w:rsidP="004369B2">
      <w:pPr>
        <w:rPr>
          <w:color w:val="000000" w:themeColor="text1"/>
        </w:rPr>
      </w:pPr>
      <w:bookmarkStart w:id="27" w:name="_Toc381956335"/>
      <w:bookmarkStart w:id="28" w:name="_Toc384383336"/>
      <w:bookmarkStart w:id="29" w:name="_Toc392159288"/>
    </w:p>
    <w:p w14:paraId="0496594E" w14:textId="774AE8E9" w:rsidR="00B9048A"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B9048A" w:rsidP="00A018D4">
            <w:pPr>
              <w:jc w:val="center"/>
              <w:rPr>
                <w:rFonts w:cs="Arial"/>
                <w:color w:val="000000" w:themeColor="text1"/>
                <w:szCs w:val="16"/>
              </w:rPr>
            </w:pPr>
          </w:p>
        </w:tc>
        <w:tc>
          <w:tcPr>
            <w:tcW w:w="1271" w:type="pct"/>
            <w:shd w:val="clear" w:color="auto" w:fill="auto"/>
          </w:tcPr>
          <w:p w14:paraId="0CE7F01B" w14:textId="4009BBFE" w:rsidR="00B9048A" w:rsidRPr="00781112" w:rsidRDefault="00B9048A" w:rsidP="00A018D4">
            <w:pPr>
              <w:jc w:val="center"/>
              <w:rPr>
                <w:rFonts w:cs="Arial"/>
                <w:color w:val="000000" w:themeColor="text1"/>
                <w:szCs w:val="16"/>
              </w:rPr>
            </w:pPr>
          </w:p>
        </w:tc>
        <w:tc>
          <w:tcPr>
            <w:tcW w:w="1214" w:type="pct"/>
            <w:shd w:val="clear" w:color="auto" w:fill="auto"/>
          </w:tcPr>
          <w:p w14:paraId="38F306AA" w14:textId="2CC74FE3" w:rsidR="00B9048A" w:rsidRPr="00781112" w:rsidRDefault="00B9048A" w:rsidP="00A018D4">
            <w:pPr>
              <w:jc w:val="center"/>
              <w:rPr>
                <w:rFonts w:cs="Arial"/>
                <w:color w:val="000000" w:themeColor="text1"/>
                <w:szCs w:val="16"/>
              </w:rPr>
            </w:pPr>
          </w:p>
        </w:tc>
        <w:tc>
          <w:tcPr>
            <w:tcW w:w="1304" w:type="pct"/>
            <w:shd w:val="clear" w:color="auto" w:fill="auto"/>
          </w:tcPr>
          <w:p w14:paraId="5E536CD7" w14:textId="387A8666" w:rsidR="00B9048A" w:rsidRPr="00781112" w:rsidRDefault="00B9048A" w:rsidP="00A018D4">
            <w:pPr>
              <w:jc w:val="center"/>
              <w:rPr>
                <w:rFonts w:cs="Arial"/>
                <w:color w:val="000000" w:themeColor="text1"/>
                <w:szCs w:val="16"/>
              </w:rPr>
            </w:pPr>
          </w:p>
        </w:tc>
      </w:tr>
    </w:tbl>
    <w:p w14:paraId="6809AF49" w14:textId="317C63F0" w:rsidR="00B9048A"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354" w:type="pct"/>
            <w:shd w:val="clear" w:color="auto" w:fill="auto"/>
            <w:vAlign w:val="bottom"/>
          </w:tcPr>
          <w:p w14:paraId="1C2EE691" w14:textId="0C12AD48" w:rsidR="00B9048A" w:rsidRPr="00781112" w:rsidRDefault="00450F98" w:rsidP="001F692C">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None</w:t>
      </w: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 xml:space="preserve">In the FFY 2021 SPP/APR PRDE included none of the Oficinas Regional Educativa (Regional Education Offices (OREs, by its acronym in Spanish)) in its analysis of rates of suspension and expulsion of greater than 10 days in a school year for children with IEPs. OSEP recognizes the PRDE reported, "Operating schools virtually for the entire 2020-2021 school year is expected to have resulted in </w:t>
      </w:r>
      <w:proofErr w:type="gramStart"/>
      <w:r w:rsidRPr="00781112">
        <w:rPr>
          <w:rFonts w:cs="Arial"/>
          <w:color w:val="000000" w:themeColor="text1"/>
          <w:szCs w:val="16"/>
        </w:rPr>
        <w:t>lower than normal</w:t>
      </w:r>
      <w:proofErr w:type="gramEnd"/>
      <w:r w:rsidRPr="00781112">
        <w:rPr>
          <w:rFonts w:cs="Arial"/>
          <w:color w:val="000000" w:themeColor="text1"/>
          <w:szCs w:val="16"/>
        </w:rPr>
        <w:t xml:space="preserve"> suspensions and expulsions." OSEP reminds PRDE that if the examination for significant discrepancies in the rates of suspensions and expulsions greater than 10 days in a school year for children with IEPs is not occurring in any meaningful way at the ORE level, OSEP may determine that PRDE's chosen methodology is not reasonably designed to determine if significant discrepancies are occurring in the rate of long-term suspensions and expulsions of children with IEPs.</w:t>
      </w:r>
      <w:r w:rsidRPr="00781112">
        <w:rPr>
          <w:rFonts w:cs="Arial"/>
          <w:color w:val="000000" w:themeColor="text1"/>
          <w:szCs w:val="16"/>
        </w:rPr>
        <w:br/>
      </w:r>
      <w:r w:rsidRPr="00781112">
        <w:rPr>
          <w:rFonts w:cs="Arial"/>
          <w:color w:val="000000" w:themeColor="text1"/>
          <w:szCs w:val="16"/>
        </w:rPr>
        <w:br/>
        <w:t>PRDE's chosen methodology results in a threshold for measuring significant discrepancy in the rate of long-term suspensions and expulsions of children with IEPs that falls above the median of thresholds used by all States.</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B7490" w:rsidP="00212954">
      <w:pPr>
        <w:rPr>
          <w:rFonts w:cs="Arial"/>
          <w:color w:val="000000" w:themeColor="text1"/>
          <w:szCs w:val="16"/>
        </w:rPr>
      </w:pPr>
      <w:r w:rsidRPr="00781112">
        <w:rPr>
          <w:rFonts w:cs="Arial"/>
          <w:color w:val="000000" w:themeColor="text1"/>
          <w:szCs w:val="16"/>
        </w:rPr>
        <w:t xml:space="preserve">In the FFY 2022 SPP/APR, the PRDE must explain how its methodology is reasonably designed to determine if significant discrepancies are occurring in the rate of suspensions and expulsions of greater than 10 days in a school year for children with IEPs, including how the PRDE’s OREs are being examined for significant discrepancy under the PRDE’s chosen methodology, and how the PRDE’s threshold for measuring significant discrepancy in the rate of long-term suspensions and expulsions is reasonably designed. </w:t>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7"/>
      <w:bookmarkEnd w:id="28"/>
      <w:bookmarkEnd w:id="29"/>
    </w:p>
    <w:p w14:paraId="1BA30D93" w14:textId="77777777" w:rsidR="008637F8" w:rsidRPr="00781112" w:rsidRDefault="008637F8" w:rsidP="00A018D4">
      <w:pPr>
        <w:rPr>
          <w:color w:val="000000" w:themeColor="text1"/>
          <w:szCs w:val="20"/>
        </w:rPr>
      </w:pPr>
      <w:bookmarkStart w:id="30" w:name="_Toc384383338"/>
      <w:bookmarkStart w:id="31"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 xml:space="preserve">discipline data, including State’s analysis of State’s Discipline data collected under IDEA Section 618, where applicable. Discrepancy can </w:t>
      </w:r>
      <w:proofErr w:type="gramStart"/>
      <w:r w:rsidRPr="00781112">
        <w:rPr>
          <w:rFonts w:cs="Arial"/>
          <w:color w:val="000000" w:themeColor="text1"/>
          <w:szCs w:val="16"/>
          <w:shd w:val="clear" w:color="auto" w:fill="FFFFFF"/>
        </w:rPr>
        <w:t>be computed</w:t>
      </w:r>
      <w:proofErr w:type="gramEnd"/>
      <w:r w:rsidRPr="00781112">
        <w:rPr>
          <w:rFonts w:cs="Arial"/>
          <w:color w:val="000000" w:themeColor="text1"/>
          <w:szCs w:val="16"/>
          <w:shd w:val="clear" w:color="auto" w:fill="FFFFFF"/>
        </w:rPr>
        <w:t xml:space="preserve">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w:t>
      </w:r>
    </w:p>
    <w:p w14:paraId="7D3F6556" w14:textId="5729C359"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2021 SPP/APR, use data from 2020-2021),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 xml:space="preserve">In the description, specify which method the State used to determine </w:t>
      </w:r>
      <w:proofErr w:type="gramStart"/>
      <w:r w:rsidRPr="00781112">
        <w:rPr>
          <w:rFonts w:cs="Arial"/>
          <w:color w:val="000000" w:themeColor="text1"/>
          <w:szCs w:val="16"/>
        </w:rPr>
        <w:t>possible discrepancies</w:t>
      </w:r>
      <w:proofErr w:type="gramEnd"/>
      <w:r w:rsidRPr="00781112">
        <w:rPr>
          <w:rFonts w:cs="Arial"/>
          <w:color w:val="000000" w:themeColor="text1"/>
          <w:szCs w:val="16"/>
        </w:rPr>
        <w:t xml:space="preserve"> and explain what constitutes those discrepancies.</w:t>
      </w:r>
    </w:p>
    <w:p w14:paraId="2537B541" w14:textId="1CD26E02" w:rsidR="00474DB4" w:rsidRPr="00781112" w:rsidRDefault="00474DB4" w:rsidP="00474DB4">
      <w:pPr>
        <w:rPr>
          <w:rFonts w:cs="Arial"/>
          <w:szCs w:val="16"/>
        </w:rPr>
      </w:pPr>
      <w:r w:rsidRPr="00781112">
        <w:rPr>
          <w:rFonts w:cs="Arial"/>
          <w:szCs w:val="16"/>
        </w:rPr>
        <w:t xml:space="preserve">Because the measurement table requires that the data examined for this indicator are lag year data, States should examine the 618 data that </w:t>
      </w:r>
      <w:proofErr w:type="gramStart"/>
      <w:r w:rsidRPr="00781112">
        <w:rPr>
          <w:rFonts w:cs="Arial"/>
          <w:szCs w:val="16"/>
        </w:rPr>
        <w:t>was submitted</w:t>
      </w:r>
      <w:proofErr w:type="gramEnd"/>
      <w:r w:rsidRPr="00781112">
        <w:rPr>
          <w:rFonts w:cs="Arial"/>
          <w:szCs w:val="16"/>
        </w:rPr>
        <w:t xml:space="preserve"> by LEAs that were in operation during the school year before the reporting year. For example, if a State has 100 LEAs operating in the 2020-2021 school year, those 100 LEAs would have reported 618 data in 2020-2021 on the number of children suspended/expelled. If the State then opens </w:t>
      </w:r>
      <w:proofErr w:type="gramStart"/>
      <w:r w:rsidRPr="00781112">
        <w:rPr>
          <w:rFonts w:cs="Arial"/>
          <w:szCs w:val="16"/>
        </w:rPr>
        <w:t>15</w:t>
      </w:r>
      <w:proofErr w:type="gramEnd"/>
      <w:r w:rsidRPr="00781112">
        <w:rPr>
          <w:rFonts w:cs="Arial"/>
          <w:szCs w:val="16"/>
        </w:rPr>
        <w:t xml:space="preserve">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w:t>
      </w:r>
      <w:proofErr w:type="gramStart"/>
      <w:r w:rsidRPr="00781112">
        <w:rPr>
          <w:rFonts w:cs="Arial"/>
          <w:szCs w:val="16"/>
        </w:rPr>
        <w:t>its</w:t>
      </w:r>
      <w:proofErr w:type="gramEnd"/>
      <w:r w:rsidRPr="00781112">
        <w:rPr>
          <w:rFonts w:cs="Arial"/>
          <w:szCs w:val="16"/>
        </w:rPr>
        <w:t xml:space="preserve"> calculation for this indicator. For the FFY 2021 SPP/APR submission, States must use the number of LEAs reported in 2020-2021 (which can </w:t>
      </w:r>
      <w:proofErr w:type="gramStart"/>
      <w:r w:rsidRPr="00781112">
        <w:rPr>
          <w:rFonts w:cs="Arial"/>
          <w:szCs w:val="16"/>
        </w:rPr>
        <w:t>be found</w:t>
      </w:r>
      <w:proofErr w:type="gramEnd"/>
      <w:r w:rsidRPr="00781112">
        <w:rPr>
          <w:rFonts w:cs="Arial"/>
          <w:szCs w:val="16"/>
        </w:rPr>
        <w:t xml:space="preserve"> in the FFY 2020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2A4C3F88" w14:textId="6B69F87E"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A2E05BE" w14:textId="77777777" w:rsidR="00413366" w:rsidRPr="00781112" w:rsidRDefault="00413366" w:rsidP="00BB7BC9">
      <w:pPr>
        <w:rPr>
          <w:rFonts w:cs="Arial"/>
          <w:color w:val="000000" w:themeColor="text1"/>
          <w:szCs w:val="16"/>
        </w:rPr>
      </w:pPr>
      <w:r w:rsidRPr="00781112">
        <w:rPr>
          <w:rFonts w:cs="Arial"/>
          <w:color w:val="000000" w:themeColor="text1"/>
          <w:szCs w:val="16"/>
        </w:rPr>
        <w:t>Targets must be 0% for 4B.</w:t>
      </w: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YES</w:t>
      </w:r>
    </w:p>
    <w:p w14:paraId="6C6C5D10" w14:textId="6125C860" w:rsidR="00421D14" w:rsidRPr="00781112" w:rsidRDefault="000A18ED" w:rsidP="004369B2">
      <w:pPr>
        <w:rPr>
          <w:b/>
          <w:color w:val="000000" w:themeColor="text1"/>
        </w:rPr>
      </w:pPr>
      <w:r w:rsidRPr="00781112">
        <w:rPr>
          <w:b/>
          <w:color w:val="000000" w:themeColor="text1"/>
        </w:rPr>
        <w:t xml:space="preserve">Provide an explanation of why it is not applicable below: </w:t>
      </w:r>
    </w:p>
    <w:p w14:paraId="2B7AEADC" w14:textId="18DA78FF" w:rsidR="00F85593" w:rsidRPr="00781112" w:rsidRDefault="00F85593" w:rsidP="004369B2">
      <w:pPr>
        <w:rPr>
          <w:color w:val="000000" w:themeColor="text1"/>
        </w:rPr>
      </w:pPr>
    </w:p>
    <w:bookmarkEnd w:id="30"/>
    <w:bookmarkEnd w:id="31"/>
    <w:p w14:paraId="7BCEF85B" w14:textId="62F9E93D" w:rsidR="004E2151" w:rsidRPr="00781112" w:rsidRDefault="00D11730" w:rsidP="008645AD">
      <w:pPr>
        <w:pStyle w:val="Heading2"/>
      </w:pPr>
      <w:r w:rsidRPr="00781112">
        <w:lastRenderedPageBreak/>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2B7490" w:rsidP="00212954">
      <w:pPr>
        <w:rPr>
          <w:rFonts w:cs="Arial"/>
          <w:color w:val="000000" w:themeColor="text1"/>
          <w:szCs w:val="16"/>
        </w:rPr>
      </w:pPr>
      <w:r w:rsidRPr="00781112">
        <w:rPr>
          <w:rFonts w:cs="Arial"/>
          <w:color w:val="000000" w:themeColor="text1"/>
          <w:szCs w:val="16"/>
        </w:rPr>
        <w:t xml:space="preserve">OSEP notes that this indicator is not applicable. </w:t>
      </w: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3C308E" w:rsidP="00212954">
      <w:pPr>
        <w:rPr>
          <w:rFonts w:cs="Arial"/>
          <w:color w:val="000000" w:themeColor="text1"/>
          <w:szCs w:val="16"/>
        </w:rPr>
      </w:pP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267D7207"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3"/>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20"/>
    </w:p>
    <w:p w14:paraId="52AD89A1" w14:textId="77777777" w:rsidR="00775845" w:rsidRPr="00781112" w:rsidRDefault="00775845" w:rsidP="00A018D4">
      <w:pPr>
        <w:rPr>
          <w:color w:val="000000" w:themeColor="text1"/>
          <w:szCs w:val="20"/>
        </w:rPr>
      </w:pPr>
      <w:bookmarkStart w:id="32"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proofErr w:type="gramStart"/>
      <w:r w:rsidR="001E6A41" w:rsidRPr="00781112">
        <w:rPr>
          <w:rFonts w:cs="Arial"/>
          <w:szCs w:val="16"/>
        </w:rPr>
        <w:t>5</w:t>
      </w:r>
      <w:proofErr w:type="gramEnd"/>
      <w:r w:rsidR="001E6A41" w:rsidRPr="00781112">
        <w:rPr>
          <w:rFonts w:cs="Arial"/>
          <w:szCs w:val="16"/>
        </w:rPr>
        <w:t xml:space="preserve">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 xml:space="preserve">A. Inside the regular class 80% or more of the </w:t>
      </w:r>
      <w:proofErr w:type="gramStart"/>
      <w:r w:rsidRPr="00781112">
        <w:rPr>
          <w:rFonts w:cs="Arial"/>
          <w:color w:val="000000" w:themeColor="text1"/>
          <w:szCs w:val="16"/>
        </w:rPr>
        <w:t>day;</w:t>
      </w:r>
      <w:proofErr w:type="gramEnd"/>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w:t>
      </w:r>
      <w:proofErr w:type="gramStart"/>
      <w:r w:rsidR="00E97CD6" w:rsidRPr="00781112">
        <w:rPr>
          <w:rFonts w:cs="Arial"/>
          <w:szCs w:val="16"/>
        </w:rPr>
        <w:t>are enrolled</w:t>
      </w:r>
      <w:proofErr w:type="gramEnd"/>
      <w:r w:rsidR="00E97CD6" w:rsidRPr="00781112">
        <w:rPr>
          <w:rFonts w:cs="Arial"/>
          <w:szCs w:val="16"/>
        </w:rPr>
        <w:t xml:space="preserve">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 xml:space="preserve">5 who </w:t>
      </w:r>
      <w:proofErr w:type="gramStart"/>
      <w:r w:rsidR="00E97CD6" w:rsidRPr="00781112">
        <w:rPr>
          <w:rFonts w:cs="Arial"/>
          <w:szCs w:val="16"/>
        </w:rPr>
        <w:t>are enrolled</w:t>
      </w:r>
      <w:proofErr w:type="gramEnd"/>
      <w:r w:rsidR="00E97CD6" w:rsidRPr="00781112">
        <w:rPr>
          <w:rFonts w:cs="Arial"/>
          <w:szCs w:val="16"/>
        </w:rPr>
        <w:t xml:space="preserve">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w:t>
      </w:r>
      <w:proofErr w:type="gramStart"/>
      <w:r w:rsidR="00E97CD6" w:rsidRPr="00781112">
        <w:rPr>
          <w:rFonts w:cs="Arial"/>
          <w:szCs w:val="16"/>
        </w:rPr>
        <w:t>are enrolled</w:t>
      </w:r>
      <w:proofErr w:type="gramEnd"/>
      <w:r w:rsidR="00E97CD6" w:rsidRPr="00781112">
        <w:rPr>
          <w:rFonts w:cs="Arial"/>
          <w:szCs w:val="16"/>
        </w:rPr>
        <w:t xml:space="preserve">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 xml:space="preserve">Sampling from the State’s 618 data </w:t>
      </w:r>
      <w:proofErr w:type="gramStart"/>
      <w:r w:rsidRPr="00781112">
        <w:rPr>
          <w:rFonts w:cs="Arial"/>
          <w:i/>
          <w:iCs/>
          <w:color w:val="000000" w:themeColor="text1"/>
          <w:szCs w:val="16"/>
        </w:rPr>
        <w:t>is not allowed</w:t>
      </w:r>
      <w:proofErr w:type="gramEnd"/>
      <w:r w:rsidRPr="00781112">
        <w:rPr>
          <w:rFonts w:cs="Arial"/>
          <w:i/>
          <w:iCs/>
          <w:color w:val="000000" w:themeColor="text1"/>
          <w:szCs w:val="16"/>
        </w:rPr>
        <w:t>.</w:t>
      </w:r>
    </w:p>
    <w:p w14:paraId="707ABAC1" w14:textId="68EE8BDF" w:rsidR="001F6A28" w:rsidRPr="00781112" w:rsidRDefault="007072DC" w:rsidP="00BB7BC9">
      <w:pPr>
        <w:rPr>
          <w:rFonts w:cs="Arial"/>
          <w:color w:val="000000" w:themeColor="text1"/>
          <w:szCs w:val="16"/>
        </w:rPr>
      </w:pPr>
      <w:r w:rsidRPr="00781112">
        <w:rPr>
          <w:rFonts w:cs="Arial"/>
          <w:szCs w:val="16"/>
        </w:rPr>
        <w:t xml:space="preserve">States must report five-year-old children with disabilities who </w:t>
      </w:r>
      <w:proofErr w:type="gramStart"/>
      <w:r w:rsidRPr="00781112">
        <w:rPr>
          <w:rFonts w:cs="Arial"/>
          <w:szCs w:val="16"/>
        </w:rPr>
        <w:t>are enrolled</w:t>
      </w:r>
      <w:proofErr w:type="gramEnd"/>
      <w:r w:rsidRPr="00781112">
        <w:rPr>
          <w:rFonts w:cs="Arial"/>
          <w:szCs w:val="16"/>
        </w:rPr>
        <w:t xml:space="preserve"> in kindergarten in this indicator. Five-year-old children with disabilities who </w:t>
      </w:r>
      <w:proofErr w:type="gramStart"/>
      <w:r w:rsidRPr="00781112">
        <w:rPr>
          <w:rFonts w:cs="Arial"/>
          <w:szCs w:val="16"/>
        </w:rPr>
        <w:t>are enrolled</w:t>
      </w:r>
      <w:proofErr w:type="gramEnd"/>
      <w:r w:rsidRPr="00781112">
        <w:rPr>
          <w:rFonts w:cs="Arial"/>
          <w:szCs w:val="16"/>
        </w:rPr>
        <w:t xml:space="preserve">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 xml:space="preserve">If the data reported in this indicator are </w:t>
      </w:r>
      <w:proofErr w:type="gramStart"/>
      <w:r w:rsidRPr="00781112">
        <w:rPr>
          <w:rFonts w:cs="Arial"/>
          <w:color w:val="000000" w:themeColor="text1"/>
          <w:szCs w:val="16"/>
        </w:rPr>
        <w:t>not the same as</w:t>
      </w:r>
      <w:proofErr w:type="gramEnd"/>
      <w:r w:rsidRPr="00781112">
        <w:rPr>
          <w:rFonts w:cs="Arial"/>
          <w:color w:val="000000" w:themeColor="text1"/>
          <w:szCs w:val="16"/>
        </w:rPr>
        <w:t xml:space="preserve">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32"/>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77.33%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77.67%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77.85%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67.25%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67.75%</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67.74%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76.27%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72.09%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67.24%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67.74%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78.99%</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6.70%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6.20%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5.70%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8.93%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9.65%</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9.43%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8.64%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9.22%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8.94%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9.43%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8.76%</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3.40%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3.20%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3.00%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3.00%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2.50%</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1.72%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2.30%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2.23%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1.83%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1.72%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1.67%</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4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3"/>
        <w:gridCol w:w="1691"/>
        <w:gridCol w:w="1691"/>
        <w:gridCol w:w="1691"/>
        <w:gridCol w:w="1691"/>
        <w:gridCol w:w="1691"/>
      </w:tblGrid>
      <w:tr w:rsidR="00B14519" w:rsidRPr="00781112" w14:paraId="67121B7A" w14:textId="6B1EA8E0" w:rsidTr="00451D7E">
        <w:trPr>
          <w:trHeight w:val="264"/>
        </w:trPr>
        <w:tc>
          <w:tcPr>
            <w:tcW w:w="369" w:type="pct"/>
            <w:tcBorders>
              <w:bottom w:val="single" w:sz="4" w:space="0" w:color="auto"/>
            </w:tcBorders>
            <w:shd w:val="clear" w:color="auto" w:fill="auto"/>
          </w:tcPr>
          <w:p w14:paraId="417BC1C4" w14:textId="77777777" w:rsidR="00B14519" w:rsidRPr="00781112" w:rsidRDefault="00B14519" w:rsidP="00D62058">
            <w:pPr>
              <w:jc w:val="center"/>
              <w:rPr>
                <w:b/>
                <w:color w:val="000000" w:themeColor="text1"/>
              </w:rPr>
            </w:pPr>
            <w:r w:rsidRPr="00781112">
              <w:rPr>
                <w:b/>
                <w:color w:val="000000" w:themeColor="text1"/>
              </w:rPr>
              <w:t>FFY</w:t>
            </w:r>
          </w:p>
        </w:tc>
        <w:tc>
          <w:tcPr>
            <w:tcW w:w="926" w:type="pct"/>
            <w:shd w:val="clear" w:color="auto" w:fill="auto"/>
          </w:tcPr>
          <w:p w14:paraId="43C546D5" w14:textId="7A1B1AB1" w:rsidR="00B14519" w:rsidRPr="00781112" w:rsidRDefault="00B14519" w:rsidP="00D62058">
            <w:pPr>
              <w:jc w:val="center"/>
              <w:rPr>
                <w:b/>
                <w:color w:val="000000" w:themeColor="text1"/>
              </w:rPr>
            </w:pPr>
            <w:r w:rsidRPr="00781112">
              <w:rPr>
                <w:b/>
                <w:color w:val="000000" w:themeColor="text1"/>
              </w:rPr>
              <w:t>2021</w:t>
            </w:r>
          </w:p>
        </w:tc>
        <w:tc>
          <w:tcPr>
            <w:tcW w:w="926" w:type="pct"/>
          </w:tcPr>
          <w:p w14:paraId="12417F21" w14:textId="04859FD1" w:rsidR="00B14519" w:rsidRPr="00781112" w:rsidRDefault="00B14519" w:rsidP="00D62058">
            <w:pPr>
              <w:jc w:val="center"/>
              <w:rPr>
                <w:b/>
                <w:color w:val="000000" w:themeColor="text1"/>
              </w:rPr>
            </w:pPr>
            <w:r w:rsidRPr="00781112">
              <w:rPr>
                <w:rFonts w:cs="Arial"/>
                <w:b/>
                <w:color w:val="000000" w:themeColor="text1"/>
                <w:szCs w:val="16"/>
              </w:rPr>
              <w:t>2022</w:t>
            </w:r>
          </w:p>
        </w:tc>
        <w:tc>
          <w:tcPr>
            <w:tcW w:w="926" w:type="pct"/>
          </w:tcPr>
          <w:p w14:paraId="75B6E23D" w14:textId="1550C183" w:rsidR="00B14519" w:rsidRPr="00781112" w:rsidRDefault="00B14519" w:rsidP="00D62058">
            <w:pPr>
              <w:jc w:val="center"/>
              <w:rPr>
                <w:b/>
                <w:color w:val="000000" w:themeColor="text1"/>
              </w:rPr>
            </w:pPr>
            <w:r w:rsidRPr="00781112">
              <w:rPr>
                <w:rFonts w:cs="Arial"/>
                <w:b/>
                <w:color w:val="000000" w:themeColor="text1"/>
                <w:szCs w:val="16"/>
              </w:rPr>
              <w:t>2023</w:t>
            </w:r>
          </w:p>
        </w:tc>
        <w:tc>
          <w:tcPr>
            <w:tcW w:w="926" w:type="pct"/>
          </w:tcPr>
          <w:p w14:paraId="0412226B" w14:textId="561C74FD" w:rsidR="00B14519" w:rsidRPr="00781112" w:rsidRDefault="00B14519" w:rsidP="00D62058">
            <w:pPr>
              <w:jc w:val="center"/>
              <w:rPr>
                <w:b/>
                <w:color w:val="000000" w:themeColor="text1"/>
              </w:rPr>
            </w:pPr>
            <w:r w:rsidRPr="00781112">
              <w:rPr>
                <w:rFonts w:cs="Arial"/>
                <w:b/>
                <w:color w:val="000000" w:themeColor="text1"/>
                <w:szCs w:val="16"/>
              </w:rPr>
              <w:t>2024</w:t>
            </w:r>
          </w:p>
        </w:tc>
        <w:tc>
          <w:tcPr>
            <w:tcW w:w="926" w:type="pct"/>
          </w:tcPr>
          <w:p w14:paraId="46BF17D8" w14:textId="1CC0E2CE"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E725BBE" w14:textId="7C441390" w:rsidTr="00451D7E">
        <w:trPr>
          <w:trHeight w:val="270"/>
        </w:trPr>
        <w:tc>
          <w:tcPr>
            <w:tcW w:w="369" w:type="pct"/>
            <w:shd w:val="clear" w:color="auto" w:fill="auto"/>
            <w:vAlign w:val="center"/>
          </w:tcPr>
          <w:p w14:paraId="3CB4FC66" w14:textId="21A33A6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926" w:type="pct"/>
            <w:shd w:val="clear" w:color="auto" w:fill="auto"/>
            <w:vAlign w:val="center"/>
          </w:tcPr>
          <w:p w14:paraId="0643B02C" w14:textId="7613B373" w:rsidR="00B14519" w:rsidRPr="00781112" w:rsidRDefault="00B14519" w:rsidP="00D62058">
            <w:pPr>
              <w:jc w:val="center"/>
              <w:rPr>
                <w:rFonts w:cs="Arial"/>
                <w:color w:val="000000" w:themeColor="text1"/>
                <w:szCs w:val="16"/>
              </w:rPr>
            </w:pPr>
            <w:r w:rsidRPr="00781112">
              <w:rPr>
                <w:rFonts w:cs="Arial"/>
                <w:color w:val="000000" w:themeColor="text1"/>
                <w:szCs w:val="16"/>
              </w:rPr>
              <w:t>67.80%</w:t>
            </w:r>
          </w:p>
        </w:tc>
        <w:tc>
          <w:tcPr>
            <w:tcW w:w="926" w:type="pct"/>
          </w:tcPr>
          <w:p w14:paraId="5AAF7764" w14:textId="6CE24C23" w:rsidR="00B14519" w:rsidRPr="00781112" w:rsidRDefault="00B14519" w:rsidP="00D62058">
            <w:pPr>
              <w:jc w:val="center"/>
              <w:rPr>
                <w:rFonts w:cs="Arial"/>
                <w:color w:val="000000" w:themeColor="text1"/>
                <w:szCs w:val="16"/>
              </w:rPr>
            </w:pPr>
            <w:r w:rsidRPr="00781112">
              <w:rPr>
                <w:color w:val="000000" w:themeColor="text1"/>
                <w:szCs w:val="16"/>
              </w:rPr>
              <w:t>67.85%</w:t>
            </w:r>
          </w:p>
        </w:tc>
        <w:tc>
          <w:tcPr>
            <w:tcW w:w="926" w:type="pct"/>
          </w:tcPr>
          <w:p w14:paraId="18842FBE" w14:textId="34C8AABC" w:rsidR="00B14519" w:rsidRPr="00781112" w:rsidRDefault="00B14519" w:rsidP="00D62058">
            <w:pPr>
              <w:jc w:val="center"/>
              <w:rPr>
                <w:rFonts w:cs="Arial"/>
                <w:color w:val="000000" w:themeColor="text1"/>
                <w:szCs w:val="16"/>
              </w:rPr>
            </w:pPr>
            <w:r w:rsidRPr="00781112">
              <w:rPr>
                <w:color w:val="000000" w:themeColor="text1"/>
                <w:szCs w:val="16"/>
              </w:rPr>
              <w:t>67.90%</w:t>
            </w:r>
          </w:p>
        </w:tc>
        <w:tc>
          <w:tcPr>
            <w:tcW w:w="926" w:type="pct"/>
          </w:tcPr>
          <w:p w14:paraId="22283B88" w14:textId="78C8081B" w:rsidR="00B14519" w:rsidRPr="00781112" w:rsidRDefault="00B14519" w:rsidP="00D62058">
            <w:pPr>
              <w:jc w:val="center"/>
              <w:rPr>
                <w:rFonts w:cs="Arial"/>
                <w:color w:val="000000" w:themeColor="text1"/>
                <w:szCs w:val="16"/>
              </w:rPr>
            </w:pPr>
            <w:r w:rsidRPr="00781112">
              <w:rPr>
                <w:color w:val="000000" w:themeColor="text1"/>
                <w:szCs w:val="16"/>
              </w:rPr>
              <w:t>67.95%</w:t>
            </w:r>
          </w:p>
        </w:tc>
        <w:tc>
          <w:tcPr>
            <w:tcW w:w="926" w:type="pct"/>
          </w:tcPr>
          <w:p w14:paraId="7C808A06" w14:textId="70D7E176" w:rsidR="00B14519" w:rsidRPr="00781112" w:rsidRDefault="00B14519" w:rsidP="00D62058">
            <w:pPr>
              <w:jc w:val="center"/>
              <w:rPr>
                <w:rFonts w:cs="Arial"/>
                <w:color w:val="000000" w:themeColor="text1"/>
                <w:szCs w:val="16"/>
              </w:rPr>
            </w:pPr>
            <w:r w:rsidRPr="00781112">
              <w:rPr>
                <w:color w:val="000000" w:themeColor="text1"/>
                <w:szCs w:val="16"/>
              </w:rPr>
              <w:t>68.00%</w:t>
            </w:r>
          </w:p>
        </w:tc>
      </w:tr>
      <w:tr w:rsidR="00B14519" w:rsidRPr="00781112" w14:paraId="17C12050" w14:textId="1A45DE5B" w:rsidTr="00451D7E">
        <w:trPr>
          <w:trHeight w:val="270"/>
        </w:trPr>
        <w:tc>
          <w:tcPr>
            <w:tcW w:w="369" w:type="pct"/>
            <w:shd w:val="clear" w:color="auto" w:fill="auto"/>
            <w:vAlign w:val="center"/>
          </w:tcPr>
          <w:p w14:paraId="5FF4BE45" w14:textId="3D057CF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926" w:type="pct"/>
            <w:shd w:val="clear" w:color="auto" w:fill="auto"/>
            <w:vAlign w:val="center"/>
          </w:tcPr>
          <w:p w14:paraId="4B344C1C" w14:textId="2108066A" w:rsidR="00B14519" w:rsidRPr="00781112" w:rsidRDefault="00B14519" w:rsidP="00D62058">
            <w:pPr>
              <w:jc w:val="center"/>
              <w:rPr>
                <w:rFonts w:cs="Arial"/>
                <w:color w:val="000000" w:themeColor="text1"/>
                <w:szCs w:val="16"/>
              </w:rPr>
            </w:pPr>
            <w:r w:rsidRPr="00781112">
              <w:rPr>
                <w:rFonts w:cs="Arial"/>
                <w:color w:val="000000" w:themeColor="text1"/>
                <w:szCs w:val="16"/>
              </w:rPr>
              <w:t>9.60%</w:t>
            </w:r>
          </w:p>
        </w:tc>
        <w:tc>
          <w:tcPr>
            <w:tcW w:w="926" w:type="pct"/>
          </w:tcPr>
          <w:p w14:paraId="05700FA5" w14:textId="5CCD345F" w:rsidR="00B14519" w:rsidRPr="00781112" w:rsidRDefault="00B14519" w:rsidP="00D62058">
            <w:pPr>
              <w:jc w:val="center"/>
              <w:rPr>
                <w:rFonts w:cs="Arial"/>
                <w:color w:val="000000" w:themeColor="text1"/>
                <w:szCs w:val="16"/>
              </w:rPr>
            </w:pPr>
            <w:r w:rsidRPr="00781112">
              <w:rPr>
                <w:color w:val="000000" w:themeColor="text1"/>
                <w:szCs w:val="16"/>
              </w:rPr>
              <w:t>9.55%</w:t>
            </w:r>
          </w:p>
        </w:tc>
        <w:tc>
          <w:tcPr>
            <w:tcW w:w="926" w:type="pct"/>
          </w:tcPr>
          <w:p w14:paraId="3714E477" w14:textId="7A435890" w:rsidR="00B14519" w:rsidRPr="00781112" w:rsidRDefault="00B14519" w:rsidP="00D62058">
            <w:pPr>
              <w:jc w:val="center"/>
              <w:rPr>
                <w:rFonts w:cs="Arial"/>
                <w:color w:val="000000" w:themeColor="text1"/>
                <w:szCs w:val="16"/>
              </w:rPr>
            </w:pPr>
            <w:r w:rsidRPr="00781112">
              <w:rPr>
                <w:color w:val="000000" w:themeColor="text1"/>
                <w:szCs w:val="16"/>
              </w:rPr>
              <w:t>9.50%</w:t>
            </w:r>
          </w:p>
        </w:tc>
        <w:tc>
          <w:tcPr>
            <w:tcW w:w="926" w:type="pct"/>
          </w:tcPr>
          <w:p w14:paraId="378D738F" w14:textId="779494DE" w:rsidR="00B14519" w:rsidRPr="00781112" w:rsidRDefault="00B14519" w:rsidP="00D62058">
            <w:pPr>
              <w:jc w:val="center"/>
              <w:rPr>
                <w:rFonts w:cs="Arial"/>
                <w:color w:val="000000" w:themeColor="text1"/>
                <w:szCs w:val="16"/>
              </w:rPr>
            </w:pPr>
            <w:r w:rsidRPr="00781112">
              <w:rPr>
                <w:color w:val="000000" w:themeColor="text1"/>
                <w:szCs w:val="16"/>
              </w:rPr>
              <w:t>9.45%</w:t>
            </w:r>
          </w:p>
        </w:tc>
        <w:tc>
          <w:tcPr>
            <w:tcW w:w="926" w:type="pct"/>
          </w:tcPr>
          <w:p w14:paraId="489715FB" w14:textId="57B31F87" w:rsidR="00B14519" w:rsidRPr="00781112" w:rsidRDefault="00B14519" w:rsidP="00D62058">
            <w:pPr>
              <w:jc w:val="center"/>
              <w:rPr>
                <w:rFonts w:cs="Arial"/>
                <w:color w:val="000000" w:themeColor="text1"/>
                <w:szCs w:val="16"/>
              </w:rPr>
            </w:pPr>
            <w:r w:rsidRPr="00781112">
              <w:rPr>
                <w:color w:val="000000" w:themeColor="text1"/>
                <w:szCs w:val="16"/>
              </w:rPr>
              <w:t>9.40%</w:t>
            </w:r>
          </w:p>
        </w:tc>
      </w:tr>
      <w:tr w:rsidR="00B14519" w:rsidRPr="00781112" w14:paraId="1C671552" w14:textId="2F7800FB" w:rsidTr="00451D7E">
        <w:trPr>
          <w:trHeight w:val="270"/>
        </w:trPr>
        <w:tc>
          <w:tcPr>
            <w:tcW w:w="369" w:type="pct"/>
            <w:shd w:val="clear" w:color="auto" w:fill="auto"/>
            <w:vAlign w:val="center"/>
          </w:tcPr>
          <w:p w14:paraId="5D979A7F" w14:textId="57DEB4C1" w:rsidR="00B14519" w:rsidRPr="00781112" w:rsidRDefault="00B14519" w:rsidP="00D62058">
            <w:pPr>
              <w:rPr>
                <w:rFonts w:cs="Arial"/>
                <w:color w:val="000000" w:themeColor="text1"/>
                <w:szCs w:val="16"/>
              </w:rPr>
            </w:pPr>
            <w:r w:rsidRPr="00781112">
              <w:rPr>
                <w:rFonts w:cs="Arial"/>
                <w:color w:val="000000" w:themeColor="text1"/>
                <w:szCs w:val="16"/>
              </w:rPr>
              <w:t>Target C &lt;=</w:t>
            </w:r>
          </w:p>
        </w:tc>
        <w:tc>
          <w:tcPr>
            <w:tcW w:w="926" w:type="pct"/>
            <w:shd w:val="clear" w:color="auto" w:fill="auto"/>
            <w:vAlign w:val="center"/>
          </w:tcPr>
          <w:p w14:paraId="1C0EF441" w14:textId="373B29D8" w:rsidR="00B14519" w:rsidRPr="00781112" w:rsidRDefault="00B14519" w:rsidP="00D62058">
            <w:pPr>
              <w:jc w:val="center"/>
              <w:rPr>
                <w:rFonts w:cs="Arial"/>
                <w:color w:val="000000" w:themeColor="text1"/>
                <w:szCs w:val="16"/>
              </w:rPr>
            </w:pPr>
            <w:r w:rsidRPr="00781112">
              <w:rPr>
                <w:rFonts w:cs="Arial"/>
                <w:color w:val="000000" w:themeColor="text1"/>
                <w:szCs w:val="16"/>
              </w:rPr>
              <w:t>2.40%</w:t>
            </w:r>
          </w:p>
        </w:tc>
        <w:tc>
          <w:tcPr>
            <w:tcW w:w="926" w:type="pct"/>
          </w:tcPr>
          <w:p w14:paraId="29CA6903" w14:textId="7D992541" w:rsidR="00B14519" w:rsidRPr="00781112" w:rsidRDefault="00B14519" w:rsidP="00D62058">
            <w:pPr>
              <w:jc w:val="center"/>
              <w:rPr>
                <w:rFonts w:cs="Arial"/>
                <w:color w:val="000000" w:themeColor="text1"/>
                <w:szCs w:val="16"/>
              </w:rPr>
            </w:pPr>
            <w:r w:rsidRPr="00781112">
              <w:rPr>
                <w:color w:val="000000" w:themeColor="text1"/>
                <w:szCs w:val="16"/>
              </w:rPr>
              <w:t>2.30%</w:t>
            </w:r>
          </w:p>
        </w:tc>
        <w:tc>
          <w:tcPr>
            <w:tcW w:w="926" w:type="pct"/>
          </w:tcPr>
          <w:p w14:paraId="552B6B09" w14:textId="511FB8CF" w:rsidR="00B14519" w:rsidRPr="00781112" w:rsidRDefault="00B14519" w:rsidP="00D62058">
            <w:pPr>
              <w:jc w:val="center"/>
              <w:rPr>
                <w:rFonts w:cs="Arial"/>
                <w:color w:val="000000" w:themeColor="text1"/>
                <w:szCs w:val="16"/>
              </w:rPr>
            </w:pPr>
            <w:r w:rsidRPr="00781112">
              <w:rPr>
                <w:color w:val="000000" w:themeColor="text1"/>
                <w:szCs w:val="16"/>
              </w:rPr>
              <w:t>2.20%</w:t>
            </w:r>
          </w:p>
        </w:tc>
        <w:tc>
          <w:tcPr>
            <w:tcW w:w="926" w:type="pct"/>
          </w:tcPr>
          <w:p w14:paraId="7DB61507" w14:textId="60C3D8B8" w:rsidR="00B14519" w:rsidRPr="00781112" w:rsidRDefault="00B14519" w:rsidP="00D62058">
            <w:pPr>
              <w:jc w:val="center"/>
              <w:rPr>
                <w:rFonts w:cs="Arial"/>
                <w:color w:val="000000" w:themeColor="text1"/>
                <w:szCs w:val="16"/>
              </w:rPr>
            </w:pPr>
            <w:r w:rsidRPr="00781112">
              <w:rPr>
                <w:color w:val="000000" w:themeColor="text1"/>
                <w:szCs w:val="16"/>
              </w:rPr>
              <w:t>2.10%</w:t>
            </w:r>
          </w:p>
        </w:tc>
        <w:tc>
          <w:tcPr>
            <w:tcW w:w="926" w:type="pct"/>
          </w:tcPr>
          <w:p w14:paraId="4D51A8CD" w14:textId="32D58B55" w:rsidR="00B14519" w:rsidRPr="00781112" w:rsidRDefault="00B14519" w:rsidP="00D62058">
            <w:pPr>
              <w:jc w:val="center"/>
              <w:rPr>
                <w:rFonts w:cs="Arial"/>
                <w:color w:val="000000" w:themeColor="text1"/>
                <w:szCs w:val="16"/>
              </w:rPr>
            </w:pPr>
            <w:r w:rsidRPr="00781112">
              <w:rPr>
                <w:color w:val="000000" w:themeColor="text1"/>
                <w:szCs w:val="16"/>
              </w:rPr>
              <w:t>1.71%</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 xml:space="preserve">PRDE solicited broad stakeholder input on PRDE’s targets in the SPP/APR including any subsequent revisions made to those targets and the development and implementation of Indicator 17, Puerto Rico’s State Systemic Improvement Plan (SSIP). </w:t>
      </w:r>
      <w:r w:rsidRPr="00781112">
        <w:rPr>
          <w:rFonts w:cs="Arial"/>
          <w:color w:val="000000" w:themeColor="text1"/>
          <w:szCs w:val="16"/>
        </w:rPr>
        <w:br/>
      </w:r>
      <w:r w:rsidRPr="00781112">
        <w:rPr>
          <w:rFonts w:cs="Arial"/>
          <w:color w:val="000000" w:themeColor="text1"/>
          <w:szCs w:val="16"/>
        </w:rPr>
        <w:br/>
        <w:t xml:space="preserve">Our original stakeholder group, called the Comité Consultivo de Educación Especial (“Special Education Advisory Committee”), is responsible for advising PRDE regarding the needs in the education of children with disabilities and for </w:t>
      </w:r>
      <w:proofErr w:type="gramStart"/>
      <w:r w:rsidRPr="00781112">
        <w:rPr>
          <w:rFonts w:cs="Arial"/>
          <w:color w:val="000000" w:themeColor="text1"/>
          <w:szCs w:val="16"/>
        </w:rPr>
        <w:t>providing assistance</w:t>
      </w:r>
      <w:proofErr w:type="gramEnd"/>
      <w:r w:rsidRPr="00781112">
        <w:rPr>
          <w:rFonts w:cs="Arial"/>
          <w:color w:val="000000" w:themeColor="text1"/>
          <w:szCs w:val="16"/>
        </w:rPr>
        <w:t xml:space="preserve"> and feedback about reports to be submitted to the Federal Government including our SSIP. The group includes representation from various sectors such as: the non-profit organization Apoyo a Padres de Niños con Impedimentos (Support for Parents of Students with Disabilities, or APNI by its acronym in Spanish), the Puerto Rico Department of the Family, the Puerto Rico Vocational Rehabilitation Administration, the Puerto Rico Department of Health, Special Education Teachers, School Directors, parents of students with disabilities, SAEE personnel, autism representative, specialists such as a School Psychologist, Occupational Therapist, Speech Pathologist, and adult with impairment, and others. SAEE personnel participate continuously in meetings with the special education </w:t>
      </w:r>
      <w:proofErr w:type="gramStart"/>
      <w:r w:rsidRPr="00781112">
        <w:rPr>
          <w:rFonts w:cs="Arial"/>
          <w:color w:val="000000" w:themeColor="text1"/>
          <w:szCs w:val="16"/>
        </w:rPr>
        <w:t>stakeholders</w:t>
      </w:r>
      <w:proofErr w:type="gramEnd"/>
      <w:r w:rsidRPr="00781112">
        <w:rPr>
          <w:rFonts w:cs="Arial"/>
          <w:color w:val="000000" w:themeColor="text1"/>
          <w:szCs w:val="16"/>
        </w:rPr>
        <w:t xml:space="preserve"> group. </w:t>
      </w:r>
      <w:r w:rsidRPr="00781112">
        <w:rPr>
          <w:rFonts w:cs="Arial"/>
          <w:color w:val="000000" w:themeColor="text1"/>
          <w:szCs w:val="16"/>
        </w:rPr>
        <w:br/>
      </w:r>
      <w:r w:rsidRPr="00781112">
        <w:rPr>
          <w:rFonts w:cs="Arial"/>
          <w:color w:val="000000" w:themeColor="text1"/>
          <w:szCs w:val="16"/>
        </w:rPr>
        <w:br/>
        <w:t xml:space="preserve">The members of our stakeholder group also serve as liaisons for initiatives that benefit the special education population and their families. Recommendations provided </w:t>
      </w:r>
      <w:proofErr w:type="gramStart"/>
      <w:r w:rsidRPr="00781112">
        <w:rPr>
          <w:rFonts w:cs="Arial"/>
          <w:color w:val="000000" w:themeColor="text1"/>
          <w:szCs w:val="16"/>
        </w:rPr>
        <w:t>from</w:t>
      </w:r>
      <w:proofErr w:type="gramEnd"/>
      <w:r w:rsidRPr="00781112">
        <w:rPr>
          <w:rFonts w:cs="Arial"/>
          <w:color w:val="000000" w:themeColor="text1"/>
          <w:szCs w:val="16"/>
        </w:rPr>
        <w:t xml:space="preserve"> the stakeholders </w:t>
      </w:r>
      <w:proofErr w:type="gramStart"/>
      <w:r w:rsidRPr="00781112">
        <w:rPr>
          <w:rFonts w:cs="Arial"/>
          <w:color w:val="000000" w:themeColor="text1"/>
          <w:szCs w:val="16"/>
        </w:rPr>
        <w:t>were incorporated</w:t>
      </w:r>
      <w:proofErr w:type="gramEnd"/>
      <w:r w:rsidRPr="00781112">
        <w:rPr>
          <w:rFonts w:cs="Arial"/>
          <w:color w:val="000000" w:themeColor="text1"/>
          <w:szCs w:val="16"/>
        </w:rPr>
        <w:t xml:space="preserve"> into PRDE’s FFY 2021 APR. PRDE developed this FFY 2021 SPP/APR with broad stakeholder input. As discussed above, PRDE SAEE held various meetings with the stakeholder group and received their input regarding the SPP/APR, including feedback regarding the individual indicators including FFY 2021 data, targets, any subsequent revisions to targets, and related </w:t>
      </w:r>
      <w:r w:rsidRPr="00781112">
        <w:rPr>
          <w:rFonts w:cs="Arial"/>
          <w:color w:val="000000" w:themeColor="text1"/>
          <w:szCs w:val="16"/>
        </w:rPr>
        <w:lastRenderedPageBreak/>
        <w:t>activities and initiatives as well as the SSIP.</w:t>
      </w:r>
      <w:r w:rsidRPr="00781112">
        <w:rPr>
          <w:rFonts w:cs="Arial"/>
          <w:color w:val="000000" w:themeColor="text1"/>
          <w:szCs w:val="16"/>
        </w:rPr>
        <w:br/>
      </w:r>
      <w:r w:rsidRPr="00781112">
        <w:rPr>
          <w:rFonts w:cs="Arial"/>
          <w:color w:val="000000" w:themeColor="text1"/>
          <w:szCs w:val="16"/>
        </w:rPr>
        <w:br/>
        <w:t xml:space="preserve">Additional mechanisms through with PRDE solicits broad stakeholder input includes PRDE work with and through the non-profit organization Apoyo a Padres de Niños con Impedimentos (Support for Parents of Students with Disabilities, or APNI by its acronym in Spanish), its operation of Parent Academies on post-secondary topics, and Communities of Learning through its SSIP efforts, among others. APNI’s work helps increase the capacity of parents and serves as an avenue for receiving feedback on improvement activities and related policies. Similarly, the Parent Academies provide capacity building sessions for parents and include feedback sessions where parents provide feedback regarding improvement activities and data and policies related to post-secondary transition. Finally, the communities of learning have been key in providing feedback regarding the Indicator 17 / the SSIP in its entirety and implementation thereof. Through </w:t>
      </w:r>
      <w:proofErr w:type="gramStart"/>
      <w:r w:rsidRPr="00781112">
        <w:rPr>
          <w:rFonts w:cs="Arial"/>
          <w:color w:val="000000" w:themeColor="text1"/>
          <w:szCs w:val="16"/>
        </w:rPr>
        <w:t>all of</w:t>
      </w:r>
      <w:proofErr w:type="gramEnd"/>
      <w:r w:rsidRPr="00781112">
        <w:rPr>
          <w:rFonts w:cs="Arial"/>
          <w:color w:val="000000" w:themeColor="text1"/>
          <w:szCs w:val="16"/>
        </w:rPr>
        <w:t xml:space="preserve"> these avenues, PRDE seeks and receives stakeholder input that is considered in the development of the SPP/APR including targets, subsequent revisions of targets, and development and implementation of the SSIP (Ind. 17). </w:t>
      </w:r>
    </w:p>
    <w:p w14:paraId="2B96DDD0" w14:textId="3E2ADE72" w:rsidR="002D145D" w:rsidRPr="00781112" w:rsidRDefault="002D145D" w:rsidP="002D145D">
      <w:pPr>
        <w:rPr>
          <w:rFonts w:cs="Arial"/>
          <w:color w:val="000000" w:themeColor="text1"/>
          <w:szCs w:val="16"/>
        </w:rPr>
      </w:pP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w:t>
            </w:r>
            <w:proofErr w:type="gramStart"/>
            <w:r w:rsidRPr="00781112">
              <w:rPr>
                <w:rFonts w:cs="Arial"/>
                <w:color w:val="000000" w:themeColor="text1"/>
                <w:szCs w:val="16"/>
              </w:rPr>
              <w:t>21</w:t>
            </w:r>
            <w:proofErr w:type="gramEnd"/>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82,666</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62,043</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 xml:space="preserve">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9,597</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1,054</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 xml:space="preserve">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3</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356</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 xml:space="preserve">Select yes if the data reported in this indicator are </w:t>
      </w:r>
      <w:proofErr w:type="gramStart"/>
      <w:r w:rsidRPr="00781112">
        <w:rPr>
          <w:b/>
          <w:color w:val="000000" w:themeColor="text1"/>
        </w:rPr>
        <w:t>not the same as</w:t>
      </w:r>
      <w:proofErr w:type="gramEnd"/>
      <w:r w:rsidRPr="00781112">
        <w:rPr>
          <w:b/>
          <w:color w:val="000000" w:themeColor="text1"/>
        </w:rPr>
        <w:t xml:space="preserve">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051974A1" w:rsidR="00805DD3" w:rsidRPr="00781112" w:rsidRDefault="0047313F">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740CBC" w:rsidRPr="00781112" w14:paraId="0324DF77" w14:textId="01438934" w:rsidTr="00360DD6">
        <w:trPr>
          <w:trHeight w:val="440"/>
          <w:tblHeader/>
        </w:trPr>
        <w:tc>
          <w:tcPr>
            <w:tcW w:w="1040" w:type="pct"/>
            <w:shd w:val="clear" w:color="auto" w:fill="auto"/>
            <w:vAlign w:val="bottom"/>
          </w:tcPr>
          <w:p w14:paraId="0D668D1B" w14:textId="6BB38C6B" w:rsidR="00740CBC" w:rsidRPr="00781112" w:rsidRDefault="00740CBC" w:rsidP="00740CBC">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740CBC" w:rsidRPr="00781112" w:rsidRDefault="00740CBC" w:rsidP="00740CBC">
            <w:pPr>
              <w:jc w:val="center"/>
              <w:rPr>
                <w:b/>
                <w:color w:val="000000" w:themeColor="text1"/>
              </w:rPr>
            </w:pPr>
            <w:r w:rsidRPr="00781112">
              <w:rPr>
                <w:b/>
                <w:color w:val="000000" w:themeColor="text1"/>
              </w:rPr>
              <w:t xml:space="preserve">Number of children with IEPs aged </w:t>
            </w:r>
            <w:r w:rsidRPr="00781112">
              <w:rPr>
                <w:rFonts w:cs="Arial"/>
                <w:b/>
                <w:bCs/>
                <w:szCs w:val="16"/>
              </w:rPr>
              <w:t>5 (kindergarten)</w:t>
            </w:r>
            <w:r w:rsidRPr="00781112">
              <w:rPr>
                <w:b/>
                <w:color w:val="000000" w:themeColor="text1"/>
              </w:rPr>
              <w:t xml:space="preserve"> through </w:t>
            </w:r>
            <w:proofErr w:type="gramStart"/>
            <w:r w:rsidRPr="00781112">
              <w:rPr>
                <w:b/>
                <w:color w:val="000000" w:themeColor="text1"/>
              </w:rPr>
              <w:t>21</w:t>
            </w:r>
            <w:proofErr w:type="gramEnd"/>
            <w:r w:rsidRPr="00781112">
              <w:rPr>
                <w:b/>
                <w:color w:val="000000" w:themeColor="text1"/>
              </w:rPr>
              <w:t xml:space="preserve"> served</w:t>
            </w:r>
          </w:p>
        </w:tc>
        <w:tc>
          <w:tcPr>
            <w:tcW w:w="647" w:type="pct"/>
            <w:shd w:val="clear" w:color="auto" w:fill="auto"/>
            <w:vAlign w:val="bottom"/>
          </w:tcPr>
          <w:p w14:paraId="5B4758A3" w14:textId="799168FB" w:rsidR="00740CBC" w:rsidRPr="00781112" w:rsidRDefault="00740CBC" w:rsidP="00740CBC">
            <w:pPr>
              <w:jc w:val="center"/>
              <w:rPr>
                <w:b/>
                <w:color w:val="000000" w:themeColor="text1"/>
              </w:rPr>
            </w:pPr>
            <w:r w:rsidRPr="00781112">
              <w:rPr>
                <w:b/>
                <w:color w:val="000000" w:themeColor="text1"/>
              </w:rPr>
              <w:t xml:space="preserve">Total number of children with IEPs aged </w:t>
            </w:r>
            <w:r w:rsidRPr="00781112">
              <w:rPr>
                <w:rFonts w:cs="Arial"/>
                <w:b/>
                <w:bCs/>
                <w:szCs w:val="16"/>
              </w:rPr>
              <w:t>5 (kindergarten)</w:t>
            </w:r>
            <w:r w:rsidRPr="00781112">
              <w:rPr>
                <w:b/>
                <w:color w:val="000000" w:themeColor="text1"/>
              </w:rPr>
              <w:t xml:space="preserve"> through </w:t>
            </w:r>
            <w:proofErr w:type="gramStart"/>
            <w:r w:rsidRPr="00781112">
              <w:rPr>
                <w:b/>
                <w:color w:val="000000" w:themeColor="text1"/>
              </w:rPr>
              <w:t>21</w:t>
            </w:r>
            <w:proofErr w:type="gramEnd"/>
          </w:p>
        </w:tc>
        <w:tc>
          <w:tcPr>
            <w:tcW w:w="533" w:type="pct"/>
            <w:shd w:val="clear" w:color="auto" w:fill="auto"/>
            <w:vAlign w:val="bottom"/>
          </w:tcPr>
          <w:p w14:paraId="5B2059E0" w14:textId="3C9C0574" w:rsidR="00740CBC" w:rsidRPr="00CC1061" w:rsidRDefault="00740CBC" w:rsidP="00740CBC">
            <w:pPr>
              <w:jc w:val="center"/>
              <w:rPr>
                <w:b/>
                <w:bCs/>
                <w:color w:val="000000" w:themeColor="text1"/>
              </w:rPr>
            </w:pPr>
            <w:r w:rsidRPr="00CC1061">
              <w:rPr>
                <w:b/>
                <w:bCs/>
              </w:rPr>
              <w:t>FFY 2020 Data</w:t>
            </w:r>
          </w:p>
        </w:tc>
        <w:tc>
          <w:tcPr>
            <w:tcW w:w="533" w:type="pct"/>
            <w:shd w:val="clear" w:color="auto" w:fill="auto"/>
            <w:vAlign w:val="bottom"/>
          </w:tcPr>
          <w:p w14:paraId="320127EA" w14:textId="4889F920" w:rsidR="00740CBC" w:rsidRPr="00CC1061" w:rsidRDefault="00740CBC" w:rsidP="00740CBC">
            <w:pPr>
              <w:jc w:val="center"/>
              <w:rPr>
                <w:b/>
                <w:bCs/>
                <w:color w:val="000000" w:themeColor="text1"/>
              </w:rPr>
            </w:pPr>
            <w:r w:rsidRPr="00CC1061">
              <w:rPr>
                <w:b/>
                <w:bCs/>
              </w:rPr>
              <w:t>FFY 2021 Target</w:t>
            </w:r>
          </w:p>
        </w:tc>
        <w:tc>
          <w:tcPr>
            <w:tcW w:w="533" w:type="pct"/>
            <w:shd w:val="clear" w:color="auto" w:fill="auto"/>
            <w:vAlign w:val="bottom"/>
          </w:tcPr>
          <w:p w14:paraId="150C2675" w14:textId="70270D20" w:rsidR="00740CBC" w:rsidRPr="00CC1061" w:rsidRDefault="00740CBC" w:rsidP="00740CBC">
            <w:pPr>
              <w:jc w:val="center"/>
              <w:rPr>
                <w:b/>
                <w:bCs/>
                <w:color w:val="000000" w:themeColor="text1"/>
              </w:rPr>
            </w:pPr>
            <w:r w:rsidRPr="00CC1061">
              <w:rPr>
                <w:b/>
                <w:bCs/>
              </w:rPr>
              <w:t>FFY 2021 Data</w:t>
            </w:r>
          </w:p>
        </w:tc>
        <w:tc>
          <w:tcPr>
            <w:tcW w:w="533" w:type="pct"/>
            <w:shd w:val="clear" w:color="auto" w:fill="auto"/>
            <w:vAlign w:val="bottom"/>
          </w:tcPr>
          <w:p w14:paraId="08F715E4" w14:textId="7BB096AF" w:rsidR="00740CBC" w:rsidRPr="00781112" w:rsidRDefault="00740CBC" w:rsidP="00740CBC">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740CBC" w:rsidRPr="00781112" w:rsidRDefault="00740CBC" w:rsidP="00740CBC">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w:t>
            </w:r>
            <w:proofErr w:type="gramStart"/>
            <w:r w:rsidRPr="00781112">
              <w:rPr>
                <w:rFonts w:cs="Arial"/>
                <w:color w:val="000000" w:themeColor="text1"/>
                <w:szCs w:val="16"/>
                <w:shd w:val="clear" w:color="auto" w:fill="FFFFFF"/>
              </w:rPr>
              <w:t>21</w:t>
            </w:r>
            <w:proofErr w:type="gramEnd"/>
            <w:r w:rsidRPr="00781112">
              <w:rPr>
                <w:rFonts w:cs="Arial"/>
                <w:color w:val="000000" w:themeColor="text1"/>
                <w:szCs w:val="16"/>
                <w:shd w:val="clear" w:color="auto" w:fill="FFFFFF"/>
              </w:rPr>
              <w:t xml:space="preserve">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62,043</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82,666</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78.99%</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67.80%</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75.05%</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w:t>
            </w:r>
            <w:proofErr w:type="gramStart"/>
            <w:r w:rsidRPr="00781112">
              <w:rPr>
                <w:rFonts w:cs="Arial"/>
                <w:color w:val="000000" w:themeColor="text1"/>
                <w:szCs w:val="16"/>
                <w:shd w:val="clear" w:color="auto" w:fill="FFFFFF"/>
              </w:rPr>
              <w:t>21</w:t>
            </w:r>
            <w:proofErr w:type="gramEnd"/>
            <w:r w:rsidRPr="00781112">
              <w:rPr>
                <w:rFonts w:cs="Arial"/>
                <w:color w:val="000000" w:themeColor="text1"/>
                <w:szCs w:val="16"/>
                <w:shd w:val="clear" w:color="auto" w:fill="FFFFFF"/>
              </w:rPr>
              <w:t xml:space="preserve">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9,597</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82,666</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8.76%</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9.60%</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11.61%</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1,413</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82,666</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1.67%</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2.40%</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1.71%</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tbl>
      <w:tblPr>
        <w:tblStyle w:val="TableGrid"/>
        <w:tblW w:w="10795" w:type="dxa"/>
        <w:shd w:val="clear" w:color="auto" w:fill="FBD4B4" w:themeFill="accent6" w:themeFillTint="66"/>
        <w:tblLook w:val="04A0" w:firstRow="1" w:lastRow="0" w:firstColumn="1" w:lastColumn="0" w:noHBand="0" w:noVBand="1"/>
        <w:tblCaption w:val="B05CFFYAPRDATA1"/>
      </w:tblPr>
      <w:tblGrid>
        <w:gridCol w:w="715"/>
        <w:gridCol w:w="10080"/>
      </w:tblGrid>
      <w:tr w:rsidR="005C29F8" w:rsidRPr="00781112" w14:paraId="3FDCF912" w14:textId="77777777" w:rsidTr="0033429D">
        <w:trPr>
          <w:tblHeader/>
        </w:trPr>
        <w:tc>
          <w:tcPr>
            <w:tcW w:w="715" w:type="dxa"/>
          </w:tcPr>
          <w:p w14:paraId="383E6F3C" w14:textId="77777777" w:rsidR="009569B8" w:rsidRPr="00781112" w:rsidRDefault="009569B8" w:rsidP="004369B2">
            <w:pPr>
              <w:jc w:val="center"/>
              <w:rPr>
                <w:color w:val="000000" w:themeColor="text1"/>
              </w:rPr>
            </w:pPr>
            <w:r w:rsidRPr="00781112">
              <w:rPr>
                <w:b/>
                <w:color w:val="000000" w:themeColor="text1"/>
              </w:rPr>
              <w:lastRenderedPageBreak/>
              <w:t>Part</w:t>
            </w:r>
          </w:p>
        </w:tc>
        <w:tc>
          <w:tcPr>
            <w:tcW w:w="10080" w:type="dxa"/>
            <w:shd w:val="clear" w:color="auto" w:fill="auto"/>
          </w:tcPr>
          <w:p w14:paraId="4E3E1CA0" w14:textId="77777777" w:rsidR="009569B8" w:rsidRPr="00781112" w:rsidRDefault="009569B8" w:rsidP="004369B2">
            <w:pPr>
              <w:jc w:val="center"/>
              <w:rPr>
                <w:color w:val="000000" w:themeColor="text1"/>
              </w:rPr>
            </w:pPr>
            <w:r w:rsidRPr="00781112">
              <w:rPr>
                <w:b/>
                <w:color w:val="000000" w:themeColor="text1"/>
              </w:rPr>
              <w:t>Reasons for slippage, if applicable</w:t>
            </w:r>
          </w:p>
        </w:tc>
      </w:tr>
      <w:tr w:rsidR="005C29F8" w:rsidRPr="00781112" w14:paraId="0C3EA94F" w14:textId="77777777" w:rsidTr="00E21107">
        <w:tc>
          <w:tcPr>
            <w:tcW w:w="715" w:type="dxa"/>
            <w:vAlign w:val="center"/>
          </w:tcPr>
          <w:p w14:paraId="6F504266" w14:textId="77777777" w:rsidR="009569B8" w:rsidRPr="00781112" w:rsidRDefault="009569B8" w:rsidP="004369B2">
            <w:pPr>
              <w:jc w:val="center"/>
              <w:rPr>
                <w:b/>
                <w:color w:val="000000" w:themeColor="text1"/>
              </w:rPr>
            </w:pPr>
            <w:r w:rsidRPr="00781112">
              <w:rPr>
                <w:b/>
                <w:color w:val="000000" w:themeColor="text1"/>
              </w:rPr>
              <w:t>B</w:t>
            </w:r>
          </w:p>
        </w:tc>
        <w:tc>
          <w:tcPr>
            <w:tcW w:w="10080" w:type="dxa"/>
            <w:shd w:val="clear" w:color="auto" w:fill="auto"/>
          </w:tcPr>
          <w:p w14:paraId="75104547" w14:textId="15C88850" w:rsidR="009569B8" w:rsidRPr="00781112" w:rsidRDefault="003D7F56" w:rsidP="00B3121C">
            <w:pPr>
              <w:rPr>
                <w:color w:val="000000" w:themeColor="text1"/>
              </w:rPr>
            </w:pPr>
            <w:r w:rsidRPr="00781112">
              <w:rPr>
                <w:color w:val="000000" w:themeColor="text1"/>
              </w:rPr>
              <w:t xml:space="preserve">The FFY 2021 APR reflects slippage with Indicator 5B. While it is difficult to determine a definitive reason for the slippage, one </w:t>
            </w:r>
            <w:proofErr w:type="gramStart"/>
            <w:r w:rsidRPr="00781112">
              <w:rPr>
                <w:color w:val="000000" w:themeColor="text1"/>
              </w:rPr>
              <w:t>possible reason</w:t>
            </w:r>
            <w:proofErr w:type="gramEnd"/>
            <w:r w:rsidRPr="00781112">
              <w:rPr>
                <w:color w:val="000000" w:themeColor="text1"/>
              </w:rPr>
              <w:t xml:space="preserve"> may be related to the impact of the COVID-19 pandemic. Following the initial PRDE systemwide school closures in response to COVID-19 during the 2019-2020 school year (on March 14, 2020), PRDE schools </w:t>
            </w:r>
            <w:proofErr w:type="gramStart"/>
            <w:r w:rsidRPr="00781112">
              <w:rPr>
                <w:color w:val="000000" w:themeColor="text1"/>
              </w:rPr>
              <w:t>generally remained</w:t>
            </w:r>
            <w:proofErr w:type="gramEnd"/>
            <w:r w:rsidRPr="00781112">
              <w:rPr>
                <w:color w:val="000000" w:themeColor="text1"/>
              </w:rPr>
              <w:t xml:space="preserve"> physically closed for the entire 2020-2021 school year. While PRDE resumed the educational curriculum at the start of the 2020-2021 school year, virtual programming </w:t>
            </w:r>
            <w:proofErr w:type="gramStart"/>
            <w:r w:rsidRPr="00781112">
              <w:rPr>
                <w:color w:val="000000" w:themeColor="text1"/>
              </w:rPr>
              <w:t>was provided</w:t>
            </w:r>
            <w:proofErr w:type="gramEnd"/>
            <w:r w:rsidRPr="00781112">
              <w:rPr>
                <w:color w:val="000000" w:themeColor="text1"/>
              </w:rPr>
              <w:t xml:space="preserve">. A limited number of schools began to open for in-person learning on March 15, 2021. Unfortunately, PR experienced a significant spike in COVID-19 cases shortly thereafter, and all schools island-wide </w:t>
            </w:r>
            <w:proofErr w:type="gramStart"/>
            <w:r w:rsidRPr="00781112">
              <w:rPr>
                <w:color w:val="000000" w:themeColor="text1"/>
              </w:rPr>
              <w:t>were again closed</w:t>
            </w:r>
            <w:proofErr w:type="gramEnd"/>
            <w:r w:rsidRPr="00781112">
              <w:rPr>
                <w:color w:val="000000" w:themeColor="text1"/>
              </w:rPr>
              <w:t xml:space="preserve"> by government order issued April 8, 2021. Only a small group of schools reopened for in-person learning in early May 2021 until the end of the school year the first week of June 2021. </w:t>
            </w:r>
            <w:r w:rsidRPr="00781112">
              <w:rPr>
                <w:color w:val="000000" w:themeColor="text1"/>
              </w:rPr>
              <w:br/>
            </w:r>
            <w:r w:rsidRPr="00781112">
              <w:rPr>
                <w:color w:val="000000" w:themeColor="text1"/>
              </w:rPr>
              <w:br/>
              <w:t xml:space="preserve">In considering reasons for slippage with Indicator 5B, it is possible that the extended period of time students </w:t>
            </w:r>
            <w:proofErr w:type="gramStart"/>
            <w:r w:rsidRPr="00781112">
              <w:rPr>
                <w:color w:val="000000" w:themeColor="text1"/>
              </w:rPr>
              <w:t>were</w:t>
            </w:r>
            <w:proofErr w:type="gramEnd"/>
            <w:r w:rsidRPr="00781112">
              <w:rPr>
                <w:color w:val="000000" w:themeColor="text1"/>
              </w:rPr>
              <w:t xml:space="preserve"> outside of the traditional ‘brick-and-mortar’ school settings led to IEP team determinations that may have required an increase of educational and related services to be provided outside of the general education classroom setting. PRDE plans to closely monitor the data and hold discussions with stakeholders related to Indicator 5, including whether consideration of whether targets should </w:t>
            </w:r>
            <w:proofErr w:type="gramStart"/>
            <w:r w:rsidRPr="00781112">
              <w:rPr>
                <w:color w:val="000000" w:themeColor="text1"/>
              </w:rPr>
              <w:t>be revised</w:t>
            </w:r>
            <w:proofErr w:type="gramEnd"/>
            <w:r w:rsidRPr="00781112">
              <w:rPr>
                <w:color w:val="000000" w:themeColor="text1"/>
              </w:rPr>
              <w:t>.</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3C308E" w:rsidP="007D435F">
      <w:pPr>
        <w:rPr>
          <w:rFonts w:cs="Arial"/>
          <w:color w:val="000000" w:themeColor="text1"/>
          <w:szCs w:val="16"/>
        </w:rPr>
      </w:pP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3C308E" w:rsidP="001F692C">
      <w:pPr>
        <w:rPr>
          <w:rFonts w:cs="Arial"/>
          <w:color w:val="000000" w:themeColor="text1"/>
          <w:szCs w:val="16"/>
        </w:rPr>
      </w:pP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1CCE2F0D"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3"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w:t>
      </w:r>
      <w:proofErr w:type="gramStart"/>
      <w:r w:rsidR="000B1A1B" w:rsidRPr="00781112">
        <w:rPr>
          <w:rFonts w:cs="Arial"/>
          <w:color w:val="000000" w:themeColor="text1"/>
          <w:szCs w:val="16"/>
        </w:rPr>
        <w:t>5</w:t>
      </w:r>
      <w:proofErr w:type="gramEnd"/>
      <w:r w:rsidR="000B1A1B" w:rsidRPr="00781112">
        <w:rPr>
          <w:rFonts w:cs="Arial"/>
          <w:color w:val="000000" w:themeColor="text1"/>
          <w:szCs w:val="16"/>
        </w:rPr>
        <w:t xml:space="preserve">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 xml:space="preserve">A. Regular early childhood program and receiving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 xml:space="preserve">B. Separate special education class, separate </w:t>
      </w:r>
      <w:proofErr w:type="gramStart"/>
      <w:r w:rsidRPr="00781112">
        <w:rPr>
          <w:rFonts w:cs="Arial"/>
          <w:color w:val="000000" w:themeColor="text1"/>
          <w:szCs w:val="16"/>
        </w:rPr>
        <w:t>school</w:t>
      </w:r>
      <w:proofErr w:type="gramEnd"/>
      <w:r w:rsidRPr="00781112">
        <w:rPr>
          <w:rFonts w:cs="Arial"/>
          <w:color w:val="000000" w:themeColor="text1"/>
          <w:szCs w:val="16"/>
        </w:rPr>
        <w:t xml:space="preserve">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w:t>
      </w:r>
      <w:proofErr w:type="gramStart"/>
      <w:r w:rsidR="005322B8" w:rsidRPr="00781112">
        <w:rPr>
          <w:rFonts w:cs="Arial"/>
          <w:color w:val="000000" w:themeColor="text1"/>
          <w:szCs w:val="16"/>
          <w:shd w:val="clear" w:color="auto" w:fill="FFFFFF"/>
        </w:rPr>
        <w:t>the majority of</w:t>
      </w:r>
      <w:proofErr w:type="gramEnd"/>
      <w:r w:rsidR="005322B8" w:rsidRPr="00781112">
        <w:rPr>
          <w:rFonts w:cs="Arial"/>
          <w:color w:val="000000" w:themeColor="text1"/>
          <w:szCs w:val="16"/>
          <w:shd w:val="clear" w:color="auto" w:fill="FFFFFF"/>
        </w:rPr>
        <w:t xml:space="preserve">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w:t>
      </w:r>
      <w:proofErr w:type="gramStart"/>
      <w:r w:rsidR="005322B8" w:rsidRPr="00781112">
        <w:rPr>
          <w:rFonts w:cs="Arial"/>
          <w:color w:val="000000" w:themeColor="text1"/>
          <w:szCs w:val="16"/>
          <w:shd w:val="clear" w:color="auto" w:fill="FFFFFF"/>
        </w:rPr>
        <w:t>school</w:t>
      </w:r>
      <w:proofErr w:type="gramEnd"/>
      <w:r w:rsidR="005322B8" w:rsidRPr="00781112">
        <w:rPr>
          <w:rFonts w:cs="Arial"/>
          <w:color w:val="000000" w:themeColor="text1"/>
          <w:szCs w:val="16"/>
          <w:shd w:val="clear" w:color="auto" w:fill="FFFFFF"/>
        </w:rPr>
        <w:t xml:space="preserve">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 xml:space="preserve">Sampling from the State’s 618 data </w:t>
      </w:r>
      <w:proofErr w:type="gramStart"/>
      <w:r w:rsidRPr="00781112">
        <w:rPr>
          <w:rFonts w:cs="Arial"/>
          <w:i/>
          <w:iCs/>
          <w:color w:val="000000" w:themeColor="text1"/>
          <w:szCs w:val="16"/>
        </w:rPr>
        <w:t>is not allowed</w:t>
      </w:r>
      <w:proofErr w:type="gramEnd"/>
      <w:r w:rsidRPr="00781112">
        <w:rPr>
          <w:rFonts w:cs="Arial"/>
          <w:i/>
          <w:iCs/>
          <w:color w:val="000000" w:themeColor="text1"/>
          <w:szCs w:val="16"/>
        </w:rPr>
        <w:t>.</w:t>
      </w:r>
    </w:p>
    <w:p w14:paraId="4451A4DB" w14:textId="77777777" w:rsidR="00426EC6" w:rsidRPr="00781112" w:rsidRDefault="00426EC6" w:rsidP="00426EC6">
      <w:pPr>
        <w:rPr>
          <w:rFonts w:cs="Arial"/>
          <w:szCs w:val="16"/>
        </w:rPr>
      </w:pPr>
      <w:r w:rsidRPr="00781112">
        <w:rPr>
          <w:rFonts w:cs="Arial"/>
          <w:szCs w:val="16"/>
        </w:rPr>
        <w:t xml:space="preserve">States must report </w:t>
      </w:r>
      <w:proofErr w:type="gramStart"/>
      <w:r w:rsidRPr="00781112">
        <w:rPr>
          <w:rFonts w:cs="Arial"/>
          <w:szCs w:val="16"/>
        </w:rPr>
        <w:t>five</w:t>
      </w:r>
      <w:proofErr w:type="gramEnd"/>
      <w:r w:rsidRPr="00781112">
        <w:rPr>
          <w:rFonts w:cs="Arial"/>
          <w:szCs w:val="16"/>
        </w:rPr>
        <w:t xml:space="preserve">-year-old children with disabilities who </w:t>
      </w:r>
      <w:proofErr w:type="gramStart"/>
      <w:r w:rsidRPr="00781112">
        <w:rPr>
          <w:rFonts w:cs="Arial"/>
          <w:szCs w:val="16"/>
        </w:rPr>
        <w:t>are enrolled</w:t>
      </w:r>
      <w:proofErr w:type="gramEnd"/>
      <w:r w:rsidRPr="00781112">
        <w:rPr>
          <w:rFonts w:cs="Arial"/>
          <w:szCs w:val="16"/>
        </w:rPr>
        <w:t xml:space="preserve"> in preschool programs in this indicator. Five-year-old children with disabilities who </w:t>
      </w:r>
      <w:proofErr w:type="gramStart"/>
      <w:r w:rsidRPr="00781112">
        <w:rPr>
          <w:rFonts w:cs="Arial"/>
          <w:szCs w:val="16"/>
        </w:rPr>
        <w:t>are enrolled</w:t>
      </w:r>
      <w:proofErr w:type="gramEnd"/>
      <w:r w:rsidRPr="00781112">
        <w:rPr>
          <w:rFonts w:cs="Arial"/>
          <w:szCs w:val="16"/>
        </w:rPr>
        <w:t xml:space="preserve">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 xml:space="preserve">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w:t>
      </w:r>
      <w:proofErr w:type="gramStart"/>
      <w:r w:rsidRPr="00781112">
        <w:rPr>
          <w:rFonts w:cs="Arial"/>
          <w:szCs w:val="16"/>
        </w:rPr>
        <w:t>10</w:t>
      </w:r>
      <w:proofErr w:type="gramEnd"/>
      <w:r w:rsidRPr="00781112">
        <w:rPr>
          <w:rFonts w:cs="Arial"/>
          <w:szCs w:val="16"/>
        </w:rPr>
        <w:t xml:space="preserve"> or greater, States are required to develop </w:t>
      </w:r>
      <w:proofErr w:type="gramStart"/>
      <w:r w:rsidRPr="00781112">
        <w:rPr>
          <w:rFonts w:cs="Arial"/>
          <w:szCs w:val="16"/>
        </w:rPr>
        <w:t>baseline</w:t>
      </w:r>
      <w:proofErr w:type="gramEnd"/>
      <w:r w:rsidRPr="00781112">
        <w:rPr>
          <w:rFonts w:cs="Arial"/>
          <w:szCs w:val="16"/>
        </w:rPr>
        <w:t xml:space="preserv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 xml:space="preserve">If the data reported in this indicator are </w:t>
      </w:r>
      <w:proofErr w:type="gramStart"/>
      <w:r w:rsidRPr="00781112">
        <w:rPr>
          <w:rFonts w:cs="Arial"/>
          <w:color w:val="000000" w:themeColor="text1"/>
          <w:szCs w:val="16"/>
        </w:rPr>
        <w:t>not the same as</w:t>
      </w:r>
      <w:proofErr w:type="gramEnd"/>
      <w:r w:rsidRPr="00781112">
        <w:rPr>
          <w:rFonts w:cs="Arial"/>
          <w:color w:val="000000" w:themeColor="text1"/>
          <w:szCs w:val="16"/>
        </w:rPr>
        <w:t xml:space="preserve"> the State’s data reported under IDEA section 618, explain.</w:t>
      </w:r>
    </w:p>
    <w:bookmarkEnd w:id="33"/>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2020</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73.50%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74.00%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74.50%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75.00%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79.00%</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78.46%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79.21%</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86.12%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81.82%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81.58%</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0.72%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0.71%</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0.70%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0.70%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0.70%</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0.19%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0.20%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0.23%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0.15%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0.25%</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 xml:space="preserve">PRDE solicited broad stakeholder input on PRDE’s targets in the SPP/APR including any subsequent revisions made to those targets and the development and implementation of Indicator 17, Puerto Rico’s State Systemic Improvement Plan (SSIP). </w:t>
      </w:r>
      <w:r w:rsidRPr="00781112">
        <w:rPr>
          <w:rFonts w:cs="Arial"/>
          <w:color w:val="000000" w:themeColor="text1"/>
          <w:szCs w:val="16"/>
        </w:rPr>
        <w:br/>
      </w:r>
      <w:r w:rsidRPr="00781112">
        <w:rPr>
          <w:rFonts w:cs="Arial"/>
          <w:color w:val="000000" w:themeColor="text1"/>
          <w:szCs w:val="16"/>
        </w:rPr>
        <w:br/>
        <w:t xml:space="preserve">Our original stakeholder group, called the Comité Consultivo de Educación Especial (“Special Education Advisory Committee”), is responsible for advising PRDE regarding the needs in the education of children with disabilities and for </w:t>
      </w:r>
      <w:proofErr w:type="gramStart"/>
      <w:r w:rsidRPr="00781112">
        <w:rPr>
          <w:rFonts w:cs="Arial"/>
          <w:color w:val="000000" w:themeColor="text1"/>
          <w:szCs w:val="16"/>
        </w:rPr>
        <w:t>providing assistance</w:t>
      </w:r>
      <w:proofErr w:type="gramEnd"/>
      <w:r w:rsidRPr="00781112">
        <w:rPr>
          <w:rFonts w:cs="Arial"/>
          <w:color w:val="000000" w:themeColor="text1"/>
          <w:szCs w:val="16"/>
        </w:rPr>
        <w:t xml:space="preserve"> and feedback about reports to be submitted to the Federal Government including our SSIP. The group includes representation from various sectors such as: the non-profit organization Apoyo a Padres de Niños con Impedimentos (Support for Parents of Students with Disabilities, or APNI by its acronym in Spanish), the Puerto Rico Department of the Family, the Puerto Rico Vocational Rehabilitation Administration, the Puerto Rico Department of Health, Special Education Teachers, School Directors, parents of students with disabilities, SAEE personnel, autism representative, specialists such as a School Psychologist, Occupational Therapist, Speech Pathologist, and adult with impairment, and others. SAEE personnel participate continuously in meetings with the special education </w:t>
      </w:r>
      <w:proofErr w:type="gramStart"/>
      <w:r w:rsidRPr="00781112">
        <w:rPr>
          <w:rFonts w:cs="Arial"/>
          <w:color w:val="000000" w:themeColor="text1"/>
          <w:szCs w:val="16"/>
        </w:rPr>
        <w:t>stakeholders</w:t>
      </w:r>
      <w:proofErr w:type="gramEnd"/>
      <w:r w:rsidRPr="00781112">
        <w:rPr>
          <w:rFonts w:cs="Arial"/>
          <w:color w:val="000000" w:themeColor="text1"/>
          <w:szCs w:val="16"/>
        </w:rPr>
        <w:t xml:space="preserve"> group. </w:t>
      </w:r>
      <w:r w:rsidRPr="00781112">
        <w:rPr>
          <w:rFonts w:cs="Arial"/>
          <w:color w:val="000000" w:themeColor="text1"/>
          <w:szCs w:val="16"/>
        </w:rPr>
        <w:br/>
      </w:r>
      <w:r w:rsidRPr="00781112">
        <w:rPr>
          <w:rFonts w:cs="Arial"/>
          <w:color w:val="000000" w:themeColor="text1"/>
          <w:szCs w:val="16"/>
        </w:rPr>
        <w:br/>
        <w:t xml:space="preserve">The members of our stakeholder group also serve as liaisons for initiatives that benefit the special education population and their families. Recommendations provided </w:t>
      </w:r>
      <w:proofErr w:type="gramStart"/>
      <w:r w:rsidRPr="00781112">
        <w:rPr>
          <w:rFonts w:cs="Arial"/>
          <w:color w:val="000000" w:themeColor="text1"/>
          <w:szCs w:val="16"/>
        </w:rPr>
        <w:t>from</w:t>
      </w:r>
      <w:proofErr w:type="gramEnd"/>
      <w:r w:rsidRPr="00781112">
        <w:rPr>
          <w:rFonts w:cs="Arial"/>
          <w:color w:val="000000" w:themeColor="text1"/>
          <w:szCs w:val="16"/>
        </w:rPr>
        <w:t xml:space="preserve"> the stakeholders </w:t>
      </w:r>
      <w:proofErr w:type="gramStart"/>
      <w:r w:rsidRPr="00781112">
        <w:rPr>
          <w:rFonts w:cs="Arial"/>
          <w:color w:val="000000" w:themeColor="text1"/>
          <w:szCs w:val="16"/>
        </w:rPr>
        <w:t>were incorporated</w:t>
      </w:r>
      <w:proofErr w:type="gramEnd"/>
      <w:r w:rsidRPr="00781112">
        <w:rPr>
          <w:rFonts w:cs="Arial"/>
          <w:color w:val="000000" w:themeColor="text1"/>
          <w:szCs w:val="16"/>
        </w:rPr>
        <w:t xml:space="preserve"> into PRDE’s FFY 2021 APR. PRDE developed this FFY 2021 SPP/APR with broad stakeholder input. As discussed above, PRDE SAEE held various meetings with the stakeholder group and received their input regarding the SPP/APR, including feedback regarding the individual indicators including FFY 2021 data, targets, any subsequent revisions to targets, and related </w:t>
      </w:r>
      <w:r w:rsidRPr="00781112">
        <w:rPr>
          <w:rFonts w:cs="Arial"/>
          <w:color w:val="000000" w:themeColor="text1"/>
          <w:szCs w:val="16"/>
        </w:rPr>
        <w:lastRenderedPageBreak/>
        <w:t>activities and initiatives as well as the SSIP.</w:t>
      </w:r>
      <w:r w:rsidRPr="00781112">
        <w:rPr>
          <w:rFonts w:cs="Arial"/>
          <w:color w:val="000000" w:themeColor="text1"/>
          <w:szCs w:val="16"/>
        </w:rPr>
        <w:br/>
      </w:r>
      <w:r w:rsidRPr="00781112">
        <w:rPr>
          <w:rFonts w:cs="Arial"/>
          <w:color w:val="000000" w:themeColor="text1"/>
          <w:szCs w:val="16"/>
        </w:rPr>
        <w:br/>
        <w:t xml:space="preserve">Additional mechanisms through with PRDE solicits broad stakeholder input includes PRDE work with and through the non-profit organization Apoyo a Padres de Niños con Impedimentos (Support for Parents of Students with Disabilities, or APNI by its acronym in Spanish), its operation of Parent Academies on post-secondary topics, and Communities of Learning through its SSIP efforts, among others. APNI’s work helps increase the capacity of parents and serves as an avenue for receiving feedback on improvement activities and related policies. Similarly, the Parent Academies provide capacity building sessions for parents and include feedback sessions where parents provide feedback regarding improvement activities and data and policies related to post-secondary transition. Finally, the communities of learning have been key in providing feedback regarding the Indicator 17 / the SSIP in its entirety and implementation thereof. Through </w:t>
      </w:r>
      <w:proofErr w:type="gramStart"/>
      <w:r w:rsidRPr="00781112">
        <w:rPr>
          <w:rFonts w:cs="Arial"/>
          <w:color w:val="000000" w:themeColor="text1"/>
          <w:szCs w:val="16"/>
        </w:rPr>
        <w:t>all of</w:t>
      </w:r>
      <w:proofErr w:type="gramEnd"/>
      <w:r w:rsidRPr="00781112">
        <w:rPr>
          <w:rFonts w:cs="Arial"/>
          <w:color w:val="000000" w:themeColor="text1"/>
          <w:szCs w:val="16"/>
        </w:rPr>
        <w:t xml:space="preserve"> these avenues, PRDE seeks and receives stakeholder input that is considered in the development of the SPP/APR including targets, subsequent revisions of targets, and development and implementation of the SSIP (Ind. 17). </w:t>
      </w:r>
    </w:p>
    <w:p w14:paraId="137AAC0F" w14:textId="77777777" w:rsidR="0059735F" w:rsidRPr="00781112" w:rsidRDefault="0059735F" w:rsidP="0059735F">
      <w:pPr>
        <w:rPr>
          <w:rFonts w:cs="Arial"/>
          <w:color w:val="000000" w:themeColor="text1"/>
          <w:szCs w:val="16"/>
        </w:rPr>
      </w:pP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 xml:space="preserve">Please select if the State wants to set </w:t>
      </w:r>
      <w:proofErr w:type="gramStart"/>
      <w:r w:rsidRPr="001C443D">
        <w:rPr>
          <w:b/>
          <w:bCs/>
        </w:rPr>
        <w:t>baseline</w:t>
      </w:r>
      <w:proofErr w:type="gramEnd"/>
      <w:r w:rsidRPr="001C443D">
        <w:rPr>
          <w:b/>
          <w:bCs/>
        </w:rPr>
        <w:t xml:space="preserv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2019</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81.82%</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2019</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0.15%</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0.40%</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6"/>
        <w:gridCol w:w="1617"/>
        <w:gridCol w:w="1617"/>
        <w:gridCol w:w="1621"/>
        <w:gridCol w:w="1619"/>
        <w:gridCol w:w="1619"/>
      </w:tblGrid>
      <w:tr w:rsidR="00B14519" w:rsidRPr="00781112" w14:paraId="502A05CF" w14:textId="31F34C5E" w:rsidTr="00451D7E">
        <w:trPr>
          <w:trHeight w:val="297"/>
        </w:trPr>
        <w:tc>
          <w:tcPr>
            <w:tcW w:w="586" w:type="pct"/>
            <w:tcBorders>
              <w:bottom w:val="single" w:sz="4" w:space="0" w:color="auto"/>
            </w:tcBorders>
            <w:shd w:val="clear" w:color="auto" w:fill="auto"/>
          </w:tcPr>
          <w:p w14:paraId="24938C30" w14:textId="77777777" w:rsidR="00B14519" w:rsidRPr="00781112" w:rsidRDefault="00B14519" w:rsidP="00D62058">
            <w:pPr>
              <w:jc w:val="center"/>
              <w:rPr>
                <w:b/>
                <w:color w:val="000000" w:themeColor="text1"/>
              </w:rPr>
            </w:pPr>
            <w:r w:rsidRPr="00781112">
              <w:rPr>
                <w:b/>
                <w:color w:val="000000" w:themeColor="text1"/>
              </w:rPr>
              <w:t>FFY</w:t>
            </w:r>
          </w:p>
        </w:tc>
        <w:tc>
          <w:tcPr>
            <w:tcW w:w="882" w:type="pct"/>
            <w:shd w:val="clear" w:color="auto" w:fill="auto"/>
          </w:tcPr>
          <w:p w14:paraId="4B75D90A" w14:textId="04FBCB48" w:rsidR="00B14519" w:rsidRPr="00781112" w:rsidRDefault="00B14519" w:rsidP="00D62058">
            <w:pPr>
              <w:jc w:val="center"/>
              <w:rPr>
                <w:b/>
                <w:color w:val="000000" w:themeColor="text1"/>
              </w:rPr>
            </w:pPr>
            <w:r w:rsidRPr="00781112">
              <w:rPr>
                <w:b/>
                <w:color w:val="000000" w:themeColor="text1"/>
              </w:rPr>
              <w:t>2021</w:t>
            </w:r>
          </w:p>
        </w:tc>
        <w:tc>
          <w:tcPr>
            <w:tcW w:w="882" w:type="pct"/>
          </w:tcPr>
          <w:p w14:paraId="5DC58FF5" w14:textId="7CBB0832" w:rsidR="00B14519" w:rsidRPr="00781112" w:rsidRDefault="00B14519" w:rsidP="00360DD6">
            <w:pPr>
              <w:jc w:val="center"/>
              <w:rPr>
                <w:b/>
                <w:color w:val="000000" w:themeColor="text1"/>
              </w:rPr>
            </w:pPr>
            <w:r w:rsidRPr="00781112">
              <w:rPr>
                <w:b/>
                <w:color w:val="000000" w:themeColor="text1"/>
              </w:rPr>
              <w:t>2022</w:t>
            </w:r>
          </w:p>
        </w:tc>
        <w:tc>
          <w:tcPr>
            <w:tcW w:w="884" w:type="pct"/>
          </w:tcPr>
          <w:p w14:paraId="7F3093B9" w14:textId="2E366C4A" w:rsidR="00B14519" w:rsidRPr="00781112" w:rsidRDefault="00B14519" w:rsidP="00360DD6">
            <w:pPr>
              <w:jc w:val="center"/>
              <w:rPr>
                <w:b/>
                <w:color w:val="000000" w:themeColor="text1"/>
              </w:rPr>
            </w:pPr>
            <w:r w:rsidRPr="00781112">
              <w:rPr>
                <w:b/>
                <w:color w:val="000000" w:themeColor="text1"/>
              </w:rPr>
              <w:t>2023</w:t>
            </w:r>
          </w:p>
        </w:tc>
        <w:tc>
          <w:tcPr>
            <w:tcW w:w="883" w:type="pct"/>
          </w:tcPr>
          <w:p w14:paraId="05A02BBA" w14:textId="78E50BC0" w:rsidR="00B14519" w:rsidRPr="00781112" w:rsidRDefault="00B14519" w:rsidP="00360DD6">
            <w:pPr>
              <w:jc w:val="center"/>
              <w:rPr>
                <w:b/>
                <w:color w:val="000000" w:themeColor="text1"/>
              </w:rPr>
            </w:pPr>
            <w:r w:rsidRPr="00781112">
              <w:rPr>
                <w:b/>
                <w:color w:val="000000" w:themeColor="text1"/>
              </w:rPr>
              <w:t>2024</w:t>
            </w:r>
          </w:p>
        </w:tc>
        <w:tc>
          <w:tcPr>
            <w:tcW w:w="883" w:type="pct"/>
          </w:tcPr>
          <w:p w14:paraId="6CBA3A70" w14:textId="0600BFC9" w:rsidR="00B14519" w:rsidRPr="00781112" w:rsidRDefault="00B14519" w:rsidP="00360DD6">
            <w:pPr>
              <w:jc w:val="center"/>
              <w:rPr>
                <w:b/>
                <w:color w:val="000000" w:themeColor="text1"/>
              </w:rPr>
            </w:pPr>
            <w:r w:rsidRPr="00781112">
              <w:rPr>
                <w:b/>
                <w:color w:val="000000" w:themeColor="text1"/>
              </w:rPr>
              <w:t>2025</w:t>
            </w:r>
          </w:p>
        </w:tc>
      </w:tr>
      <w:tr w:rsidR="00B14519" w:rsidRPr="00781112" w14:paraId="19DCE246" w14:textId="1AEE89BD" w:rsidTr="00451D7E">
        <w:trPr>
          <w:trHeight w:val="303"/>
        </w:trPr>
        <w:tc>
          <w:tcPr>
            <w:tcW w:w="586" w:type="pct"/>
            <w:shd w:val="clear" w:color="auto" w:fill="auto"/>
            <w:vAlign w:val="center"/>
          </w:tcPr>
          <w:p w14:paraId="772DAD56" w14:textId="1540F97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882" w:type="pct"/>
            <w:shd w:val="clear" w:color="auto" w:fill="auto"/>
            <w:vAlign w:val="center"/>
          </w:tcPr>
          <w:p w14:paraId="2E5FC5F6" w14:textId="4C6B8E64" w:rsidR="00B14519" w:rsidRPr="00781112" w:rsidRDefault="00B14519" w:rsidP="00D62058">
            <w:pPr>
              <w:jc w:val="center"/>
              <w:rPr>
                <w:rFonts w:cs="Arial"/>
                <w:color w:val="000000" w:themeColor="text1"/>
                <w:szCs w:val="16"/>
              </w:rPr>
            </w:pPr>
            <w:r w:rsidRPr="00781112">
              <w:rPr>
                <w:rFonts w:cs="Arial"/>
                <w:color w:val="000000" w:themeColor="text1"/>
                <w:szCs w:val="16"/>
              </w:rPr>
              <w:t>79.50%</w:t>
            </w:r>
          </w:p>
        </w:tc>
        <w:tc>
          <w:tcPr>
            <w:tcW w:w="882" w:type="pct"/>
          </w:tcPr>
          <w:p w14:paraId="4C26EA28" w14:textId="691A218F" w:rsidR="00B14519" w:rsidRPr="00781112" w:rsidRDefault="00B14519" w:rsidP="00360DD6">
            <w:pPr>
              <w:jc w:val="center"/>
              <w:rPr>
                <w:rFonts w:cs="Arial"/>
                <w:color w:val="000000" w:themeColor="text1"/>
                <w:szCs w:val="16"/>
              </w:rPr>
            </w:pPr>
            <w:r w:rsidRPr="00781112">
              <w:rPr>
                <w:rFonts w:cs="Arial"/>
                <w:color w:val="000000" w:themeColor="text1"/>
                <w:szCs w:val="16"/>
              </w:rPr>
              <w:t>80.00%</w:t>
            </w:r>
          </w:p>
        </w:tc>
        <w:tc>
          <w:tcPr>
            <w:tcW w:w="884" w:type="pct"/>
          </w:tcPr>
          <w:p w14:paraId="0BF1D9D9" w14:textId="482D9F05" w:rsidR="00B14519" w:rsidRPr="00781112" w:rsidRDefault="00B14519" w:rsidP="00360DD6">
            <w:pPr>
              <w:jc w:val="center"/>
              <w:rPr>
                <w:rFonts w:cs="Arial"/>
                <w:color w:val="000000" w:themeColor="text1"/>
                <w:szCs w:val="16"/>
              </w:rPr>
            </w:pPr>
            <w:r w:rsidRPr="00781112">
              <w:rPr>
                <w:rFonts w:cs="Arial"/>
                <w:color w:val="000000" w:themeColor="text1"/>
                <w:szCs w:val="16"/>
              </w:rPr>
              <w:t>80.50%</w:t>
            </w:r>
          </w:p>
        </w:tc>
        <w:tc>
          <w:tcPr>
            <w:tcW w:w="883" w:type="pct"/>
          </w:tcPr>
          <w:p w14:paraId="583F2116" w14:textId="7106D36C" w:rsidR="00B14519" w:rsidRPr="00781112" w:rsidRDefault="00B14519" w:rsidP="00360DD6">
            <w:pPr>
              <w:jc w:val="center"/>
              <w:rPr>
                <w:rFonts w:cs="Arial"/>
                <w:color w:val="000000" w:themeColor="text1"/>
                <w:szCs w:val="16"/>
              </w:rPr>
            </w:pPr>
            <w:r w:rsidRPr="00781112">
              <w:rPr>
                <w:rFonts w:cs="Arial"/>
                <w:color w:val="000000" w:themeColor="text1"/>
                <w:szCs w:val="16"/>
              </w:rPr>
              <w:t>81.00%</w:t>
            </w:r>
          </w:p>
        </w:tc>
        <w:tc>
          <w:tcPr>
            <w:tcW w:w="883" w:type="pct"/>
          </w:tcPr>
          <w:p w14:paraId="08E53F3C" w14:textId="7CD4AF73" w:rsidR="00B14519" w:rsidRPr="00781112" w:rsidRDefault="00B14519" w:rsidP="00360DD6">
            <w:pPr>
              <w:jc w:val="center"/>
              <w:rPr>
                <w:rFonts w:cs="Arial"/>
                <w:color w:val="000000" w:themeColor="text1"/>
                <w:szCs w:val="16"/>
              </w:rPr>
            </w:pPr>
            <w:r w:rsidRPr="00781112">
              <w:rPr>
                <w:rFonts w:cs="Arial"/>
                <w:color w:val="000000" w:themeColor="text1"/>
                <w:szCs w:val="16"/>
              </w:rPr>
              <w:t>81.83%</w:t>
            </w:r>
          </w:p>
        </w:tc>
      </w:tr>
      <w:tr w:rsidR="00B14519" w:rsidRPr="00781112" w14:paraId="3AA5E8F7" w14:textId="085D0F95" w:rsidTr="00451D7E">
        <w:trPr>
          <w:trHeight w:val="303"/>
        </w:trPr>
        <w:tc>
          <w:tcPr>
            <w:tcW w:w="586" w:type="pct"/>
            <w:shd w:val="clear" w:color="auto" w:fill="auto"/>
            <w:vAlign w:val="center"/>
          </w:tcPr>
          <w:p w14:paraId="49E152B3" w14:textId="4DC08CD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882" w:type="pct"/>
            <w:shd w:val="clear" w:color="auto" w:fill="auto"/>
            <w:vAlign w:val="center"/>
          </w:tcPr>
          <w:p w14:paraId="642E6A80" w14:textId="7A6AF652" w:rsidR="00B14519" w:rsidRPr="00781112" w:rsidRDefault="00B14519" w:rsidP="00D62058">
            <w:pPr>
              <w:jc w:val="center"/>
              <w:rPr>
                <w:rFonts w:cs="Arial"/>
                <w:color w:val="000000" w:themeColor="text1"/>
                <w:szCs w:val="16"/>
              </w:rPr>
            </w:pPr>
            <w:r w:rsidRPr="00781112">
              <w:rPr>
                <w:rFonts w:cs="Arial"/>
                <w:color w:val="000000" w:themeColor="text1"/>
                <w:szCs w:val="16"/>
              </w:rPr>
              <w:t>0.60%</w:t>
            </w:r>
          </w:p>
        </w:tc>
        <w:tc>
          <w:tcPr>
            <w:tcW w:w="882" w:type="pct"/>
          </w:tcPr>
          <w:p w14:paraId="752B6B9E" w14:textId="3979D870" w:rsidR="00B14519" w:rsidRPr="00781112" w:rsidRDefault="00B14519" w:rsidP="00360DD6">
            <w:pPr>
              <w:jc w:val="center"/>
              <w:rPr>
                <w:rFonts w:cs="Arial"/>
                <w:color w:val="000000" w:themeColor="text1"/>
                <w:szCs w:val="16"/>
              </w:rPr>
            </w:pPr>
            <w:r w:rsidRPr="00781112">
              <w:rPr>
                <w:rFonts w:cs="Arial"/>
                <w:color w:val="000000" w:themeColor="text1"/>
                <w:szCs w:val="16"/>
              </w:rPr>
              <w:t>0.50%</w:t>
            </w:r>
          </w:p>
        </w:tc>
        <w:tc>
          <w:tcPr>
            <w:tcW w:w="884" w:type="pct"/>
          </w:tcPr>
          <w:p w14:paraId="1DCC77D9" w14:textId="4B30FDBE" w:rsidR="00B14519" w:rsidRPr="00781112" w:rsidRDefault="00B14519" w:rsidP="00360DD6">
            <w:pPr>
              <w:jc w:val="center"/>
              <w:rPr>
                <w:rFonts w:cs="Arial"/>
                <w:color w:val="000000" w:themeColor="text1"/>
                <w:szCs w:val="16"/>
              </w:rPr>
            </w:pPr>
            <w:r w:rsidRPr="00781112">
              <w:rPr>
                <w:rFonts w:cs="Arial"/>
                <w:color w:val="000000" w:themeColor="text1"/>
                <w:szCs w:val="16"/>
              </w:rPr>
              <w:t>0.40%</w:t>
            </w:r>
          </w:p>
        </w:tc>
        <w:tc>
          <w:tcPr>
            <w:tcW w:w="883" w:type="pct"/>
          </w:tcPr>
          <w:p w14:paraId="481E8597" w14:textId="10A83577" w:rsidR="00B14519" w:rsidRPr="00781112" w:rsidRDefault="00B14519" w:rsidP="00360DD6">
            <w:pPr>
              <w:jc w:val="center"/>
              <w:rPr>
                <w:rFonts w:cs="Arial"/>
                <w:color w:val="000000" w:themeColor="text1"/>
                <w:szCs w:val="16"/>
              </w:rPr>
            </w:pPr>
            <w:r w:rsidRPr="00781112">
              <w:rPr>
                <w:rFonts w:cs="Arial"/>
                <w:color w:val="000000" w:themeColor="text1"/>
                <w:szCs w:val="16"/>
              </w:rPr>
              <w:t>0.30%</w:t>
            </w:r>
          </w:p>
        </w:tc>
        <w:tc>
          <w:tcPr>
            <w:tcW w:w="883" w:type="pct"/>
          </w:tcPr>
          <w:p w14:paraId="55F7CFD1" w14:textId="49CA8BA3" w:rsidR="00B14519" w:rsidRPr="00781112" w:rsidRDefault="00B14519" w:rsidP="00360DD6">
            <w:pPr>
              <w:jc w:val="center"/>
              <w:rPr>
                <w:rFonts w:cs="Arial"/>
                <w:color w:val="000000" w:themeColor="text1"/>
                <w:szCs w:val="16"/>
              </w:rPr>
            </w:pPr>
            <w:r w:rsidRPr="00781112">
              <w:rPr>
                <w:rFonts w:cs="Arial"/>
                <w:color w:val="000000" w:themeColor="text1"/>
                <w:szCs w:val="16"/>
              </w:rPr>
              <w:t>0.14%</w:t>
            </w:r>
          </w:p>
        </w:tc>
      </w:tr>
    </w:tbl>
    <w:p w14:paraId="27170CED" w14:textId="772C81FC" w:rsidR="00E428BD" w:rsidRDefault="00E428BD" w:rsidP="004369B2">
      <w:pPr>
        <w:rPr>
          <w:color w:val="000000" w:themeColor="text1"/>
        </w:rPr>
      </w:pPr>
      <w:bookmarkStart w:id="34" w:name="_Toc382082378"/>
      <w:bookmarkStart w:id="35"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6"/>
        <w:gridCol w:w="1617"/>
        <w:gridCol w:w="1617"/>
        <w:gridCol w:w="1621"/>
        <w:gridCol w:w="1619"/>
        <w:gridCol w:w="1619"/>
      </w:tblGrid>
      <w:tr w:rsidR="00B14519" w:rsidRPr="00781112" w14:paraId="6B43903F" w14:textId="77777777" w:rsidTr="00451D7E">
        <w:trPr>
          <w:trHeight w:val="297"/>
        </w:trPr>
        <w:tc>
          <w:tcPr>
            <w:tcW w:w="586" w:type="pct"/>
            <w:tcBorders>
              <w:bottom w:val="single" w:sz="4" w:space="0" w:color="auto"/>
            </w:tcBorders>
            <w:shd w:val="clear" w:color="auto" w:fill="auto"/>
          </w:tcPr>
          <w:p w14:paraId="454FDD0F" w14:textId="77777777" w:rsidR="00B14519" w:rsidRPr="00781112" w:rsidRDefault="00B14519" w:rsidP="00992ACE">
            <w:pPr>
              <w:jc w:val="center"/>
              <w:rPr>
                <w:b/>
                <w:color w:val="000000" w:themeColor="text1"/>
              </w:rPr>
            </w:pPr>
            <w:r w:rsidRPr="00781112">
              <w:rPr>
                <w:b/>
                <w:color w:val="000000" w:themeColor="text1"/>
              </w:rPr>
              <w:t>FFY</w:t>
            </w:r>
          </w:p>
        </w:tc>
        <w:tc>
          <w:tcPr>
            <w:tcW w:w="882" w:type="pct"/>
            <w:shd w:val="clear" w:color="auto" w:fill="auto"/>
          </w:tcPr>
          <w:p w14:paraId="23E06477" w14:textId="77777777" w:rsidR="00B14519" w:rsidRPr="00781112" w:rsidRDefault="00B14519" w:rsidP="00992ACE">
            <w:pPr>
              <w:jc w:val="center"/>
              <w:rPr>
                <w:b/>
                <w:color w:val="000000" w:themeColor="text1"/>
              </w:rPr>
            </w:pPr>
            <w:r w:rsidRPr="00781112">
              <w:rPr>
                <w:b/>
                <w:color w:val="000000" w:themeColor="text1"/>
              </w:rPr>
              <w:t>2021</w:t>
            </w:r>
          </w:p>
        </w:tc>
        <w:tc>
          <w:tcPr>
            <w:tcW w:w="882" w:type="pct"/>
          </w:tcPr>
          <w:p w14:paraId="727ADECD" w14:textId="77777777" w:rsidR="00B14519" w:rsidRPr="00781112" w:rsidRDefault="00B14519" w:rsidP="00992ACE">
            <w:pPr>
              <w:jc w:val="center"/>
              <w:rPr>
                <w:b/>
                <w:color w:val="000000" w:themeColor="text1"/>
              </w:rPr>
            </w:pPr>
            <w:r w:rsidRPr="00781112">
              <w:rPr>
                <w:b/>
                <w:color w:val="000000" w:themeColor="text1"/>
              </w:rPr>
              <w:t>2022</w:t>
            </w:r>
          </w:p>
        </w:tc>
        <w:tc>
          <w:tcPr>
            <w:tcW w:w="884" w:type="pct"/>
          </w:tcPr>
          <w:p w14:paraId="6EC259CD" w14:textId="77777777" w:rsidR="00B14519" w:rsidRPr="00781112" w:rsidRDefault="00B14519" w:rsidP="00992ACE">
            <w:pPr>
              <w:jc w:val="center"/>
              <w:rPr>
                <w:b/>
                <w:color w:val="000000" w:themeColor="text1"/>
              </w:rPr>
            </w:pPr>
            <w:r w:rsidRPr="00781112">
              <w:rPr>
                <w:b/>
                <w:color w:val="000000" w:themeColor="text1"/>
              </w:rPr>
              <w:t>2023</w:t>
            </w:r>
          </w:p>
        </w:tc>
        <w:tc>
          <w:tcPr>
            <w:tcW w:w="883" w:type="pct"/>
          </w:tcPr>
          <w:p w14:paraId="30FC0D14" w14:textId="77777777" w:rsidR="00B14519" w:rsidRPr="00781112" w:rsidRDefault="00B14519" w:rsidP="00992ACE">
            <w:pPr>
              <w:jc w:val="center"/>
              <w:rPr>
                <w:b/>
                <w:color w:val="000000" w:themeColor="text1"/>
              </w:rPr>
            </w:pPr>
            <w:r w:rsidRPr="00781112">
              <w:rPr>
                <w:b/>
                <w:color w:val="000000" w:themeColor="text1"/>
              </w:rPr>
              <w:t>2024</w:t>
            </w:r>
          </w:p>
        </w:tc>
        <w:tc>
          <w:tcPr>
            <w:tcW w:w="883" w:type="pct"/>
          </w:tcPr>
          <w:p w14:paraId="508E78A1" w14:textId="77777777" w:rsidR="00B14519" w:rsidRPr="00781112" w:rsidRDefault="00B14519" w:rsidP="00992ACE">
            <w:pPr>
              <w:jc w:val="center"/>
              <w:rPr>
                <w:b/>
                <w:color w:val="000000" w:themeColor="text1"/>
              </w:rPr>
            </w:pPr>
            <w:r w:rsidRPr="00781112">
              <w:rPr>
                <w:b/>
                <w:color w:val="000000" w:themeColor="text1"/>
              </w:rPr>
              <w:t>2025</w:t>
            </w:r>
          </w:p>
        </w:tc>
      </w:tr>
      <w:tr w:rsidR="00B14519" w:rsidRPr="00781112" w14:paraId="38A2A2D3" w14:textId="77777777" w:rsidTr="00451D7E">
        <w:trPr>
          <w:trHeight w:val="303"/>
        </w:trPr>
        <w:tc>
          <w:tcPr>
            <w:tcW w:w="586" w:type="pct"/>
            <w:shd w:val="clear" w:color="auto" w:fill="auto"/>
            <w:vAlign w:val="center"/>
          </w:tcPr>
          <w:p w14:paraId="1A01A931" w14:textId="77777777" w:rsidR="00B14519" w:rsidRPr="00781112" w:rsidRDefault="00B14519" w:rsidP="00992ACE">
            <w:pPr>
              <w:rPr>
                <w:rFonts w:cs="Arial"/>
                <w:color w:val="000000" w:themeColor="text1"/>
                <w:szCs w:val="16"/>
              </w:rPr>
            </w:pPr>
            <w:r w:rsidRPr="00781112">
              <w:rPr>
                <w:rFonts w:cs="Arial"/>
                <w:color w:val="000000" w:themeColor="text1"/>
                <w:szCs w:val="16"/>
              </w:rPr>
              <w:t>Target C &lt;=</w:t>
            </w:r>
          </w:p>
        </w:tc>
        <w:tc>
          <w:tcPr>
            <w:tcW w:w="882" w:type="pct"/>
            <w:shd w:val="clear" w:color="auto" w:fill="auto"/>
            <w:vAlign w:val="center"/>
          </w:tcPr>
          <w:p w14:paraId="4CC46A48"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0.70%</w:t>
            </w:r>
          </w:p>
        </w:tc>
        <w:tc>
          <w:tcPr>
            <w:tcW w:w="882" w:type="pct"/>
          </w:tcPr>
          <w:p w14:paraId="262E2FD0"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0.60%</w:t>
            </w:r>
          </w:p>
        </w:tc>
        <w:tc>
          <w:tcPr>
            <w:tcW w:w="884" w:type="pct"/>
          </w:tcPr>
          <w:p w14:paraId="54ED085E"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0.50%</w:t>
            </w:r>
          </w:p>
        </w:tc>
        <w:tc>
          <w:tcPr>
            <w:tcW w:w="883" w:type="pct"/>
          </w:tcPr>
          <w:p w14:paraId="2466D4C4"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0.45%</w:t>
            </w:r>
          </w:p>
        </w:tc>
        <w:tc>
          <w:tcPr>
            <w:tcW w:w="883" w:type="pct"/>
          </w:tcPr>
          <w:p w14:paraId="17FD3C25"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0.39%</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2021-22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07/06/2022</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1,955</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3,013</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1,857</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6,825</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 xml:space="preserve">a1. Number of children attending a regular early childhood program and receiving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1,256</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2,517</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1,779</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5,552</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6</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14</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21</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p>
        </w:tc>
        <w:tc>
          <w:tcPr>
            <w:tcW w:w="863" w:type="pct"/>
            <w:vAlign w:val="bottom"/>
          </w:tcPr>
          <w:p w14:paraId="3DF044A6" w14:textId="3BE72431" w:rsidR="00AA6D68" w:rsidRPr="00781112" w:rsidRDefault="00AA6D68" w:rsidP="00AA6D68">
            <w:pPr>
              <w:jc w:val="center"/>
              <w:rPr>
                <w:rFonts w:cs="Arial"/>
                <w:color w:val="000000" w:themeColor="text1"/>
                <w:szCs w:val="16"/>
              </w:rPr>
            </w:pP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p>
        </w:tc>
        <w:tc>
          <w:tcPr>
            <w:tcW w:w="860" w:type="pct"/>
            <w:vAlign w:val="bottom"/>
          </w:tcPr>
          <w:p w14:paraId="5D7F86B2" w14:textId="5A6D31FC" w:rsidR="00AA6D68" w:rsidRPr="00781112" w:rsidRDefault="00AA6D68" w:rsidP="00AA6D68">
            <w:pPr>
              <w:jc w:val="center"/>
              <w:rPr>
                <w:rFonts w:cs="Arial"/>
                <w:color w:val="000000" w:themeColor="text1"/>
                <w:szCs w:val="16"/>
              </w:rPr>
            </w:pP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62</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68</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14</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144</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 xml:space="preserve">Select yes if the data reported in this indicator are </w:t>
      </w:r>
      <w:proofErr w:type="gramStart"/>
      <w:r w:rsidRPr="00781112">
        <w:rPr>
          <w:b/>
          <w:color w:val="000000" w:themeColor="text1"/>
        </w:rPr>
        <w:t>not the same as</w:t>
      </w:r>
      <w:proofErr w:type="gramEnd"/>
      <w:r w:rsidRPr="00781112">
        <w:rPr>
          <w:b/>
          <w:color w:val="000000" w:themeColor="text1"/>
        </w:rPr>
        <w:t xml:space="preserve">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318E60C6" w14:textId="77777777" w:rsidR="007D100A" w:rsidRDefault="007D100A" w:rsidP="004369B2">
      <w:pPr>
        <w:rPr>
          <w:b/>
          <w:color w:val="000000" w:themeColor="text1"/>
        </w:rPr>
      </w:pPr>
    </w:p>
    <w:p w14:paraId="3A8D0AFB" w14:textId="77777777" w:rsidR="007103FF" w:rsidRPr="00781112" w:rsidRDefault="007103FF" w:rsidP="004369B2">
      <w:pPr>
        <w:rPr>
          <w:b/>
          <w:color w:val="000000" w:themeColor="text1"/>
        </w:rPr>
      </w:pPr>
    </w:p>
    <w:p w14:paraId="0F42B2F6" w14:textId="0384E1C7" w:rsidR="00E60622" w:rsidRPr="00781112" w:rsidRDefault="0047313F" w:rsidP="004369B2">
      <w:pPr>
        <w:rPr>
          <w:b/>
          <w:bCs/>
          <w:color w:val="000000" w:themeColor="text1"/>
        </w:rPr>
      </w:pPr>
      <w:r>
        <w:rPr>
          <w:b/>
          <w:bCs/>
          <w:color w:val="000000" w:themeColor="text1"/>
        </w:rPr>
        <w:t xml:space="preserve">FFY 2021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CC1061" w:rsidRPr="00781112" w14:paraId="38300B51" w14:textId="77777777" w:rsidTr="007239EC">
        <w:trPr>
          <w:trHeight w:val="354"/>
          <w:tblHeader/>
        </w:trPr>
        <w:tc>
          <w:tcPr>
            <w:tcW w:w="1373" w:type="pct"/>
            <w:shd w:val="clear" w:color="auto" w:fill="auto"/>
            <w:vAlign w:val="bottom"/>
          </w:tcPr>
          <w:p w14:paraId="0F38A3C5" w14:textId="3D46820E" w:rsidR="00CC1061" w:rsidRPr="00781112" w:rsidRDefault="00CC1061" w:rsidP="00CC1061">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CC1061" w:rsidRPr="00781112" w:rsidRDefault="00CC1061" w:rsidP="00CC1061">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CC1061" w:rsidRPr="00781112" w:rsidRDefault="00CC1061" w:rsidP="00CC1061">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1BD6525B" w:rsidR="00CC1061" w:rsidRPr="00781112" w:rsidRDefault="00CC1061" w:rsidP="00CC1061">
            <w:pPr>
              <w:jc w:val="center"/>
              <w:rPr>
                <w:rFonts w:cs="Arial"/>
                <w:b/>
                <w:color w:val="000000" w:themeColor="text1"/>
                <w:szCs w:val="16"/>
              </w:rPr>
            </w:pPr>
            <w:r w:rsidRPr="00073BD7">
              <w:rPr>
                <w:b/>
                <w:bCs/>
              </w:rPr>
              <w:t>FFY 2020 Data</w:t>
            </w:r>
          </w:p>
        </w:tc>
        <w:tc>
          <w:tcPr>
            <w:tcW w:w="518" w:type="pct"/>
            <w:shd w:val="clear" w:color="auto" w:fill="auto"/>
            <w:vAlign w:val="bottom"/>
          </w:tcPr>
          <w:p w14:paraId="525540A0" w14:textId="08223658" w:rsidR="00CC1061" w:rsidRPr="00781112" w:rsidRDefault="00CC1061" w:rsidP="00CC1061">
            <w:pPr>
              <w:jc w:val="center"/>
              <w:rPr>
                <w:rFonts w:cs="Arial"/>
                <w:b/>
                <w:color w:val="000000" w:themeColor="text1"/>
                <w:szCs w:val="16"/>
              </w:rPr>
            </w:pPr>
            <w:r w:rsidRPr="00073BD7">
              <w:rPr>
                <w:b/>
                <w:bCs/>
              </w:rPr>
              <w:t>FFY 2021 Target</w:t>
            </w:r>
          </w:p>
        </w:tc>
        <w:tc>
          <w:tcPr>
            <w:tcW w:w="518" w:type="pct"/>
            <w:shd w:val="clear" w:color="auto" w:fill="auto"/>
            <w:vAlign w:val="bottom"/>
          </w:tcPr>
          <w:p w14:paraId="2B9D213A" w14:textId="238B73CF" w:rsidR="00CC1061" w:rsidRPr="00781112" w:rsidRDefault="00CC1061" w:rsidP="00CC1061">
            <w:pPr>
              <w:jc w:val="center"/>
              <w:rPr>
                <w:rFonts w:cs="Arial"/>
                <w:b/>
                <w:color w:val="000000" w:themeColor="text1"/>
                <w:szCs w:val="16"/>
              </w:rPr>
            </w:pPr>
            <w:r w:rsidRPr="00073BD7">
              <w:rPr>
                <w:b/>
                <w:bCs/>
              </w:rPr>
              <w:t>FFY 2021 Data</w:t>
            </w:r>
          </w:p>
        </w:tc>
        <w:tc>
          <w:tcPr>
            <w:tcW w:w="518" w:type="pct"/>
            <w:shd w:val="clear" w:color="auto" w:fill="auto"/>
            <w:vAlign w:val="bottom"/>
          </w:tcPr>
          <w:p w14:paraId="46108583"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 xml:space="preserve">A. A regular early childhood program and receiving </w:t>
            </w:r>
            <w:proofErr w:type="gramStart"/>
            <w:r w:rsidRPr="00781112">
              <w:rPr>
                <w:rFonts w:cs="Arial"/>
                <w:color w:val="000000" w:themeColor="text1"/>
                <w:szCs w:val="16"/>
                <w:shd w:val="clear" w:color="auto" w:fill="FFFFFF"/>
              </w:rPr>
              <w:t>the majority of</w:t>
            </w:r>
            <w:proofErr w:type="gramEnd"/>
            <w:r w:rsidRPr="00781112">
              <w:rPr>
                <w:rFonts w:cs="Arial"/>
                <w:color w:val="000000" w:themeColor="text1"/>
                <w:szCs w:val="16"/>
                <w:shd w:val="clear" w:color="auto" w:fill="FFFFFF"/>
              </w:rPr>
              <w:t xml:space="preserve">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5,552</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6,825</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81.58%</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79.50%</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81.35%</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 xml:space="preserve">B. Separate special education class, separate </w:t>
            </w:r>
            <w:proofErr w:type="gramStart"/>
            <w:r w:rsidRPr="00781112">
              <w:rPr>
                <w:rFonts w:cs="Arial"/>
                <w:color w:val="000000" w:themeColor="text1"/>
                <w:szCs w:val="16"/>
                <w:shd w:val="clear" w:color="auto" w:fill="FFFFFF"/>
              </w:rPr>
              <w:t>school</w:t>
            </w:r>
            <w:proofErr w:type="gramEnd"/>
            <w:r w:rsidRPr="00781112">
              <w:rPr>
                <w:rFonts w:cs="Arial"/>
                <w:color w:val="000000" w:themeColor="text1"/>
                <w:szCs w:val="16"/>
                <w:shd w:val="clear" w:color="auto" w:fill="FFFFFF"/>
              </w:rPr>
              <w:t xml:space="preserve">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21</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6,825</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0.25%</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0.60%</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0.31%</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144</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6,825</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r w:rsidRPr="00781112">
              <w:rPr>
                <w:rFonts w:cs="Arial"/>
                <w:color w:val="000000" w:themeColor="text1"/>
                <w:szCs w:val="16"/>
              </w:rPr>
              <w:t>0.40%</w:t>
            </w: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0.70%</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2.11%</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Slippage</w:t>
            </w:r>
          </w:p>
        </w:tc>
      </w:tr>
    </w:tbl>
    <w:p w14:paraId="21FD52FD" w14:textId="53DF3EF1" w:rsidR="002441FF" w:rsidRDefault="002441FF" w:rsidP="004369B2">
      <w:pPr>
        <w:rPr>
          <w:b/>
          <w:color w:val="000000" w:themeColor="text1"/>
        </w:rPr>
      </w:pPr>
    </w:p>
    <w:p w14:paraId="763CB8C1" w14:textId="360436FE" w:rsidR="006B39BD" w:rsidRPr="00781112" w:rsidRDefault="006B39BD" w:rsidP="006B39BD">
      <w:pPr>
        <w:rPr>
          <w:b/>
          <w:color w:val="000000" w:themeColor="text1"/>
        </w:rPr>
      </w:pPr>
      <w:r w:rsidRPr="00781112">
        <w:rPr>
          <w:b/>
          <w:color w:val="000000" w:themeColor="text1"/>
        </w:rPr>
        <w:t>Provide reasons for slippage for Group C aged 3 through 5, if applicable</w:t>
      </w:r>
    </w:p>
    <w:p w14:paraId="1288C8E4" w14:textId="2FBA7D1F" w:rsidR="006B39BD" w:rsidRPr="00781112" w:rsidRDefault="006B39BD" w:rsidP="006B39BD">
      <w:pPr>
        <w:rPr>
          <w:rFonts w:cs="Arial"/>
          <w:color w:val="000000" w:themeColor="text1"/>
          <w:szCs w:val="16"/>
        </w:rPr>
      </w:pPr>
      <w:r w:rsidRPr="00781112">
        <w:rPr>
          <w:rFonts w:cs="Arial"/>
          <w:color w:val="000000" w:themeColor="text1"/>
          <w:szCs w:val="16"/>
        </w:rPr>
        <w:t xml:space="preserve">The FFY 2021 APR reflects slippage with Indicator 6C. It is difficult to determine a definitive reason for the slippage, particularly as Ind. 6c was a new component beginning with last year’s APR. One </w:t>
      </w:r>
      <w:proofErr w:type="gramStart"/>
      <w:r w:rsidRPr="00781112">
        <w:rPr>
          <w:rFonts w:cs="Arial"/>
          <w:color w:val="000000" w:themeColor="text1"/>
          <w:szCs w:val="16"/>
        </w:rPr>
        <w:t>possible reason</w:t>
      </w:r>
      <w:proofErr w:type="gramEnd"/>
      <w:r w:rsidRPr="00781112">
        <w:rPr>
          <w:rFonts w:cs="Arial"/>
          <w:color w:val="000000" w:themeColor="text1"/>
          <w:szCs w:val="16"/>
        </w:rPr>
        <w:t xml:space="preserve"> may be related to the impact of the COVID-19 pandemic, including increased interest in provision of services particularly for the youngest students in home settings. PRDE plans to closely monitor the data and hold discussions with stakeholders related to Indicator 6, including whether consideration of whether targets should </w:t>
      </w:r>
      <w:proofErr w:type="gramStart"/>
      <w:r w:rsidRPr="00781112">
        <w:rPr>
          <w:rFonts w:cs="Arial"/>
          <w:color w:val="000000" w:themeColor="text1"/>
          <w:szCs w:val="16"/>
        </w:rPr>
        <w:t>be revised</w:t>
      </w:r>
      <w:proofErr w:type="gramEnd"/>
      <w:r w:rsidRPr="00781112">
        <w:rPr>
          <w:rFonts w:cs="Arial"/>
          <w:color w:val="000000" w:themeColor="text1"/>
          <w:szCs w:val="16"/>
        </w:rPr>
        <w:t>.</w:t>
      </w: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3C308E" w:rsidP="007D435F">
      <w:pPr>
        <w:rPr>
          <w:rFonts w:cs="Arial"/>
          <w:color w:val="000000" w:themeColor="text1"/>
          <w:szCs w:val="16"/>
        </w:rPr>
      </w:pP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3C308E" w:rsidP="001F692C">
      <w:pPr>
        <w:rPr>
          <w:rFonts w:cs="Arial"/>
          <w:color w:val="000000" w:themeColor="text1"/>
          <w:szCs w:val="16"/>
        </w:rPr>
      </w:pP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88D5BD8"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4"/>
      <w:bookmarkEnd w:id="35"/>
    </w:p>
    <w:p w14:paraId="1404DCF9" w14:textId="77777777" w:rsidR="00531E54" w:rsidRPr="00781112" w:rsidRDefault="00531E54" w:rsidP="00A018D4">
      <w:pPr>
        <w:rPr>
          <w:color w:val="000000" w:themeColor="text1"/>
          <w:szCs w:val="20"/>
        </w:rPr>
      </w:pPr>
      <w:bookmarkStart w:id="36"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roofErr w:type="gramStart"/>
      <w:r w:rsidRPr="00781112">
        <w:rPr>
          <w:rFonts w:cs="Arial"/>
          <w:color w:val="000000" w:themeColor="text1"/>
          <w:szCs w:val="16"/>
        </w:rPr>
        <w:t>);</w:t>
      </w:r>
      <w:proofErr w:type="gramEnd"/>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roofErr w:type="gramStart"/>
      <w:r w:rsidRPr="00781112">
        <w:rPr>
          <w:rFonts w:eastAsia="Times New Roman" w:cs="Arial"/>
          <w:color w:val="000000" w:themeColor="text1"/>
          <w:szCs w:val="16"/>
        </w:rPr>
        <w:t>);</w:t>
      </w:r>
      <w:proofErr w:type="gramEnd"/>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xml:space="preserve"> Of those preschool children who entered the preschool program below age expectations in each Outcome, the percent who </w:t>
      </w:r>
      <w:proofErr w:type="gramStart"/>
      <w:r w:rsidRPr="00781112">
        <w:rPr>
          <w:rFonts w:cs="Arial"/>
          <w:color w:val="000000" w:themeColor="text1"/>
          <w:szCs w:val="16"/>
        </w:rPr>
        <w:t>substantially increased</w:t>
      </w:r>
      <w:proofErr w:type="gramEnd"/>
      <w:r w:rsidRPr="00781112">
        <w:rPr>
          <w:rFonts w:cs="Arial"/>
          <w:color w:val="000000" w:themeColor="text1"/>
          <w:szCs w:val="16"/>
        </w:rPr>
        <w:t xml:space="preserve">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w:t>
      </w:r>
      <w:proofErr w:type="gramStart"/>
      <w:r w:rsidRPr="00781112">
        <w:rPr>
          <w:rFonts w:cs="Arial"/>
          <w:color w:val="000000" w:themeColor="text1"/>
          <w:szCs w:val="16"/>
        </w:rPr>
        <w:t>is allowed</w:t>
      </w:r>
      <w:proofErr w:type="gramEnd"/>
      <w:r w:rsidRPr="00781112">
        <w:rPr>
          <w:rFonts w:cs="Arial"/>
          <w:color w:val="000000" w:themeColor="text1"/>
          <w:szCs w:val="16"/>
        </w:rPr>
        <w:t xml:space="preserve">. When sampling </w:t>
      </w:r>
      <w:proofErr w:type="gramStart"/>
      <w:r w:rsidRPr="00781112">
        <w:rPr>
          <w:rFonts w:cs="Arial"/>
          <w:color w:val="000000" w:themeColor="text1"/>
          <w:szCs w:val="16"/>
        </w:rPr>
        <w:t>is used</w:t>
      </w:r>
      <w:proofErr w:type="gramEnd"/>
      <w:r w:rsidRPr="00781112">
        <w:rPr>
          <w:rFonts w:cs="Arial"/>
          <w:color w:val="000000" w:themeColor="text1"/>
          <w:szCs w:val="16"/>
        </w:rPr>
        <w:t>,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 xml:space="preserve">Describe the results of the calculations and compare the results to the targets. States will use the progress categories for each of the three Outcomes to calculate and </w:t>
      </w:r>
      <w:proofErr w:type="gramStart"/>
      <w:r w:rsidRPr="00781112">
        <w:rPr>
          <w:rFonts w:cs="Arial"/>
          <w:color w:val="000000" w:themeColor="text1"/>
          <w:szCs w:val="16"/>
        </w:rPr>
        <w:t>report</w:t>
      </w:r>
      <w:proofErr w:type="gramEnd"/>
      <w:r w:rsidRPr="00781112">
        <w:rPr>
          <w:rFonts w:cs="Arial"/>
          <w:color w:val="000000" w:themeColor="text1"/>
          <w:szCs w:val="16"/>
        </w:rPr>
        <w:t xml:space="preserve">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 xml:space="preserve">In presenting results, provide the criteria for defining “comparable to same-aged peers.” If a State is using the Early Childhood Outcomes Center (ECO) Child Outcomes Summary (COS), then the criteria for defining “comparable to same-aged peers” has </w:t>
      </w:r>
      <w:proofErr w:type="gramStart"/>
      <w:r w:rsidRPr="00781112">
        <w:rPr>
          <w:rFonts w:cs="Arial"/>
          <w:color w:val="000000" w:themeColor="text1"/>
          <w:szCs w:val="16"/>
        </w:rPr>
        <w:t>been defined</w:t>
      </w:r>
      <w:proofErr w:type="gramEnd"/>
      <w:r w:rsidRPr="00781112">
        <w:rPr>
          <w:rFonts w:cs="Arial"/>
          <w:color w:val="000000" w:themeColor="text1"/>
          <w:szCs w:val="16"/>
        </w:rPr>
        <w:t xml:space="preserve">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6"/>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87.50%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88.00%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94.11%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94.11%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45.00%</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94.10%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90.93%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83.17%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73.02%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38.00%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46.56%</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57.80%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58.00%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58.20%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56.01%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50.00%</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56.00%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49.55%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52.33%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42.81%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49.81%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50.58%</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86.40%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86.60%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89.71%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89.71%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45.00%</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89.70%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89.29%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67.85%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39.67%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49.88%</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50.20%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50.40%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48.81%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39.00%</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48.80%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44.28%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43.19%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31.64%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41.90%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41.99%</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91.60%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91.80%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95.51%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95.51%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45.00%</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95.50%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94.10%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85.06%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75.76%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40.88%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51.18%</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69.80%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69.90%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72.21%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72.21%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50.00%</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72.20%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53.61%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56.74%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47.29%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55.99%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51.43%</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2"/>
        <w:gridCol w:w="1696"/>
        <w:gridCol w:w="1696"/>
        <w:gridCol w:w="1696"/>
        <w:gridCol w:w="1696"/>
      </w:tblGrid>
      <w:tr w:rsidR="00B14519" w:rsidRPr="00781112" w14:paraId="7154778B" w14:textId="326343BD" w:rsidTr="00451D7E">
        <w:trPr>
          <w:trHeight w:val="333"/>
        </w:trPr>
        <w:tc>
          <w:tcPr>
            <w:tcW w:w="267" w:type="pct"/>
            <w:tcBorders>
              <w:bottom w:val="single" w:sz="4" w:space="0" w:color="auto"/>
            </w:tcBorders>
            <w:shd w:val="clear" w:color="auto" w:fill="auto"/>
            <w:vAlign w:val="center"/>
          </w:tcPr>
          <w:p w14:paraId="4C772A88" w14:textId="77777777" w:rsidR="00B14519" w:rsidRPr="00781112" w:rsidRDefault="00B14519" w:rsidP="00D62058">
            <w:pPr>
              <w:jc w:val="center"/>
              <w:rPr>
                <w:b/>
                <w:color w:val="000000" w:themeColor="text1"/>
              </w:rPr>
            </w:pPr>
            <w:r w:rsidRPr="00781112">
              <w:rPr>
                <w:b/>
                <w:color w:val="000000" w:themeColor="text1"/>
              </w:rPr>
              <w:t>FFY</w:t>
            </w:r>
          </w:p>
        </w:tc>
        <w:tc>
          <w:tcPr>
            <w:tcW w:w="901" w:type="pct"/>
            <w:shd w:val="clear" w:color="auto" w:fill="auto"/>
            <w:vAlign w:val="center"/>
          </w:tcPr>
          <w:p w14:paraId="12A78916" w14:textId="4FE79E21" w:rsidR="00B14519" w:rsidRPr="00781112" w:rsidRDefault="00B14519" w:rsidP="00D62058">
            <w:pPr>
              <w:jc w:val="center"/>
              <w:rPr>
                <w:b/>
                <w:color w:val="000000" w:themeColor="text1"/>
              </w:rPr>
            </w:pPr>
            <w:r w:rsidRPr="00781112">
              <w:rPr>
                <w:b/>
                <w:color w:val="000000" w:themeColor="text1"/>
              </w:rPr>
              <w:t>2021</w:t>
            </w:r>
          </w:p>
        </w:tc>
        <w:tc>
          <w:tcPr>
            <w:tcW w:w="958" w:type="pct"/>
            <w:vAlign w:val="center"/>
          </w:tcPr>
          <w:p w14:paraId="252A750A" w14:textId="25138A81" w:rsidR="00B14519" w:rsidRPr="00781112" w:rsidRDefault="00B14519" w:rsidP="00D62058">
            <w:pPr>
              <w:jc w:val="center"/>
              <w:rPr>
                <w:b/>
                <w:color w:val="000000" w:themeColor="text1"/>
              </w:rPr>
            </w:pPr>
            <w:r w:rsidRPr="00781112">
              <w:rPr>
                <w:rFonts w:cs="Arial"/>
                <w:b/>
                <w:color w:val="000000" w:themeColor="text1"/>
                <w:szCs w:val="16"/>
              </w:rPr>
              <w:t>2022</w:t>
            </w:r>
          </w:p>
        </w:tc>
        <w:tc>
          <w:tcPr>
            <w:tcW w:w="958" w:type="pct"/>
            <w:vAlign w:val="center"/>
          </w:tcPr>
          <w:p w14:paraId="68D8D021" w14:textId="79B543D0" w:rsidR="00B14519" w:rsidRPr="00781112" w:rsidRDefault="00B14519" w:rsidP="00D62058">
            <w:pPr>
              <w:jc w:val="center"/>
              <w:rPr>
                <w:b/>
                <w:color w:val="000000" w:themeColor="text1"/>
              </w:rPr>
            </w:pPr>
            <w:r w:rsidRPr="00781112">
              <w:rPr>
                <w:rFonts w:cs="Arial"/>
                <w:b/>
                <w:color w:val="000000" w:themeColor="text1"/>
                <w:szCs w:val="16"/>
              </w:rPr>
              <w:t>2023</w:t>
            </w:r>
          </w:p>
        </w:tc>
        <w:tc>
          <w:tcPr>
            <w:tcW w:w="958" w:type="pct"/>
            <w:vAlign w:val="center"/>
          </w:tcPr>
          <w:p w14:paraId="60B57779" w14:textId="39F7714F" w:rsidR="00B14519" w:rsidRPr="00781112" w:rsidRDefault="00B14519" w:rsidP="00D62058">
            <w:pPr>
              <w:jc w:val="center"/>
              <w:rPr>
                <w:b/>
                <w:color w:val="000000" w:themeColor="text1"/>
              </w:rPr>
            </w:pPr>
            <w:r w:rsidRPr="00781112">
              <w:rPr>
                <w:rFonts w:cs="Arial"/>
                <w:b/>
                <w:color w:val="000000" w:themeColor="text1"/>
                <w:szCs w:val="16"/>
              </w:rPr>
              <w:t>2024</w:t>
            </w:r>
          </w:p>
        </w:tc>
        <w:tc>
          <w:tcPr>
            <w:tcW w:w="958" w:type="pct"/>
            <w:vAlign w:val="center"/>
          </w:tcPr>
          <w:p w14:paraId="2CB555F8" w14:textId="64C2A928"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18C73B9A" w14:textId="4A314190" w:rsidTr="00451D7E">
        <w:trPr>
          <w:trHeight w:val="340"/>
        </w:trPr>
        <w:tc>
          <w:tcPr>
            <w:tcW w:w="267" w:type="pct"/>
            <w:shd w:val="clear" w:color="auto" w:fill="auto"/>
            <w:vAlign w:val="center"/>
          </w:tcPr>
          <w:p w14:paraId="507B0BCD" w14:textId="415A5723" w:rsidR="00B14519" w:rsidRPr="00781112" w:rsidRDefault="00B14519" w:rsidP="00D62058">
            <w:pPr>
              <w:rPr>
                <w:rFonts w:cs="Arial"/>
                <w:color w:val="000000" w:themeColor="text1"/>
                <w:szCs w:val="16"/>
              </w:rPr>
            </w:pPr>
            <w:r w:rsidRPr="00781112">
              <w:rPr>
                <w:rFonts w:cs="Arial"/>
                <w:color w:val="000000" w:themeColor="text1"/>
                <w:szCs w:val="16"/>
              </w:rPr>
              <w:t>Target A1 &gt;=</w:t>
            </w:r>
          </w:p>
        </w:tc>
        <w:tc>
          <w:tcPr>
            <w:tcW w:w="901" w:type="pct"/>
            <w:shd w:val="clear" w:color="auto" w:fill="auto"/>
            <w:vAlign w:val="center"/>
          </w:tcPr>
          <w:p w14:paraId="1B809E80" w14:textId="23651174" w:rsidR="00B14519" w:rsidRPr="00781112" w:rsidRDefault="00B14519" w:rsidP="00D62058">
            <w:pPr>
              <w:jc w:val="center"/>
              <w:rPr>
                <w:color w:val="000000" w:themeColor="text1"/>
              </w:rPr>
            </w:pPr>
            <w:r w:rsidRPr="00781112">
              <w:rPr>
                <w:color w:val="000000" w:themeColor="text1"/>
              </w:rPr>
              <w:t>50.00%</w:t>
            </w:r>
          </w:p>
        </w:tc>
        <w:tc>
          <w:tcPr>
            <w:tcW w:w="958" w:type="pct"/>
            <w:vAlign w:val="center"/>
          </w:tcPr>
          <w:p w14:paraId="5EAD01EF" w14:textId="12066A13" w:rsidR="00B14519" w:rsidRPr="00781112" w:rsidRDefault="00B14519" w:rsidP="00D62058">
            <w:pPr>
              <w:jc w:val="center"/>
              <w:rPr>
                <w:color w:val="000000" w:themeColor="text1"/>
              </w:rPr>
            </w:pPr>
            <w:r w:rsidRPr="00781112">
              <w:rPr>
                <w:color w:val="000000" w:themeColor="text1"/>
                <w:szCs w:val="16"/>
              </w:rPr>
              <w:t>55.00%</w:t>
            </w:r>
          </w:p>
        </w:tc>
        <w:tc>
          <w:tcPr>
            <w:tcW w:w="958" w:type="pct"/>
            <w:vAlign w:val="center"/>
          </w:tcPr>
          <w:p w14:paraId="2E3018C0" w14:textId="3758E6A1" w:rsidR="00B14519" w:rsidRPr="00781112" w:rsidRDefault="00B14519" w:rsidP="00D62058">
            <w:pPr>
              <w:jc w:val="center"/>
              <w:rPr>
                <w:color w:val="000000" w:themeColor="text1"/>
              </w:rPr>
            </w:pPr>
            <w:r w:rsidRPr="00781112">
              <w:rPr>
                <w:color w:val="000000" w:themeColor="text1"/>
                <w:szCs w:val="16"/>
              </w:rPr>
              <w:t>60.00%</w:t>
            </w:r>
          </w:p>
        </w:tc>
        <w:tc>
          <w:tcPr>
            <w:tcW w:w="958" w:type="pct"/>
            <w:vAlign w:val="center"/>
          </w:tcPr>
          <w:p w14:paraId="063238F2" w14:textId="239B2312" w:rsidR="00B14519" w:rsidRPr="00781112" w:rsidRDefault="00B14519" w:rsidP="00D62058">
            <w:pPr>
              <w:jc w:val="center"/>
              <w:rPr>
                <w:color w:val="000000" w:themeColor="text1"/>
              </w:rPr>
            </w:pPr>
            <w:r w:rsidRPr="00781112">
              <w:rPr>
                <w:color w:val="000000" w:themeColor="text1"/>
                <w:szCs w:val="16"/>
              </w:rPr>
              <w:t>65.00%</w:t>
            </w:r>
          </w:p>
        </w:tc>
        <w:tc>
          <w:tcPr>
            <w:tcW w:w="958" w:type="pct"/>
            <w:vAlign w:val="center"/>
          </w:tcPr>
          <w:p w14:paraId="4FBF626C" w14:textId="574BC7A3" w:rsidR="00B14519" w:rsidRPr="00781112" w:rsidRDefault="00B14519" w:rsidP="00D62058">
            <w:pPr>
              <w:jc w:val="center"/>
              <w:rPr>
                <w:color w:val="000000" w:themeColor="text1"/>
              </w:rPr>
            </w:pPr>
            <w:r w:rsidRPr="00781112">
              <w:rPr>
                <w:color w:val="000000" w:themeColor="text1"/>
                <w:szCs w:val="16"/>
              </w:rPr>
              <w:t>94.11%</w:t>
            </w:r>
          </w:p>
        </w:tc>
      </w:tr>
      <w:tr w:rsidR="00B14519" w:rsidRPr="00781112" w14:paraId="7C704220" w14:textId="4A1FC69E" w:rsidTr="00451D7E">
        <w:trPr>
          <w:trHeight w:val="340"/>
        </w:trPr>
        <w:tc>
          <w:tcPr>
            <w:tcW w:w="267" w:type="pct"/>
            <w:shd w:val="clear" w:color="auto" w:fill="auto"/>
            <w:vAlign w:val="center"/>
          </w:tcPr>
          <w:p w14:paraId="253AADF0" w14:textId="721E9C65" w:rsidR="00B14519" w:rsidRPr="00781112" w:rsidRDefault="00B14519" w:rsidP="00D62058">
            <w:pPr>
              <w:rPr>
                <w:rFonts w:cs="Arial"/>
                <w:color w:val="000000" w:themeColor="text1"/>
                <w:szCs w:val="16"/>
              </w:rPr>
            </w:pPr>
            <w:r w:rsidRPr="00781112">
              <w:rPr>
                <w:rFonts w:cs="Arial"/>
                <w:color w:val="000000" w:themeColor="text1"/>
                <w:szCs w:val="16"/>
              </w:rPr>
              <w:t>Target A2 &gt;=</w:t>
            </w:r>
          </w:p>
        </w:tc>
        <w:tc>
          <w:tcPr>
            <w:tcW w:w="901" w:type="pct"/>
            <w:shd w:val="clear" w:color="auto" w:fill="auto"/>
            <w:vAlign w:val="center"/>
          </w:tcPr>
          <w:p w14:paraId="572F97E5" w14:textId="71E20118" w:rsidR="00B14519" w:rsidRPr="00781112" w:rsidRDefault="00B14519" w:rsidP="00D62058">
            <w:pPr>
              <w:jc w:val="center"/>
              <w:rPr>
                <w:rFonts w:cs="Arial"/>
                <w:color w:val="000000" w:themeColor="text1"/>
                <w:szCs w:val="16"/>
              </w:rPr>
            </w:pPr>
            <w:r w:rsidRPr="00781112">
              <w:rPr>
                <w:rFonts w:cs="Arial"/>
                <w:color w:val="000000" w:themeColor="text1"/>
                <w:szCs w:val="16"/>
              </w:rPr>
              <w:t>51.00%</w:t>
            </w:r>
          </w:p>
        </w:tc>
        <w:tc>
          <w:tcPr>
            <w:tcW w:w="958" w:type="pct"/>
            <w:vAlign w:val="center"/>
          </w:tcPr>
          <w:p w14:paraId="40137C22" w14:textId="775C9D4C" w:rsidR="00B14519" w:rsidRPr="00781112" w:rsidRDefault="00B14519" w:rsidP="00D62058">
            <w:pPr>
              <w:jc w:val="center"/>
              <w:rPr>
                <w:rFonts w:cs="Arial"/>
                <w:color w:val="000000" w:themeColor="text1"/>
                <w:szCs w:val="16"/>
              </w:rPr>
            </w:pPr>
            <w:r w:rsidRPr="00781112">
              <w:rPr>
                <w:color w:val="000000" w:themeColor="text1"/>
                <w:szCs w:val="16"/>
              </w:rPr>
              <w:t>52.00%</w:t>
            </w:r>
          </w:p>
        </w:tc>
        <w:tc>
          <w:tcPr>
            <w:tcW w:w="958" w:type="pct"/>
            <w:vAlign w:val="center"/>
          </w:tcPr>
          <w:p w14:paraId="468DEAEF" w14:textId="0B21BE62" w:rsidR="00B14519" w:rsidRPr="00781112" w:rsidRDefault="00B14519" w:rsidP="00D62058">
            <w:pPr>
              <w:jc w:val="center"/>
              <w:rPr>
                <w:rFonts w:cs="Arial"/>
                <w:color w:val="000000" w:themeColor="text1"/>
                <w:szCs w:val="16"/>
              </w:rPr>
            </w:pPr>
            <w:r w:rsidRPr="00781112">
              <w:rPr>
                <w:color w:val="000000" w:themeColor="text1"/>
                <w:szCs w:val="16"/>
              </w:rPr>
              <w:t>53.00%</w:t>
            </w:r>
          </w:p>
        </w:tc>
        <w:tc>
          <w:tcPr>
            <w:tcW w:w="958" w:type="pct"/>
            <w:vAlign w:val="center"/>
          </w:tcPr>
          <w:p w14:paraId="4D7AB0B5" w14:textId="5F153351" w:rsidR="00B14519" w:rsidRPr="00781112" w:rsidRDefault="00B14519" w:rsidP="00D62058">
            <w:pPr>
              <w:jc w:val="center"/>
              <w:rPr>
                <w:rFonts w:cs="Arial"/>
                <w:color w:val="000000" w:themeColor="text1"/>
                <w:szCs w:val="16"/>
              </w:rPr>
            </w:pPr>
            <w:r w:rsidRPr="00781112">
              <w:rPr>
                <w:color w:val="000000" w:themeColor="text1"/>
                <w:szCs w:val="16"/>
              </w:rPr>
              <w:t>54.00%</w:t>
            </w:r>
          </w:p>
        </w:tc>
        <w:tc>
          <w:tcPr>
            <w:tcW w:w="958" w:type="pct"/>
            <w:vAlign w:val="center"/>
          </w:tcPr>
          <w:p w14:paraId="76DA0071" w14:textId="5377DF32" w:rsidR="00B14519" w:rsidRPr="00781112" w:rsidRDefault="00B14519" w:rsidP="00D62058">
            <w:pPr>
              <w:jc w:val="center"/>
              <w:rPr>
                <w:rFonts w:cs="Arial"/>
                <w:color w:val="000000" w:themeColor="text1"/>
                <w:szCs w:val="16"/>
              </w:rPr>
            </w:pPr>
            <w:r w:rsidRPr="00781112">
              <w:rPr>
                <w:color w:val="000000" w:themeColor="text1"/>
                <w:szCs w:val="16"/>
              </w:rPr>
              <w:t>56.01%</w:t>
            </w:r>
          </w:p>
        </w:tc>
      </w:tr>
      <w:tr w:rsidR="00B14519" w:rsidRPr="00781112" w14:paraId="6D44D644" w14:textId="2AAE55F2" w:rsidTr="00451D7E">
        <w:trPr>
          <w:trHeight w:val="340"/>
        </w:trPr>
        <w:tc>
          <w:tcPr>
            <w:tcW w:w="267" w:type="pct"/>
            <w:shd w:val="clear" w:color="auto" w:fill="auto"/>
            <w:vAlign w:val="center"/>
          </w:tcPr>
          <w:p w14:paraId="2E46543E" w14:textId="484E799D" w:rsidR="00B14519" w:rsidRPr="00781112" w:rsidRDefault="00B14519" w:rsidP="00D62058">
            <w:pPr>
              <w:rPr>
                <w:rFonts w:cs="Arial"/>
                <w:color w:val="000000" w:themeColor="text1"/>
                <w:szCs w:val="16"/>
              </w:rPr>
            </w:pPr>
            <w:r w:rsidRPr="00781112">
              <w:rPr>
                <w:rFonts w:cs="Arial"/>
                <w:color w:val="000000" w:themeColor="text1"/>
                <w:szCs w:val="16"/>
              </w:rPr>
              <w:t>Target B1 &gt;=</w:t>
            </w:r>
          </w:p>
        </w:tc>
        <w:tc>
          <w:tcPr>
            <w:tcW w:w="901" w:type="pct"/>
            <w:shd w:val="clear" w:color="auto" w:fill="auto"/>
            <w:vAlign w:val="center"/>
          </w:tcPr>
          <w:p w14:paraId="5B1AAB6F" w14:textId="09987858" w:rsidR="00B14519" w:rsidRPr="00781112" w:rsidRDefault="00B14519" w:rsidP="00D62058">
            <w:pPr>
              <w:jc w:val="center"/>
              <w:rPr>
                <w:rFonts w:cs="Arial"/>
                <w:color w:val="000000" w:themeColor="text1"/>
                <w:szCs w:val="16"/>
              </w:rPr>
            </w:pPr>
            <w:r w:rsidRPr="00781112">
              <w:rPr>
                <w:rFonts w:cs="Arial"/>
                <w:color w:val="000000" w:themeColor="text1"/>
                <w:szCs w:val="16"/>
              </w:rPr>
              <w:t>50.00%</w:t>
            </w:r>
          </w:p>
        </w:tc>
        <w:tc>
          <w:tcPr>
            <w:tcW w:w="958" w:type="pct"/>
            <w:vAlign w:val="center"/>
          </w:tcPr>
          <w:p w14:paraId="7D23F948" w14:textId="1533C8CE" w:rsidR="00B14519" w:rsidRPr="00781112" w:rsidRDefault="00B14519" w:rsidP="00D62058">
            <w:pPr>
              <w:jc w:val="center"/>
              <w:rPr>
                <w:rFonts w:cs="Arial"/>
                <w:color w:val="000000" w:themeColor="text1"/>
                <w:szCs w:val="16"/>
              </w:rPr>
            </w:pPr>
            <w:r w:rsidRPr="00781112">
              <w:rPr>
                <w:color w:val="000000" w:themeColor="text1"/>
                <w:szCs w:val="16"/>
              </w:rPr>
              <w:t>55.00%</w:t>
            </w:r>
          </w:p>
        </w:tc>
        <w:tc>
          <w:tcPr>
            <w:tcW w:w="958" w:type="pct"/>
            <w:vAlign w:val="center"/>
          </w:tcPr>
          <w:p w14:paraId="681F2D39" w14:textId="3BA1761B" w:rsidR="00B14519" w:rsidRPr="00781112" w:rsidRDefault="00B14519" w:rsidP="00D62058">
            <w:pPr>
              <w:jc w:val="center"/>
              <w:rPr>
                <w:rFonts w:cs="Arial"/>
                <w:color w:val="000000" w:themeColor="text1"/>
                <w:szCs w:val="16"/>
              </w:rPr>
            </w:pPr>
            <w:r w:rsidRPr="00781112">
              <w:rPr>
                <w:color w:val="000000" w:themeColor="text1"/>
                <w:szCs w:val="16"/>
              </w:rPr>
              <w:t>59.00%</w:t>
            </w:r>
          </w:p>
        </w:tc>
        <w:tc>
          <w:tcPr>
            <w:tcW w:w="958" w:type="pct"/>
            <w:vAlign w:val="center"/>
          </w:tcPr>
          <w:p w14:paraId="0F16DD78" w14:textId="0278257D" w:rsidR="00B14519" w:rsidRPr="00781112" w:rsidRDefault="00B14519" w:rsidP="00D62058">
            <w:pPr>
              <w:jc w:val="center"/>
              <w:rPr>
                <w:rFonts w:cs="Arial"/>
                <w:color w:val="000000" w:themeColor="text1"/>
                <w:szCs w:val="16"/>
              </w:rPr>
            </w:pPr>
            <w:r w:rsidRPr="00781112">
              <w:rPr>
                <w:color w:val="000000" w:themeColor="text1"/>
                <w:szCs w:val="16"/>
              </w:rPr>
              <w:t>64.00%</w:t>
            </w:r>
          </w:p>
        </w:tc>
        <w:tc>
          <w:tcPr>
            <w:tcW w:w="958" w:type="pct"/>
            <w:vAlign w:val="center"/>
          </w:tcPr>
          <w:p w14:paraId="7B3AFE6F" w14:textId="6724BF4D" w:rsidR="00B14519" w:rsidRPr="00781112" w:rsidRDefault="00B14519" w:rsidP="00D62058">
            <w:pPr>
              <w:jc w:val="center"/>
              <w:rPr>
                <w:rFonts w:cs="Arial"/>
                <w:color w:val="000000" w:themeColor="text1"/>
                <w:szCs w:val="16"/>
              </w:rPr>
            </w:pPr>
            <w:r w:rsidRPr="00781112">
              <w:rPr>
                <w:color w:val="000000" w:themeColor="text1"/>
                <w:szCs w:val="16"/>
              </w:rPr>
              <w:t>89.71%</w:t>
            </w:r>
          </w:p>
        </w:tc>
      </w:tr>
      <w:tr w:rsidR="00B14519" w:rsidRPr="00781112" w14:paraId="23425CD0" w14:textId="2D15C5CA" w:rsidTr="00451D7E">
        <w:trPr>
          <w:trHeight w:val="340"/>
        </w:trPr>
        <w:tc>
          <w:tcPr>
            <w:tcW w:w="267" w:type="pct"/>
            <w:shd w:val="clear" w:color="auto" w:fill="auto"/>
            <w:vAlign w:val="center"/>
          </w:tcPr>
          <w:p w14:paraId="7DAA620C" w14:textId="6D6F79FD" w:rsidR="00B14519" w:rsidRPr="00781112" w:rsidRDefault="00B14519" w:rsidP="00D62058">
            <w:pPr>
              <w:rPr>
                <w:rFonts w:cs="Arial"/>
                <w:color w:val="000000" w:themeColor="text1"/>
                <w:szCs w:val="16"/>
              </w:rPr>
            </w:pPr>
            <w:r w:rsidRPr="00781112">
              <w:rPr>
                <w:rFonts w:cs="Arial"/>
                <w:color w:val="000000" w:themeColor="text1"/>
                <w:szCs w:val="16"/>
              </w:rPr>
              <w:t>Target B2 &gt;=</w:t>
            </w:r>
          </w:p>
        </w:tc>
        <w:tc>
          <w:tcPr>
            <w:tcW w:w="901" w:type="pct"/>
            <w:shd w:val="clear" w:color="auto" w:fill="auto"/>
            <w:vAlign w:val="center"/>
          </w:tcPr>
          <w:p w14:paraId="0C8065AA" w14:textId="2AC4B20C" w:rsidR="00B14519" w:rsidRPr="00781112" w:rsidRDefault="00B14519" w:rsidP="00D62058">
            <w:pPr>
              <w:jc w:val="center"/>
              <w:rPr>
                <w:rFonts w:cs="Arial"/>
                <w:color w:val="000000" w:themeColor="text1"/>
                <w:szCs w:val="16"/>
              </w:rPr>
            </w:pPr>
            <w:r w:rsidRPr="00781112">
              <w:rPr>
                <w:rFonts w:cs="Arial"/>
                <w:color w:val="000000" w:themeColor="text1"/>
                <w:szCs w:val="16"/>
              </w:rPr>
              <w:t>39.25%</w:t>
            </w:r>
          </w:p>
        </w:tc>
        <w:tc>
          <w:tcPr>
            <w:tcW w:w="958" w:type="pct"/>
            <w:vAlign w:val="center"/>
          </w:tcPr>
          <w:p w14:paraId="3751A50F" w14:textId="3383D4A8" w:rsidR="00B14519" w:rsidRPr="00781112" w:rsidRDefault="00B14519" w:rsidP="00D62058">
            <w:pPr>
              <w:jc w:val="center"/>
              <w:rPr>
                <w:rFonts w:cs="Arial"/>
                <w:color w:val="000000" w:themeColor="text1"/>
                <w:szCs w:val="16"/>
              </w:rPr>
            </w:pPr>
            <w:r w:rsidRPr="00781112">
              <w:rPr>
                <w:color w:val="000000" w:themeColor="text1"/>
                <w:szCs w:val="16"/>
              </w:rPr>
              <w:t>39.50%</w:t>
            </w:r>
          </w:p>
        </w:tc>
        <w:tc>
          <w:tcPr>
            <w:tcW w:w="958" w:type="pct"/>
            <w:vAlign w:val="center"/>
          </w:tcPr>
          <w:p w14:paraId="5235FFA6" w14:textId="4138DEB0" w:rsidR="00B14519" w:rsidRPr="00781112" w:rsidRDefault="00B14519" w:rsidP="00D62058">
            <w:pPr>
              <w:jc w:val="center"/>
              <w:rPr>
                <w:rFonts w:cs="Arial"/>
                <w:color w:val="000000" w:themeColor="text1"/>
                <w:szCs w:val="16"/>
              </w:rPr>
            </w:pPr>
            <w:r w:rsidRPr="00781112">
              <w:rPr>
                <w:color w:val="000000" w:themeColor="text1"/>
                <w:szCs w:val="16"/>
              </w:rPr>
              <w:t>40.00%</w:t>
            </w:r>
          </w:p>
        </w:tc>
        <w:tc>
          <w:tcPr>
            <w:tcW w:w="958" w:type="pct"/>
            <w:vAlign w:val="center"/>
          </w:tcPr>
          <w:p w14:paraId="7C9D5CEA" w14:textId="1B842876" w:rsidR="00B14519" w:rsidRPr="00781112" w:rsidRDefault="00B14519" w:rsidP="00D62058">
            <w:pPr>
              <w:jc w:val="center"/>
              <w:rPr>
                <w:rFonts w:cs="Arial"/>
                <w:color w:val="000000" w:themeColor="text1"/>
                <w:szCs w:val="16"/>
              </w:rPr>
            </w:pPr>
            <w:r w:rsidRPr="00781112">
              <w:rPr>
                <w:color w:val="000000" w:themeColor="text1"/>
                <w:szCs w:val="16"/>
              </w:rPr>
              <w:t>45.00%</w:t>
            </w:r>
          </w:p>
        </w:tc>
        <w:tc>
          <w:tcPr>
            <w:tcW w:w="958" w:type="pct"/>
            <w:vAlign w:val="center"/>
          </w:tcPr>
          <w:p w14:paraId="3C028680" w14:textId="00A3EDF9" w:rsidR="00B14519" w:rsidRPr="00781112" w:rsidRDefault="00B14519" w:rsidP="00D62058">
            <w:pPr>
              <w:jc w:val="center"/>
              <w:rPr>
                <w:rFonts w:cs="Arial"/>
                <w:color w:val="000000" w:themeColor="text1"/>
                <w:szCs w:val="16"/>
              </w:rPr>
            </w:pPr>
            <w:r w:rsidRPr="00781112">
              <w:rPr>
                <w:color w:val="000000" w:themeColor="text1"/>
                <w:szCs w:val="16"/>
              </w:rPr>
              <w:t>48.81%</w:t>
            </w:r>
          </w:p>
        </w:tc>
      </w:tr>
      <w:tr w:rsidR="00B14519" w:rsidRPr="00781112" w14:paraId="3A0A624F" w14:textId="2DA1E496" w:rsidTr="00451D7E">
        <w:trPr>
          <w:trHeight w:val="340"/>
        </w:trPr>
        <w:tc>
          <w:tcPr>
            <w:tcW w:w="267" w:type="pct"/>
            <w:shd w:val="clear" w:color="auto" w:fill="auto"/>
            <w:vAlign w:val="center"/>
          </w:tcPr>
          <w:p w14:paraId="04DCCFAA" w14:textId="5591B965" w:rsidR="00B14519" w:rsidRPr="00781112" w:rsidRDefault="00B14519" w:rsidP="00D62058">
            <w:pPr>
              <w:rPr>
                <w:rFonts w:cs="Arial"/>
                <w:color w:val="000000" w:themeColor="text1"/>
                <w:szCs w:val="16"/>
              </w:rPr>
            </w:pPr>
            <w:r w:rsidRPr="00781112">
              <w:rPr>
                <w:rFonts w:cs="Arial"/>
                <w:color w:val="000000" w:themeColor="text1"/>
                <w:szCs w:val="16"/>
              </w:rPr>
              <w:t>Target C1 &gt;=</w:t>
            </w:r>
          </w:p>
        </w:tc>
        <w:tc>
          <w:tcPr>
            <w:tcW w:w="901" w:type="pct"/>
            <w:shd w:val="clear" w:color="auto" w:fill="auto"/>
            <w:vAlign w:val="center"/>
          </w:tcPr>
          <w:p w14:paraId="26176209" w14:textId="03FEA13C" w:rsidR="00B14519" w:rsidRPr="00781112" w:rsidRDefault="00B14519" w:rsidP="00D62058">
            <w:pPr>
              <w:jc w:val="center"/>
              <w:rPr>
                <w:rFonts w:cs="Arial"/>
                <w:color w:val="000000" w:themeColor="text1"/>
                <w:szCs w:val="16"/>
              </w:rPr>
            </w:pPr>
            <w:r w:rsidRPr="00781112">
              <w:rPr>
                <w:rFonts w:cs="Arial"/>
                <w:color w:val="000000" w:themeColor="text1"/>
                <w:szCs w:val="16"/>
              </w:rPr>
              <w:t>51.00%</w:t>
            </w:r>
          </w:p>
        </w:tc>
        <w:tc>
          <w:tcPr>
            <w:tcW w:w="958" w:type="pct"/>
            <w:vAlign w:val="center"/>
          </w:tcPr>
          <w:p w14:paraId="36CB20B0" w14:textId="212CC3E5" w:rsidR="00B14519" w:rsidRPr="00781112" w:rsidRDefault="00B14519" w:rsidP="00D62058">
            <w:pPr>
              <w:jc w:val="center"/>
              <w:rPr>
                <w:rFonts w:cs="Arial"/>
                <w:color w:val="000000" w:themeColor="text1"/>
                <w:szCs w:val="16"/>
              </w:rPr>
            </w:pPr>
            <w:r w:rsidRPr="00781112">
              <w:rPr>
                <w:color w:val="000000" w:themeColor="text1"/>
                <w:szCs w:val="16"/>
              </w:rPr>
              <w:t>57.00%</w:t>
            </w:r>
          </w:p>
        </w:tc>
        <w:tc>
          <w:tcPr>
            <w:tcW w:w="958" w:type="pct"/>
            <w:vAlign w:val="center"/>
          </w:tcPr>
          <w:p w14:paraId="29B1E3BE" w14:textId="0FFFD561" w:rsidR="00B14519" w:rsidRPr="00781112" w:rsidRDefault="00B14519" w:rsidP="00D62058">
            <w:pPr>
              <w:jc w:val="center"/>
              <w:rPr>
                <w:rFonts w:cs="Arial"/>
                <w:color w:val="000000" w:themeColor="text1"/>
                <w:szCs w:val="16"/>
              </w:rPr>
            </w:pPr>
            <w:r w:rsidRPr="00781112">
              <w:rPr>
                <w:color w:val="000000" w:themeColor="text1"/>
                <w:szCs w:val="16"/>
              </w:rPr>
              <w:t>63.00%</w:t>
            </w:r>
          </w:p>
        </w:tc>
        <w:tc>
          <w:tcPr>
            <w:tcW w:w="958" w:type="pct"/>
            <w:vAlign w:val="center"/>
          </w:tcPr>
          <w:p w14:paraId="287AC7C4" w14:textId="5C0E3064" w:rsidR="00B14519" w:rsidRPr="00781112" w:rsidRDefault="00B14519" w:rsidP="00D62058">
            <w:pPr>
              <w:jc w:val="center"/>
              <w:rPr>
                <w:rFonts w:cs="Arial"/>
                <w:color w:val="000000" w:themeColor="text1"/>
                <w:szCs w:val="16"/>
              </w:rPr>
            </w:pPr>
            <w:r w:rsidRPr="00781112">
              <w:rPr>
                <w:color w:val="000000" w:themeColor="text1"/>
                <w:szCs w:val="16"/>
              </w:rPr>
              <w:t>70.00%</w:t>
            </w:r>
          </w:p>
        </w:tc>
        <w:tc>
          <w:tcPr>
            <w:tcW w:w="958" w:type="pct"/>
            <w:vAlign w:val="center"/>
          </w:tcPr>
          <w:p w14:paraId="094E7895" w14:textId="27006BDD" w:rsidR="00B14519" w:rsidRPr="00781112" w:rsidRDefault="00B14519" w:rsidP="00D62058">
            <w:pPr>
              <w:jc w:val="center"/>
              <w:rPr>
                <w:rFonts w:cs="Arial"/>
                <w:color w:val="000000" w:themeColor="text1"/>
                <w:szCs w:val="16"/>
              </w:rPr>
            </w:pPr>
            <w:r w:rsidRPr="00781112">
              <w:rPr>
                <w:color w:val="000000" w:themeColor="text1"/>
                <w:szCs w:val="16"/>
              </w:rPr>
              <w:t>95.51%</w:t>
            </w:r>
          </w:p>
        </w:tc>
      </w:tr>
      <w:tr w:rsidR="00B14519" w:rsidRPr="00781112" w14:paraId="7FD0F8D0" w14:textId="6F160F3D" w:rsidTr="00451D7E">
        <w:trPr>
          <w:trHeight w:val="340"/>
        </w:trPr>
        <w:tc>
          <w:tcPr>
            <w:tcW w:w="267" w:type="pct"/>
            <w:shd w:val="clear" w:color="auto" w:fill="auto"/>
            <w:vAlign w:val="center"/>
          </w:tcPr>
          <w:p w14:paraId="16DEC104" w14:textId="6A28B34F" w:rsidR="00B14519" w:rsidRPr="00781112" w:rsidRDefault="00B14519" w:rsidP="00AD5583">
            <w:pPr>
              <w:rPr>
                <w:rFonts w:cs="Arial"/>
                <w:color w:val="000000" w:themeColor="text1"/>
                <w:szCs w:val="16"/>
              </w:rPr>
            </w:pPr>
            <w:r w:rsidRPr="00781112">
              <w:rPr>
                <w:rFonts w:cs="Arial"/>
                <w:color w:val="000000" w:themeColor="text1"/>
                <w:szCs w:val="16"/>
              </w:rPr>
              <w:t>Target C2 &gt;=</w:t>
            </w:r>
          </w:p>
        </w:tc>
        <w:tc>
          <w:tcPr>
            <w:tcW w:w="901" w:type="pct"/>
            <w:shd w:val="clear" w:color="auto" w:fill="auto"/>
            <w:vAlign w:val="center"/>
          </w:tcPr>
          <w:p w14:paraId="7A9F674E" w14:textId="54CCEACA" w:rsidR="00B14519" w:rsidRPr="00781112" w:rsidRDefault="00B14519" w:rsidP="00AD5583">
            <w:pPr>
              <w:jc w:val="center"/>
              <w:rPr>
                <w:rFonts w:cs="Arial"/>
                <w:color w:val="000000" w:themeColor="text1"/>
                <w:szCs w:val="16"/>
              </w:rPr>
            </w:pPr>
            <w:r w:rsidRPr="00781112">
              <w:rPr>
                <w:rFonts w:cs="Arial"/>
                <w:color w:val="000000" w:themeColor="text1"/>
                <w:szCs w:val="16"/>
              </w:rPr>
              <w:t>51.00%</w:t>
            </w:r>
          </w:p>
        </w:tc>
        <w:tc>
          <w:tcPr>
            <w:tcW w:w="958" w:type="pct"/>
            <w:vAlign w:val="center"/>
          </w:tcPr>
          <w:p w14:paraId="1A528F77" w14:textId="13F14B9B" w:rsidR="00B14519" w:rsidRPr="00781112" w:rsidRDefault="00B14519" w:rsidP="00AD5583">
            <w:pPr>
              <w:jc w:val="center"/>
              <w:rPr>
                <w:rFonts w:cs="Arial"/>
                <w:color w:val="000000" w:themeColor="text1"/>
                <w:szCs w:val="16"/>
              </w:rPr>
            </w:pPr>
            <w:r w:rsidRPr="00781112">
              <w:rPr>
                <w:color w:val="000000" w:themeColor="text1"/>
                <w:szCs w:val="16"/>
              </w:rPr>
              <w:t>52.00%</w:t>
            </w:r>
          </w:p>
          <w:p w14:paraId="3C5378CB" w14:textId="5A59E833" w:rsidR="00B14519" w:rsidRPr="00781112" w:rsidRDefault="00B14519" w:rsidP="00AD5583">
            <w:pPr>
              <w:jc w:val="center"/>
              <w:rPr>
                <w:rFonts w:cs="Arial"/>
                <w:color w:val="000000" w:themeColor="text1"/>
                <w:szCs w:val="16"/>
              </w:rPr>
            </w:pPr>
          </w:p>
        </w:tc>
        <w:tc>
          <w:tcPr>
            <w:tcW w:w="958" w:type="pct"/>
            <w:vAlign w:val="center"/>
          </w:tcPr>
          <w:p w14:paraId="694DD14B" w14:textId="0FC2BAFA" w:rsidR="00B14519" w:rsidRPr="00781112" w:rsidRDefault="00B14519" w:rsidP="00AD5583">
            <w:pPr>
              <w:jc w:val="center"/>
              <w:rPr>
                <w:rFonts w:cs="Arial"/>
                <w:color w:val="000000" w:themeColor="text1"/>
                <w:szCs w:val="16"/>
              </w:rPr>
            </w:pPr>
            <w:r w:rsidRPr="00781112">
              <w:rPr>
                <w:color w:val="000000" w:themeColor="text1"/>
                <w:szCs w:val="16"/>
              </w:rPr>
              <w:t>53.00%</w:t>
            </w:r>
          </w:p>
        </w:tc>
        <w:tc>
          <w:tcPr>
            <w:tcW w:w="958" w:type="pct"/>
            <w:vAlign w:val="center"/>
          </w:tcPr>
          <w:p w14:paraId="69632A5F" w14:textId="59530F4E" w:rsidR="00B14519" w:rsidRPr="00781112" w:rsidRDefault="00B14519" w:rsidP="00AD5583">
            <w:pPr>
              <w:jc w:val="center"/>
              <w:rPr>
                <w:rFonts w:cs="Arial"/>
                <w:color w:val="000000" w:themeColor="text1"/>
                <w:szCs w:val="16"/>
              </w:rPr>
            </w:pPr>
            <w:r w:rsidRPr="00781112">
              <w:rPr>
                <w:color w:val="000000" w:themeColor="text1"/>
                <w:szCs w:val="16"/>
              </w:rPr>
              <w:t>55.00%</w:t>
            </w:r>
          </w:p>
        </w:tc>
        <w:tc>
          <w:tcPr>
            <w:tcW w:w="958" w:type="pct"/>
            <w:vAlign w:val="center"/>
          </w:tcPr>
          <w:p w14:paraId="1C5D6F95" w14:textId="3D16D545" w:rsidR="00B14519" w:rsidRPr="00781112" w:rsidRDefault="00B14519" w:rsidP="00AD5583">
            <w:pPr>
              <w:jc w:val="center"/>
              <w:rPr>
                <w:rFonts w:cs="Arial"/>
                <w:color w:val="000000" w:themeColor="text1"/>
                <w:szCs w:val="16"/>
              </w:rPr>
            </w:pPr>
            <w:r w:rsidRPr="00781112">
              <w:rPr>
                <w:color w:val="000000" w:themeColor="text1"/>
                <w:szCs w:val="16"/>
              </w:rPr>
              <w:t>72.21%</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 xml:space="preserve">PRDE solicited broad stakeholder input on PRDE’s targets in the SPP/APR including any subsequent revisions made to those targets and the development and implementation of Indicator 17, Puerto Rico’s State Systemic Improvement Plan (SSIP). </w:t>
      </w:r>
      <w:r w:rsidRPr="00781112">
        <w:rPr>
          <w:rFonts w:cs="Arial"/>
          <w:color w:val="000000" w:themeColor="text1"/>
          <w:szCs w:val="16"/>
        </w:rPr>
        <w:br/>
      </w:r>
      <w:r w:rsidRPr="00781112">
        <w:rPr>
          <w:rFonts w:cs="Arial"/>
          <w:color w:val="000000" w:themeColor="text1"/>
          <w:szCs w:val="16"/>
        </w:rPr>
        <w:br/>
        <w:t xml:space="preserve">Our original stakeholder group, called the Comité Consultivo de Educación Especial (“Special Education Advisory Committee”), is responsible for advising PRDE regarding the needs in the education of children with disabilities and for </w:t>
      </w:r>
      <w:proofErr w:type="gramStart"/>
      <w:r w:rsidRPr="00781112">
        <w:rPr>
          <w:rFonts w:cs="Arial"/>
          <w:color w:val="000000" w:themeColor="text1"/>
          <w:szCs w:val="16"/>
        </w:rPr>
        <w:t>providing assistance</w:t>
      </w:r>
      <w:proofErr w:type="gramEnd"/>
      <w:r w:rsidRPr="00781112">
        <w:rPr>
          <w:rFonts w:cs="Arial"/>
          <w:color w:val="000000" w:themeColor="text1"/>
          <w:szCs w:val="16"/>
        </w:rPr>
        <w:t xml:space="preserve"> and feedback about reports to be submitted to the Federal Government including our SSIP. The group includes representation from various sectors such as: the non-profit organization Apoyo a Padres de Niños con Impedimentos (Support for Parents of Students with Disabilities, or APNI by its acronym in Spanish), the Puerto Rico Department of the Family, the Puerto Rico Vocational Rehabilitation Administration, the Puerto Rico Department of Health, Special Education Teachers, School Directors, parents of students with disabilities, SAEE personnel, autism representative, specialists such as a School Psychologist, Occupational Therapist, Speech Pathologist, and adult with impairment, and others. SAEE personnel participate continuously in meetings with the special education </w:t>
      </w:r>
      <w:proofErr w:type="gramStart"/>
      <w:r w:rsidRPr="00781112">
        <w:rPr>
          <w:rFonts w:cs="Arial"/>
          <w:color w:val="000000" w:themeColor="text1"/>
          <w:szCs w:val="16"/>
        </w:rPr>
        <w:t>stakeholders</w:t>
      </w:r>
      <w:proofErr w:type="gramEnd"/>
      <w:r w:rsidRPr="00781112">
        <w:rPr>
          <w:rFonts w:cs="Arial"/>
          <w:color w:val="000000" w:themeColor="text1"/>
          <w:szCs w:val="16"/>
        </w:rPr>
        <w:t xml:space="preserve"> group. </w:t>
      </w:r>
      <w:r w:rsidRPr="00781112">
        <w:rPr>
          <w:rFonts w:cs="Arial"/>
          <w:color w:val="000000" w:themeColor="text1"/>
          <w:szCs w:val="16"/>
        </w:rPr>
        <w:br/>
      </w:r>
      <w:r w:rsidRPr="00781112">
        <w:rPr>
          <w:rFonts w:cs="Arial"/>
          <w:color w:val="000000" w:themeColor="text1"/>
          <w:szCs w:val="16"/>
        </w:rPr>
        <w:br/>
        <w:t xml:space="preserve">The members of our stakeholder group also serve as liaisons for initiatives that benefit the special education population and their families. Recommendations provided </w:t>
      </w:r>
      <w:proofErr w:type="gramStart"/>
      <w:r w:rsidRPr="00781112">
        <w:rPr>
          <w:rFonts w:cs="Arial"/>
          <w:color w:val="000000" w:themeColor="text1"/>
          <w:szCs w:val="16"/>
        </w:rPr>
        <w:t>from</w:t>
      </w:r>
      <w:proofErr w:type="gramEnd"/>
      <w:r w:rsidRPr="00781112">
        <w:rPr>
          <w:rFonts w:cs="Arial"/>
          <w:color w:val="000000" w:themeColor="text1"/>
          <w:szCs w:val="16"/>
        </w:rPr>
        <w:t xml:space="preserve"> the stakeholders </w:t>
      </w:r>
      <w:proofErr w:type="gramStart"/>
      <w:r w:rsidRPr="00781112">
        <w:rPr>
          <w:rFonts w:cs="Arial"/>
          <w:color w:val="000000" w:themeColor="text1"/>
          <w:szCs w:val="16"/>
        </w:rPr>
        <w:t>were incorporated</w:t>
      </w:r>
      <w:proofErr w:type="gramEnd"/>
      <w:r w:rsidRPr="00781112">
        <w:rPr>
          <w:rFonts w:cs="Arial"/>
          <w:color w:val="000000" w:themeColor="text1"/>
          <w:szCs w:val="16"/>
        </w:rPr>
        <w:t xml:space="preserve"> into PRDE’s FFY 2021 APR. PRDE developed this FFY 2021 SPP/APR with broad stakeholder input. As discussed above, PRDE SAEE held various meetings with the stakeholder group and received their input regarding the SPP/APR, including feedback regarding the individual indicators including FFY 2021 data, targets, any subsequent revisions to targets, and related activities and initiatives as well as the SSIP.</w:t>
      </w:r>
      <w:r w:rsidRPr="00781112">
        <w:rPr>
          <w:rFonts w:cs="Arial"/>
          <w:color w:val="000000" w:themeColor="text1"/>
          <w:szCs w:val="16"/>
        </w:rPr>
        <w:br/>
      </w:r>
      <w:r w:rsidRPr="00781112">
        <w:rPr>
          <w:rFonts w:cs="Arial"/>
          <w:color w:val="000000" w:themeColor="text1"/>
          <w:szCs w:val="16"/>
        </w:rPr>
        <w:br/>
        <w:t xml:space="preserve">Additional mechanisms through with PRDE solicits broad stakeholder input includes PRDE work with and through the non-profit organization Apoyo a Padres de Niños con Impedimentos (Support for Parents of Students with Disabilities, or APNI by its acronym in Spanish), its operation of Parent Academies on post-secondary topics, and Communities of Learning through its SSIP efforts, among others. APNI’s work helps increase the capacity of parents and serves as an avenue for receiving feedback on improvement activities and related policies. Similarly, the Parent Academies provide capacity building sessions for parents and include feedback sessions where parents provide feedback regarding improvement activities and data and policies related to post-secondary transition. Finally, the communities of learning have been key in providing feedback regarding the Indicator 17 / the SSIP in its entirety and implementation thereof. Through </w:t>
      </w:r>
      <w:proofErr w:type="gramStart"/>
      <w:r w:rsidRPr="00781112">
        <w:rPr>
          <w:rFonts w:cs="Arial"/>
          <w:color w:val="000000" w:themeColor="text1"/>
          <w:szCs w:val="16"/>
        </w:rPr>
        <w:t>all of</w:t>
      </w:r>
      <w:proofErr w:type="gramEnd"/>
      <w:r w:rsidRPr="00781112">
        <w:rPr>
          <w:rFonts w:cs="Arial"/>
          <w:color w:val="000000" w:themeColor="text1"/>
          <w:szCs w:val="16"/>
        </w:rPr>
        <w:t xml:space="preserve"> these avenues, PRDE seeks and receives stakeholder input that is considered in the development of the SPP/APR including targets, subsequent revisions of targets, and development and implementation of the SSIP (Ind. 17). </w:t>
      </w:r>
    </w:p>
    <w:p w14:paraId="6276C0F6" w14:textId="56252E01" w:rsidR="002D145D" w:rsidRPr="00781112" w:rsidRDefault="002D145D" w:rsidP="002D145D">
      <w:pPr>
        <w:rPr>
          <w:rFonts w:cs="Arial"/>
          <w:color w:val="000000" w:themeColor="text1"/>
          <w:szCs w:val="16"/>
        </w:rPr>
      </w:pPr>
    </w:p>
    <w:p w14:paraId="1512BEE4" w14:textId="77777777" w:rsidR="007870F8" w:rsidRPr="00781112" w:rsidRDefault="007870F8" w:rsidP="004369B2">
      <w:pPr>
        <w:rPr>
          <w:color w:val="000000" w:themeColor="text1"/>
        </w:rPr>
      </w:pPr>
    </w:p>
    <w:p w14:paraId="4D0201C3" w14:textId="58BCD703" w:rsidR="008751D3" w:rsidRPr="00781112" w:rsidRDefault="0047313F">
      <w:pPr>
        <w:rPr>
          <w:b/>
          <w:color w:val="000000" w:themeColor="text1"/>
        </w:rPr>
      </w:pPr>
      <w:r>
        <w:rPr>
          <w:b/>
          <w:color w:val="000000" w:themeColor="text1"/>
        </w:rPr>
        <w:t>FFY 2021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4,083</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lastRenderedPageBreak/>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307</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7.52%</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1,201</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29.41%</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472</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11.56%</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599</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14.67%</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1,504</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36.84%</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9"/>
        <w:gridCol w:w="1234"/>
        <w:gridCol w:w="1232"/>
        <w:gridCol w:w="1234"/>
        <w:gridCol w:w="1232"/>
        <w:gridCol w:w="1234"/>
        <w:gridCol w:w="1230"/>
      </w:tblGrid>
      <w:tr w:rsidR="00AA4F85" w:rsidRPr="00781112" w14:paraId="3D9EEDAD" w14:textId="30B2445F" w:rsidTr="00AA4F85">
        <w:trPr>
          <w:trHeight w:val="354"/>
          <w:tblHeader/>
        </w:trPr>
        <w:tc>
          <w:tcPr>
            <w:tcW w:w="1040" w:type="pct"/>
            <w:shd w:val="clear" w:color="auto" w:fill="auto"/>
            <w:vAlign w:val="bottom"/>
          </w:tcPr>
          <w:p w14:paraId="12D11B46" w14:textId="1FAAAC6F" w:rsidR="00AA4F85" w:rsidRPr="00781112" w:rsidRDefault="00AA4F85" w:rsidP="00AA4F85">
            <w:pPr>
              <w:rPr>
                <w:rFonts w:cs="Arial"/>
                <w:color w:val="000000" w:themeColor="text1"/>
                <w:szCs w:val="16"/>
              </w:rPr>
            </w:pPr>
            <w:r w:rsidRPr="00781112">
              <w:rPr>
                <w:rFonts w:cs="Arial"/>
                <w:b/>
                <w:color w:val="000000" w:themeColor="text1"/>
                <w:szCs w:val="16"/>
              </w:rPr>
              <w:t>Outcome A</w:t>
            </w:r>
          </w:p>
        </w:tc>
        <w:tc>
          <w:tcPr>
            <w:tcW w:w="532" w:type="pct"/>
            <w:shd w:val="clear" w:color="auto" w:fill="auto"/>
            <w:vAlign w:val="bottom"/>
          </w:tcPr>
          <w:p w14:paraId="7B100CB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5F91720B" w:rsidR="00AA4F85" w:rsidRPr="00CC1061" w:rsidRDefault="00AA4F85" w:rsidP="00AA4F85">
            <w:pPr>
              <w:jc w:val="center"/>
              <w:rPr>
                <w:rFonts w:cs="Arial"/>
                <w:b/>
                <w:bCs/>
                <w:color w:val="000000" w:themeColor="text1"/>
                <w:szCs w:val="16"/>
              </w:rPr>
            </w:pPr>
            <w:r w:rsidRPr="00CC1061">
              <w:rPr>
                <w:b/>
                <w:bCs/>
              </w:rPr>
              <w:t>FFY 2020 Data</w:t>
            </w:r>
          </w:p>
        </w:tc>
        <w:tc>
          <w:tcPr>
            <w:tcW w:w="572" w:type="pct"/>
            <w:shd w:val="clear" w:color="auto" w:fill="auto"/>
            <w:vAlign w:val="bottom"/>
          </w:tcPr>
          <w:p w14:paraId="41DCEE89" w14:textId="69D0F5AC" w:rsidR="00AA4F85" w:rsidRPr="00CC1061" w:rsidRDefault="00AA4F85" w:rsidP="00AA4F85">
            <w:pPr>
              <w:jc w:val="center"/>
              <w:rPr>
                <w:rFonts w:cs="Arial"/>
                <w:b/>
                <w:bCs/>
                <w:color w:val="000000" w:themeColor="text1"/>
                <w:szCs w:val="16"/>
              </w:rPr>
            </w:pPr>
            <w:r w:rsidRPr="00CC1061">
              <w:rPr>
                <w:b/>
                <w:bCs/>
              </w:rPr>
              <w:t>FFY 2021 Target</w:t>
            </w:r>
          </w:p>
        </w:tc>
        <w:tc>
          <w:tcPr>
            <w:tcW w:w="571" w:type="pct"/>
            <w:shd w:val="clear" w:color="auto" w:fill="auto"/>
            <w:vAlign w:val="bottom"/>
          </w:tcPr>
          <w:p w14:paraId="64737D68" w14:textId="106DB3FC" w:rsidR="00AA4F85" w:rsidRPr="00CC1061" w:rsidRDefault="00AA4F85" w:rsidP="00AA4F85">
            <w:pPr>
              <w:jc w:val="center"/>
              <w:rPr>
                <w:rFonts w:cs="Arial"/>
                <w:b/>
                <w:bCs/>
                <w:color w:val="000000" w:themeColor="text1"/>
                <w:szCs w:val="16"/>
              </w:rPr>
            </w:pPr>
            <w:r w:rsidRPr="00CC1061">
              <w:rPr>
                <w:b/>
                <w:bCs/>
              </w:rPr>
              <w:t>FFY 2021 Data</w:t>
            </w:r>
          </w:p>
        </w:tc>
        <w:tc>
          <w:tcPr>
            <w:tcW w:w="572" w:type="pct"/>
            <w:shd w:val="clear" w:color="auto" w:fill="auto"/>
            <w:vAlign w:val="bottom"/>
          </w:tcPr>
          <w:p w14:paraId="4592E227" w14:textId="424684DB"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571" w:type="pct"/>
            <w:shd w:val="clear" w:color="auto" w:fill="auto"/>
            <w:vAlign w:val="bottom"/>
          </w:tcPr>
          <w:p w14:paraId="41F5B2E6" w14:textId="7085A5D7"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A4F85">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w:t>
            </w:r>
            <w:proofErr w:type="gramStart"/>
            <w:r w:rsidRPr="00781112">
              <w:rPr>
                <w:rFonts w:cs="Arial"/>
                <w:color w:val="000000" w:themeColor="text1"/>
                <w:szCs w:val="16"/>
              </w:rPr>
              <w:t>substantially increased</w:t>
            </w:r>
            <w:proofErr w:type="gramEnd"/>
            <w:r w:rsidRPr="00781112">
              <w:rPr>
                <w:rFonts w:cs="Arial"/>
                <w:color w:val="000000" w:themeColor="text1"/>
                <w:szCs w:val="16"/>
              </w:rPr>
              <w:t xml:space="preserve"> their rate of growth by the time they turned 6 years of age or exited the program. </w:t>
            </w:r>
            <w:r w:rsidRPr="00266107">
              <w:rPr>
                <w:rFonts w:cs="Arial"/>
                <w:i/>
                <w:iCs/>
                <w:color w:val="000000" w:themeColor="text1"/>
                <w:szCs w:val="16"/>
              </w:rPr>
              <w:t>Calculation:(c+d)/(a+b+c+d)</w:t>
            </w:r>
          </w:p>
        </w:tc>
        <w:tc>
          <w:tcPr>
            <w:tcW w:w="532"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1,071</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2,579</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46.56%</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50.00%</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41.53%</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1"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Slippage</w:t>
            </w:r>
          </w:p>
        </w:tc>
      </w:tr>
      <w:tr w:rsidR="005C29F8" w:rsidRPr="00781112" w14:paraId="79C043DE" w14:textId="1DF06FE5" w:rsidTr="00AA4F85">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(d+e)/(a+b+c+d+e)</w:t>
            </w:r>
          </w:p>
        </w:tc>
        <w:tc>
          <w:tcPr>
            <w:tcW w:w="532"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2,103</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4,083</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50.58%</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51.00%</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51.51%</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1"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273</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6.69%</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1,390</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34.04%</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725</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17.76%</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780</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19.10%</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915</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22.41%</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AA4F85" w:rsidRPr="00781112" w14:paraId="29447607" w14:textId="4B3B706C" w:rsidTr="00AA4F85">
        <w:trPr>
          <w:tblHeader/>
        </w:trPr>
        <w:tc>
          <w:tcPr>
            <w:tcW w:w="1000" w:type="pct"/>
            <w:shd w:val="clear" w:color="auto" w:fill="auto"/>
            <w:vAlign w:val="bottom"/>
          </w:tcPr>
          <w:p w14:paraId="58D567A9" w14:textId="7BD30860" w:rsidR="00AA4F85" w:rsidRPr="00781112" w:rsidRDefault="00AA4F85" w:rsidP="00AA4F85">
            <w:pPr>
              <w:rPr>
                <w:b/>
                <w:color w:val="000000" w:themeColor="text1"/>
              </w:rPr>
            </w:pPr>
            <w:r w:rsidRPr="00781112">
              <w:rPr>
                <w:b/>
                <w:color w:val="000000" w:themeColor="text1"/>
              </w:rPr>
              <w:t>Outcome B</w:t>
            </w:r>
          </w:p>
        </w:tc>
        <w:tc>
          <w:tcPr>
            <w:tcW w:w="585" w:type="pct"/>
            <w:shd w:val="clear" w:color="auto" w:fill="auto"/>
            <w:vAlign w:val="bottom"/>
          </w:tcPr>
          <w:p w14:paraId="0DF6A486" w14:textId="77777777" w:rsidR="00AA4F85" w:rsidRPr="00781112" w:rsidRDefault="00AA4F85" w:rsidP="00AA4F85">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AA4F85" w:rsidRPr="00781112" w:rsidRDefault="00AA4F85" w:rsidP="00AA4F85">
            <w:pPr>
              <w:rPr>
                <w:b/>
                <w:color w:val="000000" w:themeColor="text1"/>
              </w:rPr>
            </w:pPr>
            <w:r w:rsidRPr="00781112">
              <w:rPr>
                <w:b/>
                <w:color w:val="000000" w:themeColor="text1"/>
              </w:rPr>
              <w:t>Denominator</w:t>
            </w:r>
          </w:p>
        </w:tc>
        <w:tc>
          <w:tcPr>
            <w:tcW w:w="543" w:type="pct"/>
            <w:shd w:val="clear" w:color="auto" w:fill="auto"/>
            <w:vAlign w:val="bottom"/>
          </w:tcPr>
          <w:p w14:paraId="03649132" w14:textId="5B9E7E9F" w:rsidR="00AA4F85" w:rsidRPr="00CC1061" w:rsidRDefault="00AA4F85" w:rsidP="00CC1061">
            <w:pPr>
              <w:jc w:val="center"/>
              <w:rPr>
                <w:b/>
                <w:bCs/>
                <w:color w:val="000000" w:themeColor="text1"/>
              </w:rPr>
            </w:pPr>
            <w:r w:rsidRPr="00CC1061">
              <w:rPr>
                <w:b/>
                <w:bCs/>
              </w:rPr>
              <w:t>FFY 2020 Data</w:t>
            </w:r>
          </w:p>
        </w:tc>
        <w:tc>
          <w:tcPr>
            <w:tcW w:w="584" w:type="pct"/>
            <w:shd w:val="clear" w:color="auto" w:fill="auto"/>
            <w:vAlign w:val="bottom"/>
          </w:tcPr>
          <w:p w14:paraId="3AFAEBC5" w14:textId="5EFD3CB5" w:rsidR="00AA4F85" w:rsidRPr="00CC1061" w:rsidRDefault="00AA4F85" w:rsidP="00CC1061">
            <w:pPr>
              <w:jc w:val="center"/>
              <w:rPr>
                <w:b/>
                <w:bCs/>
                <w:color w:val="000000" w:themeColor="text1"/>
              </w:rPr>
            </w:pPr>
            <w:r w:rsidRPr="00CC1061">
              <w:rPr>
                <w:b/>
                <w:bCs/>
              </w:rPr>
              <w:t>FFY 2021 Target</w:t>
            </w:r>
          </w:p>
        </w:tc>
        <w:tc>
          <w:tcPr>
            <w:tcW w:w="584" w:type="pct"/>
            <w:shd w:val="clear" w:color="auto" w:fill="auto"/>
            <w:vAlign w:val="bottom"/>
          </w:tcPr>
          <w:p w14:paraId="40B6360D" w14:textId="340EE357" w:rsidR="00AA4F85" w:rsidRPr="00CC1061" w:rsidRDefault="00AA4F85" w:rsidP="00CC1061">
            <w:pPr>
              <w:jc w:val="center"/>
              <w:rPr>
                <w:b/>
                <w:bCs/>
                <w:color w:val="000000" w:themeColor="text1"/>
              </w:rPr>
            </w:pPr>
            <w:r w:rsidRPr="00CC1061">
              <w:rPr>
                <w:b/>
                <w:bCs/>
              </w:rPr>
              <w:t>FFY 2021 Data</w:t>
            </w:r>
          </w:p>
        </w:tc>
        <w:tc>
          <w:tcPr>
            <w:tcW w:w="486" w:type="pct"/>
            <w:shd w:val="clear" w:color="auto" w:fill="auto"/>
            <w:vAlign w:val="bottom"/>
          </w:tcPr>
          <w:p w14:paraId="17C85F8A" w14:textId="625B06E9" w:rsidR="00AA4F85" w:rsidRPr="00781112" w:rsidRDefault="00AA4F85" w:rsidP="00AA4F85">
            <w:pPr>
              <w:rPr>
                <w:b/>
                <w:color w:val="000000" w:themeColor="text1"/>
              </w:rPr>
            </w:pPr>
            <w:r w:rsidRPr="00781112">
              <w:rPr>
                <w:b/>
                <w:color w:val="000000" w:themeColor="text1"/>
              </w:rPr>
              <w:t>Status</w:t>
            </w:r>
          </w:p>
        </w:tc>
        <w:tc>
          <w:tcPr>
            <w:tcW w:w="633" w:type="pct"/>
            <w:shd w:val="clear" w:color="auto" w:fill="auto"/>
            <w:vAlign w:val="bottom"/>
          </w:tcPr>
          <w:p w14:paraId="4254BB19" w14:textId="15C403FF" w:rsidR="00AA4F85" w:rsidRPr="00781112" w:rsidRDefault="00AA4F85" w:rsidP="00AA4F85">
            <w:pPr>
              <w:rPr>
                <w:b/>
                <w:color w:val="000000" w:themeColor="text1"/>
              </w:rPr>
            </w:pPr>
            <w:r w:rsidRPr="00781112">
              <w:rPr>
                <w:b/>
                <w:color w:val="000000" w:themeColor="text1"/>
              </w:rPr>
              <w:t>Slippage</w:t>
            </w:r>
          </w:p>
        </w:tc>
      </w:tr>
      <w:tr w:rsidR="005C29F8" w:rsidRPr="00781112" w14:paraId="6493B1D4" w14:textId="479A7C15" w:rsidTr="00AA4F85">
        <w:tc>
          <w:tcPr>
            <w:tcW w:w="1000"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w:t>
            </w:r>
            <w:proofErr w:type="gramStart"/>
            <w:r w:rsidRPr="00781112">
              <w:rPr>
                <w:rFonts w:cs="Arial"/>
                <w:color w:val="000000" w:themeColor="text1"/>
                <w:szCs w:val="16"/>
              </w:rPr>
              <w:t>substantially increased</w:t>
            </w:r>
            <w:proofErr w:type="gramEnd"/>
            <w:r w:rsidRPr="00781112">
              <w:rPr>
                <w:rFonts w:cs="Arial"/>
                <w:color w:val="000000" w:themeColor="text1"/>
                <w:szCs w:val="16"/>
              </w:rPr>
              <w:t xml:space="preserve"> their rate of growth by the time they turned 6 years of age or exited the program. </w:t>
            </w:r>
            <w:r w:rsidRPr="00266107">
              <w:rPr>
                <w:rFonts w:cs="Arial"/>
                <w:i/>
                <w:iCs/>
                <w:color w:val="000000" w:themeColor="text1"/>
                <w:szCs w:val="16"/>
              </w:rPr>
              <w:t>Calculation: (c+d)/(a+b+c+d)</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1,505</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3,168</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49.88%</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47.51%</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3"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1A2A4C8" w14:textId="1A212673" w:rsidTr="00AA4F85">
        <w:tc>
          <w:tcPr>
            <w:tcW w:w="1000"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w:t>
            </w:r>
            <w:r w:rsidRPr="00781112">
              <w:rPr>
                <w:rFonts w:cs="Arial"/>
                <w:color w:val="000000" w:themeColor="text1"/>
                <w:szCs w:val="16"/>
              </w:rPr>
              <w:lastRenderedPageBreak/>
              <w:t xml:space="preserve">program. </w:t>
            </w:r>
            <w:r w:rsidRPr="00266107">
              <w:rPr>
                <w:rFonts w:cs="Arial"/>
                <w:i/>
                <w:iCs/>
                <w:color w:val="000000" w:themeColor="text1"/>
                <w:szCs w:val="16"/>
              </w:rPr>
              <w:t>Calculation: (d+e)/(a+b+c+d+e)</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lastRenderedPageBreak/>
              <w:t>1,695</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4,083</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41.99%</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39.25%</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41.51%</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3"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287</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7.03%</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1,153</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28.24%</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650</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15.92%</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775</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18.98%</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1,218</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29.83%</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AA4F85" w:rsidRPr="00781112" w14:paraId="6D854191" w14:textId="189CF04C" w:rsidTr="00AB0D6A">
        <w:trPr>
          <w:trHeight w:val="354"/>
          <w:tblHeader/>
        </w:trPr>
        <w:tc>
          <w:tcPr>
            <w:tcW w:w="999" w:type="pct"/>
            <w:shd w:val="clear" w:color="auto" w:fill="auto"/>
            <w:vAlign w:val="bottom"/>
          </w:tcPr>
          <w:p w14:paraId="2713B90C" w14:textId="70596E6D" w:rsidR="00AA4F85" w:rsidRPr="00781112" w:rsidRDefault="00AA4F85" w:rsidP="00AA4F85">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3A34568D" w:rsidR="00AA4F85" w:rsidRPr="00CC1061" w:rsidRDefault="00AA4F85" w:rsidP="00AA4F85">
            <w:pPr>
              <w:jc w:val="center"/>
              <w:rPr>
                <w:rFonts w:cs="Arial"/>
                <w:b/>
                <w:bCs/>
                <w:color w:val="000000" w:themeColor="text1"/>
                <w:szCs w:val="16"/>
              </w:rPr>
            </w:pPr>
            <w:r w:rsidRPr="00CC1061">
              <w:rPr>
                <w:b/>
                <w:bCs/>
              </w:rPr>
              <w:t>FFY 2020 Data</w:t>
            </w:r>
          </w:p>
        </w:tc>
        <w:tc>
          <w:tcPr>
            <w:tcW w:w="584" w:type="pct"/>
            <w:shd w:val="clear" w:color="auto" w:fill="auto"/>
            <w:vAlign w:val="bottom"/>
          </w:tcPr>
          <w:p w14:paraId="7E59D447" w14:textId="7E763810" w:rsidR="00AA4F85" w:rsidRPr="00CC1061" w:rsidRDefault="00AA4F85" w:rsidP="00AA4F85">
            <w:pPr>
              <w:jc w:val="center"/>
              <w:rPr>
                <w:rFonts w:cs="Arial"/>
                <w:b/>
                <w:bCs/>
                <w:color w:val="000000" w:themeColor="text1"/>
                <w:szCs w:val="16"/>
              </w:rPr>
            </w:pPr>
            <w:r w:rsidRPr="00CC1061">
              <w:rPr>
                <w:b/>
                <w:bCs/>
              </w:rPr>
              <w:t>FFY 2021 Target</w:t>
            </w:r>
          </w:p>
        </w:tc>
        <w:tc>
          <w:tcPr>
            <w:tcW w:w="625" w:type="pct"/>
            <w:shd w:val="clear" w:color="auto" w:fill="auto"/>
            <w:vAlign w:val="bottom"/>
          </w:tcPr>
          <w:p w14:paraId="48E0A776" w14:textId="1851C549" w:rsidR="00AA4F85" w:rsidRPr="00CC1061" w:rsidRDefault="00AA4F85" w:rsidP="00AA4F85">
            <w:pPr>
              <w:jc w:val="center"/>
              <w:rPr>
                <w:rFonts w:cs="Arial"/>
                <w:b/>
                <w:bCs/>
                <w:color w:val="000000" w:themeColor="text1"/>
                <w:szCs w:val="16"/>
              </w:rPr>
            </w:pPr>
            <w:r w:rsidRPr="00CC1061">
              <w:rPr>
                <w:b/>
                <w:bCs/>
              </w:rPr>
              <w:t>FFY 2021 Data</w:t>
            </w:r>
          </w:p>
        </w:tc>
        <w:tc>
          <w:tcPr>
            <w:tcW w:w="459" w:type="pct"/>
            <w:shd w:val="clear" w:color="auto" w:fill="auto"/>
            <w:vAlign w:val="bottom"/>
          </w:tcPr>
          <w:p w14:paraId="1271E5C2" w14:textId="7C29A2B3"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 xml:space="preserve">C1. Of those children who entered or exited the program below age expectations in Outcome C, the percent who </w:t>
            </w:r>
            <w:proofErr w:type="gramStart"/>
            <w:r w:rsidRPr="00781112">
              <w:rPr>
                <w:rFonts w:cs="Arial"/>
                <w:color w:val="000000" w:themeColor="text1"/>
                <w:szCs w:val="16"/>
              </w:rPr>
              <w:t>substantially increased</w:t>
            </w:r>
            <w:proofErr w:type="gramEnd"/>
            <w:r w:rsidRPr="00781112">
              <w:rPr>
                <w:rFonts w:cs="Arial"/>
                <w:color w:val="000000" w:themeColor="text1"/>
                <w:szCs w:val="16"/>
              </w:rPr>
              <w:t xml:space="preserve">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Calculation:(c+d)/(a+b+c+d)</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1,425</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2,865</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51.18%</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51.00%</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49.74%</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w:t>
            </w:r>
            <w:proofErr w:type="gramStart"/>
            <w:r w:rsidRPr="0075451F">
              <w:rPr>
                <w:rFonts w:cs="Arial"/>
                <w:i/>
                <w:iCs/>
                <w:color w:val="C00000"/>
                <w:szCs w:val="16"/>
                <w:lang w:val="es-ES"/>
              </w:rPr>
              <w:t>e)/</w:t>
            </w:r>
            <w:proofErr w:type="gramEnd"/>
            <w:r w:rsidRPr="0075451F">
              <w:rPr>
                <w:rFonts w:cs="Arial"/>
                <w:i/>
                <w:iCs/>
                <w:color w:val="C00000"/>
                <w:szCs w:val="16"/>
                <w:lang w:val="es-ES"/>
              </w:rPr>
              <w:t>(a+b+c+d+e)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1,993</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4,083</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51.43%</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51.00%</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48.81%</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05291D6" w14:textId="2B417D4B" w:rsidR="009B37A2" w:rsidRPr="00781112" w:rsidRDefault="009B37A2" w:rsidP="00B3121C">
      <w:pPr>
        <w:rPr>
          <w:color w:val="000000" w:themeColor="text1"/>
        </w:rPr>
      </w:pPr>
    </w:p>
    <w:tbl>
      <w:tblPr>
        <w:tblStyle w:val="TableGrid"/>
        <w:tblW w:w="5000" w:type="pct"/>
        <w:shd w:val="clear" w:color="auto" w:fill="FBD4B4" w:themeFill="accent6" w:themeFillTint="66"/>
        <w:tblLook w:val="04A0" w:firstRow="1" w:lastRow="0" w:firstColumn="1" w:lastColumn="0" w:noHBand="0" w:noVBand="1"/>
        <w:tblCaption w:val="B07SLIPEXPLN"/>
      </w:tblPr>
      <w:tblGrid>
        <w:gridCol w:w="809"/>
        <w:gridCol w:w="9981"/>
      </w:tblGrid>
      <w:tr w:rsidR="005C29F8" w:rsidRPr="00781112" w14:paraId="61620C7C" w14:textId="77777777" w:rsidTr="003138F9">
        <w:trPr>
          <w:tblHeader/>
        </w:trPr>
        <w:tc>
          <w:tcPr>
            <w:tcW w:w="375" w:type="pct"/>
            <w:vAlign w:val="bottom"/>
          </w:tcPr>
          <w:p w14:paraId="0AA39E44" w14:textId="77777777" w:rsidR="005033CE" w:rsidRPr="00781112" w:rsidRDefault="005033CE" w:rsidP="004369B2">
            <w:pPr>
              <w:jc w:val="center"/>
              <w:rPr>
                <w:color w:val="000000" w:themeColor="text1"/>
              </w:rPr>
            </w:pPr>
            <w:r w:rsidRPr="00781112">
              <w:rPr>
                <w:b/>
                <w:color w:val="000000" w:themeColor="text1"/>
              </w:rPr>
              <w:t>Part</w:t>
            </w:r>
          </w:p>
        </w:tc>
        <w:tc>
          <w:tcPr>
            <w:tcW w:w="4625" w:type="pct"/>
            <w:shd w:val="clear" w:color="auto" w:fill="auto"/>
          </w:tcPr>
          <w:p w14:paraId="41FB5113" w14:textId="77777777" w:rsidR="005033CE" w:rsidRPr="00781112" w:rsidRDefault="005033CE" w:rsidP="004369B2">
            <w:pPr>
              <w:jc w:val="center"/>
              <w:rPr>
                <w:color w:val="000000" w:themeColor="text1"/>
              </w:rPr>
            </w:pPr>
            <w:r w:rsidRPr="00781112">
              <w:rPr>
                <w:b/>
                <w:color w:val="000000" w:themeColor="text1"/>
              </w:rPr>
              <w:t>Reasons for slippage, if applicable</w:t>
            </w:r>
          </w:p>
        </w:tc>
      </w:tr>
      <w:tr w:rsidR="005C29F8" w:rsidRPr="00781112" w14:paraId="27E1C634" w14:textId="77777777" w:rsidTr="003138F9">
        <w:tc>
          <w:tcPr>
            <w:tcW w:w="375" w:type="pct"/>
            <w:vAlign w:val="center"/>
          </w:tcPr>
          <w:p w14:paraId="0985CEF0" w14:textId="77777777" w:rsidR="005033CE" w:rsidRPr="00781112" w:rsidRDefault="005033CE" w:rsidP="004369B2">
            <w:pPr>
              <w:jc w:val="center"/>
              <w:rPr>
                <w:b/>
                <w:color w:val="000000" w:themeColor="text1"/>
              </w:rPr>
            </w:pPr>
            <w:r w:rsidRPr="00781112">
              <w:rPr>
                <w:b/>
                <w:color w:val="000000" w:themeColor="text1"/>
              </w:rPr>
              <w:t>A1</w:t>
            </w:r>
          </w:p>
        </w:tc>
        <w:tc>
          <w:tcPr>
            <w:tcW w:w="4625" w:type="pct"/>
            <w:shd w:val="clear" w:color="auto" w:fill="auto"/>
          </w:tcPr>
          <w:p w14:paraId="6D607127" w14:textId="1BD8E744" w:rsidR="005033CE" w:rsidRPr="00781112" w:rsidRDefault="008C5922" w:rsidP="004369B2">
            <w:pPr>
              <w:rPr>
                <w:color w:val="000000" w:themeColor="text1"/>
              </w:rPr>
            </w:pPr>
            <w:r w:rsidRPr="00781112">
              <w:rPr>
                <w:rFonts w:cs="Arial"/>
                <w:color w:val="000000" w:themeColor="text1"/>
                <w:szCs w:val="16"/>
              </w:rPr>
              <w:t xml:space="preserve">Slippage may be due in part to the impact of the COVID-19 pandemic. For PRDE, the 2020-2021 school year </w:t>
            </w:r>
            <w:proofErr w:type="gramStart"/>
            <w:r w:rsidRPr="00781112">
              <w:rPr>
                <w:rFonts w:cs="Arial"/>
                <w:color w:val="000000" w:themeColor="text1"/>
                <w:szCs w:val="16"/>
              </w:rPr>
              <w:t>generally was</w:t>
            </w:r>
            <w:proofErr w:type="gramEnd"/>
            <w:r w:rsidRPr="00781112">
              <w:rPr>
                <w:rFonts w:cs="Arial"/>
                <w:color w:val="000000" w:themeColor="text1"/>
                <w:szCs w:val="16"/>
              </w:rPr>
              <w:t xml:space="preserve"> 100% virtual. As such, the 2021-2022 school year was a return to in-person learning following an extended period (18 months, March 2020-August 2022). This may have impacted both student performance and data collection in how the outcomes forms </w:t>
            </w:r>
            <w:proofErr w:type="gramStart"/>
            <w:r w:rsidRPr="00781112">
              <w:rPr>
                <w:rFonts w:cs="Arial"/>
                <w:color w:val="000000" w:themeColor="text1"/>
                <w:szCs w:val="16"/>
              </w:rPr>
              <w:t>were approached</w:t>
            </w:r>
            <w:proofErr w:type="gramEnd"/>
            <w:r w:rsidRPr="00781112">
              <w:rPr>
                <w:rFonts w:cs="Arial"/>
                <w:color w:val="000000" w:themeColor="text1"/>
                <w:szCs w:val="16"/>
              </w:rPr>
              <w:t xml:space="preserve"> and completed. Additionally, PRDE may have been overly ambitious in its target setting for Outcome A1 (targets aimed for annual improvement of 5%). </w:t>
            </w:r>
          </w:p>
        </w:tc>
      </w:tr>
      <w:tr w:rsidR="005C29F8" w:rsidRPr="00781112" w14:paraId="4048A12D" w14:textId="77777777" w:rsidTr="003138F9">
        <w:tc>
          <w:tcPr>
            <w:tcW w:w="375" w:type="pct"/>
            <w:vAlign w:val="center"/>
          </w:tcPr>
          <w:p w14:paraId="145820F6" w14:textId="77777777" w:rsidR="005033CE" w:rsidRPr="00781112" w:rsidRDefault="005033CE" w:rsidP="004369B2">
            <w:pPr>
              <w:jc w:val="center"/>
              <w:rPr>
                <w:b/>
                <w:color w:val="000000" w:themeColor="text1"/>
              </w:rPr>
            </w:pPr>
            <w:r w:rsidRPr="00781112">
              <w:rPr>
                <w:b/>
                <w:color w:val="000000" w:themeColor="text1"/>
              </w:rPr>
              <w:t>B1</w:t>
            </w:r>
          </w:p>
        </w:tc>
        <w:tc>
          <w:tcPr>
            <w:tcW w:w="4625" w:type="pct"/>
            <w:shd w:val="clear" w:color="auto" w:fill="auto"/>
          </w:tcPr>
          <w:p w14:paraId="13F5303F" w14:textId="12C0A103" w:rsidR="005033CE" w:rsidRPr="00781112" w:rsidRDefault="00852D5E" w:rsidP="00E21107">
            <w:pPr>
              <w:rPr>
                <w:rFonts w:cs="Arial"/>
                <w:i/>
                <w:color w:val="000000" w:themeColor="text1"/>
                <w:szCs w:val="16"/>
              </w:rPr>
            </w:pPr>
            <w:r w:rsidRPr="00781112">
              <w:rPr>
                <w:rFonts w:cs="Arial"/>
                <w:color w:val="000000" w:themeColor="text1"/>
                <w:szCs w:val="16"/>
              </w:rPr>
              <w:t xml:space="preserve">Slippage may be due in part to the impact of the COVID-19 pandemic. For PRDE, the 2020-2021 school year </w:t>
            </w:r>
            <w:proofErr w:type="gramStart"/>
            <w:r w:rsidRPr="00781112">
              <w:rPr>
                <w:rFonts w:cs="Arial"/>
                <w:color w:val="000000" w:themeColor="text1"/>
                <w:szCs w:val="16"/>
              </w:rPr>
              <w:t>generally was</w:t>
            </w:r>
            <w:proofErr w:type="gramEnd"/>
            <w:r w:rsidRPr="00781112">
              <w:rPr>
                <w:rFonts w:cs="Arial"/>
                <w:color w:val="000000" w:themeColor="text1"/>
                <w:szCs w:val="16"/>
              </w:rPr>
              <w:t xml:space="preserve"> 100% virtual. As such, the 2021-2022 school year was a return to in-person learning following an extended period (18 months, March 2020-August 2022). This may have impacted both student performance and data collection in how the outcomes forms </w:t>
            </w:r>
            <w:proofErr w:type="gramStart"/>
            <w:r w:rsidRPr="00781112">
              <w:rPr>
                <w:rFonts w:cs="Arial"/>
                <w:color w:val="000000" w:themeColor="text1"/>
                <w:szCs w:val="16"/>
              </w:rPr>
              <w:t>were approached</w:t>
            </w:r>
            <w:proofErr w:type="gramEnd"/>
            <w:r w:rsidRPr="00781112">
              <w:rPr>
                <w:rFonts w:cs="Arial"/>
                <w:color w:val="000000" w:themeColor="text1"/>
                <w:szCs w:val="16"/>
              </w:rPr>
              <w:t xml:space="preserve"> and completed. Additionally, PRDE may have been overly ambitious in its target setting for Outcome B1 (targets aimed for annual improvement of 5%). </w:t>
            </w:r>
          </w:p>
        </w:tc>
      </w:tr>
      <w:tr w:rsidR="005C29F8" w:rsidRPr="00781112" w14:paraId="52A26FBD" w14:textId="77777777" w:rsidTr="003138F9">
        <w:tc>
          <w:tcPr>
            <w:tcW w:w="375" w:type="pct"/>
            <w:vAlign w:val="center"/>
          </w:tcPr>
          <w:p w14:paraId="2ED6B5B9" w14:textId="77777777" w:rsidR="005033CE" w:rsidRPr="00781112" w:rsidRDefault="005033CE" w:rsidP="004369B2">
            <w:pPr>
              <w:jc w:val="center"/>
              <w:rPr>
                <w:b/>
                <w:color w:val="000000" w:themeColor="text1"/>
              </w:rPr>
            </w:pPr>
            <w:r w:rsidRPr="00781112">
              <w:rPr>
                <w:b/>
                <w:color w:val="000000" w:themeColor="text1"/>
              </w:rPr>
              <w:t>C1</w:t>
            </w:r>
          </w:p>
        </w:tc>
        <w:tc>
          <w:tcPr>
            <w:tcW w:w="4625" w:type="pct"/>
            <w:shd w:val="clear" w:color="auto" w:fill="auto"/>
          </w:tcPr>
          <w:p w14:paraId="7E064C1A" w14:textId="356EB505" w:rsidR="005033CE" w:rsidRPr="00781112" w:rsidRDefault="005033CE" w:rsidP="00E21107">
            <w:pPr>
              <w:rPr>
                <w:rFonts w:cs="Arial"/>
                <w:color w:val="000000" w:themeColor="text1"/>
                <w:szCs w:val="16"/>
              </w:rPr>
            </w:pPr>
            <w:r w:rsidRPr="00781112">
              <w:rPr>
                <w:rFonts w:cs="Arial"/>
                <w:color w:val="000000" w:themeColor="text1"/>
                <w:szCs w:val="16"/>
              </w:rPr>
              <w:t xml:space="preserve">Slippage may be due in part to the impact of the COVID-19 pandemic. For PRDE, the 2020-2021 school year </w:t>
            </w:r>
            <w:proofErr w:type="gramStart"/>
            <w:r w:rsidRPr="00781112">
              <w:rPr>
                <w:rFonts w:cs="Arial"/>
                <w:color w:val="000000" w:themeColor="text1"/>
                <w:szCs w:val="16"/>
              </w:rPr>
              <w:t>generally was</w:t>
            </w:r>
            <w:proofErr w:type="gramEnd"/>
            <w:r w:rsidRPr="00781112">
              <w:rPr>
                <w:rFonts w:cs="Arial"/>
                <w:color w:val="000000" w:themeColor="text1"/>
                <w:szCs w:val="16"/>
              </w:rPr>
              <w:t xml:space="preserve"> 100% virtual. As such, the 2021-2022 school year was a return to in-person learning following an extended period (18 months, March 2020-August 2022). This may have impacted both student performance and data collection in how the outcomes forms </w:t>
            </w:r>
            <w:proofErr w:type="gramStart"/>
            <w:r w:rsidRPr="00781112">
              <w:rPr>
                <w:rFonts w:cs="Arial"/>
                <w:color w:val="000000" w:themeColor="text1"/>
                <w:szCs w:val="16"/>
              </w:rPr>
              <w:t>were approached</w:t>
            </w:r>
            <w:proofErr w:type="gramEnd"/>
            <w:r w:rsidRPr="00781112">
              <w:rPr>
                <w:rFonts w:cs="Arial"/>
                <w:color w:val="000000" w:themeColor="text1"/>
                <w:szCs w:val="16"/>
              </w:rPr>
              <w:t xml:space="preserve"> and completed. Additionally, PRDE may have been overly ambitious in its target setting for Outcome C1 (targets aimed for annual improvement of 6%). </w:t>
            </w:r>
          </w:p>
        </w:tc>
      </w:tr>
      <w:tr w:rsidR="005C29F8" w:rsidRPr="00781112" w14:paraId="78369361" w14:textId="77777777" w:rsidTr="003138F9">
        <w:tc>
          <w:tcPr>
            <w:tcW w:w="375" w:type="pct"/>
            <w:vAlign w:val="center"/>
          </w:tcPr>
          <w:p w14:paraId="3CA58DE3" w14:textId="77777777" w:rsidR="005033CE" w:rsidRPr="00781112" w:rsidRDefault="005033CE" w:rsidP="004369B2">
            <w:pPr>
              <w:jc w:val="center"/>
              <w:rPr>
                <w:b/>
                <w:color w:val="000000" w:themeColor="text1"/>
              </w:rPr>
            </w:pPr>
            <w:r w:rsidRPr="00781112">
              <w:rPr>
                <w:b/>
                <w:color w:val="000000" w:themeColor="text1"/>
              </w:rPr>
              <w:t>C2</w:t>
            </w:r>
          </w:p>
        </w:tc>
        <w:tc>
          <w:tcPr>
            <w:tcW w:w="4625" w:type="pct"/>
            <w:shd w:val="clear" w:color="auto" w:fill="auto"/>
          </w:tcPr>
          <w:p w14:paraId="36410A58" w14:textId="082DFC3E" w:rsidR="005033CE" w:rsidRPr="00781112" w:rsidRDefault="005033CE" w:rsidP="00E21107">
            <w:pPr>
              <w:rPr>
                <w:rFonts w:cs="Arial"/>
                <w:color w:val="000000" w:themeColor="text1"/>
                <w:szCs w:val="16"/>
              </w:rPr>
            </w:pPr>
            <w:r w:rsidRPr="00781112">
              <w:rPr>
                <w:rFonts w:cs="Arial"/>
                <w:color w:val="000000" w:themeColor="text1"/>
                <w:szCs w:val="16"/>
              </w:rPr>
              <w:t xml:space="preserve">Slippage may be due in part to the impact of the COVID-19 pandemic. For PRDE, the 2020-2021 school year </w:t>
            </w:r>
            <w:proofErr w:type="gramStart"/>
            <w:r w:rsidRPr="00781112">
              <w:rPr>
                <w:rFonts w:cs="Arial"/>
                <w:color w:val="000000" w:themeColor="text1"/>
                <w:szCs w:val="16"/>
              </w:rPr>
              <w:t>generally was</w:t>
            </w:r>
            <w:proofErr w:type="gramEnd"/>
            <w:r w:rsidRPr="00781112">
              <w:rPr>
                <w:rFonts w:cs="Arial"/>
                <w:color w:val="000000" w:themeColor="text1"/>
                <w:szCs w:val="16"/>
              </w:rPr>
              <w:t xml:space="preserve"> 100% virtual. As such, the 2021-2022 school year was a return to in-person learning following an extended period (18 months, March 2020-August 2022). This may have impacted both student performance and data collection in how the outcomes forms </w:t>
            </w:r>
            <w:proofErr w:type="gramStart"/>
            <w:r w:rsidRPr="00781112">
              <w:rPr>
                <w:rFonts w:cs="Arial"/>
                <w:color w:val="000000" w:themeColor="text1"/>
                <w:szCs w:val="16"/>
              </w:rPr>
              <w:t>were approached</w:t>
            </w:r>
            <w:proofErr w:type="gramEnd"/>
            <w:r w:rsidRPr="00781112">
              <w:rPr>
                <w:rFonts w:cs="Arial"/>
                <w:color w:val="000000" w:themeColor="text1"/>
                <w:szCs w:val="16"/>
              </w:rPr>
              <w:t xml:space="preserve"> and completed.</w:t>
            </w:r>
          </w:p>
        </w:tc>
      </w:tr>
    </w:tbl>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lastRenderedPageBreak/>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37" w:name="_Toc382082381"/>
      <w:bookmarkStart w:id="38"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 xml:space="preserve">The process of data collection begins by completing the Resúmen de Resultados de la Intervención con el Niño(a) Preescolar (a translation of ECO’s COSF). When the child exits preschool services, after having received services for at least six months, exit data </w:t>
      </w:r>
      <w:proofErr w:type="gramStart"/>
      <w:r w:rsidRPr="00781112">
        <w:rPr>
          <w:rFonts w:cs="Arial"/>
          <w:color w:val="000000" w:themeColor="text1"/>
          <w:szCs w:val="16"/>
        </w:rPr>
        <w:t>is gathered</w:t>
      </w:r>
      <w:proofErr w:type="gramEnd"/>
      <w:r w:rsidRPr="00781112">
        <w:rPr>
          <w:rFonts w:cs="Arial"/>
          <w:color w:val="000000" w:themeColor="text1"/>
          <w:szCs w:val="16"/>
        </w:rPr>
        <w:t xml:space="preserve"> using the same document (again, the Resumen de Resultados de la Intervención con el Niño(a) Preescolar) to determine the child’s outcomes in accordance with this indicator’s measurement. Since FFY 2017, PRDE has included the Resumen de Resultados de la Intervención con el Niño(a) Preescolar within the PRDE special education information system, MiPE. To complete this document, the SAEE has oriented personnel to collect this information in two parts. The first part of the document </w:t>
      </w:r>
      <w:proofErr w:type="gramStart"/>
      <w:r w:rsidRPr="00781112">
        <w:rPr>
          <w:rFonts w:cs="Arial"/>
          <w:color w:val="000000" w:themeColor="text1"/>
          <w:szCs w:val="16"/>
        </w:rPr>
        <w:t>is filled</w:t>
      </w:r>
      <w:proofErr w:type="gramEnd"/>
      <w:r w:rsidRPr="00781112">
        <w:rPr>
          <w:rFonts w:cs="Arial"/>
          <w:color w:val="000000" w:themeColor="text1"/>
          <w:szCs w:val="16"/>
        </w:rPr>
        <w:t xml:space="preserve"> during the eligibility determination process through MiPE. The second part </w:t>
      </w:r>
      <w:proofErr w:type="gramStart"/>
      <w:r w:rsidRPr="00781112">
        <w:rPr>
          <w:rFonts w:cs="Arial"/>
          <w:color w:val="000000" w:themeColor="text1"/>
          <w:szCs w:val="16"/>
        </w:rPr>
        <w:t>is filled</w:t>
      </w:r>
      <w:proofErr w:type="gramEnd"/>
      <w:r w:rsidRPr="00781112">
        <w:rPr>
          <w:rFonts w:cs="Arial"/>
          <w:color w:val="000000" w:themeColor="text1"/>
          <w:szCs w:val="16"/>
        </w:rPr>
        <w:t xml:space="preserve"> when the child exited the preschool services. PRDE SAEE prepared a memorandum that reviewed the instructions for indicator B7 in MiPE. In addition, a user guide for the system </w:t>
      </w:r>
      <w:proofErr w:type="gramStart"/>
      <w:r w:rsidRPr="00781112">
        <w:rPr>
          <w:rFonts w:cs="Arial"/>
          <w:color w:val="000000" w:themeColor="text1"/>
          <w:szCs w:val="16"/>
        </w:rPr>
        <w:t>was created</w:t>
      </w:r>
      <w:proofErr w:type="gramEnd"/>
      <w:r w:rsidRPr="00781112">
        <w:rPr>
          <w:rFonts w:cs="Arial"/>
          <w:color w:val="000000" w:themeColor="text1"/>
          <w:szCs w:val="16"/>
        </w:rPr>
        <w:t xml:space="preserve"> and published. Monthly follow-up was offered to schools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ensure the collection of required data, including the completion of the document. Staff involved in this was trained in the use of this document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assure compliance with the overall process and proper documentation.</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9B37A2" w:rsidP="007D435F">
      <w:pPr>
        <w:rPr>
          <w:rFonts w:cs="Arial"/>
          <w:color w:val="000000" w:themeColor="text1"/>
          <w:szCs w:val="16"/>
        </w:rPr>
      </w:pP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9B37A2" w:rsidP="001F692C">
      <w:pPr>
        <w:rPr>
          <w:rFonts w:cs="Arial"/>
          <w:color w:val="000000" w:themeColor="text1"/>
          <w:szCs w:val="16"/>
        </w:rPr>
      </w:pPr>
    </w:p>
    <w:p w14:paraId="50C7CF43" w14:textId="32A5B19E" w:rsidR="00221EC9" w:rsidRPr="00781112" w:rsidRDefault="00C96236" w:rsidP="008645AD">
      <w:pPr>
        <w:pStyle w:val="Heading2"/>
      </w:pPr>
      <w:r w:rsidRPr="00781112">
        <w:t>7 - Required Actions</w:t>
      </w:r>
    </w:p>
    <w:p w14:paraId="4FFE0FC1" w14:textId="3673A3A2" w:rsidR="00415684" w:rsidRDefault="00415684" w:rsidP="006D5DC4">
      <w:pPr>
        <w:rPr>
          <w:rFonts w:cs="Arial"/>
          <w:color w:val="000000" w:themeColor="text1"/>
          <w:szCs w:val="16"/>
        </w:rPr>
      </w:pPr>
    </w:p>
    <w:p w14:paraId="0D594D0E" w14:textId="77777777" w:rsidR="00415684" w:rsidRDefault="00415684">
      <w:pPr>
        <w:spacing w:before="0" w:after="200" w:line="276" w:lineRule="auto"/>
        <w:rPr>
          <w:rFonts w:cs="Arial"/>
          <w:color w:val="000000" w:themeColor="text1"/>
          <w:szCs w:val="16"/>
        </w:rPr>
      </w:pPr>
      <w:r>
        <w:rPr>
          <w:rFonts w:cs="Arial"/>
          <w:color w:val="000000" w:themeColor="text1"/>
          <w:szCs w:val="16"/>
        </w:rPr>
        <w:br w:type="page"/>
      </w:r>
    </w:p>
    <w:p w14:paraId="3BCCFF07" w14:textId="13DF3424"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37"/>
      <w:bookmarkEnd w:id="38"/>
    </w:p>
    <w:p w14:paraId="66FBCA03" w14:textId="77777777" w:rsidR="00B654C1" w:rsidRPr="00781112" w:rsidRDefault="00B654C1" w:rsidP="00A018D4">
      <w:pPr>
        <w:rPr>
          <w:color w:val="000000" w:themeColor="text1"/>
          <w:szCs w:val="20"/>
        </w:rPr>
      </w:pPr>
      <w:bookmarkStart w:id="39"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 xml:space="preserve">of parents from whom response </w:t>
      </w:r>
      <w:proofErr w:type="gramStart"/>
      <w:r w:rsidRPr="00781112">
        <w:rPr>
          <w:rFonts w:cs="Arial"/>
          <w:b/>
          <w:bCs/>
          <w:i/>
          <w:iCs/>
          <w:color w:val="000000" w:themeColor="text1"/>
          <w:szCs w:val="16"/>
        </w:rPr>
        <w:t>is requested</w:t>
      </w:r>
      <w:proofErr w:type="gramEnd"/>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 xml:space="preserve">When sampling </w:t>
      </w:r>
      <w:proofErr w:type="gramStart"/>
      <w:r w:rsidRPr="00781112">
        <w:rPr>
          <w:rFonts w:cs="Arial"/>
          <w:i/>
          <w:iCs/>
          <w:color w:val="000000" w:themeColor="text1"/>
          <w:szCs w:val="16"/>
        </w:rPr>
        <w:t>is used</w:t>
      </w:r>
      <w:proofErr w:type="gramEnd"/>
      <w:r w:rsidRPr="00781112">
        <w:rPr>
          <w:rFonts w:cs="Arial"/>
          <w:i/>
          <w:iCs/>
          <w:color w:val="000000" w:themeColor="text1"/>
          <w:szCs w:val="16"/>
        </w:rPr>
        <w:t>,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 xml:space="preserve">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w:t>
      </w:r>
      <w:proofErr w:type="gramStart"/>
      <w:r w:rsidRPr="00781112">
        <w:rPr>
          <w:rFonts w:cs="Arial"/>
          <w:color w:val="000000" w:themeColor="text1"/>
          <w:szCs w:val="16"/>
        </w:rPr>
        <w:t>reliable</w:t>
      </w:r>
      <w:proofErr w:type="gramEnd"/>
      <w:r w:rsidRPr="00781112">
        <w:rPr>
          <w:rFonts w:cs="Arial"/>
          <w:color w:val="000000" w:themeColor="text1"/>
          <w:szCs w:val="16"/>
        </w:rPr>
        <w:t>.</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 xml:space="preserve">While a survey </w:t>
      </w:r>
      <w:proofErr w:type="gramStart"/>
      <w:r w:rsidRPr="00781112">
        <w:rPr>
          <w:rFonts w:cs="Arial"/>
          <w:color w:val="000000" w:themeColor="text1"/>
          <w:szCs w:val="16"/>
        </w:rPr>
        <w:t>is not required</w:t>
      </w:r>
      <w:proofErr w:type="gramEnd"/>
      <w:r w:rsidRPr="00781112">
        <w:rPr>
          <w:rFonts w:cs="Arial"/>
          <w:color w:val="000000" w:themeColor="text1"/>
          <w:szCs w:val="16"/>
        </w:rPr>
        <w:t xml:space="preserve">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t>
      </w:r>
      <w:proofErr w:type="gramStart"/>
      <w:r w:rsidRPr="00781112">
        <w:rPr>
          <w:rFonts w:cs="Arial"/>
          <w:color w:val="000000" w:themeColor="text1"/>
          <w:szCs w:val="16"/>
        </w:rPr>
        <w:t>were distributed</w:t>
      </w:r>
      <w:proofErr w:type="gramEnd"/>
      <w:r w:rsidRPr="00781112">
        <w:rPr>
          <w:rFonts w:cs="Arial"/>
          <w:color w:val="000000" w:themeColor="text1"/>
          <w:szCs w:val="16"/>
        </w:rPr>
        <w:t xml:space="preserve"> </w:t>
      </w:r>
      <w:r w:rsidR="004A6352" w:rsidRPr="00781112">
        <w:rPr>
          <w:rFonts w:cs="Arial"/>
          <w:szCs w:val="16"/>
        </w:rPr>
        <w:t xml:space="preserve">and the number of respondent parents. The survey response rate </w:t>
      </w:r>
      <w:proofErr w:type="gramStart"/>
      <w:r w:rsidR="004A6352" w:rsidRPr="00781112">
        <w:rPr>
          <w:rFonts w:cs="Arial"/>
          <w:szCs w:val="16"/>
        </w:rPr>
        <w:t>is automatically calculated</w:t>
      </w:r>
      <w:proofErr w:type="gramEnd"/>
      <w:r w:rsidR="004A6352" w:rsidRPr="00781112">
        <w:rPr>
          <w:rFonts w:cs="Arial"/>
          <w:szCs w:val="16"/>
        </w:rPr>
        <w:t xml:space="preserve"> using the submitted data.</w:t>
      </w:r>
    </w:p>
    <w:p w14:paraId="4699B320" w14:textId="1251213C" w:rsidR="009C74BD" w:rsidRDefault="009C74BD" w:rsidP="009C74BD">
      <w:pPr>
        <w:rPr>
          <w:rFonts w:cs="Arial"/>
          <w:szCs w:val="16"/>
        </w:rPr>
      </w:pPr>
      <w:r w:rsidRPr="00781112">
        <w:rPr>
          <w:rFonts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particularly for those groups that are underrepresented.</w:t>
      </w:r>
    </w:p>
    <w:p w14:paraId="4A1F1567" w14:textId="77777777" w:rsidR="00DF5951" w:rsidRDefault="00DF5951" w:rsidP="009C74BD">
      <w:bookmarkStart w:id="40" w:name="_Hlk116647902"/>
      <w:r w:rsidRPr="006D5DC4">
        <w:rPr>
          <w:b/>
          <w:bCs/>
        </w:rPr>
        <w:t>Beginning with the FFY 2021 SPP/APR, due February 1, 2023,</w:t>
      </w:r>
      <w:r>
        <w:t xml:space="preserve"> include in the State’s analysis the extent to which the demographics of the children for whom parents responded are representative of the demographics of children receiving special education services. States must consider race/ethnicity. In addition, the State’s analysis must also include at least one of the following demographics: age of the student, disability category, gender, geographic location, and/or another demographic category approved through the stakeholder input process. States must describe the metric used to determine representativeness (e.g., +/- 3% discrepancy in the proportion of responders compared to target group). </w:t>
      </w:r>
    </w:p>
    <w:p w14:paraId="64177BBB" w14:textId="77777777" w:rsidR="00DF5951" w:rsidRDefault="00DF5951" w:rsidP="009C74BD">
      <w:r>
        <w:t xml:space="preserve">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t>
      </w:r>
      <w:proofErr w:type="gramStart"/>
      <w:r>
        <w:t>were collected</w:t>
      </w:r>
      <w:proofErr w:type="gramEnd"/>
      <w:r>
        <w:t xml:space="preserve">. </w:t>
      </w:r>
    </w:p>
    <w:p w14:paraId="4D74BEFB" w14:textId="7AC91DF2" w:rsidR="00DF5951" w:rsidRPr="00781112" w:rsidRDefault="00DF5951" w:rsidP="009C74BD">
      <w:pPr>
        <w:rPr>
          <w:rFonts w:cs="Arial"/>
          <w:szCs w:val="16"/>
        </w:rPr>
      </w:pPr>
      <w:r>
        <w:t xml:space="preserve">States </w:t>
      </w:r>
      <w:proofErr w:type="gramStart"/>
      <w:r>
        <w:t>are encouraged</w:t>
      </w:r>
      <w:proofErr w:type="gramEnd"/>
      <w:r>
        <w:t xml:space="preserve"> to work in collaboration with their OSEP-funded parent centers in collecting data.</w:t>
      </w:r>
    </w:p>
    <w:bookmarkEnd w:id="40"/>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39"/>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1CF8039C" w14:textId="30DA616B" w:rsidR="00487CBD" w:rsidRPr="00781112" w:rsidRDefault="00487CBD" w:rsidP="00487CBD">
      <w:pPr>
        <w:rPr>
          <w:rFonts w:cs="Arial"/>
          <w:color w:val="000000" w:themeColor="text1"/>
          <w:szCs w:val="16"/>
        </w:rPr>
      </w:pPr>
      <w:r w:rsidRPr="00781112">
        <w:rPr>
          <w:rFonts w:cs="Arial"/>
          <w:color w:val="000000" w:themeColor="text1"/>
          <w:szCs w:val="16"/>
        </w:rPr>
        <w:t xml:space="preserve">PRDE solicited broad stakeholder input on PRDE’s targets in the SPP/APR including any subsequent revisions made to those targets and the development and implementation of Indicator 17, Puerto Rico’s State Systemic Improvement Plan (SSIP). </w:t>
      </w:r>
      <w:r w:rsidRPr="00781112">
        <w:rPr>
          <w:rFonts w:cs="Arial"/>
          <w:color w:val="000000" w:themeColor="text1"/>
          <w:szCs w:val="16"/>
        </w:rPr>
        <w:br/>
      </w:r>
      <w:r w:rsidRPr="00781112">
        <w:rPr>
          <w:rFonts w:cs="Arial"/>
          <w:color w:val="000000" w:themeColor="text1"/>
          <w:szCs w:val="16"/>
        </w:rPr>
        <w:br/>
        <w:t xml:space="preserve">Our original stakeholder group, called the Comité Consultivo de Educación Especial (“Special Education Advisory Committee”), is responsible for advising PRDE regarding the needs in the education of children with disabilities and for </w:t>
      </w:r>
      <w:proofErr w:type="gramStart"/>
      <w:r w:rsidRPr="00781112">
        <w:rPr>
          <w:rFonts w:cs="Arial"/>
          <w:color w:val="000000" w:themeColor="text1"/>
          <w:szCs w:val="16"/>
        </w:rPr>
        <w:t>providing assistance</w:t>
      </w:r>
      <w:proofErr w:type="gramEnd"/>
      <w:r w:rsidRPr="00781112">
        <w:rPr>
          <w:rFonts w:cs="Arial"/>
          <w:color w:val="000000" w:themeColor="text1"/>
          <w:szCs w:val="16"/>
        </w:rPr>
        <w:t xml:space="preserve"> and feedback about reports to be submitted to the Federal Government including our SSIP. The group includes representation from various sectors such as: the non-profit organization Apoyo a Padres de Niños con Impedimentos (Support for Parents of Students with Disabilities, or APNI by its acronym in Spanish), the Puerto Rico Department of the Family, the Puerto Rico Vocational Rehabilitation Administration, the Puerto Rico Department of Health, Special Education Teachers, School Directors, parents of students with disabilities, SAEE personnel, autism representative, specialists such as a School Psychologist, Occupational Therapist, Speech Pathologist, and adult with impairment, and others. SAEE personnel participate continuously in meetings with the special education </w:t>
      </w:r>
      <w:proofErr w:type="gramStart"/>
      <w:r w:rsidRPr="00781112">
        <w:rPr>
          <w:rFonts w:cs="Arial"/>
          <w:color w:val="000000" w:themeColor="text1"/>
          <w:szCs w:val="16"/>
        </w:rPr>
        <w:t>stakeholders</w:t>
      </w:r>
      <w:proofErr w:type="gramEnd"/>
      <w:r w:rsidRPr="00781112">
        <w:rPr>
          <w:rFonts w:cs="Arial"/>
          <w:color w:val="000000" w:themeColor="text1"/>
          <w:szCs w:val="16"/>
        </w:rPr>
        <w:t xml:space="preserve"> group. </w:t>
      </w:r>
      <w:r w:rsidRPr="00781112">
        <w:rPr>
          <w:rFonts w:cs="Arial"/>
          <w:color w:val="000000" w:themeColor="text1"/>
          <w:szCs w:val="16"/>
        </w:rPr>
        <w:br/>
      </w:r>
      <w:r w:rsidRPr="00781112">
        <w:rPr>
          <w:rFonts w:cs="Arial"/>
          <w:color w:val="000000" w:themeColor="text1"/>
          <w:szCs w:val="16"/>
        </w:rPr>
        <w:br/>
        <w:t xml:space="preserve">The members of our stakeholder group also serve as liaisons for initiatives that benefit the special education population and their families. Recommendations provided </w:t>
      </w:r>
      <w:proofErr w:type="gramStart"/>
      <w:r w:rsidRPr="00781112">
        <w:rPr>
          <w:rFonts w:cs="Arial"/>
          <w:color w:val="000000" w:themeColor="text1"/>
          <w:szCs w:val="16"/>
        </w:rPr>
        <w:t>from</w:t>
      </w:r>
      <w:proofErr w:type="gramEnd"/>
      <w:r w:rsidRPr="00781112">
        <w:rPr>
          <w:rFonts w:cs="Arial"/>
          <w:color w:val="000000" w:themeColor="text1"/>
          <w:szCs w:val="16"/>
        </w:rPr>
        <w:t xml:space="preserve"> the stakeholders </w:t>
      </w:r>
      <w:proofErr w:type="gramStart"/>
      <w:r w:rsidRPr="00781112">
        <w:rPr>
          <w:rFonts w:cs="Arial"/>
          <w:color w:val="000000" w:themeColor="text1"/>
          <w:szCs w:val="16"/>
        </w:rPr>
        <w:t>were incorporated</w:t>
      </w:r>
      <w:proofErr w:type="gramEnd"/>
      <w:r w:rsidRPr="00781112">
        <w:rPr>
          <w:rFonts w:cs="Arial"/>
          <w:color w:val="000000" w:themeColor="text1"/>
          <w:szCs w:val="16"/>
        </w:rPr>
        <w:t xml:space="preserve"> into PRDE’s FFY 2021 APR. PRDE developed this FFY 2021 SPP/APR with broad stakeholder input. As discussed above, PRDE SAEE held various meetings with the stakeholder group and received their input regarding the SPP/APR, including feedback regarding the individual indicators including FFY 2021 data, targets, any subsequent revisions to targets, and related activities and initiatives as well as the SSIP.</w:t>
      </w:r>
      <w:r w:rsidRPr="00781112">
        <w:rPr>
          <w:rFonts w:cs="Arial"/>
          <w:color w:val="000000" w:themeColor="text1"/>
          <w:szCs w:val="16"/>
        </w:rPr>
        <w:br/>
      </w:r>
      <w:r w:rsidRPr="00781112">
        <w:rPr>
          <w:rFonts w:cs="Arial"/>
          <w:color w:val="000000" w:themeColor="text1"/>
          <w:szCs w:val="16"/>
        </w:rPr>
        <w:br/>
        <w:t xml:space="preserve">Additional mechanisms through with PRDE solicits broad stakeholder input includes PRDE work with and through the non-profit organization Apoyo a Padres de Niños con Impedimentos (Support for Parents of Students with Disabilities, or APNI by its acronym in Spanish), its operation of Parent Academies on post-secondary topics, and Communities of Learning through its SSIP efforts, among others. APNI’s work helps increase the capacity of parents and serves as an avenue for receiving feedback on improvement activities and related policies. Similarly, the Parent Academies provide capacity building sessions for parents and include feedback sessions where parents provide feedback regarding improvement activities and data and policies related to post-secondary transition. Finally, the communities of learning have been key in providing feedback regarding the Indicator 17 / the SSIP in its entirety and implementation thereof. Through </w:t>
      </w:r>
      <w:proofErr w:type="gramStart"/>
      <w:r w:rsidRPr="00781112">
        <w:rPr>
          <w:rFonts w:cs="Arial"/>
          <w:color w:val="000000" w:themeColor="text1"/>
          <w:szCs w:val="16"/>
        </w:rPr>
        <w:t>all of</w:t>
      </w:r>
      <w:proofErr w:type="gramEnd"/>
      <w:r w:rsidRPr="00781112">
        <w:rPr>
          <w:rFonts w:cs="Arial"/>
          <w:color w:val="000000" w:themeColor="text1"/>
          <w:szCs w:val="16"/>
        </w:rPr>
        <w:t xml:space="preserve"> these avenues, PRDE seeks and receives stakeholder input that is considered in the development of the SPP/APR including targets, subsequent revisions of targets, and development and implementation of the SSIP (Ind. 17). </w:t>
      </w:r>
    </w:p>
    <w:p w14:paraId="71AF2AFF" w14:textId="77777777" w:rsidR="00487CBD" w:rsidRPr="00781112" w:rsidRDefault="00487CBD" w:rsidP="00487CBD">
      <w:pPr>
        <w:rPr>
          <w:rFonts w:cs="Arial"/>
          <w:color w:val="000000" w:themeColor="text1"/>
          <w:szCs w:val="16"/>
        </w:rPr>
      </w:pP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2017</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86.09%</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2020</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87.70%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88.70%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86.10%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86.10%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84.00%</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84.75%</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86.09%</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86.15%</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82.35%</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86.39%</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8"/>
        <w:gridCol w:w="1650"/>
        <w:gridCol w:w="1651"/>
        <w:gridCol w:w="1651"/>
        <w:gridCol w:w="1651"/>
        <w:gridCol w:w="1649"/>
      </w:tblGrid>
      <w:tr w:rsidR="00B14519" w:rsidRPr="00781112" w14:paraId="77450D85" w14:textId="217C23D8" w:rsidTr="00451D7E">
        <w:trPr>
          <w:trHeight w:val="242"/>
        </w:trPr>
        <w:tc>
          <w:tcPr>
            <w:tcW w:w="491" w:type="pct"/>
            <w:tcBorders>
              <w:bottom w:val="single" w:sz="4" w:space="0" w:color="auto"/>
            </w:tcBorders>
            <w:shd w:val="clear" w:color="auto" w:fill="auto"/>
            <w:vAlign w:val="center"/>
          </w:tcPr>
          <w:p w14:paraId="5A82FAC4" w14:textId="77777777" w:rsidR="00B14519" w:rsidRPr="003F088A" w:rsidRDefault="00B14519" w:rsidP="00AD5583">
            <w:pPr>
              <w:jc w:val="center"/>
              <w:rPr>
                <w:rFonts w:cs="Arial"/>
                <w:b/>
                <w:color w:val="000000" w:themeColor="text1"/>
                <w:szCs w:val="16"/>
              </w:rPr>
            </w:pPr>
            <w:r w:rsidRPr="003F088A">
              <w:rPr>
                <w:rFonts w:cs="Arial"/>
                <w:b/>
                <w:color w:val="000000" w:themeColor="text1"/>
                <w:szCs w:val="16"/>
              </w:rPr>
              <w:t>FFY</w:t>
            </w:r>
          </w:p>
        </w:tc>
        <w:tc>
          <w:tcPr>
            <w:tcW w:w="902" w:type="pct"/>
            <w:shd w:val="clear" w:color="auto" w:fill="auto"/>
            <w:vAlign w:val="center"/>
          </w:tcPr>
          <w:p w14:paraId="6DDB1395" w14:textId="489E70A4" w:rsidR="00B14519" w:rsidRPr="003F088A" w:rsidRDefault="00B14519" w:rsidP="00AD5583">
            <w:pPr>
              <w:jc w:val="center"/>
              <w:rPr>
                <w:rFonts w:cs="Arial"/>
                <w:b/>
                <w:color w:val="000000" w:themeColor="text1"/>
                <w:szCs w:val="16"/>
              </w:rPr>
            </w:pPr>
            <w:r w:rsidRPr="003F088A">
              <w:rPr>
                <w:rFonts w:cs="Arial"/>
                <w:b/>
                <w:color w:val="000000" w:themeColor="text1"/>
                <w:szCs w:val="16"/>
              </w:rPr>
              <w:t>2021</w:t>
            </w:r>
          </w:p>
        </w:tc>
        <w:tc>
          <w:tcPr>
            <w:tcW w:w="902" w:type="pct"/>
            <w:vAlign w:val="center"/>
          </w:tcPr>
          <w:p w14:paraId="3277D8E8" w14:textId="4A05E6F6" w:rsidR="00B14519" w:rsidRPr="003F088A" w:rsidRDefault="00B14519" w:rsidP="00730C62">
            <w:pPr>
              <w:jc w:val="center"/>
              <w:rPr>
                <w:rFonts w:cs="Arial"/>
                <w:b/>
                <w:color w:val="000000" w:themeColor="text1"/>
                <w:szCs w:val="16"/>
              </w:rPr>
            </w:pPr>
            <w:r w:rsidRPr="00781112">
              <w:rPr>
                <w:rFonts w:cs="Arial"/>
                <w:b/>
                <w:color w:val="000000" w:themeColor="text1"/>
                <w:szCs w:val="16"/>
              </w:rPr>
              <w:t>2022</w:t>
            </w:r>
          </w:p>
        </w:tc>
        <w:tc>
          <w:tcPr>
            <w:tcW w:w="902" w:type="pct"/>
            <w:vAlign w:val="center"/>
          </w:tcPr>
          <w:p w14:paraId="3AC9106D" w14:textId="5F7A56D0" w:rsidR="00B14519" w:rsidRPr="003F088A" w:rsidRDefault="00B14519" w:rsidP="00730C62">
            <w:pPr>
              <w:jc w:val="center"/>
              <w:rPr>
                <w:rFonts w:cs="Arial"/>
                <w:b/>
                <w:color w:val="000000" w:themeColor="text1"/>
                <w:szCs w:val="16"/>
              </w:rPr>
            </w:pPr>
            <w:r w:rsidRPr="00781112">
              <w:rPr>
                <w:rFonts w:cs="Arial"/>
                <w:b/>
                <w:color w:val="000000" w:themeColor="text1"/>
                <w:szCs w:val="16"/>
              </w:rPr>
              <w:t>2023</w:t>
            </w:r>
          </w:p>
        </w:tc>
        <w:tc>
          <w:tcPr>
            <w:tcW w:w="902" w:type="pct"/>
            <w:vAlign w:val="center"/>
          </w:tcPr>
          <w:p w14:paraId="4E87FEC3" w14:textId="73615588" w:rsidR="00B14519" w:rsidRPr="003F088A" w:rsidRDefault="00B14519" w:rsidP="00730C62">
            <w:pPr>
              <w:jc w:val="center"/>
              <w:rPr>
                <w:rFonts w:cs="Arial"/>
                <w:b/>
                <w:color w:val="000000" w:themeColor="text1"/>
                <w:szCs w:val="16"/>
              </w:rPr>
            </w:pPr>
            <w:r w:rsidRPr="00781112">
              <w:rPr>
                <w:rFonts w:cs="Arial"/>
                <w:b/>
                <w:color w:val="000000" w:themeColor="text1"/>
                <w:szCs w:val="16"/>
              </w:rPr>
              <w:t>2024</w:t>
            </w:r>
          </w:p>
        </w:tc>
        <w:tc>
          <w:tcPr>
            <w:tcW w:w="902" w:type="pct"/>
            <w:vAlign w:val="center"/>
          </w:tcPr>
          <w:p w14:paraId="52455E86" w14:textId="781B38CA" w:rsidR="00B14519" w:rsidRPr="003F088A" w:rsidRDefault="00B14519" w:rsidP="00730C62">
            <w:pPr>
              <w:jc w:val="center"/>
              <w:rPr>
                <w:rFonts w:cs="Arial"/>
                <w:b/>
                <w:color w:val="000000" w:themeColor="text1"/>
                <w:szCs w:val="16"/>
              </w:rPr>
            </w:pPr>
            <w:r w:rsidRPr="00781112">
              <w:rPr>
                <w:rFonts w:cs="Arial"/>
                <w:b/>
                <w:color w:val="000000" w:themeColor="text1"/>
                <w:szCs w:val="16"/>
              </w:rPr>
              <w:t>2025</w:t>
            </w:r>
          </w:p>
        </w:tc>
      </w:tr>
      <w:tr w:rsidR="00B14519" w:rsidRPr="00781112" w14:paraId="50A2A35E" w14:textId="13C4D5C2" w:rsidTr="00451D7E">
        <w:trPr>
          <w:trHeight w:val="370"/>
        </w:trPr>
        <w:tc>
          <w:tcPr>
            <w:tcW w:w="491" w:type="pct"/>
            <w:shd w:val="clear" w:color="auto" w:fill="auto"/>
          </w:tcPr>
          <w:p w14:paraId="2F249DEE" w14:textId="4AA3473F" w:rsidR="00B14519" w:rsidRPr="00781112" w:rsidRDefault="00B14519" w:rsidP="00AD5583">
            <w:pPr>
              <w:rPr>
                <w:rFonts w:cs="Arial"/>
                <w:color w:val="000000" w:themeColor="text1"/>
                <w:szCs w:val="16"/>
              </w:rPr>
            </w:pPr>
            <w:r w:rsidRPr="00781112">
              <w:rPr>
                <w:rFonts w:cs="Arial"/>
                <w:color w:val="000000" w:themeColor="text1"/>
                <w:szCs w:val="16"/>
              </w:rPr>
              <w:t>Target &gt;=</w:t>
            </w:r>
          </w:p>
        </w:tc>
        <w:tc>
          <w:tcPr>
            <w:tcW w:w="902" w:type="pct"/>
            <w:shd w:val="clear" w:color="auto" w:fill="auto"/>
            <w:vAlign w:val="center"/>
          </w:tcPr>
          <w:p w14:paraId="2ACB7B9E" w14:textId="427B5E78" w:rsidR="00B14519" w:rsidRPr="00781112" w:rsidRDefault="00B14519" w:rsidP="00AD5583">
            <w:pPr>
              <w:jc w:val="center"/>
              <w:rPr>
                <w:rFonts w:cs="Arial"/>
                <w:color w:val="000000" w:themeColor="text1"/>
                <w:szCs w:val="16"/>
              </w:rPr>
            </w:pPr>
            <w:r w:rsidRPr="00781112">
              <w:rPr>
                <w:rFonts w:cs="Arial"/>
                <w:color w:val="000000" w:themeColor="text1"/>
                <w:szCs w:val="16"/>
              </w:rPr>
              <w:t>84.50%</w:t>
            </w:r>
          </w:p>
        </w:tc>
        <w:tc>
          <w:tcPr>
            <w:tcW w:w="902" w:type="pct"/>
          </w:tcPr>
          <w:p w14:paraId="01493DF6" w14:textId="39FAD961" w:rsidR="00B14519" w:rsidRPr="00781112" w:rsidRDefault="00B14519" w:rsidP="00AD5583">
            <w:pPr>
              <w:spacing w:before="0" w:after="200" w:line="276" w:lineRule="auto"/>
            </w:pPr>
            <w:r w:rsidRPr="00781112">
              <w:rPr>
                <w:color w:val="000000" w:themeColor="text1"/>
                <w:szCs w:val="16"/>
              </w:rPr>
              <w:t>85.00%</w:t>
            </w:r>
          </w:p>
        </w:tc>
        <w:tc>
          <w:tcPr>
            <w:tcW w:w="902" w:type="pct"/>
          </w:tcPr>
          <w:p w14:paraId="71DAA89B" w14:textId="5FDD553A" w:rsidR="00B14519" w:rsidRPr="00781112" w:rsidRDefault="00B14519" w:rsidP="00AD5583">
            <w:pPr>
              <w:spacing w:before="0" w:after="200" w:line="276" w:lineRule="auto"/>
            </w:pPr>
            <w:r w:rsidRPr="00781112">
              <w:rPr>
                <w:color w:val="000000" w:themeColor="text1"/>
                <w:szCs w:val="16"/>
              </w:rPr>
              <w:t>85.50%</w:t>
            </w:r>
          </w:p>
        </w:tc>
        <w:tc>
          <w:tcPr>
            <w:tcW w:w="902" w:type="pct"/>
          </w:tcPr>
          <w:p w14:paraId="6C8342E2" w14:textId="3FBC30A4" w:rsidR="00B14519" w:rsidRPr="00781112" w:rsidRDefault="00B14519" w:rsidP="00AD5583">
            <w:pPr>
              <w:spacing w:before="0" w:after="200" w:line="276" w:lineRule="auto"/>
            </w:pPr>
            <w:r w:rsidRPr="00781112">
              <w:rPr>
                <w:color w:val="000000" w:themeColor="text1"/>
                <w:szCs w:val="16"/>
              </w:rPr>
              <w:t>86.00%</w:t>
            </w:r>
          </w:p>
        </w:tc>
        <w:tc>
          <w:tcPr>
            <w:tcW w:w="902" w:type="pct"/>
          </w:tcPr>
          <w:p w14:paraId="02A9D828" w14:textId="4D6EC210" w:rsidR="00B14519" w:rsidRPr="00781112" w:rsidRDefault="00B14519" w:rsidP="00AD5583">
            <w:pPr>
              <w:spacing w:before="0" w:after="200" w:line="276" w:lineRule="auto"/>
            </w:pPr>
            <w:r w:rsidRPr="00781112">
              <w:rPr>
                <w:color w:val="000000" w:themeColor="text1"/>
                <w:szCs w:val="16"/>
              </w:rPr>
              <w:t>86.10%</w:t>
            </w:r>
          </w:p>
        </w:tc>
      </w:tr>
    </w:tbl>
    <w:p w14:paraId="68BCE5ED" w14:textId="77777777" w:rsidR="007E2779" w:rsidRPr="00781112" w:rsidRDefault="007E2779" w:rsidP="000A2C83">
      <w:pPr>
        <w:rPr>
          <w:rFonts w:cs="Arial"/>
          <w:color w:val="000000" w:themeColor="text1"/>
          <w:szCs w:val="16"/>
        </w:rPr>
      </w:pPr>
    </w:p>
    <w:p w14:paraId="15954908" w14:textId="0AB73F14" w:rsidR="00FB6462" w:rsidRPr="00781112" w:rsidRDefault="0047313F" w:rsidP="004369B2">
      <w:pPr>
        <w:rPr>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206A65" w:rsidRPr="00781112" w14:paraId="2A3467FD" w14:textId="77777777" w:rsidTr="00AB0D6A">
        <w:trPr>
          <w:trHeight w:val="368"/>
          <w:tblHeader/>
        </w:trPr>
        <w:tc>
          <w:tcPr>
            <w:tcW w:w="1244" w:type="pct"/>
            <w:shd w:val="clear" w:color="auto" w:fill="auto"/>
            <w:vAlign w:val="bottom"/>
          </w:tcPr>
          <w:p w14:paraId="1B1F6FBB" w14:textId="77777777" w:rsidR="00206A65" w:rsidRPr="00781112" w:rsidRDefault="00206A65" w:rsidP="00206A65">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206A65" w:rsidRPr="00781112" w:rsidRDefault="00206A65" w:rsidP="00206A65">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32FBABFF" w:rsidR="00206A65" w:rsidRPr="00CC1061" w:rsidRDefault="00206A65" w:rsidP="00206A65">
            <w:pPr>
              <w:jc w:val="center"/>
              <w:rPr>
                <w:b/>
                <w:bCs/>
                <w:color w:val="000000" w:themeColor="text1"/>
              </w:rPr>
            </w:pPr>
            <w:r w:rsidRPr="00CC1061">
              <w:rPr>
                <w:b/>
                <w:bCs/>
              </w:rPr>
              <w:t>FFY 2020 Data</w:t>
            </w:r>
          </w:p>
        </w:tc>
        <w:tc>
          <w:tcPr>
            <w:tcW w:w="667" w:type="pct"/>
            <w:shd w:val="clear" w:color="auto" w:fill="auto"/>
            <w:vAlign w:val="bottom"/>
          </w:tcPr>
          <w:p w14:paraId="42BF1046" w14:textId="7C022548" w:rsidR="00206A65" w:rsidRPr="00CC1061" w:rsidRDefault="00206A65" w:rsidP="00206A65">
            <w:pPr>
              <w:jc w:val="center"/>
              <w:rPr>
                <w:b/>
                <w:bCs/>
                <w:color w:val="000000" w:themeColor="text1"/>
              </w:rPr>
            </w:pPr>
            <w:r w:rsidRPr="00CC1061">
              <w:rPr>
                <w:b/>
                <w:bCs/>
              </w:rPr>
              <w:t>FFY 2021 Target</w:t>
            </w:r>
          </w:p>
        </w:tc>
        <w:tc>
          <w:tcPr>
            <w:tcW w:w="542" w:type="pct"/>
            <w:shd w:val="clear" w:color="auto" w:fill="auto"/>
            <w:vAlign w:val="bottom"/>
          </w:tcPr>
          <w:p w14:paraId="36E0331C" w14:textId="795D3E94" w:rsidR="00206A65" w:rsidRPr="00CC1061" w:rsidRDefault="00206A65" w:rsidP="00206A65">
            <w:pPr>
              <w:jc w:val="center"/>
              <w:rPr>
                <w:b/>
                <w:bCs/>
                <w:color w:val="000000" w:themeColor="text1"/>
              </w:rPr>
            </w:pPr>
            <w:r w:rsidRPr="00CC1061">
              <w:rPr>
                <w:b/>
                <w:bCs/>
              </w:rPr>
              <w:t>FFY 2021 Data</w:t>
            </w:r>
          </w:p>
        </w:tc>
        <w:tc>
          <w:tcPr>
            <w:tcW w:w="625" w:type="pct"/>
            <w:shd w:val="clear" w:color="auto" w:fill="auto"/>
            <w:vAlign w:val="bottom"/>
          </w:tcPr>
          <w:p w14:paraId="52157F4E" w14:textId="77777777" w:rsidR="00206A65" w:rsidRPr="00781112" w:rsidRDefault="00206A65" w:rsidP="00206A65">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254</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306</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86.39%</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84.50%</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83.01%</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2E31F6C1" w14:textId="49DD19A3" w:rsidR="006D77A0" w:rsidRPr="00781112" w:rsidRDefault="006D77A0" w:rsidP="00230EE6">
      <w:pPr>
        <w:rPr>
          <w:b/>
          <w:color w:val="000000" w:themeColor="text1"/>
        </w:rPr>
      </w:pPr>
      <w:r w:rsidRPr="00781112">
        <w:rPr>
          <w:b/>
          <w:color w:val="000000" w:themeColor="text1"/>
        </w:rPr>
        <w:t>Provide reasons for slippage, if applicable</w:t>
      </w:r>
    </w:p>
    <w:p w14:paraId="422D5396" w14:textId="68746AD2" w:rsidR="00230EE6" w:rsidRPr="00781112" w:rsidRDefault="00230EE6" w:rsidP="004369B2">
      <w:pPr>
        <w:rPr>
          <w:rFonts w:cs="Arial"/>
          <w:color w:val="000000" w:themeColor="text1"/>
          <w:szCs w:val="16"/>
        </w:rPr>
      </w:pPr>
      <w:r w:rsidRPr="00781112">
        <w:rPr>
          <w:rFonts w:cs="Arial"/>
          <w:color w:val="000000" w:themeColor="text1"/>
          <w:szCs w:val="16"/>
        </w:rPr>
        <w:t xml:space="preserve">The FFY 2021 APR reflects slippage with Indicator B8. While it is difficult to determine a definitive reason for the slippage, one </w:t>
      </w:r>
      <w:proofErr w:type="gramStart"/>
      <w:r w:rsidRPr="00781112">
        <w:rPr>
          <w:rFonts w:cs="Arial"/>
          <w:color w:val="000000" w:themeColor="text1"/>
          <w:szCs w:val="16"/>
        </w:rPr>
        <w:t>possible reason</w:t>
      </w:r>
      <w:proofErr w:type="gramEnd"/>
      <w:r w:rsidRPr="00781112">
        <w:rPr>
          <w:rFonts w:cs="Arial"/>
          <w:color w:val="000000" w:themeColor="text1"/>
          <w:szCs w:val="16"/>
        </w:rPr>
        <w:t xml:space="preserve"> may be related to short period of time PRDE had to distribute the survey and collect data. PRDE have had various meetings with the technical assistance provider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receive feedback </w:t>
      </w:r>
      <w:proofErr w:type="gramStart"/>
      <w:r w:rsidRPr="00781112">
        <w:rPr>
          <w:rFonts w:cs="Arial"/>
          <w:color w:val="000000" w:themeColor="text1"/>
          <w:szCs w:val="16"/>
        </w:rPr>
        <w:t>of</w:t>
      </w:r>
      <w:proofErr w:type="gramEnd"/>
      <w:r w:rsidRPr="00781112">
        <w:rPr>
          <w:rFonts w:cs="Arial"/>
          <w:color w:val="000000" w:themeColor="text1"/>
          <w:szCs w:val="16"/>
        </w:rPr>
        <w:t xml:space="preserve"> its Sampling Plan. PRDE plans to closely monitor the data and hold discussions with stakeholders related to Indicator 8.</w:t>
      </w:r>
    </w:p>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 xml:space="preserve">Since the State did not report preschool children separately, discuss the procedures used to combine data from school age and preschool surveys in a manner that is valid and </w:t>
      </w:r>
      <w:proofErr w:type="gramStart"/>
      <w:r w:rsidRPr="00781112">
        <w:rPr>
          <w:rFonts w:cs="Arial"/>
          <w:b/>
          <w:color w:val="000000" w:themeColor="text1"/>
          <w:szCs w:val="16"/>
        </w:rPr>
        <w:t>reliable</w:t>
      </w:r>
      <w:proofErr w:type="gramEnd"/>
      <w:r w:rsidRPr="00781112">
        <w:rPr>
          <w:rFonts w:cs="Arial"/>
          <w:b/>
          <w:color w:val="000000" w:themeColor="text1"/>
          <w:szCs w:val="16"/>
        </w:rPr>
        <w:t>.</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 xml:space="preserve">PRDE includes all students served under Part B in its information system, and, at the time that PRDE selects its sample, all students served under Part B </w:t>
      </w:r>
      <w:proofErr w:type="gramStart"/>
      <w:r w:rsidRPr="00781112">
        <w:rPr>
          <w:rFonts w:cs="Arial"/>
          <w:color w:val="000000" w:themeColor="text1"/>
          <w:szCs w:val="16"/>
        </w:rPr>
        <w:t>are included</w:t>
      </w:r>
      <w:proofErr w:type="gramEnd"/>
      <w:r w:rsidRPr="00781112">
        <w:rPr>
          <w:rFonts w:cs="Arial"/>
          <w:color w:val="000000" w:themeColor="text1"/>
          <w:szCs w:val="16"/>
        </w:rPr>
        <w:t>. The same process is employed for issuing the survey to parents of all selected students, regardless of whether the student is a preschool student.</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 xml:space="preserve">The number of parents to whom the surveys </w:t>
      </w:r>
      <w:proofErr w:type="gramStart"/>
      <w:r w:rsidRPr="00781112">
        <w:rPr>
          <w:rFonts w:cs="Arial"/>
          <w:b/>
          <w:color w:val="000000" w:themeColor="text1"/>
          <w:szCs w:val="16"/>
        </w:rPr>
        <w:t>were distributed</w:t>
      </w:r>
      <w:proofErr w:type="gramEnd"/>
      <w:r w:rsidRPr="00781112">
        <w:rPr>
          <w:rFonts w:cs="Arial"/>
          <w:b/>
          <w:color w:val="000000" w:themeColor="text1"/>
          <w:szCs w:val="16"/>
        </w:rPr>
        <w:t>.</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383</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79.90%</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759"/>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41"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2020</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2021</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93.99%</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79.90%</w:t>
            </w:r>
          </w:p>
        </w:tc>
      </w:tr>
      <w:bookmarkEnd w:id="41"/>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 xml:space="preserve">Describe strategies that will </w:t>
      </w:r>
      <w:proofErr w:type="gramStart"/>
      <w:r w:rsidRPr="0061205F">
        <w:rPr>
          <w:rFonts w:cs="Arial"/>
          <w:b/>
          <w:color w:val="000000" w:themeColor="text1"/>
          <w:szCs w:val="16"/>
        </w:rPr>
        <w:t>be implemented</w:t>
      </w:r>
      <w:proofErr w:type="gramEnd"/>
      <w:r w:rsidRPr="0061205F">
        <w:rPr>
          <w:rFonts w:cs="Arial"/>
          <w:b/>
          <w:color w:val="000000" w:themeColor="text1"/>
          <w:szCs w:val="16"/>
        </w:rPr>
        <w:t xml:space="preserve">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 xml:space="preserve">PRDE will implement various strategies which </w:t>
      </w:r>
      <w:proofErr w:type="gramStart"/>
      <w:r w:rsidRPr="0061205F">
        <w:rPr>
          <w:rFonts w:cs="Arial"/>
          <w:bCs/>
          <w:color w:val="000000" w:themeColor="text1"/>
          <w:szCs w:val="16"/>
        </w:rPr>
        <w:t>are expected</w:t>
      </w:r>
      <w:proofErr w:type="gramEnd"/>
      <w:r w:rsidRPr="0061205F">
        <w:rPr>
          <w:rFonts w:cs="Arial"/>
          <w:bCs/>
          <w:color w:val="000000" w:themeColor="text1"/>
          <w:szCs w:val="16"/>
        </w:rPr>
        <w:t xml:space="preserve"> to increase the response rate year over year, particularly for those groups that are underrepresented. These strategies include closely monitoring progress with obtaining responses, assessing response rate at regular intervals, and using multiple forms of follow-up (e.g., phone calls, email, text messages) in effort to continuously improve the response rate, particularly for those groups that may have </w:t>
      </w:r>
      <w:proofErr w:type="gramStart"/>
      <w:r w:rsidRPr="0061205F">
        <w:rPr>
          <w:rFonts w:cs="Arial"/>
          <w:bCs/>
          <w:color w:val="000000" w:themeColor="text1"/>
          <w:szCs w:val="16"/>
        </w:rPr>
        <w:t>been identified</w:t>
      </w:r>
      <w:proofErr w:type="gramEnd"/>
      <w:r w:rsidRPr="0061205F">
        <w:rPr>
          <w:rFonts w:cs="Arial"/>
          <w:bCs/>
          <w:color w:val="000000" w:themeColor="text1"/>
          <w:szCs w:val="16"/>
        </w:rPr>
        <w:t xml:space="preserve"> as underrepresented. In monitoring progress with obtaining responses and assessing the response rate at regular intervals, PRDE will monitor progress and assess response rate by demographic groups including geographic educational region and race/ethnicity throughout the data collection period.</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2" w:name="_Hlk81486999"/>
      <w:r w:rsidRPr="0061205F">
        <w:rPr>
          <w:rFonts w:cs="Arial"/>
          <w:b/>
          <w:color w:val="000000" w:themeColor="text1"/>
          <w:szCs w:val="16"/>
        </w:rPr>
        <w:t xml:space="preserve">of the response rate including any nonresponse bias that </w:t>
      </w:r>
      <w:proofErr w:type="gramStart"/>
      <w:r w:rsidRPr="0061205F">
        <w:rPr>
          <w:rFonts w:cs="Arial"/>
          <w:b/>
          <w:color w:val="000000" w:themeColor="text1"/>
          <w:szCs w:val="16"/>
        </w:rPr>
        <w:t>was identified</w:t>
      </w:r>
      <w:proofErr w:type="gramEnd"/>
      <w:r w:rsidRPr="0061205F">
        <w:rPr>
          <w:rFonts w:cs="Arial"/>
          <w:b/>
          <w:color w:val="000000" w:themeColor="text1"/>
          <w:szCs w:val="16"/>
        </w:rPr>
        <w:t>,</w:t>
      </w:r>
      <w:bookmarkEnd w:id="42"/>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As noted below, PRDE's analysis of the response data reflected that the data is representative of the demographics of the children for whom parents responded. PRDE analyzed the response rate, and determined the following response rates by PRDE Educational Region (Geographic Regions):</w:t>
      </w:r>
      <w:r>
        <w:rPr>
          <w:rFonts w:cs="Arial"/>
          <w:szCs w:val="16"/>
        </w:rPr>
        <w:br/>
      </w:r>
      <w:r>
        <w:rPr>
          <w:rFonts w:cs="Arial"/>
          <w:szCs w:val="16"/>
        </w:rPr>
        <w:br/>
        <w:t>Response Rate by PRDE Educational Region (Geographic Region):</w:t>
      </w:r>
      <w:r>
        <w:rPr>
          <w:rFonts w:cs="Arial"/>
          <w:szCs w:val="16"/>
        </w:rPr>
        <w:br/>
        <w:t xml:space="preserve">Arecibo: 64% </w:t>
      </w:r>
      <w:r>
        <w:rPr>
          <w:rFonts w:cs="Arial"/>
          <w:szCs w:val="16"/>
        </w:rPr>
        <w:br/>
        <w:t xml:space="preserve">Bayamon: 86% </w:t>
      </w:r>
      <w:r>
        <w:rPr>
          <w:rFonts w:cs="Arial"/>
          <w:szCs w:val="16"/>
        </w:rPr>
        <w:br/>
      </w:r>
      <w:r>
        <w:rPr>
          <w:rFonts w:cs="Arial"/>
          <w:szCs w:val="16"/>
        </w:rPr>
        <w:lastRenderedPageBreak/>
        <w:t>Caguas: 100%</w:t>
      </w:r>
      <w:r>
        <w:rPr>
          <w:rFonts w:cs="Arial"/>
          <w:szCs w:val="16"/>
        </w:rPr>
        <w:br/>
        <w:t xml:space="preserve">Humacao: 95% </w:t>
      </w:r>
      <w:r>
        <w:rPr>
          <w:rFonts w:cs="Arial"/>
          <w:szCs w:val="16"/>
        </w:rPr>
        <w:br/>
        <w:t xml:space="preserve">Mayaguez: 88% </w:t>
      </w:r>
      <w:r>
        <w:rPr>
          <w:rFonts w:cs="Arial"/>
          <w:szCs w:val="16"/>
        </w:rPr>
        <w:br/>
        <w:t xml:space="preserve">Ponce: 74% </w:t>
      </w:r>
      <w:r>
        <w:rPr>
          <w:rFonts w:cs="Arial"/>
          <w:szCs w:val="16"/>
        </w:rPr>
        <w:br/>
        <w:t>San Juan: 58%</w:t>
      </w:r>
      <w:r>
        <w:rPr>
          <w:rFonts w:cs="Arial"/>
          <w:szCs w:val="16"/>
        </w:rPr>
        <w:br/>
      </w:r>
      <w:r>
        <w:rPr>
          <w:rFonts w:cs="Arial"/>
          <w:szCs w:val="16"/>
        </w:rPr>
        <w:br/>
        <w:t xml:space="preserve">As reflected above, the response rate by PRDE Educational Region (Geographic Region) ranged from 58% to 100%. While four of the seven regions had </w:t>
      </w:r>
      <w:proofErr w:type="gramStart"/>
      <w:r>
        <w:rPr>
          <w:rFonts w:cs="Arial"/>
          <w:szCs w:val="16"/>
        </w:rPr>
        <w:t>relatively high</w:t>
      </w:r>
      <w:proofErr w:type="gramEnd"/>
      <w:r>
        <w:rPr>
          <w:rFonts w:cs="Arial"/>
          <w:szCs w:val="16"/>
        </w:rPr>
        <w:t xml:space="preserve"> response rates (86%-100%), three regions had lower response rates (58%-74%). While the overall respondents are representative of the geographic educational regions, it is possible that lower response rates from certain regions may be indicative of potential nonresponse bias. As described above, PRDE will implement various strategies to increase the response rate year over year, including monitoring progress and assessing response rate by geographic educational region throughout the collection period.</w:t>
      </w:r>
      <w:r>
        <w:rPr>
          <w:rFonts w:cs="Arial"/>
          <w:szCs w:val="16"/>
        </w:rPr>
        <w:br/>
        <w:t xml:space="preserve">     </w:t>
      </w:r>
      <w:r>
        <w:rPr>
          <w:rFonts w:cs="Arial"/>
          <w:szCs w:val="16"/>
        </w:rPr>
        <w:br/>
        <w:t xml:space="preserve">In terms of analysis of the response rate by racial/ethnic group, as reported below, over 99.8% of PRDE students identify as Hispanic, with less than 0.2% of students identifying under any other race/ethnic groups. Analysis of this year’s random sample reflected that 100% of those selected for the sample identify as Hispanic, which statistically is appropriate </w:t>
      </w:r>
      <w:proofErr w:type="gramStart"/>
      <w:r>
        <w:rPr>
          <w:rFonts w:cs="Arial"/>
          <w:szCs w:val="16"/>
        </w:rPr>
        <w:t>in light of</w:t>
      </w:r>
      <w:proofErr w:type="gramEnd"/>
      <w:r>
        <w:rPr>
          <w:rFonts w:cs="Arial"/>
          <w:szCs w:val="16"/>
        </w:rPr>
        <w:t xml:space="preserve"> the make-up of the overall population. Accordingly, no issue of nonresponse bias </w:t>
      </w:r>
      <w:proofErr w:type="gramStart"/>
      <w:r>
        <w:rPr>
          <w:rFonts w:cs="Arial"/>
          <w:szCs w:val="16"/>
        </w:rPr>
        <w:t>was identified</w:t>
      </w:r>
      <w:proofErr w:type="gramEnd"/>
      <w:r>
        <w:rPr>
          <w:rFonts w:cs="Arial"/>
          <w:szCs w:val="16"/>
        </w:rPr>
        <w:t xml:space="preserve">. PRDE has included race/ethnicity in its analysis of the extent to which the demographics of the parents responding are representative of children receiving special education services because it was a required item for the FFY 2021 SPP/APR Indicator 8 reporting. As over 99.8% of PRDE students identify as Hispanic, PRDE </w:t>
      </w:r>
      <w:proofErr w:type="gramStart"/>
      <w:r>
        <w:rPr>
          <w:rFonts w:cs="Arial"/>
          <w:szCs w:val="16"/>
        </w:rPr>
        <w:t>likely would</w:t>
      </w:r>
      <w:proofErr w:type="gramEnd"/>
      <w:r>
        <w:rPr>
          <w:rFonts w:cs="Arial"/>
          <w:szCs w:val="16"/>
        </w:rPr>
        <w:t xml:space="preserve"> not have selected this demographic for analysis if it were not required. </w:t>
      </w:r>
    </w:p>
    <w:p w14:paraId="78A83A27" w14:textId="50D5E24D" w:rsidR="001F448F" w:rsidRDefault="001F448F" w:rsidP="00A12797">
      <w:pPr>
        <w:rPr>
          <w:b/>
          <w:bCs/>
        </w:rPr>
      </w:pPr>
    </w:p>
    <w:p w14:paraId="325464F9" w14:textId="77777777" w:rsidR="000762B0" w:rsidRPr="000762B0" w:rsidRDefault="000762B0" w:rsidP="000762B0">
      <w:pPr>
        <w:rPr>
          <w:b/>
          <w:bCs/>
        </w:rPr>
      </w:pPr>
      <w:r w:rsidRPr="000762B0">
        <w:rPr>
          <w:b/>
          <w:bCs/>
        </w:rPr>
        <w:t xml:space="preserve">Include the State’s analyses of the extent to which the demographics of the parents responding are representative of the demographics of children receiving special education services. </w:t>
      </w:r>
      <w:bookmarkStart w:id="43" w:name="_Hlk112070690"/>
      <w:bookmarkStart w:id="44" w:name="_Hlk92445770"/>
      <w:r w:rsidRPr="000762B0">
        <w:rPr>
          <w:b/>
          <w:bCs/>
        </w:rPr>
        <w:t>States must include race/ethnicity in their analysis. In addition, the State’s analysis must also include at least one of the following demographics: age of the student, disability category, gender, geographic location, and/or another demographic category approved through the stakeholder input process.</w:t>
      </w:r>
    </w:p>
    <w:bookmarkEnd w:id="43"/>
    <w:bookmarkEnd w:id="44"/>
    <w:p w14:paraId="513A1FE6" w14:textId="77777777" w:rsidR="00090132" w:rsidRDefault="00090132" w:rsidP="006F6351">
      <w:pPr>
        <w:rPr>
          <w:b/>
          <w:bCs/>
        </w:rPr>
      </w:pPr>
      <w:r w:rsidRPr="000A2B9F">
        <w:rPr>
          <w:bCs/>
          <w:color w:val="000000" w:themeColor="text1"/>
        </w:rPr>
        <w:t xml:space="preserve">PRDE analyzed respondent data and determined the response group was representative of the demographics of children receiving special education services (target population). The response group accurately reflects the target population. For example, the following lists note the make-up of the target population and the representativeness of each response data by (i) race/ethnicity and (ii) geographic educational region. For each race/ethnicity category and geographic region, the percentage make-up of the target population for that classification </w:t>
      </w:r>
      <w:proofErr w:type="gramStart"/>
      <w:r w:rsidRPr="000A2B9F">
        <w:rPr>
          <w:bCs/>
          <w:color w:val="000000" w:themeColor="text1"/>
        </w:rPr>
        <w:t>is listed</w:t>
      </w:r>
      <w:proofErr w:type="gramEnd"/>
      <w:r w:rsidRPr="000A2B9F">
        <w:rPr>
          <w:bCs/>
          <w:color w:val="000000" w:themeColor="text1"/>
        </w:rPr>
        <w:t xml:space="preserve"> followed by the percentage make-up of the response data for that group of responders. </w:t>
      </w:r>
      <w:r w:rsidRPr="000A2B9F">
        <w:rPr>
          <w:bCs/>
          <w:color w:val="000000" w:themeColor="text1"/>
        </w:rPr>
        <w:br/>
      </w:r>
      <w:r w:rsidRPr="000A2B9F">
        <w:rPr>
          <w:bCs/>
          <w:color w:val="000000" w:themeColor="text1"/>
        </w:rPr>
        <w:br/>
        <w:t xml:space="preserve">Comparing Target Population % to Response Data % by Race/Ethnicity: </w:t>
      </w:r>
      <w:r w:rsidRPr="000A2B9F">
        <w:rPr>
          <w:bCs/>
          <w:color w:val="000000" w:themeColor="text1"/>
        </w:rPr>
        <w:br/>
        <w:t xml:space="preserve">Asian: 0.02%, 0.00% </w:t>
      </w:r>
      <w:r w:rsidRPr="000A2B9F">
        <w:rPr>
          <w:bCs/>
          <w:color w:val="000000" w:themeColor="text1"/>
        </w:rPr>
        <w:br/>
        <w:t xml:space="preserve">White, Not Hispanic: 0.12%, 0.00% </w:t>
      </w:r>
      <w:r w:rsidRPr="000A2B9F">
        <w:rPr>
          <w:bCs/>
          <w:color w:val="000000" w:themeColor="text1"/>
        </w:rPr>
        <w:br/>
        <w:t>Hispanic/Latino: 99.82%, 100%</w:t>
      </w:r>
      <w:r w:rsidRPr="000A2B9F">
        <w:rPr>
          <w:bCs/>
          <w:color w:val="000000" w:themeColor="text1"/>
        </w:rPr>
        <w:br/>
        <w:t>Native American: 0.03%, 0.00%</w:t>
      </w:r>
      <w:r w:rsidRPr="000A2B9F">
        <w:rPr>
          <w:bCs/>
          <w:color w:val="000000" w:themeColor="text1"/>
        </w:rPr>
        <w:br/>
        <w:t>Black, Not Hispanic: 0.02%, 0.00%</w:t>
      </w:r>
      <w:r w:rsidRPr="000A2B9F">
        <w:rPr>
          <w:bCs/>
          <w:color w:val="000000" w:themeColor="text1"/>
        </w:rPr>
        <w:br/>
        <w:t xml:space="preserve"> </w:t>
      </w:r>
      <w:r w:rsidRPr="000A2B9F">
        <w:rPr>
          <w:bCs/>
          <w:color w:val="000000" w:themeColor="text1"/>
        </w:rPr>
        <w:br/>
        <w:t xml:space="preserve">Comparing Target Population % to Response Data % by PRDE Educational Region (Geographical Regions): </w:t>
      </w:r>
      <w:r w:rsidRPr="000A2B9F">
        <w:rPr>
          <w:bCs/>
          <w:color w:val="000000" w:themeColor="text1"/>
        </w:rPr>
        <w:br/>
        <w:t xml:space="preserve">Arecibo: 14.23%, 11.44% </w:t>
      </w:r>
      <w:r w:rsidRPr="000A2B9F">
        <w:rPr>
          <w:bCs/>
          <w:color w:val="000000" w:themeColor="text1"/>
        </w:rPr>
        <w:br/>
        <w:t xml:space="preserve">Bayamon: 15.32%, 16.67% </w:t>
      </w:r>
      <w:r w:rsidRPr="000A2B9F">
        <w:rPr>
          <w:bCs/>
          <w:color w:val="000000" w:themeColor="text1"/>
        </w:rPr>
        <w:br/>
        <w:t>Caguas: 14.34%,17.97%</w:t>
      </w:r>
      <w:r w:rsidRPr="000A2B9F">
        <w:rPr>
          <w:bCs/>
          <w:color w:val="000000" w:themeColor="text1"/>
        </w:rPr>
        <w:br/>
        <w:t xml:space="preserve">Humacao: 10.63%, 12.75% </w:t>
      </w:r>
      <w:r w:rsidRPr="000A2B9F">
        <w:rPr>
          <w:bCs/>
          <w:color w:val="000000" w:themeColor="text1"/>
        </w:rPr>
        <w:br/>
        <w:t xml:space="preserve">Mayaguez: 14.53%, 16.01% </w:t>
      </w:r>
      <w:r w:rsidRPr="000A2B9F">
        <w:rPr>
          <w:bCs/>
          <w:color w:val="000000" w:themeColor="text1"/>
        </w:rPr>
        <w:br/>
        <w:t xml:space="preserve">Ponce: 13.78%, 12.75% </w:t>
      </w:r>
      <w:r w:rsidRPr="000A2B9F">
        <w:rPr>
          <w:bCs/>
          <w:color w:val="000000" w:themeColor="text1"/>
        </w:rPr>
        <w:br/>
        <w:t xml:space="preserve">San Juan: 17.18%, 12.42% </w:t>
      </w:r>
    </w:p>
    <w:p w14:paraId="524817D1" w14:textId="77777777" w:rsidR="000762B0" w:rsidRPr="000762B0" w:rsidRDefault="000762B0" w:rsidP="000762B0">
      <w:pPr>
        <w:pStyle w:val="Subhed"/>
        <w:rPr>
          <w:bCs/>
        </w:rPr>
      </w:pPr>
      <w:r w:rsidRPr="000762B0">
        <w:rPr>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YES</w:t>
      </w:r>
    </w:p>
    <w:p w14:paraId="166BD57C" w14:textId="36346D06" w:rsidR="00090132" w:rsidRPr="00A12797" w:rsidRDefault="000762B0" w:rsidP="00A12797">
      <w:pPr>
        <w:rPr>
          <w:b/>
          <w:bCs/>
        </w:rPr>
      </w:pPr>
      <w:r w:rsidRPr="000762B0">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The metric used to determine representativeness is +/- 5%.</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46B6D7FE" w14:textId="62FEECDE" w:rsidTr="002B4D97">
        <w:tc>
          <w:tcPr>
            <w:tcW w:w="8550" w:type="dxa"/>
            <w:shd w:val="clear" w:color="auto" w:fill="auto"/>
          </w:tcPr>
          <w:p w14:paraId="03CC110D" w14:textId="013D0EF2" w:rsidR="00564D95" w:rsidRPr="00781112" w:rsidRDefault="00EF1C23" w:rsidP="00B6413B">
            <w:pPr>
              <w:rPr>
                <w:rFonts w:cs="Arial"/>
                <w:color w:val="000000" w:themeColor="text1"/>
                <w:szCs w:val="16"/>
              </w:rPr>
            </w:pPr>
            <w:r w:rsidRPr="00781112">
              <w:rPr>
                <w:rFonts w:cs="Arial"/>
                <w:color w:val="000000" w:themeColor="text1"/>
                <w:szCs w:val="16"/>
              </w:rPr>
              <w:t>If yes, has your previously approved sampling plan changed?</w:t>
            </w:r>
          </w:p>
        </w:tc>
        <w:tc>
          <w:tcPr>
            <w:tcW w:w="2245" w:type="dxa"/>
            <w:shd w:val="clear" w:color="auto" w:fill="auto"/>
          </w:tcPr>
          <w:p w14:paraId="152E1EC0" w14:textId="4401EFC8"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C7B18C6" w14:textId="2B0391C4" w:rsidR="009B37A2" w:rsidRPr="00781112" w:rsidRDefault="009B37A2" w:rsidP="00B6413B">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1972664F" w14:textId="35FA6AAA" w:rsidR="009B37A2" w:rsidRPr="00781112" w:rsidRDefault="002B7490" w:rsidP="00B6413B">
      <w:pPr>
        <w:rPr>
          <w:rFonts w:cs="Arial"/>
          <w:color w:val="000000" w:themeColor="text1"/>
          <w:szCs w:val="16"/>
        </w:rPr>
      </w:pPr>
      <w:r w:rsidRPr="00781112">
        <w:rPr>
          <w:rFonts w:cs="Arial"/>
          <w:color w:val="000000" w:themeColor="text1"/>
          <w:szCs w:val="16"/>
        </w:rPr>
        <w:t xml:space="preserve">For this indicator, PRDE translated the National Center for Special Education Accountability and Monitoring Parent Survey-Special Education (version 2). The translation of the survey was adapted and used to measure the opportunities for parent involvement in their children’s special education provision of services. The “Inventario para padres de estudiantes que reciben servicios de Educacion Especial” </w:t>
      </w:r>
      <w:proofErr w:type="gramStart"/>
      <w:r w:rsidRPr="00781112">
        <w:rPr>
          <w:rFonts w:cs="Arial"/>
          <w:color w:val="000000" w:themeColor="text1"/>
          <w:szCs w:val="16"/>
        </w:rPr>
        <w:t>was administered</w:t>
      </w:r>
      <w:proofErr w:type="gramEnd"/>
      <w:r w:rsidRPr="00781112">
        <w:rPr>
          <w:rFonts w:cs="Arial"/>
          <w:color w:val="000000" w:themeColor="text1"/>
          <w:szCs w:val="16"/>
        </w:rPr>
        <w:t xml:space="preserve"> to a random sample of parents of children 3-22 years old. The sample size was 383 parents. Parents </w:t>
      </w:r>
      <w:proofErr w:type="gramStart"/>
      <w:r w:rsidRPr="00781112">
        <w:rPr>
          <w:rFonts w:cs="Arial"/>
          <w:color w:val="000000" w:themeColor="text1"/>
          <w:szCs w:val="16"/>
        </w:rPr>
        <w:t>were randomly selected</w:t>
      </w:r>
      <w:proofErr w:type="gramEnd"/>
      <w:r w:rsidRPr="00781112">
        <w:rPr>
          <w:rFonts w:cs="Arial"/>
          <w:color w:val="000000" w:themeColor="text1"/>
          <w:szCs w:val="16"/>
        </w:rPr>
        <w:t xml:space="preserve"> from the </w:t>
      </w:r>
      <w:proofErr w:type="gramStart"/>
      <w:r w:rsidRPr="00781112">
        <w:rPr>
          <w:rFonts w:cs="Arial"/>
          <w:color w:val="000000" w:themeColor="text1"/>
          <w:szCs w:val="16"/>
        </w:rPr>
        <w:t>data base</w:t>
      </w:r>
      <w:proofErr w:type="gramEnd"/>
      <w:r w:rsidRPr="00781112">
        <w:rPr>
          <w:rFonts w:cs="Arial"/>
          <w:color w:val="000000" w:themeColor="text1"/>
          <w:szCs w:val="16"/>
        </w:rPr>
        <w:t xml:space="preserve"> of special education students receiving services. The random sampling methodology used is based on Vera (2005) and Cornett &amp; Beckner (1975). This method states that the sample of 383 is an appropriate sample for an N size of 100,000. PRDE’s special student population is 89,491.</w:t>
      </w:r>
      <w:r w:rsidRPr="00781112">
        <w:rPr>
          <w:rFonts w:cs="Arial"/>
          <w:color w:val="000000" w:themeColor="text1"/>
          <w:szCs w:val="16"/>
        </w:rPr>
        <w:br/>
      </w:r>
      <w:r w:rsidRPr="00781112">
        <w:rPr>
          <w:rFonts w:cs="Arial"/>
          <w:color w:val="000000" w:themeColor="text1"/>
          <w:szCs w:val="16"/>
        </w:rPr>
        <w:br/>
        <w:t xml:space="preserve">Parents who answered “bastante” or “mucho” (numbers 4 and 5 on a 1-5 scale) on questions regarding parental involvement, </w:t>
      </w:r>
      <w:proofErr w:type="gramStart"/>
      <w:r w:rsidRPr="00781112">
        <w:rPr>
          <w:rFonts w:cs="Arial"/>
          <w:color w:val="000000" w:themeColor="text1"/>
          <w:szCs w:val="16"/>
        </w:rPr>
        <w:t>were counted</w:t>
      </w:r>
      <w:proofErr w:type="gramEnd"/>
      <w:r w:rsidRPr="00781112">
        <w:rPr>
          <w:rFonts w:cs="Arial"/>
          <w:color w:val="000000" w:themeColor="text1"/>
          <w:szCs w:val="16"/>
        </w:rPr>
        <w:t xml:space="preserve"> as reporting the schools facilitated parent involvement as a means of improving services and results for children with disabilities. </w:t>
      </w:r>
      <w:r w:rsidRPr="00781112">
        <w:rPr>
          <w:rFonts w:cs="Arial"/>
          <w:color w:val="000000" w:themeColor="text1"/>
          <w:szCs w:val="16"/>
        </w:rPr>
        <w:br/>
      </w:r>
      <w:r w:rsidRPr="00781112">
        <w:rPr>
          <w:rFonts w:cs="Arial"/>
          <w:color w:val="000000" w:themeColor="text1"/>
          <w:szCs w:val="16"/>
        </w:rPr>
        <w:br/>
        <w:t xml:space="preserve">A random selection of parents </w:t>
      </w:r>
      <w:proofErr w:type="gramStart"/>
      <w:r w:rsidRPr="00781112">
        <w:rPr>
          <w:rFonts w:cs="Arial"/>
          <w:color w:val="000000" w:themeColor="text1"/>
          <w:szCs w:val="16"/>
        </w:rPr>
        <w:t>was used</w:t>
      </w:r>
      <w:proofErr w:type="gramEnd"/>
      <w:r w:rsidRPr="00781112">
        <w:rPr>
          <w:rFonts w:cs="Arial"/>
          <w:color w:val="000000" w:themeColor="text1"/>
          <w:szCs w:val="16"/>
        </w:rPr>
        <w:t xml:space="preserve"> for survey administration. As PRDE’s special education population for FFY 2020 was 89,491 the sample size would need to be at least 383 parents of students receiving special education services for 2021-2022. Determination of the required sample was defined by the following formula: </w:t>
      </w:r>
      <w:r w:rsidRPr="00781112">
        <w:rPr>
          <w:rFonts w:cs="Arial"/>
          <w:color w:val="000000" w:themeColor="text1"/>
          <w:szCs w:val="16"/>
        </w:rPr>
        <w:br/>
      </w:r>
      <w:r w:rsidRPr="00781112">
        <w:rPr>
          <w:rFonts w:cs="Arial"/>
          <w:color w:val="000000" w:themeColor="text1"/>
          <w:szCs w:val="16"/>
        </w:rPr>
        <w:lastRenderedPageBreak/>
        <w:br/>
        <w:t xml:space="preserve">s = [X²NP(1-P)] / [d²(N-1) + X²P(1-P)] </w:t>
      </w:r>
      <w:r w:rsidRPr="00781112">
        <w:rPr>
          <w:rFonts w:cs="Arial"/>
          <w:color w:val="000000" w:themeColor="text1"/>
          <w:szCs w:val="16"/>
        </w:rPr>
        <w:br/>
        <w:t xml:space="preserve">Where: </w:t>
      </w:r>
      <w:r w:rsidRPr="00781112">
        <w:rPr>
          <w:rFonts w:cs="Arial"/>
          <w:color w:val="000000" w:themeColor="text1"/>
          <w:szCs w:val="16"/>
        </w:rPr>
        <w:br/>
        <w:t xml:space="preserve">s = required sample size </w:t>
      </w:r>
      <w:r w:rsidRPr="00781112">
        <w:rPr>
          <w:rFonts w:cs="Arial"/>
          <w:color w:val="000000" w:themeColor="text1"/>
          <w:szCs w:val="16"/>
        </w:rPr>
        <w:br/>
        <w:t>X² = the table value of chi-square for 1 degree of freedom at the desired confidence level (3.841)</w:t>
      </w:r>
      <w:r w:rsidRPr="00781112">
        <w:rPr>
          <w:rFonts w:cs="Arial"/>
          <w:color w:val="000000" w:themeColor="text1"/>
          <w:szCs w:val="16"/>
        </w:rPr>
        <w:br/>
        <w:t xml:space="preserve"> N = population size </w:t>
      </w:r>
      <w:r w:rsidRPr="00781112">
        <w:rPr>
          <w:rFonts w:cs="Arial"/>
          <w:color w:val="000000" w:themeColor="text1"/>
          <w:szCs w:val="16"/>
        </w:rPr>
        <w:br/>
        <w:t xml:space="preserve">P = the population proportion (assumed to be .50 since this would provide the maximum sample size) </w:t>
      </w:r>
      <w:r w:rsidRPr="00781112">
        <w:rPr>
          <w:rFonts w:cs="Arial"/>
          <w:color w:val="000000" w:themeColor="text1"/>
          <w:szCs w:val="16"/>
        </w:rPr>
        <w:br/>
        <w:t xml:space="preserve">d = the degree of accuracy expressed as a proportion (.05) </w:t>
      </w:r>
      <w:r w:rsidRPr="00781112">
        <w:rPr>
          <w:rFonts w:cs="Arial"/>
          <w:color w:val="000000" w:themeColor="text1"/>
          <w:szCs w:val="16"/>
        </w:rPr>
        <w:br/>
      </w:r>
      <w:r w:rsidRPr="00781112">
        <w:rPr>
          <w:rFonts w:cs="Arial"/>
          <w:color w:val="000000" w:themeColor="text1"/>
          <w:szCs w:val="16"/>
        </w:rPr>
        <w:br/>
        <w:t xml:space="preserve">Accordingly, with a universe/population size (N) of 89,491: </w:t>
      </w:r>
      <w:r w:rsidRPr="00781112">
        <w:rPr>
          <w:rFonts w:cs="Arial"/>
          <w:color w:val="000000" w:themeColor="text1"/>
          <w:szCs w:val="16"/>
        </w:rPr>
        <w:br/>
      </w:r>
      <w:r w:rsidRPr="00781112">
        <w:rPr>
          <w:rFonts w:cs="Arial"/>
          <w:color w:val="000000" w:themeColor="text1"/>
          <w:szCs w:val="16"/>
        </w:rPr>
        <w:br/>
        <w:t xml:space="preserve">s = [(3.841) (89,491) (.50) (1-.50)] / [(.05)(.05)( 89,491-1) + (3.841) (.50) (1-.50)] </w:t>
      </w:r>
      <w:r w:rsidRPr="00781112">
        <w:rPr>
          <w:rFonts w:cs="Arial"/>
          <w:color w:val="000000" w:themeColor="text1"/>
          <w:szCs w:val="16"/>
        </w:rPr>
        <w:br/>
        <w:t>= [(343,734.931) (.50) (1-.50) ] / [ (.0025) (89,491) + 1.9205 (.50) ]</w:t>
      </w:r>
      <w:r w:rsidRPr="00781112">
        <w:rPr>
          <w:rFonts w:cs="Arial"/>
          <w:color w:val="000000" w:themeColor="text1"/>
          <w:szCs w:val="16"/>
        </w:rPr>
        <w:br/>
        <w:t xml:space="preserve">= [ 171,867.466) (.50) ] / [ 223.7275 + .96025] </w:t>
      </w:r>
      <w:r w:rsidRPr="00781112">
        <w:rPr>
          <w:rFonts w:cs="Arial"/>
          <w:color w:val="000000" w:themeColor="text1"/>
          <w:szCs w:val="16"/>
        </w:rPr>
        <w:br/>
        <w:t xml:space="preserve">= [ 85,933.7328] / [224.68775] </w:t>
      </w:r>
      <w:r w:rsidRPr="00781112">
        <w:rPr>
          <w:rFonts w:cs="Arial"/>
          <w:color w:val="000000" w:themeColor="text1"/>
          <w:szCs w:val="16"/>
        </w:rPr>
        <w:br/>
        <w:t>= 382.725</w:t>
      </w:r>
      <w:r w:rsidRPr="00781112">
        <w:rPr>
          <w:rFonts w:cs="Arial"/>
          <w:color w:val="000000" w:themeColor="text1"/>
          <w:szCs w:val="16"/>
        </w:rPr>
        <w:br/>
        <w:t>s = 383 parents</w:t>
      </w:r>
    </w:p>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9B37A2" w:rsidP="007D435F">
      <w:pPr>
        <w:rPr>
          <w:rFonts w:cs="Arial"/>
          <w:color w:val="000000" w:themeColor="text1"/>
          <w:szCs w:val="16"/>
        </w:rPr>
      </w:pP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None</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OSEP’s response to the State’s initial FFY 2021 SPP/APR submission required the State to submit a revised sampling plan for this indicator by June 1, 2023. The State has submitted a revised plan and OSEP’s evaluation of the plan indicates that it is approvable.</w:t>
      </w: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9B37A2" w:rsidP="001F692C">
      <w:pPr>
        <w:rPr>
          <w:rFonts w:cs="Arial"/>
          <w:color w:val="000000" w:themeColor="text1"/>
          <w:szCs w:val="16"/>
        </w:rPr>
      </w:pP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5" w:name="_Toc384383343"/>
      <w:bookmarkStart w:id="46"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w:t>
      </w:r>
      <w:proofErr w:type="gramStart"/>
      <w:r w:rsidRPr="00781112">
        <w:rPr>
          <w:rFonts w:cs="Arial"/>
          <w:color w:val="000000" w:themeColor="text1"/>
          <w:szCs w:val="16"/>
        </w:rPr>
        <w:t>services that</w:t>
      </w:r>
      <w:proofErr w:type="gramEnd"/>
      <w:r w:rsidRPr="00781112">
        <w:rPr>
          <w:rFonts w:cs="Arial"/>
          <w:color w:val="000000" w:themeColor="text1"/>
          <w:szCs w:val="16"/>
        </w:rPr>
        <w:t xml:space="preserve">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 xml:space="preserve">Include State’s definition of “disproportionate representation.” Please specify in your definition: 1) the calculation method(s) </w:t>
      </w:r>
      <w:proofErr w:type="gramStart"/>
      <w:r w:rsidRPr="00781112">
        <w:rPr>
          <w:rFonts w:cs="Arial"/>
          <w:color w:val="000000" w:themeColor="text1"/>
          <w:szCs w:val="16"/>
        </w:rPr>
        <w:t>being used</w:t>
      </w:r>
      <w:proofErr w:type="gramEnd"/>
      <w:r w:rsidRPr="00781112">
        <w:rPr>
          <w:rFonts w:cs="Arial"/>
          <w:color w:val="000000" w:themeColor="text1"/>
          <w:szCs w:val="16"/>
        </w:rPr>
        <w:t xml:space="preserve">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26750A87" w:rsidR="00A66715" w:rsidRPr="00781112" w:rsidRDefault="0016730D" w:rsidP="00286BDF">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t>
      </w:r>
      <w:proofErr w:type="gramStart"/>
      <w:r w:rsidRPr="00781112">
        <w:rPr>
          <w:rFonts w:cs="Arial"/>
          <w:color w:val="000000" w:themeColor="text1"/>
          <w:szCs w:val="16"/>
        </w:rPr>
        <w:t>was made</w:t>
      </w:r>
      <w:proofErr w:type="gramEnd"/>
      <w:r w:rsidRPr="00781112">
        <w:rPr>
          <w:rFonts w:cs="Arial"/>
          <w:color w:val="000000" w:themeColor="text1"/>
          <w:szCs w:val="16"/>
        </w:rPr>
        <w:t xml:space="preserve"> after the end of the FFY 2021 reporting period (i.e., after June 30, 2022).</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proofErr w:type="gramStart"/>
      <w:r w:rsidR="00071D42" w:rsidRPr="00781112">
        <w:rPr>
          <w:rFonts w:cs="Arial"/>
        </w:rPr>
        <w:t>5</w:t>
      </w:r>
      <w:proofErr w:type="gramEnd"/>
      <w:r w:rsidR="00071D42" w:rsidRPr="00781112">
        <w:rPr>
          <w:rFonts w:cs="Arial"/>
        </w:rPr>
        <w:t xml:space="preserve">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732199BB" w:rsidR="00A66715" w:rsidRPr="00781112" w:rsidRDefault="0016730D"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 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47" w:name="_Toc384383344"/>
      <w:bookmarkStart w:id="48" w:name="_Toc392159312"/>
      <w:bookmarkEnd w:id="45"/>
      <w:bookmarkEnd w:id="46"/>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YES</w:t>
      </w:r>
    </w:p>
    <w:p w14:paraId="7D3F4204" w14:textId="40F13944" w:rsidR="00043AC9" w:rsidRPr="00781112" w:rsidRDefault="00F76251" w:rsidP="004369B2">
      <w:pPr>
        <w:rPr>
          <w:b/>
          <w:color w:val="000000" w:themeColor="text1"/>
        </w:rPr>
      </w:pPr>
      <w:r w:rsidRPr="00781112">
        <w:rPr>
          <w:b/>
          <w:color w:val="000000" w:themeColor="text1"/>
        </w:rPr>
        <w:t xml:space="preserve">Provide an explanation of why it is not applicable below. </w:t>
      </w:r>
    </w:p>
    <w:p w14:paraId="7ED4808C" w14:textId="193CC099" w:rsidR="00043AC9" w:rsidRPr="00781112" w:rsidRDefault="00043AC9" w:rsidP="004369B2">
      <w:pPr>
        <w:rPr>
          <w:color w:val="000000" w:themeColor="text1"/>
        </w:rPr>
      </w:pPr>
    </w:p>
    <w:bookmarkEnd w:id="47"/>
    <w:bookmarkEnd w:id="48"/>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A2A42E5" w14:textId="4FEB017F" w:rsidR="00591597" w:rsidRPr="00781112" w:rsidRDefault="002B7490" w:rsidP="004E2151">
      <w:pPr>
        <w:rPr>
          <w:rFonts w:cs="Arial"/>
          <w:color w:val="000000" w:themeColor="text1"/>
          <w:szCs w:val="16"/>
        </w:rPr>
      </w:pPr>
      <w:r w:rsidRPr="00781112">
        <w:rPr>
          <w:rFonts w:cs="Arial"/>
          <w:color w:val="000000" w:themeColor="text1"/>
          <w:szCs w:val="16"/>
        </w:rPr>
        <w:t>None</w:t>
      </w: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2B7490" w:rsidP="00212954">
      <w:pPr>
        <w:rPr>
          <w:rFonts w:cs="Arial"/>
          <w:color w:val="000000" w:themeColor="text1"/>
          <w:szCs w:val="16"/>
        </w:rPr>
      </w:pPr>
      <w:r w:rsidRPr="00781112">
        <w:rPr>
          <w:rFonts w:cs="Arial"/>
          <w:color w:val="000000" w:themeColor="text1"/>
          <w:szCs w:val="16"/>
        </w:rPr>
        <w:t xml:space="preserve">OSEP notes that this indicator is not applicable. </w:t>
      </w: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 xml:space="preserve">Indicator 10: Disproportionate Representation in Specific Disability Categories </w:t>
      </w:r>
    </w:p>
    <w:p w14:paraId="139B488B" w14:textId="77777777" w:rsidR="00B70FBF" w:rsidRPr="00781112" w:rsidRDefault="00B70FBF" w:rsidP="00A018D4">
      <w:pPr>
        <w:rPr>
          <w:color w:val="000000" w:themeColor="text1"/>
          <w:szCs w:val="20"/>
        </w:rPr>
      </w:pPr>
      <w:bookmarkStart w:id="49" w:name="_Toc384383348"/>
      <w:bookmarkStart w:id="50"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specific disability </w:t>
      </w:r>
      <w:proofErr w:type="gramStart"/>
      <w:r w:rsidRPr="00781112">
        <w:rPr>
          <w:rFonts w:cs="Arial"/>
          <w:color w:val="000000" w:themeColor="text1"/>
          <w:szCs w:val="16"/>
        </w:rPr>
        <w:t>categories that</w:t>
      </w:r>
      <w:proofErr w:type="gramEnd"/>
      <w:r w:rsidRPr="00781112">
        <w:rPr>
          <w:rFonts w:cs="Arial"/>
          <w:color w:val="000000" w:themeColor="text1"/>
          <w:szCs w:val="16"/>
        </w:rPr>
        <w:t xml:space="preserve">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 xml:space="preserve">Include State’s definition of “disproportionate representation.” Please specify in your definition: 1) the calculation method(s) </w:t>
      </w:r>
      <w:proofErr w:type="gramStart"/>
      <w:r w:rsidRPr="00781112">
        <w:rPr>
          <w:rFonts w:cs="Arial"/>
          <w:color w:val="000000" w:themeColor="text1"/>
          <w:szCs w:val="16"/>
        </w:rPr>
        <w:t>being used</w:t>
      </w:r>
      <w:proofErr w:type="gramEnd"/>
      <w:r w:rsidRPr="00781112">
        <w:rPr>
          <w:rFonts w:cs="Arial"/>
          <w:color w:val="000000" w:themeColor="text1"/>
          <w:szCs w:val="16"/>
        </w:rPr>
        <w:t xml:space="preserve">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C3D4495"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 xml:space="preserve">is the result of inappropriate identification, even if the determination of inappropriate identification </w:t>
      </w:r>
      <w:proofErr w:type="gramStart"/>
      <w:r w:rsidRPr="00781112">
        <w:rPr>
          <w:rFonts w:cs="Arial"/>
          <w:color w:val="000000" w:themeColor="text1"/>
          <w:szCs w:val="16"/>
        </w:rPr>
        <w:t>was made</w:t>
      </w:r>
      <w:proofErr w:type="gramEnd"/>
      <w:r w:rsidRPr="00781112">
        <w:rPr>
          <w:rFonts w:cs="Arial"/>
          <w:color w:val="000000" w:themeColor="text1"/>
          <w:szCs w:val="16"/>
        </w:rPr>
        <w:t xml:space="preserve"> after the end of the FFY </w:t>
      </w:r>
      <w:r w:rsidR="00206A65" w:rsidRPr="00781112">
        <w:rPr>
          <w:rFonts w:cs="Arial"/>
          <w:color w:val="000000" w:themeColor="text1"/>
          <w:szCs w:val="16"/>
        </w:rPr>
        <w:t>202</w:t>
      </w:r>
      <w:r w:rsidR="00206A65">
        <w:rPr>
          <w:rFonts w:cs="Arial"/>
          <w:color w:val="000000" w:themeColor="text1"/>
          <w:szCs w:val="16"/>
        </w:rPr>
        <w:t>1</w:t>
      </w:r>
      <w:r w:rsidR="00206A65" w:rsidRPr="00781112">
        <w:rPr>
          <w:rFonts w:cs="Arial"/>
          <w:color w:val="000000" w:themeColor="text1"/>
          <w:szCs w:val="16"/>
        </w:rPr>
        <w:t xml:space="preserve"> </w:t>
      </w:r>
      <w:r w:rsidRPr="00781112">
        <w:rPr>
          <w:rFonts w:cs="Arial"/>
          <w:color w:val="000000" w:themeColor="text1"/>
          <w:szCs w:val="16"/>
        </w:rPr>
        <w:t xml:space="preserve">reporting period (i.e., after June 30, </w:t>
      </w:r>
      <w:r w:rsidR="00206A65" w:rsidRPr="00781112">
        <w:rPr>
          <w:rFonts w:cs="Arial"/>
          <w:color w:val="000000" w:themeColor="text1"/>
          <w:szCs w:val="16"/>
        </w:rPr>
        <w:t>202</w:t>
      </w:r>
      <w:r w:rsidR="00206A65">
        <w:rPr>
          <w:rFonts w:cs="Arial"/>
          <w:color w:val="000000" w:themeColor="text1"/>
          <w:szCs w:val="16"/>
        </w:rPr>
        <w:t>2</w:t>
      </w:r>
      <w:r w:rsidRPr="00781112">
        <w:rPr>
          <w:rFonts w:cs="Arial"/>
          <w:color w:val="000000" w:themeColor="text1"/>
          <w:szCs w:val="16"/>
        </w:rPr>
        <w:t>).</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 xml:space="preserve">aged </w:t>
      </w:r>
      <w:proofErr w:type="gramStart"/>
      <w:r w:rsidR="00522BEA" w:rsidRPr="00522BEA">
        <w:rPr>
          <w:rFonts w:cs="Arial"/>
          <w:color w:val="000000" w:themeColor="text1"/>
          <w:szCs w:val="16"/>
        </w:rPr>
        <w:t>5</w:t>
      </w:r>
      <w:proofErr w:type="gramEnd"/>
      <w:r w:rsidR="00522BEA" w:rsidRPr="00522BEA">
        <w:rPr>
          <w:rFonts w:cs="Arial"/>
          <w:color w:val="000000" w:themeColor="text1"/>
          <w:szCs w:val="16"/>
        </w:rPr>
        <w:t xml:space="preserve">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367E089E" w14:textId="7DBCE06A" w:rsidR="001D677D"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bookmarkEnd w:id="49"/>
    <w:bookmarkEnd w:id="50"/>
    <w:p w14:paraId="307820E6" w14:textId="2418F86F" w:rsidR="00B70FBF" w:rsidRPr="00781112" w:rsidRDefault="009F64D5" w:rsidP="008645AD">
      <w:pPr>
        <w:pStyle w:val="Heading2"/>
      </w:pPr>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YES</w:t>
      </w:r>
    </w:p>
    <w:p w14:paraId="47F245D6" w14:textId="4A6BD584" w:rsidR="00043AC9" w:rsidRPr="00781112" w:rsidRDefault="004F50E1" w:rsidP="004369B2">
      <w:pPr>
        <w:rPr>
          <w:b/>
          <w:color w:val="000000" w:themeColor="text1"/>
        </w:rPr>
      </w:pPr>
      <w:r w:rsidRPr="00781112">
        <w:rPr>
          <w:b/>
          <w:color w:val="000000" w:themeColor="text1"/>
        </w:rPr>
        <w:t xml:space="preserve">Provide an explanation of why it is not applicable below  </w:t>
      </w:r>
    </w:p>
    <w:p w14:paraId="346DEB46" w14:textId="6ED0AC9E" w:rsidR="00043AC9" w:rsidRPr="00781112" w:rsidRDefault="00043AC9" w:rsidP="004369B2">
      <w:pPr>
        <w:rPr>
          <w:color w:val="000000" w:themeColor="text1"/>
        </w:rPr>
      </w:pPr>
    </w:p>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7C7C5568" w14:textId="05A53577" w:rsidR="009F69E7" w:rsidRPr="00781112" w:rsidRDefault="002B7490" w:rsidP="004E2151">
      <w:pPr>
        <w:rPr>
          <w:rFonts w:cs="Arial"/>
          <w:color w:val="000000" w:themeColor="text1"/>
          <w:szCs w:val="16"/>
        </w:rPr>
      </w:pPr>
      <w:r w:rsidRPr="00781112">
        <w:rPr>
          <w:rFonts w:cs="Arial"/>
          <w:color w:val="000000" w:themeColor="text1"/>
          <w:szCs w:val="16"/>
        </w:rPr>
        <w:t>None</w:t>
      </w: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2B7490" w:rsidP="00212954">
      <w:pPr>
        <w:rPr>
          <w:rFonts w:cs="Arial"/>
          <w:color w:val="000000" w:themeColor="text1"/>
          <w:szCs w:val="16"/>
        </w:rPr>
      </w:pPr>
      <w:r w:rsidRPr="00781112">
        <w:rPr>
          <w:rFonts w:cs="Arial"/>
          <w:color w:val="000000" w:themeColor="text1"/>
          <w:szCs w:val="16"/>
        </w:rPr>
        <w:t xml:space="preserve">OSEP notes that this indicator is not applicable. </w:t>
      </w: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p>
    <w:p w14:paraId="4F5D642D" w14:textId="77777777" w:rsidR="00E119B0" w:rsidRPr="00781112" w:rsidRDefault="00E119B0" w:rsidP="00A018D4">
      <w:pPr>
        <w:rPr>
          <w:color w:val="000000" w:themeColor="text1"/>
          <w:szCs w:val="20"/>
        </w:rPr>
      </w:pPr>
      <w:bookmarkStart w:id="51" w:name="_Toc384383353"/>
      <w:bookmarkStart w:id="52"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w:t>
      </w:r>
      <w:proofErr w:type="gramStart"/>
      <w:r w:rsidRPr="00781112">
        <w:rPr>
          <w:rFonts w:cs="Arial"/>
          <w:color w:val="000000" w:themeColor="text1"/>
          <w:szCs w:val="16"/>
        </w:rPr>
        <w:t>timeframe</w:t>
      </w:r>
      <w:proofErr w:type="gramEnd"/>
      <w:r w:rsidRPr="00781112">
        <w:rPr>
          <w:rFonts w:cs="Arial"/>
          <w:color w:val="000000" w:themeColor="text1"/>
          <w:szCs w:val="16"/>
        </w:rPr>
        <w:t xml:space="preserv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 xml:space="preserve">Data to </w:t>
      </w:r>
      <w:proofErr w:type="gramStart"/>
      <w:r w:rsidRPr="00781112">
        <w:rPr>
          <w:rFonts w:cs="Arial"/>
          <w:color w:val="000000" w:themeColor="text1"/>
          <w:szCs w:val="16"/>
          <w:shd w:val="clear" w:color="auto" w:fill="FFFFFF"/>
        </w:rPr>
        <w:t>be taken</w:t>
      </w:r>
      <w:proofErr w:type="gramEnd"/>
      <w:r w:rsidRPr="00781112">
        <w:rPr>
          <w:rFonts w:cs="Arial"/>
          <w:color w:val="000000" w:themeColor="text1"/>
          <w:szCs w:val="16"/>
          <w:shd w:val="clear" w:color="auto" w:fill="FFFFFF"/>
        </w:rPr>
        <w:t xml:space="preserve">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 xml:space="preserve">a. # of children for whom parental consent to evaluate </w:t>
      </w:r>
      <w:proofErr w:type="gramStart"/>
      <w:r w:rsidRPr="00781112">
        <w:rPr>
          <w:rFonts w:eastAsia="Times New Roman" w:cs="Arial"/>
          <w:color w:val="000000" w:themeColor="text1"/>
          <w:szCs w:val="16"/>
        </w:rPr>
        <w:t>was received</w:t>
      </w:r>
      <w:proofErr w:type="gramEnd"/>
      <w:r w:rsidRPr="00781112">
        <w:rPr>
          <w:rFonts w:eastAsia="Times New Roman" w:cs="Arial"/>
          <w:color w:val="000000" w:themeColor="text1"/>
          <w:szCs w:val="16"/>
        </w:rPr>
        <w:t>.</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 xml:space="preserve">b. # of children whose evaluations </w:t>
      </w:r>
      <w:proofErr w:type="gramStart"/>
      <w:r w:rsidRPr="00781112">
        <w:rPr>
          <w:rFonts w:eastAsia="Times New Roman" w:cs="Arial"/>
          <w:color w:val="000000" w:themeColor="text1"/>
          <w:szCs w:val="16"/>
        </w:rPr>
        <w:t>were completed</w:t>
      </w:r>
      <w:proofErr w:type="gramEnd"/>
      <w:r w:rsidRPr="00781112">
        <w:rPr>
          <w:rFonts w:eastAsia="Times New Roman" w:cs="Arial"/>
          <w:color w:val="000000" w:themeColor="text1"/>
          <w:szCs w:val="16"/>
        </w:rPr>
        <w:t xml:space="preserve">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proofErr w:type="gramStart"/>
      <w:r w:rsidRPr="00781112">
        <w:rPr>
          <w:rFonts w:eastAsia="Times New Roman" w:cs="Arial"/>
          <w:color w:val="000000" w:themeColor="text1"/>
          <w:szCs w:val="16"/>
        </w:rPr>
        <w:t>Account</w:t>
      </w:r>
      <w:proofErr w:type="gramEnd"/>
      <w:r w:rsidRPr="00781112">
        <w:rPr>
          <w:rFonts w:eastAsia="Times New Roman" w:cs="Arial"/>
          <w:color w:val="000000" w:themeColor="text1"/>
          <w:szCs w:val="16"/>
        </w:rPr>
        <w:t xml:space="preserve"> for children included in (a), but not included in (b). Indicate the range of days beyond the timeline when the evaluation </w:t>
      </w:r>
      <w:proofErr w:type="gramStart"/>
      <w:r w:rsidRPr="00781112">
        <w:rPr>
          <w:rFonts w:eastAsia="Times New Roman" w:cs="Arial"/>
          <w:color w:val="000000" w:themeColor="text1"/>
          <w:szCs w:val="16"/>
        </w:rPr>
        <w:t>was completed</w:t>
      </w:r>
      <w:proofErr w:type="gramEnd"/>
      <w:r w:rsidRPr="00781112">
        <w:rPr>
          <w:rFonts w:eastAsia="Times New Roman" w:cs="Arial"/>
          <w:color w:val="000000" w:themeColor="text1"/>
          <w:szCs w:val="16"/>
        </w:rPr>
        <w:t xml:space="preserve">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w:t>
      </w:r>
      <w:proofErr w:type="gramStart"/>
      <w:r w:rsidRPr="00781112">
        <w:rPr>
          <w:rFonts w:cs="Arial"/>
          <w:i/>
          <w:iCs/>
          <w:color w:val="000000" w:themeColor="text1"/>
          <w:szCs w:val="16"/>
        </w:rPr>
        <w:t>are</w:t>
      </w:r>
      <w:proofErr w:type="gramEnd"/>
      <w:r w:rsidRPr="00781112">
        <w:rPr>
          <w:rFonts w:cs="Arial"/>
          <w:i/>
          <w:iCs/>
          <w:color w:val="000000" w:themeColor="text1"/>
          <w:szCs w:val="16"/>
        </w:rPr>
        <w:t xml:space="preserv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 xml:space="preserve">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w:t>
      </w:r>
      <w:proofErr w:type="gramStart"/>
      <w:r w:rsidRPr="00781112">
        <w:rPr>
          <w:rFonts w:cs="Arial"/>
          <w:color w:val="000000" w:themeColor="text1"/>
          <w:szCs w:val="16"/>
        </w:rPr>
        <w:t>timeframe</w:t>
      </w:r>
      <w:proofErr w:type="gramEnd"/>
      <w:r w:rsidRPr="00781112">
        <w:rPr>
          <w:rFonts w:cs="Arial"/>
          <w:color w:val="000000" w:themeColor="text1"/>
          <w:szCs w:val="16"/>
        </w:rPr>
        <w:t xml:space="preserv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53468DF8" w14:textId="569695B1"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53" w:name="_Toc384383354"/>
      <w:bookmarkStart w:id="54" w:name="_Toc392159322"/>
      <w:bookmarkEnd w:id="51"/>
      <w:bookmarkEnd w:id="52"/>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70.20%</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96.51%</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96.65%</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97.99%</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96.17%</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98.65%</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85"/>
        <w:gridCol w:w="1698"/>
        <w:gridCol w:w="1699"/>
        <w:gridCol w:w="1699"/>
        <w:gridCol w:w="1697"/>
      </w:tblGrid>
      <w:tr w:rsidR="00B14519" w:rsidRPr="00781112" w14:paraId="76DFECC2" w14:textId="07DDD47D" w:rsidTr="00451D7E">
        <w:trPr>
          <w:trHeight w:val="460"/>
        </w:trPr>
        <w:tc>
          <w:tcPr>
            <w:tcW w:w="278" w:type="pct"/>
            <w:tcBorders>
              <w:bottom w:val="single" w:sz="4" w:space="0" w:color="auto"/>
            </w:tcBorders>
            <w:shd w:val="clear" w:color="auto" w:fill="auto"/>
          </w:tcPr>
          <w:p w14:paraId="6892E70C" w14:textId="77777777" w:rsidR="00B14519" w:rsidRPr="00781112" w:rsidRDefault="00B14519" w:rsidP="00487DD1">
            <w:pPr>
              <w:jc w:val="center"/>
              <w:rPr>
                <w:b/>
                <w:color w:val="000000" w:themeColor="text1"/>
              </w:rPr>
            </w:pPr>
            <w:r w:rsidRPr="00781112">
              <w:rPr>
                <w:b/>
                <w:color w:val="000000" w:themeColor="text1"/>
              </w:rPr>
              <w:t>FFY</w:t>
            </w:r>
          </w:p>
        </w:tc>
        <w:tc>
          <w:tcPr>
            <w:tcW w:w="895" w:type="pct"/>
            <w:shd w:val="clear" w:color="auto" w:fill="auto"/>
          </w:tcPr>
          <w:p w14:paraId="66B6940B" w14:textId="77777777" w:rsidR="00B14519" w:rsidRPr="00781112" w:rsidRDefault="00B14519" w:rsidP="00487DD1">
            <w:pPr>
              <w:jc w:val="center"/>
              <w:rPr>
                <w:b/>
                <w:color w:val="000000" w:themeColor="text1"/>
              </w:rPr>
            </w:pPr>
            <w:r w:rsidRPr="00781112">
              <w:rPr>
                <w:b/>
                <w:color w:val="000000" w:themeColor="text1"/>
              </w:rPr>
              <w:t>2021</w:t>
            </w:r>
          </w:p>
        </w:tc>
        <w:tc>
          <w:tcPr>
            <w:tcW w:w="957" w:type="pct"/>
          </w:tcPr>
          <w:p w14:paraId="642D6D44" w14:textId="2A5BD9E4" w:rsidR="00B14519" w:rsidRPr="00781112" w:rsidRDefault="00B14519" w:rsidP="00487DD1">
            <w:pPr>
              <w:jc w:val="center"/>
              <w:rPr>
                <w:b/>
                <w:color w:val="000000" w:themeColor="text1"/>
              </w:rPr>
            </w:pPr>
            <w:r w:rsidRPr="00781112">
              <w:rPr>
                <w:rFonts w:cs="Arial"/>
                <w:b/>
                <w:color w:val="000000" w:themeColor="text1"/>
                <w:szCs w:val="16"/>
              </w:rPr>
              <w:t>2022</w:t>
            </w:r>
          </w:p>
        </w:tc>
        <w:tc>
          <w:tcPr>
            <w:tcW w:w="957" w:type="pct"/>
          </w:tcPr>
          <w:p w14:paraId="3DC5C0D5" w14:textId="20C2B807" w:rsidR="00B14519" w:rsidRPr="00781112" w:rsidRDefault="00B14519" w:rsidP="00487DD1">
            <w:pPr>
              <w:jc w:val="center"/>
              <w:rPr>
                <w:b/>
                <w:color w:val="000000" w:themeColor="text1"/>
              </w:rPr>
            </w:pPr>
            <w:r w:rsidRPr="00781112">
              <w:rPr>
                <w:rFonts w:cs="Arial"/>
                <w:b/>
                <w:color w:val="000000" w:themeColor="text1"/>
                <w:szCs w:val="16"/>
              </w:rPr>
              <w:t>2023</w:t>
            </w:r>
          </w:p>
        </w:tc>
        <w:tc>
          <w:tcPr>
            <w:tcW w:w="957" w:type="pct"/>
          </w:tcPr>
          <w:p w14:paraId="66836E96" w14:textId="691AA0DC" w:rsidR="00B14519" w:rsidRPr="00781112" w:rsidRDefault="00B14519" w:rsidP="00487DD1">
            <w:pPr>
              <w:jc w:val="center"/>
              <w:rPr>
                <w:b/>
                <w:color w:val="000000" w:themeColor="text1"/>
              </w:rPr>
            </w:pPr>
            <w:r w:rsidRPr="00781112">
              <w:rPr>
                <w:rFonts w:cs="Arial"/>
                <w:b/>
                <w:color w:val="000000" w:themeColor="text1"/>
                <w:szCs w:val="16"/>
              </w:rPr>
              <w:t>2024</w:t>
            </w:r>
          </w:p>
        </w:tc>
        <w:tc>
          <w:tcPr>
            <w:tcW w:w="957" w:type="pct"/>
          </w:tcPr>
          <w:p w14:paraId="5B366E12" w14:textId="3D99FA3A" w:rsidR="00B14519" w:rsidRPr="00781112" w:rsidRDefault="00B14519" w:rsidP="00487DD1">
            <w:pPr>
              <w:jc w:val="center"/>
              <w:rPr>
                <w:b/>
                <w:color w:val="000000" w:themeColor="text1"/>
              </w:rPr>
            </w:pPr>
            <w:r w:rsidRPr="00781112">
              <w:rPr>
                <w:rFonts w:cs="Arial"/>
                <w:b/>
                <w:color w:val="000000" w:themeColor="text1"/>
                <w:szCs w:val="16"/>
              </w:rPr>
              <w:t>2025</w:t>
            </w:r>
          </w:p>
        </w:tc>
      </w:tr>
      <w:tr w:rsidR="00B14519" w:rsidRPr="00781112" w14:paraId="3EC10007" w14:textId="1FF3F876" w:rsidTr="00451D7E">
        <w:trPr>
          <w:trHeight w:val="469"/>
        </w:trPr>
        <w:tc>
          <w:tcPr>
            <w:tcW w:w="278" w:type="pct"/>
            <w:shd w:val="clear" w:color="auto" w:fill="auto"/>
            <w:vAlign w:val="center"/>
          </w:tcPr>
          <w:p w14:paraId="078AD14E" w14:textId="77777777" w:rsidR="00B14519" w:rsidRPr="00781112" w:rsidRDefault="00B14519" w:rsidP="00487DD1">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738C5681" w14:textId="308364FD" w:rsidR="00B14519" w:rsidRPr="00781112" w:rsidRDefault="00B14519" w:rsidP="00487DD1">
            <w:pPr>
              <w:jc w:val="center"/>
              <w:rPr>
                <w:rFonts w:cs="Arial"/>
                <w:color w:val="000000" w:themeColor="text1"/>
                <w:szCs w:val="16"/>
              </w:rPr>
            </w:pPr>
            <w:r w:rsidRPr="00781112">
              <w:rPr>
                <w:rFonts w:cs="Arial"/>
                <w:color w:val="000000" w:themeColor="text1"/>
                <w:szCs w:val="16"/>
              </w:rPr>
              <w:t>100%</w:t>
            </w:r>
          </w:p>
        </w:tc>
        <w:tc>
          <w:tcPr>
            <w:tcW w:w="957" w:type="pct"/>
          </w:tcPr>
          <w:p w14:paraId="6D8F87FA" w14:textId="469699AF"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36607C1B" w14:textId="54CF66D1"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2E85DC12" w14:textId="59499407"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60586439" w14:textId="48E3304A" w:rsidR="00B14519" w:rsidRPr="00781112" w:rsidRDefault="00B14519"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bookmarkEnd w:id="53"/>
    <w:bookmarkEnd w:id="54"/>
    <w:p w14:paraId="6DA9090C" w14:textId="77777777" w:rsidR="007103FF" w:rsidRDefault="007103FF">
      <w:pPr>
        <w:spacing w:before="0" w:after="200" w:line="276" w:lineRule="auto"/>
        <w:rPr>
          <w:b/>
          <w:color w:val="000000" w:themeColor="text1"/>
        </w:rPr>
      </w:pPr>
      <w:r>
        <w:rPr>
          <w:b/>
          <w:color w:val="000000" w:themeColor="text1"/>
        </w:rPr>
        <w:br w:type="page"/>
      </w:r>
    </w:p>
    <w:p w14:paraId="3FAEB3AB" w14:textId="2E00BEEB" w:rsidR="00D03701" w:rsidRPr="00781112" w:rsidRDefault="0047313F" w:rsidP="004369B2">
      <w:pPr>
        <w:rPr>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B1652C" w:rsidRPr="00781112" w14:paraId="4D51CA61" w14:textId="77777777" w:rsidTr="008227D4">
        <w:trPr>
          <w:trHeight w:val="357"/>
          <w:tblHeader/>
        </w:trPr>
        <w:tc>
          <w:tcPr>
            <w:tcW w:w="677" w:type="pct"/>
            <w:shd w:val="clear" w:color="auto" w:fill="auto"/>
            <w:vAlign w:val="bottom"/>
          </w:tcPr>
          <w:p w14:paraId="2C2F907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(a) Number of children for whom parental consent to evaluate </w:t>
            </w:r>
            <w:proofErr w:type="gramStart"/>
            <w:r w:rsidRPr="00781112">
              <w:rPr>
                <w:rFonts w:cs="Arial"/>
                <w:b/>
                <w:color w:val="000000" w:themeColor="text1"/>
                <w:szCs w:val="16"/>
              </w:rPr>
              <w:t>was received</w:t>
            </w:r>
            <w:proofErr w:type="gramEnd"/>
          </w:p>
        </w:tc>
        <w:tc>
          <w:tcPr>
            <w:tcW w:w="631" w:type="pct"/>
            <w:shd w:val="clear" w:color="auto" w:fill="auto"/>
            <w:vAlign w:val="bottom"/>
          </w:tcPr>
          <w:p w14:paraId="37C63445"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(b) Number of children whose evaluations </w:t>
            </w:r>
            <w:proofErr w:type="gramStart"/>
            <w:r w:rsidRPr="00781112">
              <w:rPr>
                <w:rFonts w:cs="Arial"/>
                <w:b/>
                <w:color w:val="000000" w:themeColor="text1"/>
                <w:szCs w:val="16"/>
              </w:rPr>
              <w:t>were completed</w:t>
            </w:r>
            <w:proofErr w:type="gramEnd"/>
            <w:r w:rsidRPr="00781112">
              <w:rPr>
                <w:rFonts w:cs="Arial"/>
                <w:b/>
                <w:color w:val="000000" w:themeColor="text1"/>
                <w:szCs w:val="16"/>
              </w:rPr>
              <w:t xml:space="preserve"> within 60 days (or State-established timeline)</w:t>
            </w:r>
          </w:p>
        </w:tc>
        <w:tc>
          <w:tcPr>
            <w:tcW w:w="652" w:type="pct"/>
            <w:shd w:val="clear" w:color="auto" w:fill="auto"/>
            <w:vAlign w:val="bottom"/>
          </w:tcPr>
          <w:p w14:paraId="0F3587FA" w14:textId="23C7F4A8" w:rsidR="00B1652C" w:rsidRPr="00CC1061" w:rsidRDefault="00B1652C" w:rsidP="00B1652C">
            <w:pPr>
              <w:jc w:val="center"/>
              <w:rPr>
                <w:rFonts w:cs="Arial"/>
                <w:b/>
                <w:bCs/>
                <w:color w:val="000000" w:themeColor="text1"/>
                <w:szCs w:val="16"/>
              </w:rPr>
            </w:pPr>
            <w:r w:rsidRPr="00CC1061">
              <w:rPr>
                <w:b/>
                <w:bCs/>
              </w:rPr>
              <w:t>FFY 2020 Data</w:t>
            </w:r>
          </w:p>
        </w:tc>
        <w:tc>
          <w:tcPr>
            <w:tcW w:w="984" w:type="pct"/>
            <w:shd w:val="clear" w:color="auto" w:fill="auto"/>
            <w:vAlign w:val="bottom"/>
          </w:tcPr>
          <w:p w14:paraId="46349806" w14:textId="4901A0E8" w:rsidR="00B1652C" w:rsidRPr="00CC1061" w:rsidRDefault="00B1652C" w:rsidP="00B1652C">
            <w:pPr>
              <w:jc w:val="center"/>
              <w:rPr>
                <w:rFonts w:cs="Arial"/>
                <w:b/>
                <w:bCs/>
                <w:color w:val="000000" w:themeColor="text1"/>
                <w:szCs w:val="16"/>
              </w:rPr>
            </w:pPr>
            <w:r w:rsidRPr="00CC1061">
              <w:rPr>
                <w:b/>
                <w:bCs/>
              </w:rPr>
              <w:t>FFY 2021 Target</w:t>
            </w:r>
          </w:p>
        </w:tc>
        <w:tc>
          <w:tcPr>
            <w:tcW w:w="586" w:type="pct"/>
            <w:shd w:val="clear" w:color="auto" w:fill="auto"/>
            <w:vAlign w:val="bottom"/>
          </w:tcPr>
          <w:p w14:paraId="789B0350" w14:textId="5E86AFE2" w:rsidR="00B1652C" w:rsidRPr="00CC1061" w:rsidRDefault="00B1652C" w:rsidP="00B1652C">
            <w:pPr>
              <w:jc w:val="center"/>
              <w:rPr>
                <w:rFonts w:cs="Arial"/>
                <w:b/>
                <w:bCs/>
                <w:color w:val="000000" w:themeColor="text1"/>
                <w:szCs w:val="16"/>
              </w:rPr>
            </w:pPr>
            <w:r w:rsidRPr="00CC1061">
              <w:rPr>
                <w:b/>
                <w:bCs/>
              </w:rPr>
              <w:t>FFY 2021 Data</w:t>
            </w:r>
          </w:p>
        </w:tc>
        <w:tc>
          <w:tcPr>
            <w:tcW w:w="747" w:type="pct"/>
            <w:shd w:val="clear" w:color="auto" w:fill="auto"/>
            <w:vAlign w:val="bottom"/>
          </w:tcPr>
          <w:p w14:paraId="1F8A5D0B" w14:textId="1CA25A33"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9,903</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9,587</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98.65%</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96.81%</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5D46E0B7" w14:textId="17C9BC91" w:rsidR="00BC682D" w:rsidRPr="00781112" w:rsidRDefault="00481536" w:rsidP="00BC682D">
      <w:pPr>
        <w:rPr>
          <w:rFonts w:cs="Arial"/>
          <w:b/>
          <w:i/>
          <w:color w:val="000000" w:themeColor="text1"/>
          <w:szCs w:val="16"/>
        </w:rPr>
      </w:pPr>
      <w:r w:rsidRPr="00781112">
        <w:rPr>
          <w:rFonts w:cs="Arial"/>
          <w:b/>
          <w:color w:val="000000" w:themeColor="text1"/>
          <w:szCs w:val="16"/>
        </w:rPr>
        <w:t>Provide reasons for slippage</w:t>
      </w:r>
    </w:p>
    <w:p w14:paraId="1CA4022B" w14:textId="73E50EE0" w:rsidR="00481536" w:rsidRPr="00781112" w:rsidRDefault="002B7490" w:rsidP="007D435F">
      <w:pPr>
        <w:rPr>
          <w:rFonts w:cs="Arial"/>
          <w:color w:val="000000" w:themeColor="text1"/>
          <w:szCs w:val="16"/>
        </w:rPr>
      </w:pPr>
      <w:r w:rsidRPr="00781112">
        <w:rPr>
          <w:rFonts w:cs="Arial"/>
          <w:color w:val="000000" w:themeColor="text1"/>
          <w:szCs w:val="16"/>
        </w:rPr>
        <w:t xml:space="preserve">PRDE faces a shorter timeline </w:t>
      </w:r>
      <w:proofErr w:type="gramStart"/>
      <w:r w:rsidRPr="00781112">
        <w:rPr>
          <w:rFonts w:cs="Arial"/>
          <w:color w:val="000000" w:themeColor="text1"/>
          <w:szCs w:val="16"/>
        </w:rPr>
        <w:t>that</w:t>
      </w:r>
      <w:proofErr w:type="gramEnd"/>
      <w:r w:rsidRPr="00781112">
        <w:rPr>
          <w:rFonts w:cs="Arial"/>
          <w:color w:val="000000" w:themeColor="text1"/>
          <w:szCs w:val="16"/>
        </w:rPr>
        <w:t xml:space="preserve"> the Federal requirement (60 days), due to the Rosa Lydia Velez consent decree, which mandates PRDE complete evaluations within a 30-day period. Despite PRDE facing this shorter timeline, PRDE ensured that 96.81% of children for whom parental consent to evaluate </w:t>
      </w:r>
      <w:proofErr w:type="gramStart"/>
      <w:r w:rsidRPr="00781112">
        <w:rPr>
          <w:rFonts w:cs="Arial"/>
          <w:color w:val="000000" w:themeColor="text1"/>
          <w:szCs w:val="16"/>
        </w:rPr>
        <w:t>was received</w:t>
      </w:r>
      <w:proofErr w:type="gramEnd"/>
      <w:r w:rsidRPr="00781112">
        <w:rPr>
          <w:rFonts w:cs="Arial"/>
          <w:color w:val="000000" w:themeColor="text1"/>
          <w:szCs w:val="16"/>
        </w:rPr>
        <w:t xml:space="preserve"> in FFY 2021 had evaluations completed within 30 days. </w:t>
      </w:r>
      <w:r w:rsidRPr="00781112">
        <w:rPr>
          <w:rFonts w:cs="Arial"/>
          <w:color w:val="000000" w:themeColor="text1"/>
          <w:szCs w:val="16"/>
        </w:rPr>
        <w:br/>
      </w:r>
      <w:r w:rsidRPr="00781112">
        <w:rPr>
          <w:rFonts w:cs="Arial"/>
          <w:color w:val="000000" w:themeColor="text1"/>
          <w:szCs w:val="16"/>
        </w:rPr>
        <w:br/>
        <w:t xml:space="preserve">PRDE has dedicated significant resources to ensuring compliance with this requirement and has shown significant and steady progress over the years. Since FFY 2013, PRDE consistently has achieved substantial compliance (&gt;95%) with the Indicator 11 requirements. The data for FFY 2021 reflects slippage compared to FFY 2020 (decrease from 98.65% to 96.81%). This slippage is attributable to challenges the school system faced during the 2021-2022 school year, including a significant increase in the number of children from whom parental consent to evaluate </w:t>
      </w:r>
      <w:proofErr w:type="gramStart"/>
      <w:r w:rsidRPr="00781112">
        <w:rPr>
          <w:rFonts w:cs="Arial"/>
          <w:color w:val="000000" w:themeColor="text1"/>
          <w:szCs w:val="16"/>
        </w:rPr>
        <w:t>was received</w:t>
      </w:r>
      <w:proofErr w:type="gramEnd"/>
      <w:r w:rsidRPr="00781112">
        <w:rPr>
          <w:rFonts w:cs="Arial"/>
          <w:color w:val="000000" w:themeColor="text1"/>
          <w:szCs w:val="16"/>
        </w:rPr>
        <w:t xml:space="preserve">. Compared to the prior year, that number increased 45.67% (from 6,794 to 9,903). </w:t>
      </w:r>
      <w:r w:rsidRPr="00781112">
        <w:rPr>
          <w:rFonts w:cs="Arial"/>
          <w:color w:val="000000" w:themeColor="text1"/>
          <w:szCs w:val="16"/>
        </w:rPr>
        <w:br/>
      </w:r>
      <w:r w:rsidRPr="00781112">
        <w:rPr>
          <w:rFonts w:cs="Arial"/>
          <w:color w:val="000000" w:themeColor="text1"/>
          <w:szCs w:val="16"/>
        </w:rPr>
        <w:br/>
        <w:t xml:space="preserve">Despite such challenges, PRDE staff and evaluation teams worked incredibly hard with students and their families to ensure compliance with the strict timeline. PRDE was able to ensure for FFY 2021 that 96.81% of children for whom parental </w:t>
      </w:r>
      <w:proofErr w:type="gramStart"/>
      <w:r w:rsidRPr="00781112">
        <w:rPr>
          <w:rFonts w:cs="Arial"/>
          <w:color w:val="000000" w:themeColor="text1"/>
          <w:szCs w:val="16"/>
        </w:rPr>
        <w:t>consent to evaluate</w:t>
      </w:r>
      <w:proofErr w:type="gramEnd"/>
      <w:r w:rsidRPr="00781112">
        <w:rPr>
          <w:rFonts w:cs="Arial"/>
          <w:color w:val="000000" w:themeColor="text1"/>
          <w:szCs w:val="16"/>
        </w:rPr>
        <w:t xml:space="preserve"> </w:t>
      </w:r>
      <w:proofErr w:type="gramStart"/>
      <w:r w:rsidRPr="00781112">
        <w:rPr>
          <w:rFonts w:cs="Arial"/>
          <w:color w:val="000000" w:themeColor="text1"/>
          <w:szCs w:val="16"/>
        </w:rPr>
        <w:t>was received</w:t>
      </w:r>
      <w:proofErr w:type="gramEnd"/>
      <w:r w:rsidRPr="00781112">
        <w:rPr>
          <w:rFonts w:cs="Arial"/>
          <w:color w:val="000000" w:themeColor="text1"/>
          <w:szCs w:val="16"/>
        </w:rPr>
        <w:t xml:space="preserve"> were evaluated within 30 days and that 99.31% were evaluated within 60 days. PRDE remains committed to ensuring all children for whom parental consent to evaluate </w:t>
      </w:r>
      <w:proofErr w:type="gramStart"/>
      <w:r w:rsidRPr="00781112">
        <w:rPr>
          <w:rFonts w:cs="Arial"/>
          <w:color w:val="000000" w:themeColor="text1"/>
          <w:szCs w:val="16"/>
        </w:rPr>
        <w:t>is received</w:t>
      </w:r>
      <w:proofErr w:type="gramEnd"/>
      <w:r w:rsidRPr="00781112">
        <w:rPr>
          <w:rFonts w:cs="Arial"/>
          <w:color w:val="000000" w:themeColor="text1"/>
          <w:szCs w:val="16"/>
        </w:rPr>
        <w:t xml:space="preserve"> are evaluated within Puerto Rico's strict 30-day timeline.</w:t>
      </w:r>
    </w:p>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316</w:t>
      </w:r>
    </w:p>
    <w:p w14:paraId="59300647" w14:textId="301BC4BA" w:rsidR="00E418E6" w:rsidRPr="00781112" w:rsidRDefault="00481536" w:rsidP="006A01BD">
      <w:pPr>
        <w:rPr>
          <w:b/>
          <w:color w:val="000000" w:themeColor="text1"/>
        </w:rPr>
      </w:pPr>
      <w:proofErr w:type="gramStart"/>
      <w:r w:rsidRPr="00781112">
        <w:rPr>
          <w:b/>
          <w:color w:val="000000" w:themeColor="text1"/>
        </w:rPr>
        <w:t>Account</w:t>
      </w:r>
      <w:proofErr w:type="gramEnd"/>
      <w:r w:rsidRPr="00781112">
        <w:rPr>
          <w:b/>
          <w:color w:val="000000" w:themeColor="text1"/>
        </w:rPr>
        <w:t xml:space="preserve"> for children included in (a) but not included in (b). Indicate the range of days beyond the timeline when the evaluation </w:t>
      </w:r>
      <w:proofErr w:type="gramStart"/>
      <w:r w:rsidRPr="00781112">
        <w:rPr>
          <w:b/>
          <w:color w:val="000000" w:themeColor="text1"/>
        </w:rPr>
        <w:t>was completed</w:t>
      </w:r>
      <w:proofErr w:type="gramEnd"/>
      <w:r w:rsidRPr="00781112">
        <w:rPr>
          <w:b/>
          <w:color w:val="000000" w:themeColor="text1"/>
        </w:rPr>
        <w:t xml:space="preserve"> and any reasons for the delays.</w:t>
      </w:r>
    </w:p>
    <w:p w14:paraId="7FF7A4DA" w14:textId="602A3FE9" w:rsidR="00481536" w:rsidRPr="00781112" w:rsidRDefault="002B7490" w:rsidP="006A01BD">
      <w:pPr>
        <w:rPr>
          <w:color w:val="000000" w:themeColor="text1"/>
        </w:rPr>
      </w:pPr>
      <w:r w:rsidRPr="00781112">
        <w:rPr>
          <w:color w:val="000000" w:themeColor="text1"/>
        </w:rPr>
        <w:t xml:space="preserve">Below, PRDE presents the ranges of days within which FFY 2021 initial evaluations </w:t>
      </w:r>
      <w:proofErr w:type="gramStart"/>
      <w:r w:rsidRPr="00781112">
        <w:rPr>
          <w:color w:val="000000" w:themeColor="text1"/>
        </w:rPr>
        <w:t>were held</w:t>
      </w:r>
      <w:proofErr w:type="gramEnd"/>
      <w:r w:rsidRPr="00781112">
        <w:rPr>
          <w:color w:val="000000" w:themeColor="text1"/>
        </w:rPr>
        <w:t xml:space="preserve">. It reflects the total number and percentages of FFY 2021 initial evaluations both within and beyond Puerto Rico's mandated 30-day timeline for completing an initial evaluation. For those 316 evaluations completed beyond the 30-day timeline, PRDE presents the number and percent of evaluations that </w:t>
      </w:r>
      <w:proofErr w:type="gramStart"/>
      <w:r w:rsidRPr="00781112">
        <w:rPr>
          <w:color w:val="000000" w:themeColor="text1"/>
        </w:rPr>
        <w:t>were completed</w:t>
      </w:r>
      <w:proofErr w:type="gramEnd"/>
      <w:r w:rsidRPr="00781112">
        <w:rPr>
          <w:color w:val="000000" w:themeColor="text1"/>
        </w:rPr>
        <w:t xml:space="preserve"> within several range of day groupings. Reasons for the delays include data entry errors, parent failure to keep scheduled appointments, or situations causing meetings to </w:t>
      </w:r>
      <w:proofErr w:type="gramStart"/>
      <w:r w:rsidRPr="00781112">
        <w:rPr>
          <w:color w:val="000000" w:themeColor="text1"/>
        </w:rPr>
        <w:t>be rescheduled</w:t>
      </w:r>
      <w:proofErr w:type="gramEnd"/>
      <w:r w:rsidRPr="00781112">
        <w:rPr>
          <w:color w:val="000000" w:themeColor="text1"/>
        </w:rPr>
        <w:t xml:space="preserve"> due to unavailability of a required party. Notably, 248 of the 316 evaluations at issue </w:t>
      </w:r>
      <w:proofErr w:type="gramStart"/>
      <w:r w:rsidRPr="00781112">
        <w:rPr>
          <w:color w:val="000000" w:themeColor="text1"/>
        </w:rPr>
        <w:t>were completed</w:t>
      </w:r>
      <w:proofErr w:type="gramEnd"/>
      <w:r w:rsidRPr="00781112">
        <w:rPr>
          <w:color w:val="000000" w:themeColor="text1"/>
        </w:rPr>
        <w:t xml:space="preserve"> within 31 to 60 days. This means that 99.31% of FFY 2021 evaluations were completed within the federal timeline of 60 days (9,587 + 248 = 9,835; </w:t>
      </w:r>
      <w:proofErr w:type="gramStart"/>
      <w:r w:rsidRPr="00781112">
        <w:rPr>
          <w:color w:val="000000" w:themeColor="text1"/>
        </w:rPr>
        <w:t>and,</w:t>
      </w:r>
      <w:proofErr w:type="gramEnd"/>
      <w:r w:rsidRPr="00781112">
        <w:rPr>
          <w:color w:val="000000" w:themeColor="text1"/>
        </w:rPr>
        <w:t xml:space="preserve"> 9,835 / 9,903 = 99.31%). </w:t>
      </w:r>
      <w:r w:rsidRPr="00781112">
        <w:rPr>
          <w:color w:val="000000" w:themeColor="text1"/>
        </w:rPr>
        <w:br/>
      </w:r>
      <w:r w:rsidRPr="00781112">
        <w:rPr>
          <w:color w:val="000000" w:themeColor="text1"/>
        </w:rPr>
        <w:br/>
        <w:t>Total # of children with parental consent to evaluate = 9,903</w:t>
      </w:r>
      <w:r w:rsidRPr="00781112">
        <w:rPr>
          <w:color w:val="000000" w:themeColor="text1"/>
        </w:rPr>
        <w:br/>
        <w:t xml:space="preserve">Eval. Within 30 days or less = 9,587 </w:t>
      </w:r>
      <w:r w:rsidRPr="00781112">
        <w:rPr>
          <w:color w:val="000000" w:themeColor="text1"/>
        </w:rPr>
        <w:br/>
        <w:t xml:space="preserve">Eval. Within 31-60 days = 248 </w:t>
      </w:r>
      <w:r w:rsidRPr="00781112">
        <w:rPr>
          <w:color w:val="000000" w:themeColor="text1"/>
        </w:rPr>
        <w:br/>
        <w:t>Eval. Within 61-90 days = 41</w:t>
      </w:r>
      <w:r w:rsidRPr="00781112">
        <w:rPr>
          <w:color w:val="000000" w:themeColor="text1"/>
        </w:rPr>
        <w:br/>
        <w:t xml:space="preserve">Eval. Within 91-120 days = 9 </w:t>
      </w:r>
      <w:r w:rsidRPr="00781112">
        <w:rPr>
          <w:color w:val="000000" w:themeColor="text1"/>
        </w:rPr>
        <w:br/>
        <w:t xml:space="preserve">Eval. </w:t>
      </w:r>
      <w:proofErr w:type="gramStart"/>
      <w:r w:rsidRPr="00781112">
        <w:rPr>
          <w:color w:val="000000" w:themeColor="text1"/>
        </w:rPr>
        <w:t>possibly in</w:t>
      </w:r>
      <w:proofErr w:type="gramEnd"/>
      <w:r w:rsidRPr="00781112">
        <w:rPr>
          <w:color w:val="000000" w:themeColor="text1"/>
        </w:rPr>
        <w:t xml:space="preserve"> more than 120 days = 11</w:t>
      </w:r>
      <w:r w:rsidRPr="00781112">
        <w:rPr>
          <w:color w:val="000000" w:themeColor="text1"/>
        </w:rPr>
        <w:br/>
      </w:r>
      <w:r w:rsidRPr="00781112">
        <w:rPr>
          <w:color w:val="000000" w:themeColor="text1"/>
        </w:rPr>
        <w:br/>
        <w:t>As reflected above, PRDE completed 99.31% of FFY 2021 initial evaluations (9,835) within 60 days, and 96.81% within Puerto Rico's stricter mandated 30-day timeline. Furthermore, PRDE has verified that 100% of children with parental consent to evaluate in FFY 2021 have received their evaluations.</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 xml:space="preserve">The State established a timeline within which the evaluation must </w:t>
      </w:r>
      <w:proofErr w:type="gramStart"/>
      <w:r w:rsidRPr="00781112">
        <w:rPr>
          <w:rFonts w:cs="Arial"/>
          <w:color w:val="000000" w:themeColor="text1"/>
          <w:szCs w:val="16"/>
        </w:rPr>
        <w:t>be conducted</w:t>
      </w:r>
      <w:proofErr w:type="gramEnd"/>
    </w:p>
    <w:p w14:paraId="7D54DFB3" w14:textId="4948BCA9" w:rsidR="00E418E6" w:rsidRPr="00781112" w:rsidRDefault="00481536" w:rsidP="001011BB">
      <w:pPr>
        <w:tabs>
          <w:tab w:val="left" w:pos="751"/>
        </w:tabs>
        <w:rPr>
          <w:rFonts w:cs="Arial"/>
          <w:b/>
          <w:color w:val="000000" w:themeColor="text1"/>
          <w:szCs w:val="16"/>
        </w:rPr>
      </w:pPr>
      <w:r w:rsidRPr="00781112">
        <w:rPr>
          <w:rFonts w:cs="Arial"/>
          <w:b/>
          <w:color w:val="000000" w:themeColor="text1"/>
          <w:szCs w:val="16"/>
        </w:rPr>
        <w:t xml:space="preserve">What is the State’s timeline for initial evaluations? If the State-established </w:t>
      </w:r>
      <w:proofErr w:type="gramStart"/>
      <w:r w:rsidRPr="00781112">
        <w:rPr>
          <w:rFonts w:cs="Arial"/>
          <w:b/>
          <w:color w:val="000000" w:themeColor="text1"/>
          <w:szCs w:val="16"/>
        </w:rPr>
        <w:t>timeframe</w:t>
      </w:r>
      <w:proofErr w:type="gramEnd"/>
      <w:r w:rsidRPr="00781112">
        <w:rPr>
          <w:rFonts w:cs="Arial"/>
          <w:b/>
          <w:color w:val="000000" w:themeColor="text1"/>
          <w:szCs w:val="16"/>
        </w:rPr>
        <w:t xml:space="preserve"> provides for exceptions through State regulation or policy, describe cases falling within those exceptions and include in (b).</w:t>
      </w:r>
    </w:p>
    <w:p w14:paraId="396060FF" w14:textId="37C040FE" w:rsidR="00481536" w:rsidRPr="00781112" w:rsidRDefault="002B7490" w:rsidP="001011BB">
      <w:pPr>
        <w:tabs>
          <w:tab w:val="left" w:pos="751"/>
        </w:tabs>
        <w:rPr>
          <w:rFonts w:cs="Arial"/>
          <w:color w:val="000000" w:themeColor="text1"/>
          <w:szCs w:val="16"/>
        </w:rPr>
      </w:pPr>
      <w:r w:rsidRPr="00781112">
        <w:rPr>
          <w:rFonts w:cs="Arial"/>
          <w:color w:val="000000" w:themeColor="text1"/>
          <w:szCs w:val="16"/>
        </w:rPr>
        <w:t>PRDE faces a shorter timeline than the Federal requirement (60 days), due to the Rosa Lydia Velez consent decree, which mandates PRDE complete evaluations within a 30-day period.</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 xml:space="preserve">PRDE maintains initial evaluation data within its State database, Mi Portal Especial (MiPE). CSEE level staff are responsible for entering initial evaluation data into MiPE. As part of PRDE's efforts to ensure compliance with its State mandated 30-day timeline, PRDE uses an initial evaluation appointment scheduling system to help track initial evaluation appointments and ensure they </w:t>
      </w:r>
      <w:proofErr w:type="gramStart"/>
      <w:r w:rsidRPr="00781112">
        <w:rPr>
          <w:rFonts w:cs="Arial"/>
          <w:color w:val="000000" w:themeColor="text1"/>
          <w:szCs w:val="16"/>
        </w:rPr>
        <w:t>are scheduled</w:t>
      </w:r>
      <w:proofErr w:type="gramEnd"/>
      <w:r w:rsidRPr="00781112">
        <w:rPr>
          <w:rFonts w:cs="Arial"/>
          <w:color w:val="000000" w:themeColor="text1"/>
          <w:szCs w:val="16"/>
        </w:rPr>
        <w:t xml:space="preserve"> and </w:t>
      </w:r>
      <w:proofErr w:type="gramStart"/>
      <w:r w:rsidRPr="00781112">
        <w:rPr>
          <w:rFonts w:cs="Arial"/>
          <w:color w:val="000000" w:themeColor="text1"/>
          <w:szCs w:val="16"/>
        </w:rPr>
        <w:t>held timely</w:t>
      </w:r>
      <w:proofErr w:type="gramEnd"/>
      <w:r w:rsidRPr="00781112">
        <w:rPr>
          <w:rFonts w:cs="Arial"/>
          <w:color w:val="000000" w:themeColor="text1"/>
          <w:szCs w:val="16"/>
        </w:rPr>
        <w:t>. This system, which maintains an electronic data bank of available appointments including the date/time by service provider, records appointments made for student evaluations using the student identification number. This allows for proper identification and tracking of appointments made, as well as follow-up for reports on initial evaluations pending from service providers, improving PRDE’s controls over ensuring compliance with the 30-day timeline.</w:t>
      </w:r>
    </w:p>
    <w:p w14:paraId="4D7330D9" w14:textId="4ECA8934" w:rsidR="00326C0B" w:rsidRPr="007103FF" w:rsidRDefault="00C86164" w:rsidP="007D435F">
      <w:pPr>
        <w:rPr>
          <w:rFonts w:cs="Arial"/>
          <w:b/>
          <w:color w:val="000000" w:themeColor="text1"/>
          <w:szCs w:val="16"/>
        </w:rPr>
      </w:pPr>
      <w:bookmarkStart w:id="55" w:name="_Toc381956339"/>
      <w:bookmarkStart w:id="56" w:name="_Toc384383357"/>
      <w:bookmarkStart w:id="57" w:name="_Toc392159325"/>
      <w:r w:rsidRPr="00781112">
        <w:rPr>
          <w:rFonts w:cs="Arial"/>
          <w:b/>
          <w:color w:val="000000" w:themeColor="text1"/>
          <w:szCs w:val="16"/>
        </w:rPr>
        <w:t>Provide additional information about this indicator (optional)</w:t>
      </w:r>
    </w:p>
    <w:p w14:paraId="53B75C36" w14:textId="77777777" w:rsidR="00DE2E22" w:rsidRPr="00781112" w:rsidRDefault="00DE2E22" w:rsidP="004369B2">
      <w:pPr>
        <w:rPr>
          <w:color w:val="000000" w:themeColor="text1"/>
        </w:rPr>
      </w:pPr>
    </w:p>
    <w:p w14:paraId="3B087703" w14:textId="77777777" w:rsidR="007103FF" w:rsidRDefault="007103FF">
      <w:pPr>
        <w:spacing w:before="0" w:after="200" w:line="276" w:lineRule="auto"/>
        <w:rPr>
          <w:b/>
          <w:color w:val="000000" w:themeColor="text1"/>
        </w:rPr>
      </w:pPr>
      <w:r>
        <w:rPr>
          <w:b/>
          <w:color w:val="000000" w:themeColor="text1"/>
        </w:rPr>
        <w:br w:type="page"/>
      </w:r>
    </w:p>
    <w:p w14:paraId="3221D503" w14:textId="08CCFCBC" w:rsidR="009A755E" w:rsidRPr="00781112" w:rsidRDefault="00450F98" w:rsidP="004369B2">
      <w:pPr>
        <w:rPr>
          <w:color w:val="000000" w:themeColor="text1"/>
        </w:rPr>
      </w:pPr>
      <w:r>
        <w:rPr>
          <w:b/>
          <w:color w:val="000000" w:themeColor="text1"/>
        </w:rPr>
        <w:lastRenderedPageBreak/>
        <w:t>Correction of Findings of Noncompliance Identified in FFY 2020</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10</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10</w:t>
            </w:r>
          </w:p>
        </w:tc>
        <w:tc>
          <w:tcPr>
            <w:tcW w:w="1231" w:type="pct"/>
            <w:shd w:val="clear" w:color="auto" w:fill="auto"/>
          </w:tcPr>
          <w:p w14:paraId="650763EC" w14:textId="5B71F402" w:rsidR="009A755E" w:rsidRPr="00781112" w:rsidRDefault="009A755E" w:rsidP="00A018D4">
            <w:pPr>
              <w:jc w:val="center"/>
              <w:rPr>
                <w:rFonts w:cs="Arial"/>
                <w:color w:val="000000" w:themeColor="text1"/>
                <w:szCs w:val="16"/>
              </w:rPr>
            </w:pP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9183A2D" w14:textId="23DB1EFD" w:rsidR="009A755E" w:rsidRPr="00781112" w:rsidRDefault="00450F98" w:rsidP="004369B2">
      <w:pPr>
        <w:rPr>
          <w:color w:val="000000" w:themeColor="text1"/>
        </w:rPr>
      </w:pPr>
      <w:r>
        <w:rPr>
          <w:b/>
          <w:color w:val="000000" w:themeColor="text1"/>
        </w:rPr>
        <w:t>FFY 2020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 xml:space="preserve">PRDE SAEE identified ten findings of noncompliance with Indicator 11 for FFY 2020, and PRDE SAEE has ensured timely correction of each of the ten findings of noncompliance. PRDE SAEE accounted for all instances of noncompliance, including noncompliance identified: (a) through the State's on-site monitoring system (self-assessment); (b) through the review of data collected by the State, including compliance data collected through a State data system (MiPE); and (c) by the Department. For the record, PRDE again notes that it is a unitary system; as such, PRDE is the sole LEA on the island. PRDE's determination of timely correction of noncompliance </w:t>
      </w:r>
      <w:proofErr w:type="gramStart"/>
      <w:r w:rsidRPr="00781112">
        <w:rPr>
          <w:rFonts w:cs="Arial"/>
          <w:color w:val="000000" w:themeColor="text1"/>
          <w:szCs w:val="16"/>
        </w:rPr>
        <w:t>was made</w:t>
      </w:r>
      <w:proofErr w:type="gramEnd"/>
      <w:r w:rsidRPr="00781112">
        <w:rPr>
          <w:rFonts w:cs="Arial"/>
          <w:color w:val="000000" w:themeColor="text1"/>
          <w:szCs w:val="16"/>
        </w:rPr>
        <w:t xml:space="preserve"> consistent with OSEP Memorandum 09-02. Specifically, Puerto Rico verified that each LEA with noncompliance identified in FFY 2020 (i.e., PRDE, the sole LEA on the island):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Each finding was corrected within one year of identification.</w:t>
      </w:r>
      <w:r w:rsidRPr="00781112">
        <w:rPr>
          <w:rFonts w:cs="Arial"/>
          <w:color w:val="000000" w:themeColor="text1"/>
          <w:szCs w:val="16"/>
        </w:rPr>
        <w:br/>
      </w:r>
      <w:r w:rsidRPr="00781112">
        <w:rPr>
          <w:rFonts w:cs="Arial"/>
          <w:color w:val="000000" w:themeColor="text1"/>
          <w:szCs w:val="16"/>
        </w:rPr>
        <w:br/>
        <w:t xml:space="preserve">For the first prong listed above (“is correctly implementing the specific regulatory requirements…based on a review of updated data”), the PRDE SAEE Monitoring and Compliance Unit (MCU) reviewed initial evaluation data for a subsequent period of time and ascertained that children were evaluated in a timely manner, i.e., within 30 days of receiving parental consent for initial evaluation, in accordance with 34 CFR §300.301. Specifically, in reviewing initial evaluation data for a subsequent </w:t>
      </w:r>
      <w:proofErr w:type="gramStart"/>
      <w:r w:rsidRPr="00781112">
        <w:rPr>
          <w:rFonts w:cs="Arial"/>
          <w:color w:val="000000" w:themeColor="text1"/>
          <w:szCs w:val="16"/>
        </w:rPr>
        <w:t>period of time</w:t>
      </w:r>
      <w:proofErr w:type="gramEnd"/>
      <w:r w:rsidRPr="00781112">
        <w:rPr>
          <w:rFonts w:cs="Arial"/>
          <w:color w:val="000000" w:themeColor="text1"/>
          <w:szCs w:val="16"/>
        </w:rPr>
        <w:t xml:space="preserve">, the MCU analyzed the number of days that passed between the date of parental consent for evaluation and the initial evaluation. Through this analysis, the MCU determined that 100% of the students for whom parental consent to evaluate </w:t>
      </w:r>
      <w:proofErr w:type="gramStart"/>
      <w:r w:rsidRPr="00781112">
        <w:rPr>
          <w:rFonts w:cs="Arial"/>
          <w:color w:val="000000" w:themeColor="text1"/>
          <w:szCs w:val="16"/>
        </w:rPr>
        <w:t>was received</w:t>
      </w:r>
      <w:proofErr w:type="gramEnd"/>
      <w:r w:rsidRPr="00781112">
        <w:rPr>
          <w:rFonts w:cs="Arial"/>
          <w:color w:val="000000" w:themeColor="text1"/>
          <w:szCs w:val="16"/>
        </w:rPr>
        <w:t xml:space="preserve"> during the subsequent period received their evaluation within 30 days of receiving parental consent for initial evaluation in accordance with 34 CFR §300.301. </w:t>
      </w:r>
      <w:r w:rsidRPr="00781112">
        <w:rPr>
          <w:rFonts w:cs="Arial"/>
          <w:color w:val="000000" w:themeColor="text1"/>
          <w:szCs w:val="16"/>
        </w:rPr>
        <w:br/>
      </w:r>
      <w:r w:rsidRPr="00781112">
        <w:rPr>
          <w:rFonts w:cs="Arial"/>
          <w:color w:val="000000" w:themeColor="text1"/>
          <w:szCs w:val="16"/>
        </w:rPr>
        <w:br/>
        <w:t xml:space="preserve">For the second prong (“has corrected each individual case of noncompliance, unless the child is no longer within the jurisdiction of the LEA”), PRDE reviewed the list of students for whom parental consent to evaluate was obtained between July 1, 2020 and June 30, 2021, but whose initial evaluation was not timely, and then checked to make sure that an evaluation was completed for each child on that list, unless the child was no longer within jurisdiction of the Commonwealth of Puerto Rico. PRDE verified an evaluation </w:t>
      </w:r>
      <w:proofErr w:type="gramStart"/>
      <w:r w:rsidRPr="00781112">
        <w:rPr>
          <w:rFonts w:cs="Arial"/>
          <w:color w:val="000000" w:themeColor="text1"/>
          <w:szCs w:val="16"/>
        </w:rPr>
        <w:t>was performed</w:t>
      </w:r>
      <w:proofErr w:type="gramEnd"/>
      <w:r w:rsidRPr="00781112">
        <w:rPr>
          <w:rFonts w:cs="Arial"/>
          <w:color w:val="000000" w:themeColor="text1"/>
          <w:szCs w:val="16"/>
        </w:rPr>
        <w:t xml:space="preserve">, although late, by looking at evidence of the completion of the evaluation (i.e., evaluation report) in each Student’s file. PRDE verified the correction of each individual case of noncompliance in a timely manner, i.e., within one year of identification of noncompliance. </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t>
      </w:r>
      <w:proofErr w:type="gramStart"/>
      <w:r w:rsidRPr="00781112">
        <w:rPr>
          <w:rFonts w:cs="Arial"/>
          <w:b/>
          <w:color w:val="000000" w:themeColor="text1"/>
          <w:szCs w:val="16"/>
        </w:rPr>
        <w:t>was corrected</w:t>
      </w:r>
      <w:proofErr w:type="gramEnd"/>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 xml:space="preserve">PRDE verified that each individual case of noncompliance that had </w:t>
      </w:r>
      <w:proofErr w:type="gramStart"/>
      <w:r w:rsidRPr="00781112">
        <w:rPr>
          <w:rFonts w:cs="Arial"/>
          <w:color w:val="000000" w:themeColor="text1"/>
          <w:szCs w:val="16"/>
        </w:rPr>
        <w:t>been identified</w:t>
      </w:r>
      <w:proofErr w:type="gramEnd"/>
      <w:r w:rsidRPr="00781112">
        <w:rPr>
          <w:rFonts w:cs="Arial"/>
          <w:color w:val="000000" w:themeColor="text1"/>
          <w:szCs w:val="16"/>
        </w:rPr>
        <w:t xml:space="preserve"> was corrected. Specifically, PRDE ensured that for each child whose initial evaluation was not timely, unless the child is no longer within </w:t>
      </w:r>
      <w:proofErr w:type="gramStart"/>
      <w:r w:rsidRPr="00781112">
        <w:rPr>
          <w:rFonts w:cs="Arial"/>
          <w:color w:val="000000" w:themeColor="text1"/>
          <w:szCs w:val="16"/>
        </w:rPr>
        <w:t>jurisdiction</w:t>
      </w:r>
      <w:proofErr w:type="gramEnd"/>
      <w:r w:rsidRPr="00781112">
        <w:rPr>
          <w:rFonts w:cs="Arial"/>
          <w:color w:val="000000" w:themeColor="text1"/>
          <w:szCs w:val="16"/>
        </w:rPr>
        <w:t xml:space="preserve"> of the Commonwealth of Puerto Rico, an evaluation was performed, although late. PRDE verified the correction of each individual case of noncompliance in a timely manner, i.e., within one year of identification of noncompliance. </w:t>
      </w:r>
      <w:r w:rsidRPr="00781112">
        <w:rPr>
          <w:rFonts w:cs="Arial"/>
          <w:color w:val="000000" w:themeColor="text1"/>
          <w:szCs w:val="16"/>
        </w:rPr>
        <w:br/>
      </w:r>
      <w:r w:rsidRPr="00781112">
        <w:rPr>
          <w:rFonts w:cs="Arial"/>
          <w:color w:val="000000" w:themeColor="text1"/>
          <w:szCs w:val="16"/>
        </w:rPr>
        <w:br/>
        <w:t xml:space="preserve">Specifically for this prong (“has corrected each individual case of noncompliance, unless the child is no longer within the jurisdiction of the LEA”), as detailed in the above section as well, PRDE reviewed the list of students for whom parental consent to evaluate was obtained between July 1, 2020 and June 30, 2021, but whose initial evaluation was not timely, and then checked to make sure that an evaluation was completed for each child on that list, unless the child was no longer within jurisdiction of the Commonwealth of Puerto Rico. PRDE verified an evaluation </w:t>
      </w:r>
      <w:proofErr w:type="gramStart"/>
      <w:r w:rsidRPr="00781112">
        <w:rPr>
          <w:rFonts w:cs="Arial"/>
          <w:color w:val="000000" w:themeColor="text1"/>
          <w:szCs w:val="16"/>
        </w:rPr>
        <w:t>was performed</w:t>
      </w:r>
      <w:proofErr w:type="gramEnd"/>
      <w:r w:rsidRPr="00781112">
        <w:rPr>
          <w:rFonts w:cs="Arial"/>
          <w:color w:val="000000" w:themeColor="text1"/>
          <w:szCs w:val="16"/>
        </w:rPr>
        <w:t>, although late, by looking at evidence of the completion of the evaluation (i.e., evaluation report) in each Student’s file.</w:t>
      </w:r>
    </w:p>
    <w:p w14:paraId="47B6C111" w14:textId="77777777" w:rsidR="008227D4" w:rsidRPr="00781112" w:rsidRDefault="008227D4" w:rsidP="004369B2">
      <w:pPr>
        <w:rPr>
          <w:color w:val="000000" w:themeColor="text1"/>
        </w:rPr>
      </w:pPr>
    </w:p>
    <w:p w14:paraId="3D219E0E" w14:textId="05757C22"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461" w:type="pct"/>
            <w:shd w:val="clear" w:color="auto" w:fill="auto"/>
            <w:vAlign w:val="bottom"/>
          </w:tcPr>
          <w:p w14:paraId="58480848" w14:textId="0727D6EF"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 xml:space="preserve">Because PRDE reported less than 100% compliance for FFY 2020, PRDE must report on the status of correction of noncompliance identified in FFY 2020 for this indicator. When reporting on the correction of noncompliance, PRDE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PRDE must describe the specific actions that </w:t>
      </w:r>
      <w:proofErr w:type="gramStart"/>
      <w:r w:rsidRPr="00781112">
        <w:rPr>
          <w:rFonts w:cs="Arial"/>
          <w:color w:val="000000" w:themeColor="text1"/>
          <w:szCs w:val="16"/>
        </w:rPr>
        <w:t>were taken</w:t>
      </w:r>
      <w:proofErr w:type="gramEnd"/>
      <w:r w:rsidRPr="00781112">
        <w:rPr>
          <w:rFonts w:cs="Arial"/>
          <w:color w:val="000000" w:themeColor="text1"/>
          <w:szCs w:val="16"/>
        </w:rPr>
        <w:t xml:space="preserve"> to verify the correction. </w:t>
      </w:r>
      <w:r w:rsidRPr="00781112">
        <w:rPr>
          <w:rFonts w:cs="Arial"/>
          <w:color w:val="000000" w:themeColor="text1"/>
          <w:szCs w:val="16"/>
        </w:rPr>
        <w:br/>
      </w:r>
      <w:r w:rsidRPr="00781112">
        <w:rPr>
          <w:rFonts w:cs="Arial"/>
          <w:color w:val="000000" w:themeColor="text1"/>
          <w:szCs w:val="16"/>
        </w:rPr>
        <w:br/>
        <w:t>If PRDE did not identify any findings of noncompliance in FFY 2020, although its FFY 2020 data reflect less than 100% compliance, provide an explanation of why PRDE did not identify any findings of noncompliance in FFY 2020.</w:t>
      </w:r>
    </w:p>
    <w:p w14:paraId="314020BE" w14:textId="77777777" w:rsidR="009F69E7" w:rsidRPr="00781112" w:rsidRDefault="009F69E7" w:rsidP="004E2151">
      <w:pPr>
        <w:rPr>
          <w:rFonts w:cs="Arial"/>
          <w:color w:val="000000" w:themeColor="text1"/>
          <w:szCs w:val="16"/>
        </w:rPr>
      </w:pPr>
    </w:p>
    <w:p w14:paraId="35EEEBCC" w14:textId="1E6D333E" w:rsidR="004E2151" w:rsidRPr="00781112" w:rsidRDefault="007639D7" w:rsidP="004369B2">
      <w:pPr>
        <w:rPr>
          <w:b/>
          <w:color w:val="000000" w:themeColor="text1"/>
        </w:rPr>
      </w:pPr>
      <w:r>
        <w:rPr>
          <w:b/>
          <w:color w:val="000000" w:themeColor="text1"/>
        </w:rPr>
        <w:t>Response to actions required in FFY 2020 SPP/APR</w:t>
      </w:r>
    </w:p>
    <w:p w14:paraId="29D8AFAD" w14:textId="6EBD882C" w:rsidR="004E2151" w:rsidRPr="00781112" w:rsidRDefault="004E2151" w:rsidP="004E2151">
      <w:pPr>
        <w:rPr>
          <w:rFonts w:cs="Arial"/>
          <w:color w:val="000000" w:themeColor="text1"/>
          <w:szCs w:val="16"/>
        </w:rPr>
      </w:pP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lastRenderedPageBreak/>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Because PRDE reported less than 100% compliance for FFY 2021, PRDE must report on the status of correction of noncompliance identified in FFY 2021 for this indicator. When reporting on the correction of noncompliance, PRDE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PRDE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PRDE did not identify any findings of noncompliance in FFY 2021, although its FFY 2021 data reflect less than 100% compliance, provide an explanation of why PRDE did not identify any findings of noncompliance in FFY 2021.</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55"/>
      <w:bookmarkEnd w:id="56"/>
      <w:bookmarkEnd w:id="57"/>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58" w:name="_Toc384383358"/>
      <w:bookmarkStart w:id="59"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w:t>
      </w:r>
      <w:proofErr w:type="gramStart"/>
      <w:r w:rsidRPr="00781112">
        <w:rPr>
          <w:rFonts w:cs="Arial"/>
          <w:color w:val="000000" w:themeColor="text1"/>
          <w:szCs w:val="16"/>
        </w:rPr>
        <w:t>are found</w:t>
      </w:r>
      <w:proofErr w:type="gramEnd"/>
      <w:r w:rsidRPr="00781112">
        <w:rPr>
          <w:rFonts w:cs="Arial"/>
          <w:color w:val="000000" w:themeColor="text1"/>
          <w:szCs w:val="16"/>
        </w:rPr>
        <w:t xml:space="preserve">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 xml:space="preserve">Data to </w:t>
      </w:r>
      <w:proofErr w:type="gramStart"/>
      <w:r w:rsidRPr="00781112">
        <w:rPr>
          <w:rFonts w:cs="Arial"/>
          <w:color w:val="000000" w:themeColor="text1"/>
          <w:szCs w:val="16"/>
          <w:shd w:val="clear" w:color="auto" w:fill="FFFFFF"/>
        </w:rPr>
        <w:t>be taken</w:t>
      </w:r>
      <w:proofErr w:type="gramEnd"/>
      <w:r w:rsidRPr="00781112">
        <w:rPr>
          <w:rFonts w:cs="Arial"/>
          <w:color w:val="000000" w:themeColor="text1"/>
          <w:szCs w:val="16"/>
          <w:shd w:val="clear" w:color="auto" w:fill="FFFFFF"/>
        </w:rPr>
        <w:t xml:space="preserve">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a. # of children who have </w:t>
      </w:r>
      <w:proofErr w:type="gramStart"/>
      <w:r w:rsidRPr="00781112">
        <w:rPr>
          <w:rFonts w:eastAsia="Times New Roman" w:cs="Arial"/>
          <w:color w:val="000000" w:themeColor="text1"/>
          <w:szCs w:val="16"/>
        </w:rPr>
        <w:t>been served</w:t>
      </w:r>
      <w:proofErr w:type="gramEnd"/>
      <w:r w:rsidRPr="00781112">
        <w:rPr>
          <w:rFonts w:eastAsia="Times New Roman" w:cs="Arial"/>
          <w:color w:val="000000" w:themeColor="text1"/>
          <w:szCs w:val="16"/>
        </w:rPr>
        <w:t xml:space="preserve">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w:t>
      </w:r>
      <w:proofErr w:type="gramStart"/>
      <w:r w:rsidRPr="00781112">
        <w:rPr>
          <w:rFonts w:cs="Arial"/>
          <w:i/>
          <w:iCs/>
          <w:color w:val="000000" w:themeColor="text1"/>
          <w:szCs w:val="16"/>
        </w:rPr>
        <w:t>are</w:t>
      </w:r>
      <w:proofErr w:type="gramEnd"/>
      <w:r w:rsidRPr="00781112">
        <w:rPr>
          <w:rFonts w:cs="Arial"/>
          <w:i/>
          <w:iCs/>
          <w:color w:val="000000" w:themeColor="text1"/>
          <w:szCs w:val="16"/>
        </w:rPr>
        <w:t xml:space="preserv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 xml:space="preserve">Category f is to </w:t>
      </w:r>
      <w:proofErr w:type="gramStart"/>
      <w:r w:rsidRPr="00781112">
        <w:rPr>
          <w:rFonts w:cs="Arial"/>
          <w:color w:val="000000" w:themeColor="text1"/>
          <w:szCs w:val="16"/>
        </w:rPr>
        <w:t>be used</w:t>
      </w:r>
      <w:proofErr w:type="gramEnd"/>
      <w:r w:rsidRPr="00781112">
        <w:rPr>
          <w:rFonts w:cs="Arial"/>
          <w:color w:val="000000" w:themeColor="text1"/>
          <w:szCs w:val="16"/>
        </w:rPr>
        <w:t xml:space="preserve">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1B505E64" w14:textId="5E538FA3"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60" w:name="_Toc384383359"/>
      <w:bookmarkStart w:id="61" w:name="_Toc392159327"/>
      <w:bookmarkEnd w:id="58"/>
      <w:bookmarkEnd w:id="59"/>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13.17%</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60"/>
          <w:bookmarkEnd w:id="61"/>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96.41%</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97.11%</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98.57%</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97.06%</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96.79%</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85"/>
        <w:gridCol w:w="1698"/>
        <w:gridCol w:w="1699"/>
        <w:gridCol w:w="1699"/>
        <w:gridCol w:w="1697"/>
      </w:tblGrid>
      <w:tr w:rsidR="00B14519" w:rsidRPr="00781112" w14:paraId="41D3AE7A" w14:textId="578794F0" w:rsidTr="00451D7E">
        <w:trPr>
          <w:trHeight w:val="328"/>
        </w:trPr>
        <w:tc>
          <w:tcPr>
            <w:tcW w:w="278" w:type="pct"/>
            <w:tcBorders>
              <w:bottom w:val="single" w:sz="4" w:space="0" w:color="auto"/>
            </w:tcBorders>
            <w:shd w:val="clear" w:color="auto" w:fill="auto"/>
          </w:tcPr>
          <w:p w14:paraId="7786D02D" w14:textId="77777777" w:rsidR="00B14519" w:rsidRPr="00781112" w:rsidRDefault="00B14519" w:rsidP="00AF574F">
            <w:pPr>
              <w:jc w:val="center"/>
              <w:rPr>
                <w:b/>
                <w:color w:val="000000" w:themeColor="text1"/>
              </w:rPr>
            </w:pPr>
            <w:r w:rsidRPr="00781112">
              <w:rPr>
                <w:b/>
                <w:color w:val="000000" w:themeColor="text1"/>
              </w:rPr>
              <w:t>FFY</w:t>
            </w:r>
          </w:p>
        </w:tc>
        <w:tc>
          <w:tcPr>
            <w:tcW w:w="895" w:type="pct"/>
            <w:shd w:val="clear" w:color="auto" w:fill="auto"/>
          </w:tcPr>
          <w:p w14:paraId="09ED5838" w14:textId="77777777" w:rsidR="00B14519" w:rsidRPr="00781112" w:rsidRDefault="00B14519" w:rsidP="00AF574F">
            <w:pPr>
              <w:jc w:val="center"/>
              <w:rPr>
                <w:b/>
                <w:color w:val="000000" w:themeColor="text1"/>
              </w:rPr>
            </w:pPr>
            <w:r w:rsidRPr="00781112">
              <w:rPr>
                <w:b/>
                <w:color w:val="000000" w:themeColor="text1"/>
              </w:rPr>
              <w:t>2021</w:t>
            </w:r>
          </w:p>
        </w:tc>
        <w:tc>
          <w:tcPr>
            <w:tcW w:w="957" w:type="pct"/>
          </w:tcPr>
          <w:p w14:paraId="0769903C" w14:textId="05A227DB" w:rsidR="00B14519" w:rsidRPr="00781112" w:rsidRDefault="00B14519" w:rsidP="00AF574F">
            <w:pPr>
              <w:jc w:val="center"/>
              <w:rPr>
                <w:b/>
                <w:color w:val="000000" w:themeColor="text1"/>
              </w:rPr>
            </w:pPr>
            <w:r w:rsidRPr="00781112">
              <w:rPr>
                <w:rFonts w:cs="Arial"/>
                <w:b/>
                <w:color w:val="000000" w:themeColor="text1"/>
                <w:szCs w:val="16"/>
              </w:rPr>
              <w:t>2022</w:t>
            </w:r>
          </w:p>
        </w:tc>
        <w:tc>
          <w:tcPr>
            <w:tcW w:w="957" w:type="pct"/>
          </w:tcPr>
          <w:p w14:paraId="77CF077D" w14:textId="38DFC132" w:rsidR="00B14519" w:rsidRPr="00781112" w:rsidRDefault="00B14519" w:rsidP="00AF574F">
            <w:pPr>
              <w:jc w:val="center"/>
              <w:rPr>
                <w:b/>
                <w:color w:val="000000" w:themeColor="text1"/>
              </w:rPr>
            </w:pPr>
            <w:r w:rsidRPr="00781112">
              <w:rPr>
                <w:rFonts w:cs="Arial"/>
                <w:b/>
                <w:color w:val="000000" w:themeColor="text1"/>
                <w:szCs w:val="16"/>
              </w:rPr>
              <w:t>2023</w:t>
            </w:r>
          </w:p>
        </w:tc>
        <w:tc>
          <w:tcPr>
            <w:tcW w:w="957" w:type="pct"/>
          </w:tcPr>
          <w:p w14:paraId="5C5F415E" w14:textId="7B035D53" w:rsidR="00B14519" w:rsidRPr="00781112" w:rsidRDefault="00B14519" w:rsidP="00AF574F">
            <w:pPr>
              <w:jc w:val="center"/>
              <w:rPr>
                <w:b/>
                <w:color w:val="000000" w:themeColor="text1"/>
              </w:rPr>
            </w:pPr>
            <w:r w:rsidRPr="00781112">
              <w:rPr>
                <w:rFonts w:cs="Arial"/>
                <w:b/>
                <w:color w:val="000000" w:themeColor="text1"/>
                <w:szCs w:val="16"/>
              </w:rPr>
              <w:t>2024</w:t>
            </w:r>
          </w:p>
        </w:tc>
        <w:tc>
          <w:tcPr>
            <w:tcW w:w="957" w:type="pct"/>
          </w:tcPr>
          <w:p w14:paraId="4D5B8FD6" w14:textId="4B2021E7"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2B267817" w14:textId="2A03C05D" w:rsidTr="00451D7E">
        <w:trPr>
          <w:trHeight w:val="335"/>
        </w:trPr>
        <w:tc>
          <w:tcPr>
            <w:tcW w:w="278" w:type="pct"/>
            <w:shd w:val="clear" w:color="auto" w:fill="auto"/>
            <w:vAlign w:val="center"/>
          </w:tcPr>
          <w:p w14:paraId="70D956A8"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CDE7127" w14:textId="59D1386F"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57" w:type="pct"/>
          </w:tcPr>
          <w:p w14:paraId="6CF78C3F" w14:textId="1B45F3AE"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6FCC2C45" w14:textId="5131688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06CB35C0" w14:textId="66848221"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3CD9C2C5" w14:textId="2066089A"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46BA504F" w:rsidR="00634AD8"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w:t>
            </w:r>
            <w:proofErr w:type="gramStart"/>
            <w:r w:rsidRPr="00781112">
              <w:rPr>
                <w:rFonts w:cs="Arial"/>
                <w:color w:val="000000" w:themeColor="text1"/>
                <w:szCs w:val="16"/>
              </w:rPr>
              <w:t>been served</w:t>
            </w:r>
            <w:proofErr w:type="gramEnd"/>
            <w:r w:rsidRPr="00781112">
              <w:rPr>
                <w:rFonts w:cs="Arial"/>
                <w:color w:val="000000" w:themeColor="text1"/>
                <w:szCs w:val="16"/>
              </w:rPr>
              <w:t xml:space="preserve">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1,669</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10</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1,186</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424</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t>
            </w:r>
            <w:proofErr w:type="gramStart"/>
            <w:r w:rsidRPr="00781112">
              <w:rPr>
                <w:rFonts w:cs="Arial"/>
                <w:color w:val="000000" w:themeColor="text1"/>
                <w:szCs w:val="16"/>
              </w:rPr>
              <w:t>were referred</w:t>
            </w:r>
            <w:proofErr w:type="gramEnd"/>
            <w:r w:rsidRPr="00781112">
              <w:rPr>
                <w:rFonts w:cs="Arial"/>
                <w:color w:val="000000" w:themeColor="text1"/>
                <w:szCs w:val="16"/>
              </w:rPr>
              <w:t xml:space="preserve">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B1652C" w:rsidRPr="00781112" w14:paraId="666B6B4E" w14:textId="2C1DC9A0" w:rsidTr="0010170F">
        <w:trPr>
          <w:trHeight w:val="340"/>
          <w:tblHeader/>
        </w:trPr>
        <w:tc>
          <w:tcPr>
            <w:tcW w:w="831" w:type="pct"/>
            <w:shd w:val="clear" w:color="auto" w:fill="auto"/>
          </w:tcPr>
          <w:p w14:paraId="5A0321EA" w14:textId="34C57852" w:rsidR="00B1652C" w:rsidRPr="00781112" w:rsidRDefault="00B1652C" w:rsidP="00B1652C">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B1652C" w:rsidRPr="0075451F" w:rsidRDefault="00B1652C" w:rsidP="00B1652C">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vAlign w:val="bottom"/>
          </w:tcPr>
          <w:p w14:paraId="58F547FF" w14:textId="74A7B658" w:rsidR="00B1652C" w:rsidRPr="006D0A52" w:rsidRDefault="00B1652C" w:rsidP="00B1652C">
            <w:pPr>
              <w:jc w:val="center"/>
              <w:rPr>
                <w:rFonts w:cs="Arial"/>
                <w:b/>
                <w:bCs/>
                <w:color w:val="000000" w:themeColor="text1"/>
                <w:szCs w:val="16"/>
              </w:rPr>
            </w:pPr>
            <w:r w:rsidRPr="006D0A52">
              <w:rPr>
                <w:b/>
                <w:bCs/>
              </w:rPr>
              <w:t>FFY 2020 Data</w:t>
            </w:r>
          </w:p>
        </w:tc>
        <w:tc>
          <w:tcPr>
            <w:tcW w:w="595" w:type="pct"/>
            <w:shd w:val="clear" w:color="auto" w:fill="auto"/>
            <w:vAlign w:val="bottom"/>
          </w:tcPr>
          <w:p w14:paraId="36BD2BCA" w14:textId="610B5164" w:rsidR="00B1652C" w:rsidRPr="006D0A52" w:rsidRDefault="00B1652C" w:rsidP="00B1652C">
            <w:pPr>
              <w:jc w:val="center"/>
              <w:rPr>
                <w:rFonts w:cs="Arial"/>
                <w:b/>
                <w:bCs/>
                <w:color w:val="000000" w:themeColor="text1"/>
                <w:szCs w:val="16"/>
              </w:rPr>
            </w:pPr>
            <w:r w:rsidRPr="006D0A52">
              <w:rPr>
                <w:b/>
                <w:bCs/>
              </w:rPr>
              <w:t>FFY 2021 Target</w:t>
            </w:r>
          </w:p>
        </w:tc>
        <w:tc>
          <w:tcPr>
            <w:tcW w:w="595" w:type="pct"/>
            <w:shd w:val="clear" w:color="auto" w:fill="auto"/>
            <w:vAlign w:val="bottom"/>
          </w:tcPr>
          <w:p w14:paraId="0030B6C4" w14:textId="0A3E5A40" w:rsidR="00B1652C" w:rsidRPr="006D0A52" w:rsidRDefault="00B1652C" w:rsidP="00B1652C">
            <w:pPr>
              <w:jc w:val="center"/>
              <w:rPr>
                <w:rFonts w:cs="Arial"/>
                <w:b/>
                <w:bCs/>
                <w:color w:val="000000" w:themeColor="text1"/>
                <w:szCs w:val="16"/>
              </w:rPr>
            </w:pPr>
            <w:r w:rsidRPr="006D0A52">
              <w:rPr>
                <w:b/>
                <w:bCs/>
              </w:rPr>
              <w:t>FFY 2021 Data</w:t>
            </w:r>
          </w:p>
        </w:tc>
        <w:tc>
          <w:tcPr>
            <w:tcW w:w="595" w:type="pct"/>
            <w:shd w:val="clear" w:color="auto" w:fill="auto"/>
          </w:tcPr>
          <w:p w14:paraId="16905A6D" w14:textId="19A3632B"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 xml:space="preserve">Percent of children referred by Part C prior to age 3 who </w:t>
            </w:r>
            <w:proofErr w:type="gramStart"/>
            <w:r w:rsidRPr="00781112">
              <w:rPr>
                <w:rFonts w:cs="Arial"/>
                <w:color w:val="000000" w:themeColor="text1"/>
                <w:szCs w:val="16"/>
              </w:rPr>
              <w:t>are found</w:t>
            </w:r>
            <w:proofErr w:type="gramEnd"/>
            <w:r w:rsidRPr="00781112">
              <w:rPr>
                <w:rFonts w:cs="Arial"/>
                <w:color w:val="000000" w:themeColor="text1"/>
                <w:szCs w:val="16"/>
              </w:rPr>
              <w:t xml:space="preserve">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1,186</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1,235</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96.79%</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96.03%</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 xml:space="preserve">Number of children who served in Part C and referred to Part B for eligibility determination that </w:t>
      </w:r>
      <w:proofErr w:type="gramStart"/>
      <w:r w:rsidRPr="00781112">
        <w:rPr>
          <w:rFonts w:cs="Arial"/>
          <w:b/>
          <w:color w:val="000000" w:themeColor="text1"/>
          <w:szCs w:val="16"/>
        </w:rPr>
        <w:t>are not included</w:t>
      </w:r>
      <w:proofErr w:type="gramEnd"/>
      <w:r w:rsidRPr="00781112">
        <w:rPr>
          <w:rFonts w:cs="Arial"/>
          <w:b/>
          <w:color w:val="000000" w:themeColor="text1"/>
          <w:szCs w:val="16"/>
        </w:rPr>
        <w:t xml:space="preserve">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49</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 xml:space="preserve">The following information presents the range of days elapsed beyond the third birthday of these </w:t>
      </w:r>
      <w:proofErr w:type="gramStart"/>
      <w:r w:rsidRPr="00781112">
        <w:rPr>
          <w:bCs/>
          <w:color w:val="000000" w:themeColor="text1"/>
        </w:rPr>
        <w:t>49</w:t>
      </w:r>
      <w:proofErr w:type="gramEnd"/>
      <w:r w:rsidRPr="00781112">
        <w:rPr>
          <w:bCs/>
          <w:color w:val="000000" w:themeColor="text1"/>
        </w:rPr>
        <w:t xml:space="preserve"> children whose eligibility and services were not in place by the third birthday. Those </w:t>
      </w:r>
      <w:proofErr w:type="gramStart"/>
      <w:r w:rsidRPr="00781112">
        <w:rPr>
          <w:bCs/>
          <w:color w:val="000000" w:themeColor="text1"/>
        </w:rPr>
        <w:t>49</w:t>
      </w:r>
      <w:proofErr w:type="gramEnd"/>
      <w:r w:rsidRPr="00781112">
        <w:rPr>
          <w:bCs/>
          <w:color w:val="000000" w:themeColor="text1"/>
        </w:rPr>
        <w:t xml:space="preserve"> children represent just 2.9% of all children served in Part C and referred to Part B for Part B eligibility determination during FFY 2021 (49/1,669). Reasons for the delays </w:t>
      </w:r>
      <w:proofErr w:type="gramStart"/>
      <w:r w:rsidRPr="00781112">
        <w:rPr>
          <w:bCs/>
          <w:color w:val="000000" w:themeColor="text1"/>
        </w:rPr>
        <w:t>are discussed</w:t>
      </w:r>
      <w:proofErr w:type="gramEnd"/>
      <w:r w:rsidRPr="00781112">
        <w:rPr>
          <w:bCs/>
          <w:color w:val="000000" w:themeColor="text1"/>
        </w:rPr>
        <w:t xml:space="preserve"> thereafter. </w:t>
      </w:r>
      <w:r w:rsidRPr="00781112">
        <w:rPr>
          <w:bCs/>
          <w:color w:val="000000" w:themeColor="text1"/>
        </w:rPr>
        <w:br/>
      </w:r>
      <w:r w:rsidRPr="00781112">
        <w:rPr>
          <w:bCs/>
          <w:color w:val="000000" w:themeColor="text1"/>
        </w:rPr>
        <w:br/>
        <w:t># of children receiving services from Part C and referred for eligibility determination during FFY 2021 and were not determined eligible or provided with services by their third birthday = 49</w:t>
      </w:r>
      <w:r w:rsidRPr="00781112">
        <w:rPr>
          <w:bCs/>
          <w:color w:val="000000" w:themeColor="text1"/>
        </w:rPr>
        <w:br/>
      </w:r>
      <w:r w:rsidRPr="00781112">
        <w:rPr>
          <w:bCs/>
          <w:color w:val="000000" w:themeColor="text1"/>
        </w:rPr>
        <w:br/>
        <w:t xml:space="preserve">In place within 30 days following third birthday = 25 </w:t>
      </w:r>
      <w:r w:rsidRPr="00781112">
        <w:rPr>
          <w:bCs/>
          <w:color w:val="000000" w:themeColor="text1"/>
        </w:rPr>
        <w:br/>
        <w:t>In place between 31 and 60 days of third birthday = 8</w:t>
      </w:r>
      <w:r w:rsidRPr="00781112">
        <w:rPr>
          <w:bCs/>
          <w:color w:val="000000" w:themeColor="text1"/>
        </w:rPr>
        <w:br/>
        <w:t xml:space="preserve">In place between 61 and 90 days of third birthday = 5 </w:t>
      </w:r>
      <w:r w:rsidRPr="00781112">
        <w:rPr>
          <w:bCs/>
          <w:color w:val="000000" w:themeColor="text1"/>
        </w:rPr>
        <w:br/>
        <w:t>In place between 91 and 120 days of third birthday = 0</w:t>
      </w:r>
      <w:r w:rsidRPr="00781112">
        <w:rPr>
          <w:bCs/>
          <w:color w:val="000000" w:themeColor="text1"/>
        </w:rPr>
        <w:br/>
        <w:t>In place more than 120 days following third birthday = 11</w:t>
      </w:r>
      <w:r w:rsidRPr="00781112">
        <w:rPr>
          <w:bCs/>
          <w:color w:val="000000" w:themeColor="text1"/>
        </w:rPr>
        <w:br/>
      </w:r>
      <w:r w:rsidRPr="00781112">
        <w:rPr>
          <w:bCs/>
          <w:color w:val="000000" w:themeColor="text1"/>
        </w:rPr>
        <w:br/>
        <w:t xml:space="preserve">Reasons for the delays include the following: late referral from the Part C program, data entry errors, new staff, parent failure to keep scheduled appointments, Part C failure to send transition meeting notices in a timely manner, and facilitator failure to attend transition meetings. During 2021-2022, PRDE continued to experience </w:t>
      </w:r>
      <w:proofErr w:type="gramStart"/>
      <w:r w:rsidRPr="00781112">
        <w:rPr>
          <w:bCs/>
          <w:color w:val="000000" w:themeColor="text1"/>
        </w:rPr>
        <w:t>some</w:t>
      </w:r>
      <w:proofErr w:type="gramEnd"/>
      <w:r w:rsidRPr="00781112">
        <w:rPr>
          <w:bCs/>
          <w:color w:val="000000" w:themeColor="text1"/>
        </w:rPr>
        <w:t xml:space="preserve"> impacts and delays on transition processes due to COVID infections.</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62" w:name="_Hlk20318414"/>
      <w:bookmarkEnd w:id="62"/>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 xml:space="preserve">PRDE conducted island-wide data collection and several validation activities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obtain the number of children who had been served in Part C and referred to Part B, and the number found eligible who had an IEP developed and implemented by their third birthday. During FFY 2021, PRDE continued to give follow up to those children identified as potential participants of special education services. Each CSEE has knowledgeable staff that attends to each child from the referral process to the implementation of the IEP. This personnel </w:t>
      </w:r>
      <w:proofErr w:type="gramStart"/>
      <w:r w:rsidRPr="00781112">
        <w:rPr>
          <w:rFonts w:cs="Arial"/>
          <w:color w:val="000000" w:themeColor="text1"/>
          <w:szCs w:val="16"/>
        </w:rPr>
        <w:t>is</w:t>
      </w:r>
      <w:proofErr w:type="gramEnd"/>
      <w:r w:rsidRPr="00781112">
        <w:rPr>
          <w:rFonts w:cs="Arial"/>
          <w:color w:val="000000" w:themeColor="text1"/>
          <w:szCs w:val="16"/>
        </w:rPr>
        <w:t xml:space="preserve"> also responsible for ensuring data is continuously updated in the system.</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326C0B" w:rsidP="007D435F">
      <w:pPr>
        <w:rPr>
          <w:rFonts w:cs="Arial"/>
          <w:color w:val="000000" w:themeColor="text1"/>
          <w:szCs w:val="16"/>
        </w:rPr>
      </w:pPr>
    </w:p>
    <w:p w14:paraId="4E94D02C" w14:textId="77777777" w:rsidR="009C5AE7" w:rsidRPr="00781112" w:rsidRDefault="009C5AE7" w:rsidP="004369B2">
      <w:pPr>
        <w:rPr>
          <w:color w:val="000000" w:themeColor="text1"/>
        </w:rPr>
      </w:pPr>
    </w:p>
    <w:p w14:paraId="7740DC21" w14:textId="791A6EF5"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11</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11</w:t>
            </w:r>
          </w:p>
        </w:tc>
        <w:tc>
          <w:tcPr>
            <w:tcW w:w="1231" w:type="pct"/>
            <w:shd w:val="clear" w:color="auto" w:fill="auto"/>
          </w:tcPr>
          <w:p w14:paraId="36D48FD7" w14:textId="2F6E80E6" w:rsidR="009A755E" w:rsidRPr="00781112" w:rsidRDefault="009A755E" w:rsidP="00A018D4">
            <w:pPr>
              <w:jc w:val="center"/>
              <w:rPr>
                <w:rFonts w:cs="Arial"/>
                <w:color w:val="000000" w:themeColor="text1"/>
                <w:szCs w:val="16"/>
              </w:rPr>
            </w:pP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55373B8" w14:textId="06928F75" w:rsidR="009A755E" w:rsidRPr="00781112" w:rsidRDefault="00450F98" w:rsidP="004369B2">
      <w:pPr>
        <w:rPr>
          <w:color w:val="000000" w:themeColor="text1"/>
        </w:rPr>
      </w:pPr>
      <w:r>
        <w:rPr>
          <w:b/>
          <w:color w:val="000000" w:themeColor="text1"/>
        </w:rPr>
        <w:t>FFY 2020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 xml:space="preserve">PRDE SAEE identified </w:t>
      </w:r>
      <w:proofErr w:type="gramStart"/>
      <w:r w:rsidRPr="00781112">
        <w:rPr>
          <w:rFonts w:cs="Arial"/>
          <w:color w:val="000000" w:themeColor="text1"/>
          <w:szCs w:val="16"/>
        </w:rPr>
        <w:t>11</w:t>
      </w:r>
      <w:proofErr w:type="gramEnd"/>
      <w:r w:rsidRPr="00781112">
        <w:rPr>
          <w:rFonts w:cs="Arial"/>
          <w:color w:val="000000" w:themeColor="text1"/>
          <w:szCs w:val="16"/>
        </w:rPr>
        <w:t xml:space="preserve"> findings of noncompliance with Indicator 12 for FFY 2020, and PRDE SAEE has ensured timely correction of all 11 findings of noncompliance. PRDE SAEE accounted for all instances of noncompliance, including noncompliance identified: (a) through the State's on-site monitoring system (self-assessment); (b) through the review of data collected by the State, including compliance data collected through a State data system (MiPE); and (c) by the Department. For the record, PRDE again notes that it is a unitary system; as such, PRDE is the sole LEA on the island. PRDE's determination of timely correction of noncompliance </w:t>
      </w:r>
      <w:proofErr w:type="gramStart"/>
      <w:r w:rsidRPr="00781112">
        <w:rPr>
          <w:rFonts w:cs="Arial"/>
          <w:color w:val="000000" w:themeColor="text1"/>
          <w:szCs w:val="16"/>
        </w:rPr>
        <w:t>was made</w:t>
      </w:r>
      <w:proofErr w:type="gramEnd"/>
      <w:r w:rsidRPr="00781112">
        <w:rPr>
          <w:rFonts w:cs="Arial"/>
          <w:color w:val="000000" w:themeColor="text1"/>
          <w:szCs w:val="16"/>
        </w:rPr>
        <w:t xml:space="preserve"> consistent with OSEP Memorandum 09-02. Specifically, Puerto Rico verified that each LEA with noncompliance identified in FFY 2020 (i.e., PRDE, the sole LEA on the island): (1) is correctly implementing the specific regulatory requirements (i.e., achieved 100% compliance) based on a review of updated data such as data subsequently collected through on-site monitoring or a </w:t>
      </w:r>
      <w:r w:rsidRPr="00781112">
        <w:rPr>
          <w:rFonts w:cs="Arial"/>
          <w:color w:val="000000" w:themeColor="text1"/>
          <w:szCs w:val="16"/>
        </w:rPr>
        <w:lastRenderedPageBreak/>
        <w:t xml:space="preserve">State data system; and (2) has corrected each individual case of noncompliance, unless the child is no longer within the jurisdiction of the LEA. The finding </w:t>
      </w:r>
      <w:proofErr w:type="gramStart"/>
      <w:r w:rsidRPr="00781112">
        <w:rPr>
          <w:rFonts w:cs="Arial"/>
          <w:color w:val="000000" w:themeColor="text1"/>
          <w:szCs w:val="16"/>
        </w:rPr>
        <w:t>was corrected</w:t>
      </w:r>
      <w:proofErr w:type="gramEnd"/>
      <w:r w:rsidRPr="00781112">
        <w:rPr>
          <w:rFonts w:cs="Arial"/>
          <w:color w:val="000000" w:themeColor="text1"/>
          <w:szCs w:val="16"/>
        </w:rPr>
        <w:t xml:space="preserve"> within one year of identification. </w:t>
      </w:r>
      <w:r w:rsidRPr="00781112">
        <w:rPr>
          <w:rFonts w:cs="Arial"/>
          <w:color w:val="000000" w:themeColor="text1"/>
          <w:szCs w:val="16"/>
        </w:rPr>
        <w:br/>
      </w:r>
      <w:r w:rsidRPr="00781112">
        <w:rPr>
          <w:rFonts w:cs="Arial"/>
          <w:color w:val="000000" w:themeColor="text1"/>
          <w:szCs w:val="16"/>
        </w:rPr>
        <w:br/>
        <w:t xml:space="preserve">For the first prong listed above (“is correctly implementing the specific regulatory requirements…based on a review of updated data”), the PRDE SAEE Monitoring and Compliance Unit (MCU) reviewed early childhood transition data for a subsequent period of time and ascertained that children referred by Part C prior to age 3, who are found eligible for Part B, have an IEP developed and implemented by their third birthdays.  Specifically, in reviewing early childhood transition data for a subsequent </w:t>
      </w:r>
      <w:proofErr w:type="gramStart"/>
      <w:r w:rsidRPr="00781112">
        <w:rPr>
          <w:rFonts w:cs="Arial"/>
          <w:color w:val="000000" w:themeColor="text1"/>
          <w:szCs w:val="16"/>
        </w:rPr>
        <w:t>period of time</w:t>
      </w:r>
      <w:proofErr w:type="gramEnd"/>
      <w:r w:rsidRPr="00781112">
        <w:rPr>
          <w:rFonts w:cs="Arial"/>
          <w:color w:val="000000" w:themeColor="text1"/>
          <w:szCs w:val="16"/>
        </w:rPr>
        <w:t xml:space="preserve">, the MCU analyzed documentation regarding the dates upon which each child referred from Part C prior to age 3 during the subsequent period received an evaluation, and if determined eligible for Part B, had an IEP developed and implemented. Through this analysis, the MCU determined that 100% of those students in Puerto Rico who were referred from Part C prior to age 3 received their evaluations, and if determined eligible for Part B services, had an IEP developed and implemented by the time they turned 3 years old in accordance with the specific regulatory requirements.  </w:t>
      </w:r>
      <w:r w:rsidRPr="00781112">
        <w:rPr>
          <w:rFonts w:cs="Arial"/>
          <w:color w:val="000000" w:themeColor="text1"/>
          <w:szCs w:val="16"/>
        </w:rPr>
        <w:br/>
      </w:r>
      <w:r w:rsidRPr="00781112">
        <w:rPr>
          <w:rFonts w:cs="Arial"/>
          <w:color w:val="000000" w:themeColor="text1"/>
          <w:szCs w:val="16"/>
        </w:rPr>
        <w:br/>
        <w:t xml:space="preserve">For the second prong (“has corrected each individual case of noncompliance, unless the child is no longer within the jurisdiction of the LEA”), PRDE reviewed the list of students for who were referred from Part C prior to age 3 between July 1, 2020 and June 30, 2021 to make sure that all students were evaluated, and if determined eligible for Part B, had an IEP developed and implemented, even if late.  PRDE verified an evaluation </w:t>
      </w:r>
      <w:proofErr w:type="gramStart"/>
      <w:r w:rsidRPr="00781112">
        <w:rPr>
          <w:rFonts w:cs="Arial"/>
          <w:color w:val="000000" w:themeColor="text1"/>
          <w:szCs w:val="16"/>
        </w:rPr>
        <w:t>was performed</w:t>
      </w:r>
      <w:proofErr w:type="gramEnd"/>
      <w:r w:rsidRPr="00781112">
        <w:rPr>
          <w:rFonts w:cs="Arial"/>
          <w:color w:val="000000" w:themeColor="text1"/>
          <w:szCs w:val="16"/>
        </w:rPr>
        <w:t xml:space="preserve">, IEP developed, and IEP implemented, even if late, by looking at student evaluation, IEP, and placement records. PRDE verified the correction of each individual case of noncompliance in a timely manner, i.e., within one year of identification of noncompliance. </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t>
      </w:r>
      <w:proofErr w:type="gramStart"/>
      <w:r w:rsidRPr="00781112">
        <w:rPr>
          <w:rFonts w:cs="Arial"/>
          <w:b/>
          <w:color w:val="000000" w:themeColor="text1"/>
          <w:szCs w:val="16"/>
        </w:rPr>
        <w:t>was corrected</w:t>
      </w:r>
      <w:proofErr w:type="gramEnd"/>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 xml:space="preserve">PRDE verified that each individual case of noncompliance that had </w:t>
      </w:r>
      <w:proofErr w:type="gramStart"/>
      <w:r w:rsidRPr="00781112">
        <w:rPr>
          <w:rFonts w:cs="Arial"/>
          <w:color w:val="000000" w:themeColor="text1"/>
          <w:szCs w:val="16"/>
        </w:rPr>
        <w:t>been identified</w:t>
      </w:r>
      <w:proofErr w:type="gramEnd"/>
      <w:r w:rsidRPr="00781112">
        <w:rPr>
          <w:rFonts w:cs="Arial"/>
          <w:color w:val="000000" w:themeColor="text1"/>
          <w:szCs w:val="16"/>
        </w:rPr>
        <w:t xml:space="preserve"> was corrected. Specifically, for each child referred from Part C for which there was noncompliance of the requirements of Indicator 12, PRDE verified that the child (unless no longer within the jurisdiction of the Commonwealth of Puerto Rico) was evaluated and received an eligibility determination for Part B, and if found eligible for Part B, had an IEP developed and implemented, although late. PRDE verified the correction of each individual case of noncompliance in a timely manner, i.e., within one year of identification of noncompliance.</w:t>
      </w:r>
      <w:r w:rsidRPr="00781112">
        <w:rPr>
          <w:rFonts w:cs="Arial"/>
          <w:color w:val="000000" w:themeColor="text1"/>
          <w:szCs w:val="16"/>
        </w:rPr>
        <w:br/>
      </w:r>
      <w:r w:rsidRPr="00781112">
        <w:rPr>
          <w:rFonts w:cs="Arial"/>
          <w:color w:val="000000" w:themeColor="text1"/>
          <w:szCs w:val="16"/>
        </w:rPr>
        <w:br/>
        <w:t xml:space="preserve">Specifically for this prong (“has corrected each individual case of noncompliance, unless the child is no longer within the jurisdiction of the LEA”), as detailed in the above section as well, PRDE reviewed the list of students for who were referred from Part C prior to age 3 between July 1, 2020 and June 30, 2021 to make sure that all students were evaluated, and if determined eligible for Part B, had an IEP developed and implemented, even if late. PRDE verified an evaluation </w:t>
      </w:r>
      <w:proofErr w:type="gramStart"/>
      <w:r w:rsidRPr="00781112">
        <w:rPr>
          <w:rFonts w:cs="Arial"/>
          <w:color w:val="000000" w:themeColor="text1"/>
          <w:szCs w:val="16"/>
        </w:rPr>
        <w:t>was performed</w:t>
      </w:r>
      <w:proofErr w:type="gramEnd"/>
      <w:r w:rsidRPr="00781112">
        <w:rPr>
          <w:rFonts w:cs="Arial"/>
          <w:color w:val="000000" w:themeColor="text1"/>
          <w:szCs w:val="16"/>
        </w:rPr>
        <w:t>, IEP developed, and IEP implemented, even if late, by looking at student evaluation, IEP, and placement records.</w:t>
      </w:r>
    </w:p>
    <w:p w14:paraId="1A909BBB" w14:textId="77777777" w:rsidR="00455889" w:rsidRPr="00781112" w:rsidRDefault="00455889" w:rsidP="004369B2">
      <w:pPr>
        <w:rPr>
          <w:color w:val="000000" w:themeColor="text1"/>
        </w:rPr>
      </w:pPr>
    </w:p>
    <w:p w14:paraId="1C75EC2F" w14:textId="4696C433"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360" w:type="pct"/>
            <w:shd w:val="clear" w:color="auto" w:fill="auto"/>
            <w:vAlign w:val="bottom"/>
          </w:tcPr>
          <w:p w14:paraId="5E92FF85" w14:textId="20F1B69A"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 xml:space="preserve">Because PRDE reported less than 100% compliance for FFY 2020, PRDE must report on the status of correction of noncompliance identified in FFY 2020 for this indicator. When reporting on the correction of noncompliance, PRDE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PRDE must describe the specific actions that </w:t>
      </w:r>
      <w:proofErr w:type="gramStart"/>
      <w:r w:rsidRPr="00781112">
        <w:rPr>
          <w:rFonts w:cs="Arial"/>
          <w:color w:val="000000" w:themeColor="text1"/>
          <w:szCs w:val="16"/>
        </w:rPr>
        <w:t>were taken</w:t>
      </w:r>
      <w:proofErr w:type="gramEnd"/>
      <w:r w:rsidRPr="00781112">
        <w:rPr>
          <w:rFonts w:cs="Arial"/>
          <w:color w:val="000000" w:themeColor="text1"/>
          <w:szCs w:val="16"/>
        </w:rPr>
        <w:t xml:space="preserve"> to verify the correction. </w:t>
      </w:r>
      <w:r w:rsidRPr="00781112">
        <w:rPr>
          <w:rFonts w:cs="Arial"/>
          <w:color w:val="000000" w:themeColor="text1"/>
          <w:szCs w:val="16"/>
        </w:rPr>
        <w:br/>
      </w:r>
      <w:r w:rsidRPr="00781112">
        <w:rPr>
          <w:rFonts w:cs="Arial"/>
          <w:color w:val="000000" w:themeColor="text1"/>
          <w:szCs w:val="16"/>
        </w:rPr>
        <w:br/>
        <w:t>If PRDE did not identify any findings of noncompliance in FFY 2020, although its FFY 2020 data reflect less than 100% compliance, provide an explanation of why PRDE did not identify any findings of noncompliance in FFY 2020.</w:t>
      </w:r>
    </w:p>
    <w:p w14:paraId="3F84A4E0" w14:textId="73F6FA79" w:rsidR="004E2151" w:rsidRPr="00781112" w:rsidRDefault="007639D7" w:rsidP="004369B2">
      <w:pPr>
        <w:rPr>
          <w:b/>
          <w:color w:val="000000" w:themeColor="text1"/>
        </w:rPr>
      </w:pPr>
      <w:r>
        <w:rPr>
          <w:b/>
          <w:color w:val="000000" w:themeColor="text1"/>
        </w:rPr>
        <w:t>Response to actions required in FFY 2020 SPP/APR</w:t>
      </w:r>
    </w:p>
    <w:p w14:paraId="5EB5FDCA" w14:textId="5CB823AF" w:rsidR="004E2151" w:rsidRPr="00781112" w:rsidRDefault="004E2151" w:rsidP="004E2151">
      <w:pPr>
        <w:rPr>
          <w:rFonts w:cs="Arial"/>
          <w:color w:val="000000" w:themeColor="text1"/>
          <w:szCs w:val="16"/>
        </w:rPr>
      </w:pPr>
    </w:p>
    <w:p w14:paraId="29993C29" w14:textId="00995379" w:rsidR="007F5071" w:rsidRPr="00781112" w:rsidRDefault="00056350" w:rsidP="00123D76">
      <w:pPr>
        <w:pStyle w:val="Heading2"/>
      </w:pPr>
      <w:r w:rsidRPr="00781112">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Because PRDE reported less than 100% compliance for FFY 2021, PRDE must report on the status of correction of noncompliance identified in FFY 2021 for this indicator. When reporting on the correction of noncompliance, PRDE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PRDE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PRDE did not identify any findings of noncompliance in FFY 2021, although its FFY 2021 data reflect less than 100% compliance, provide an explanation of why PRDE did not identify any findings of noncompliance in FFY 2021.</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63" w:name="_Toc384383363"/>
      <w:bookmarkStart w:id="64"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 xml:space="preserve">Data to </w:t>
      </w:r>
      <w:proofErr w:type="gramStart"/>
      <w:r w:rsidRPr="00781112">
        <w:rPr>
          <w:rFonts w:cs="Arial"/>
          <w:color w:val="000000" w:themeColor="text1"/>
          <w:szCs w:val="16"/>
          <w:shd w:val="clear" w:color="auto" w:fill="FFFFFF"/>
        </w:rPr>
        <w:t>be taken</w:t>
      </w:r>
      <w:proofErr w:type="gramEnd"/>
      <w:r w:rsidRPr="00781112">
        <w:rPr>
          <w:rFonts w:cs="Arial"/>
          <w:color w:val="000000" w:themeColor="text1"/>
          <w:szCs w:val="16"/>
          <w:shd w:val="clear" w:color="auto" w:fill="FFFFFF"/>
        </w:rPr>
        <w:t xml:space="preserve">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 xml:space="preserve">If a State’s policies and procedures provide that public agencies must meet these requirements at an age younger than </w:t>
      </w:r>
      <w:proofErr w:type="gramStart"/>
      <w:r w:rsidRPr="00781112">
        <w:rPr>
          <w:rFonts w:cs="Arial"/>
          <w:color w:val="000000" w:themeColor="text1"/>
          <w:szCs w:val="16"/>
        </w:rPr>
        <w:t>16</w:t>
      </w:r>
      <w:proofErr w:type="gramEnd"/>
      <w:r w:rsidRPr="00781112">
        <w:rPr>
          <w:rFonts w:cs="Arial"/>
          <w:color w:val="000000" w:themeColor="text1"/>
          <w:szCs w:val="16"/>
        </w:rPr>
        <w:t>,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w:t>
      </w:r>
      <w:proofErr w:type="gramStart"/>
      <w:r w:rsidRPr="00781112">
        <w:rPr>
          <w:rFonts w:cs="Arial"/>
          <w:i/>
          <w:iCs/>
          <w:color w:val="000000" w:themeColor="text1"/>
          <w:szCs w:val="16"/>
        </w:rPr>
        <w:t>are</w:t>
      </w:r>
      <w:proofErr w:type="gramEnd"/>
      <w:r w:rsidRPr="00781112">
        <w:rPr>
          <w:rFonts w:cs="Arial"/>
          <w:i/>
          <w:iCs/>
          <w:color w:val="000000" w:themeColor="text1"/>
          <w:szCs w:val="16"/>
        </w:rPr>
        <w:t xml:space="preserv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15D9CBCD" w14:textId="64F3ED90"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65" w:name="_Toc384383364"/>
      <w:bookmarkStart w:id="66" w:name="_Toc392159332"/>
      <w:bookmarkEnd w:id="63"/>
      <w:bookmarkEnd w:id="64"/>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2009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88.90%</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96.37%</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99.11%</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99.06%</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97.84%</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97.62%</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1"/>
        <w:gridCol w:w="1679"/>
        <w:gridCol w:w="1679"/>
        <w:gridCol w:w="1679"/>
        <w:gridCol w:w="1678"/>
      </w:tblGrid>
      <w:tr w:rsidR="00B14519" w:rsidRPr="00781112" w14:paraId="75609119" w14:textId="4FD44BFE" w:rsidTr="00451D7E">
        <w:trPr>
          <w:trHeight w:val="281"/>
        </w:trPr>
        <w:tc>
          <w:tcPr>
            <w:tcW w:w="392" w:type="pct"/>
            <w:tcBorders>
              <w:bottom w:val="single" w:sz="4" w:space="0" w:color="auto"/>
            </w:tcBorders>
            <w:shd w:val="clear" w:color="auto" w:fill="auto"/>
          </w:tcPr>
          <w:p w14:paraId="270D1909" w14:textId="77777777" w:rsidR="00B14519" w:rsidRPr="00781112" w:rsidRDefault="00B14519" w:rsidP="00AF574F">
            <w:pPr>
              <w:jc w:val="center"/>
              <w:rPr>
                <w:b/>
                <w:color w:val="000000" w:themeColor="text1"/>
              </w:rPr>
            </w:pPr>
            <w:r w:rsidRPr="00781112">
              <w:rPr>
                <w:b/>
                <w:color w:val="000000" w:themeColor="text1"/>
              </w:rPr>
              <w:t>FFY</w:t>
            </w:r>
          </w:p>
        </w:tc>
        <w:tc>
          <w:tcPr>
            <w:tcW w:w="922" w:type="pct"/>
            <w:shd w:val="clear" w:color="auto" w:fill="auto"/>
            <w:vAlign w:val="center"/>
          </w:tcPr>
          <w:p w14:paraId="3C863620" w14:textId="77777777" w:rsidR="00B14519" w:rsidRPr="00781112" w:rsidRDefault="00B14519" w:rsidP="00AF574F">
            <w:pPr>
              <w:jc w:val="center"/>
              <w:rPr>
                <w:b/>
                <w:color w:val="000000" w:themeColor="text1"/>
              </w:rPr>
            </w:pPr>
            <w:r w:rsidRPr="00781112">
              <w:rPr>
                <w:b/>
                <w:color w:val="000000" w:themeColor="text1"/>
              </w:rPr>
              <w:t>2021</w:t>
            </w:r>
          </w:p>
        </w:tc>
        <w:tc>
          <w:tcPr>
            <w:tcW w:w="921" w:type="pct"/>
          </w:tcPr>
          <w:p w14:paraId="1E742631" w14:textId="024F7853" w:rsidR="00B14519" w:rsidRPr="00781112" w:rsidRDefault="00B14519" w:rsidP="00AF574F">
            <w:pPr>
              <w:jc w:val="center"/>
              <w:rPr>
                <w:b/>
                <w:color w:val="000000" w:themeColor="text1"/>
              </w:rPr>
            </w:pPr>
            <w:r w:rsidRPr="00781112">
              <w:rPr>
                <w:rFonts w:cs="Arial"/>
                <w:b/>
                <w:color w:val="000000" w:themeColor="text1"/>
                <w:szCs w:val="16"/>
              </w:rPr>
              <w:t>2022</w:t>
            </w:r>
          </w:p>
        </w:tc>
        <w:tc>
          <w:tcPr>
            <w:tcW w:w="921" w:type="pct"/>
          </w:tcPr>
          <w:p w14:paraId="68E9F440" w14:textId="3DC7BEDA" w:rsidR="00B14519" w:rsidRPr="00781112" w:rsidRDefault="00B14519" w:rsidP="00AF574F">
            <w:pPr>
              <w:jc w:val="center"/>
              <w:rPr>
                <w:b/>
                <w:color w:val="000000" w:themeColor="text1"/>
              </w:rPr>
            </w:pPr>
            <w:r w:rsidRPr="00781112">
              <w:rPr>
                <w:rFonts w:cs="Arial"/>
                <w:b/>
                <w:color w:val="000000" w:themeColor="text1"/>
                <w:szCs w:val="16"/>
              </w:rPr>
              <w:t>2023</w:t>
            </w:r>
          </w:p>
        </w:tc>
        <w:tc>
          <w:tcPr>
            <w:tcW w:w="921" w:type="pct"/>
          </w:tcPr>
          <w:p w14:paraId="724C1BE8" w14:textId="32F17B9A" w:rsidR="00B14519" w:rsidRPr="00781112" w:rsidRDefault="00B14519" w:rsidP="00AF574F">
            <w:pPr>
              <w:jc w:val="center"/>
              <w:rPr>
                <w:b/>
                <w:color w:val="000000" w:themeColor="text1"/>
              </w:rPr>
            </w:pPr>
            <w:r w:rsidRPr="00781112">
              <w:rPr>
                <w:rFonts w:cs="Arial"/>
                <w:b/>
                <w:color w:val="000000" w:themeColor="text1"/>
                <w:szCs w:val="16"/>
              </w:rPr>
              <w:t>2024</w:t>
            </w:r>
          </w:p>
        </w:tc>
        <w:tc>
          <w:tcPr>
            <w:tcW w:w="921" w:type="pct"/>
          </w:tcPr>
          <w:p w14:paraId="6CD77942" w14:textId="751F9B95"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129EADEA" w14:textId="243BFF73" w:rsidTr="00451D7E">
        <w:trPr>
          <w:trHeight w:val="287"/>
        </w:trPr>
        <w:tc>
          <w:tcPr>
            <w:tcW w:w="392" w:type="pct"/>
            <w:shd w:val="clear" w:color="auto" w:fill="auto"/>
            <w:vAlign w:val="center"/>
          </w:tcPr>
          <w:p w14:paraId="14AB537C"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922" w:type="pct"/>
            <w:shd w:val="clear" w:color="auto" w:fill="auto"/>
            <w:vAlign w:val="center"/>
          </w:tcPr>
          <w:p w14:paraId="0BAE8900" w14:textId="37E5F8C0"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21" w:type="pct"/>
          </w:tcPr>
          <w:p w14:paraId="2CC39FD1" w14:textId="0A351FA5"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7D6E1E0" w14:textId="00533F6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39A43D1F" w14:textId="716B9E54"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CC99391" w14:textId="2FAEBC53"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bookmarkEnd w:id="65"/>
    <w:bookmarkEnd w:id="66"/>
    <w:p w14:paraId="596F7C13" w14:textId="7CEDA605" w:rsidR="00D03701"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B1652C" w:rsidRPr="00781112" w14:paraId="22208B6A" w14:textId="2EBA1D17" w:rsidTr="00A947D9">
        <w:trPr>
          <w:trHeight w:val="354"/>
          <w:tblHeader/>
        </w:trPr>
        <w:tc>
          <w:tcPr>
            <w:tcW w:w="710" w:type="pct"/>
            <w:shd w:val="clear" w:color="auto" w:fill="auto"/>
            <w:vAlign w:val="bottom"/>
          </w:tcPr>
          <w:p w14:paraId="24F7C6E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4406FF8F" w:rsidR="00B1652C" w:rsidRPr="006D0A52" w:rsidRDefault="00B1652C" w:rsidP="00B1652C">
            <w:pPr>
              <w:jc w:val="center"/>
              <w:rPr>
                <w:rFonts w:cs="Arial"/>
                <w:b/>
                <w:bCs/>
                <w:color w:val="000000" w:themeColor="text1"/>
                <w:szCs w:val="16"/>
              </w:rPr>
            </w:pPr>
            <w:r w:rsidRPr="006D0A52">
              <w:rPr>
                <w:b/>
                <w:bCs/>
              </w:rPr>
              <w:t>FFY 2020 Data</w:t>
            </w:r>
          </w:p>
        </w:tc>
        <w:tc>
          <w:tcPr>
            <w:tcW w:w="958" w:type="pct"/>
            <w:shd w:val="clear" w:color="auto" w:fill="auto"/>
            <w:vAlign w:val="bottom"/>
          </w:tcPr>
          <w:p w14:paraId="0E375E75" w14:textId="5B86E099" w:rsidR="00B1652C" w:rsidRPr="006D0A52" w:rsidRDefault="00B1652C" w:rsidP="00B1652C">
            <w:pPr>
              <w:jc w:val="center"/>
              <w:rPr>
                <w:rFonts w:cs="Arial"/>
                <w:b/>
                <w:bCs/>
                <w:color w:val="000000" w:themeColor="text1"/>
                <w:szCs w:val="16"/>
              </w:rPr>
            </w:pPr>
            <w:r w:rsidRPr="006D0A52">
              <w:rPr>
                <w:b/>
                <w:bCs/>
              </w:rPr>
              <w:t>FFY 2021 Target</w:t>
            </w:r>
          </w:p>
        </w:tc>
        <w:tc>
          <w:tcPr>
            <w:tcW w:w="571" w:type="pct"/>
            <w:shd w:val="clear" w:color="auto" w:fill="auto"/>
            <w:vAlign w:val="bottom"/>
          </w:tcPr>
          <w:p w14:paraId="58CCB0C1" w14:textId="60632AA4" w:rsidR="00B1652C" w:rsidRPr="006D0A52" w:rsidRDefault="00B1652C" w:rsidP="00B1652C">
            <w:pPr>
              <w:jc w:val="center"/>
              <w:rPr>
                <w:rFonts w:cs="Arial"/>
                <w:b/>
                <w:bCs/>
                <w:color w:val="000000" w:themeColor="text1"/>
                <w:szCs w:val="16"/>
              </w:rPr>
            </w:pPr>
            <w:r w:rsidRPr="006D0A52">
              <w:rPr>
                <w:b/>
                <w:bCs/>
              </w:rPr>
              <w:t>FFY 2021 Data</w:t>
            </w:r>
          </w:p>
        </w:tc>
        <w:tc>
          <w:tcPr>
            <w:tcW w:w="728" w:type="pct"/>
            <w:shd w:val="clear" w:color="auto" w:fill="auto"/>
            <w:vAlign w:val="bottom"/>
          </w:tcPr>
          <w:p w14:paraId="3A7C3260" w14:textId="5AACBA6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12,918</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13,233</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97.62%</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97.62%</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lastRenderedPageBreak/>
        <w:t>State database that includes data for the entire reporting year</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 xml:space="preserve">PRDE’s efforts to obtain and validate data for this indicator included the following activities: For FFY 2021, PRDE included the secondary transition checklist as part of the IEP review process for all students </w:t>
      </w:r>
      <w:proofErr w:type="gramStart"/>
      <w:r w:rsidRPr="00781112">
        <w:rPr>
          <w:rFonts w:cs="Arial"/>
          <w:color w:val="000000" w:themeColor="text1"/>
          <w:szCs w:val="16"/>
        </w:rPr>
        <w:t>age</w:t>
      </w:r>
      <w:proofErr w:type="gramEnd"/>
      <w:r w:rsidRPr="00781112">
        <w:rPr>
          <w:rFonts w:cs="Arial"/>
          <w:color w:val="000000" w:themeColor="text1"/>
          <w:szCs w:val="16"/>
        </w:rPr>
        <w:t xml:space="preserve"> 16 and above within the PRDE special education information system, MiPE. During FFY 2021, the checklist was used for the review of all students </w:t>
      </w:r>
      <w:proofErr w:type="gramStart"/>
      <w:r w:rsidRPr="00781112">
        <w:rPr>
          <w:rFonts w:cs="Arial"/>
          <w:color w:val="000000" w:themeColor="text1"/>
          <w:szCs w:val="16"/>
        </w:rPr>
        <w:t>age</w:t>
      </w:r>
      <w:proofErr w:type="gramEnd"/>
      <w:r w:rsidRPr="00781112">
        <w:rPr>
          <w:rFonts w:cs="Arial"/>
          <w:color w:val="000000" w:themeColor="text1"/>
          <w:szCs w:val="16"/>
        </w:rPr>
        <w:t xml:space="preserve"> 16 and above as in past years. This was the fifth year during which information </w:t>
      </w:r>
      <w:proofErr w:type="gramStart"/>
      <w:r w:rsidRPr="00781112">
        <w:rPr>
          <w:rFonts w:cs="Arial"/>
          <w:color w:val="000000" w:themeColor="text1"/>
          <w:szCs w:val="16"/>
        </w:rPr>
        <w:t>was collected</w:t>
      </w:r>
      <w:proofErr w:type="gramEnd"/>
      <w:r w:rsidRPr="00781112">
        <w:rPr>
          <w:rFonts w:cs="Arial"/>
          <w:color w:val="000000" w:themeColor="text1"/>
          <w:szCs w:val="16"/>
        </w:rPr>
        <w:t xml:space="preserve"> through the MiPE system. PRDE SAEE prepared a memorandum that reviewed the instructions for indicator B13 in MiPE. In addition, a user guide for the system </w:t>
      </w:r>
      <w:proofErr w:type="gramStart"/>
      <w:r w:rsidRPr="00781112">
        <w:rPr>
          <w:rFonts w:cs="Arial"/>
          <w:color w:val="000000" w:themeColor="text1"/>
          <w:szCs w:val="16"/>
        </w:rPr>
        <w:t>was created</w:t>
      </w:r>
      <w:proofErr w:type="gramEnd"/>
      <w:r w:rsidRPr="00781112">
        <w:rPr>
          <w:rFonts w:cs="Arial"/>
          <w:color w:val="000000" w:themeColor="text1"/>
          <w:szCs w:val="16"/>
        </w:rPr>
        <w:t xml:space="preserve"> and published. Monthly follow-up was offered to schools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ensure the collection of required data, including the completion of the checklist. Staff involved in this was trained in the use of this checklist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assure compliance with the overall process and proper documentation. Special Education School Teachers </w:t>
      </w:r>
      <w:proofErr w:type="gramStart"/>
      <w:r w:rsidRPr="00781112">
        <w:rPr>
          <w:rFonts w:cs="Arial"/>
          <w:color w:val="000000" w:themeColor="text1"/>
          <w:szCs w:val="16"/>
        </w:rPr>
        <w:t>were in charge of</w:t>
      </w:r>
      <w:proofErr w:type="gramEnd"/>
      <w:r w:rsidRPr="00781112">
        <w:rPr>
          <w:rFonts w:cs="Arial"/>
          <w:color w:val="000000" w:themeColor="text1"/>
          <w:szCs w:val="16"/>
        </w:rPr>
        <w:t xml:space="preserve"> reviewing the files and initially completing the transition checklist for this indicator, in coordination with the SAEE Transition Coordinators. SAEE Transition Coordinators </w:t>
      </w:r>
      <w:proofErr w:type="gramStart"/>
      <w:r w:rsidRPr="00781112">
        <w:rPr>
          <w:rFonts w:cs="Arial"/>
          <w:color w:val="000000" w:themeColor="text1"/>
          <w:szCs w:val="16"/>
        </w:rPr>
        <w:t>were in charge of</w:t>
      </w:r>
      <w:proofErr w:type="gramEnd"/>
      <w:r w:rsidRPr="00781112">
        <w:rPr>
          <w:rFonts w:cs="Arial"/>
          <w:color w:val="000000" w:themeColor="text1"/>
          <w:szCs w:val="16"/>
        </w:rPr>
        <w:t xml:space="preserve"> training staff and monitoring the use of the checklist. Transition Coordinators are also involved in the IEP development and revision process. In total, PRDE reviewed the files of 13,233 students </w:t>
      </w:r>
      <w:proofErr w:type="gramStart"/>
      <w:r w:rsidRPr="00781112">
        <w:rPr>
          <w:rFonts w:cs="Arial"/>
          <w:color w:val="000000" w:themeColor="text1"/>
          <w:szCs w:val="16"/>
        </w:rPr>
        <w:t>age</w:t>
      </w:r>
      <w:proofErr w:type="gramEnd"/>
      <w:r w:rsidRPr="00781112">
        <w:rPr>
          <w:rFonts w:cs="Arial"/>
          <w:color w:val="000000" w:themeColor="text1"/>
          <w:szCs w:val="16"/>
        </w:rPr>
        <w:t xml:space="preserve"> 16 and above. The information for this indicator was requested through MiPE in a timely manner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verify the data.</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w:t>
            </w:r>
            <w:proofErr w:type="gramStart"/>
            <w:r w:rsidRPr="00781112">
              <w:rPr>
                <w:rFonts w:cs="Arial"/>
                <w:color w:val="000000" w:themeColor="text1"/>
                <w:szCs w:val="16"/>
              </w:rPr>
              <w:t>16</w:t>
            </w:r>
            <w:proofErr w:type="gramEnd"/>
            <w:r w:rsidRPr="00781112">
              <w:rPr>
                <w:rFonts w:cs="Arial"/>
                <w:color w:val="000000" w:themeColor="text1"/>
                <w:szCs w:val="16"/>
              </w:rPr>
              <w:t xml:space="preserve">?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35DB55A" w14:textId="18C77FF1" w:rsidR="00644AC8" w:rsidRPr="00781112" w:rsidRDefault="00644AC8" w:rsidP="005F442C">
      <w:pPr>
        <w:rPr>
          <w:rFonts w:cs="Arial"/>
          <w:b/>
          <w:color w:val="000000" w:themeColor="text1"/>
          <w:szCs w:val="16"/>
        </w:rPr>
      </w:pPr>
      <w:bookmarkStart w:id="67" w:name="_Toc392159335"/>
      <w:r w:rsidRPr="00781112">
        <w:rPr>
          <w:rFonts w:cs="Arial"/>
          <w:b/>
          <w:color w:val="000000" w:themeColor="text1"/>
          <w:szCs w:val="16"/>
        </w:rPr>
        <w:t>Provide additional information about this indicator (optional)</w:t>
      </w:r>
    </w:p>
    <w:p w14:paraId="2F22AC76" w14:textId="5FF8D00A" w:rsidR="00326C0B" w:rsidRPr="00781112" w:rsidRDefault="00326C0B" w:rsidP="007D435F">
      <w:pPr>
        <w:rPr>
          <w:rFonts w:cs="Arial"/>
          <w:color w:val="000000" w:themeColor="text1"/>
          <w:szCs w:val="16"/>
        </w:rPr>
      </w:pPr>
    </w:p>
    <w:p w14:paraId="1F3D4141" w14:textId="77777777" w:rsidR="00AF12E4" w:rsidRPr="00781112" w:rsidRDefault="00AF12E4" w:rsidP="004369B2">
      <w:pPr>
        <w:rPr>
          <w:color w:val="000000" w:themeColor="text1"/>
        </w:rPr>
      </w:pPr>
    </w:p>
    <w:p w14:paraId="37C34CDA" w14:textId="5767C658"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3</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3</w:t>
            </w:r>
          </w:p>
        </w:tc>
        <w:tc>
          <w:tcPr>
            <w:tcW w:w="1231" w:type="pct"/>
            <w:shd w:val="clear" w:color="auto" w:fill="auto"/>
          </w:tcPr>
          <w:p w14:paraId="6CF556ED" w14:textId="6BD64A21" w:rsidR="009A755E" w:rsidRPr="00781112" w:rsidRDefault="009A755E" w:rsidP="004369B2">
            <w:pPr>
              <w:jc w:val="center"/>
              <w:rPr>
                <w:rFonts w:cs="Arial"/>
                <w:color w:val="000000" w:themeColor="text1"/>
                <w:szCs w:val="16"/>
              </w:rPr>
            </w:pP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433105F8" w:rsidR="009A755E" w:rsidRPr="00781112" w:rsidRDefault="00450F98" w:rsidP="004369B2">
      <w:pPr>
        <w:rPr>
          <w:color w:val="000000" w:themeColor="text1"/>
        </w:rPr>
      </w:pPr>
      <w:r>
        <w:rPr>
          <w:b/>
          <w:color w:val="000000" w:themeColor="text1"/>
        </w:rPr>
        <w:t>FFY 2020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The PRDE SAEE Monitoring and Compliance Unit (MCU) issued a finding of noncompliance with Indicator 13 to three entities during FFY 2020, and PRDE verified that all three entities corrected the noncompliance within one year of identification</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 </w:t>
      </w:r>
      <w:r w:rsidRPr="00781112">
        <w:rPr>
          <w:rFonts w:cs="Arial"/>
          <w:color w:val="000000" w:themeColor="text1"/>
          <w:szCs w:val="16"/>
        </w:rPr>
        <w:br/>
      </w:r>
      <w:r w:rsidRPr="00781112">
        <w:rPr>
          <w:rFonts w:cs="Arial"/>
          <w:color w:val="000000" w:themeColor="text1"/>
          <w:szCs w:val="16"/>
        </w:rPr>
        <w:br/>
        <w:t>In verifying correction of noncompliance, PRDE's work has been consistent with OSEP Memorandum 09-02. In making the correction determination, the MCU verified that each entity (1) is correctly implementing the specific regulatory requirement and (2) has corrected each individual case of noncompliance that had been identified.</w:t>
      </w:r>
      <w:r w:rsidRPr="00781112">
        <w:rPr>
          <w:rFonts w:cs="Arial"/>
          <w:color w:val="000000" w:themeColor="text1"/>
          <w:szCs w:val="16"/>
        </w:rPr>
        <w:br/>
      </w:r>
      <w:r w:rsidRPr="00781112">
        <w:rPr>
          <w:rFonts w:cs="Arial"/>
          <w:color w:val="000000" w:themeColor="text1"/>
          <w:szCs w:val="16"/>
        </w:rPr>
        <w:br/>
        <w:t xml:space="preserve">PRDE verified that each entity with noncompliance is correctly implementing the specific regulatory requirements by reviewing data subsequently collected during on-site monitoring. Specifically, for each entity at issue, PRDE reviewed a subsequent selection of at least 5 files selected without advance notice of students age 16 and above, and verified that all reviewed IEPs included appropriate measurable post-secondary goals that were updated annually and based upon an age appropriate transition assessment, transition services, including courses of study that will reasonably enable the student to meet those post-secondary goals, and annual IEP goals related to the student's transition service needs. Also, PRDE reviewed the evidence that the students </w:t>
      </w:r>
      <w:proofErr w:type="gramStart"/>
      <w:r w:rsidRPr="00781112">
        <w:rPr>
          <w:rFonts w:cs="Arial"/>
          <w:color w:val="000000" w:themeColor="text1"/>
          <w:szCs w:val="16"/>
        </w:rPr>
        <w:t>were invited</w:t>
      </w:r>
      <w:proofErr w:type="gramEnd"/>
      <w:r w:rsidRPr="00781112">
        <w:rPr>
          <w:rFonts w:cs="Arial"/>
          <w:color w:val="000000" w:themeColor="text1"/>
          <w:szCs w:val="16"/>
        </w:rPr>
        <w:t xml:space="preserve"> to the IEP Team meetings where transition services were discussed and evidence that a representative of any participating agency, as needed, was invited to the IEP Team meetings with the prior consent of the parent or student who has reached the age of majority.</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t>
      </w:r>
      <w:proofErr w:type="gramStart"/>
      <w:r w:rsidRPr="00781112">
        <w:rPr>
          <w:rFonts w:cs="Arial"/>
          <w:b/>
          <w:color w:val="000000" w:themeColor="text1"/>
          <w:szCs w:val="16"/>
        </w:rPr>
        <w:t>was corrected</w:t>
      </w:r>
      <w:proofErr w:type="gramEnd"/>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 xml:space="preserve">PRDE reviewed each entity with an Indicator 13 finding of noncompliance and verified that each individual case of noncompliance that had </w:t>
      </w:r>
      <w:proofErr w:type="gramStart"/>
      <w:r w:rsidRPr="00781112">
        <w:rPr>
          <w:rFonts w:cs="Arial"/>
          <w:color w:val="000000" w:themeColor="text1"/>
          <w:szCs w:val="16"/>
        </w:rPr>
        <w:t>been identified</w:t>
      </w:r>
      <w:proofErr w:type="gramEnd"/>
      <w:r w:rsidRPr="00781112">
        <w:rPr>
          <w:rFonts w:cs="Arial"/>
          <w:color w:val="000000" w:themeColor="text1"/>
          <w:szCs w:val="16"/>
        </w:rPr>
        <w:t xml:space="preserve"> was corrected. For each entity at issue, PRDE reviewed the file of each previously identified finding of noncompliance to verify the correction of each individual case of noncompliance</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Specifically, PRDE reviewed those specific files and verified that all reviewed IEPs included appropriate measurable post-secondary goals that were updated annually and based upon an age-appropriate transition assessment, transition services, including courses of study, that will reasonably enable the student to meet those postsecondary goals, and annual IEP goals related to the student's transition service needs.  Also, PRDE reviewed the evidence that the students </w:t>
      </w:r>
      <w:proofErr w:type="gramStart"/>
      <w:r w:rsidRPr="00781112">
        <w:rPr>
          <w:rFonts w:cs="Arial"/>
          <w:color w:val="000000" w:themeColor="text1"/>
          <w:szCs w:val="16"/>
        </w:rPr>
        <w:t>were invited</w:t>
      </w:r>
      <w:proofErr w:type="gramEnd"/>
      <w:r w:rsidRPr="00781112">
        <w:rPr>
          <w:rFonts w:cs="Arial"/>
          <w:color w:val="000000" w:themeColor="text1"/>
          <w:szCs w:val="16"/>
        </w:rPr>
        <w:t xml:space="preserve"> to the IEP Team meetings where transition services were discussed and evidence that a representative of any participating agency, as needed, was invited to the IEP team meetings with the prior consent of the parent or student who has reached the age of majority. </w:t>
      </w:r>
    </w:p>
    <w:p w14:paraId="09CD9C74" w14:textId="77777777" w:rsidR="00A947D9" w:rsidRPr="00781112" w:rsidRDefault="00A947D9" w:rsidP="004369B2">
      <w:pPr>
        <w:rPr>
          <w:color w:val="000000" w:themeColor="text1"/>
        </w:rPr>
      </w:pPr>
    </w:p>
    <w:p w14:paraId="59FD8363" w14:textId="16A81EBD"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461" w:type="pct"/>
            <w:shd w:val="clear" w:color="auto" w:fill="auto"/>
            <w:vAlign w:val="bottom"/>
          </w:tcPr>
          <w:p w14:paraId="22AE93B4" w14:textId="4AB000F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 xml:space="preserve">Because PRDE reported less than 100% compliance for FFY 2020, PRDE must report on the status of correction of noncompliance identified in FFY 2020 for this indicator. When reporting on the correction of noncompliance, PRDE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PRDE must describe the specific actions that </w:t>
      </w:r>
      <w:proofErr w:type="gramStart"/>
      <w:r w:rsidRPr="00781112">
        <w:rPr>
          <w:rFonts w:cs="Arial"/>
          <w:color w:val="000000" w:themeColor="text1"/>
          <w:szCs w:val="16"/>
        </w:rPr>
        <w:t>were taken</w:t>
      </w:r>
      <w:proofErr w:type="gramEnd"/>
      <w:r w:rsidRPr="00781112">
        <w:rPr>
          <w:rFonts w:cs="Arial"/>
          <w:color w:val="000000" w:themeColor="text1"/>
          <w:szCs w:val="16"/>
        </w:rPr>
        <w:t xml:space="preserve"> to verify the correction. </w:t>
      </w:r>
      <w:r w:rsidRPr="00781112">
        <w:rPr>
          <w:rFonts w:cs="Arial"/>
          <w:color w:val="000000" w:themeColor="text1"/>
          <w:szCs w:val="16"/>
        </w:rPr>
        <w:br/>
      </w:r>
      <w:r w:rsidRPr="00781112">
        <w:rPr>
          <w:rFonts w:cs="Arial"/>
          <w:color w:val="000000" w:themeColor="text1"/>
          <w:szCs w:val="16"/>
        </w:rPr>
        <w:lastRenderedPageBreak/>
        <w:br/>
        <w:t>If PRDE did not identify any findings of noncompliance in FFY 2020, although its FFY 2020 data reflect less than 100% compliance, provide an explanation of why PRDE did not identify any findings of noncompliance in FFY 2020.</w:t>
      </w:r>
    </w:p>
    <w:p w14:paraId="6FDC964C" w14:textId="7C7EE16F" w:rsidR="009F69E7" w:rsidRPr="00781112" w:rsidRDefault="009F69E7" w:rsidP="004E2151">
      <w:pPr>
        <w:rPr>
          <w:rFonts w:cs="Arial"/>
          <w:color w:val="000000" w:themeColor="text1"/>
          <w:szCs w:val="16"/>
        </w:rPr>
      </w:pPr>
    </w:p>
    <w:p w14:paraId="769948F5" w14:textId="5D21E86F" w:rsidR="004E2151" w:rsidRPr="00781112" w:rsidRDefault="007639D7" w:rsidP="004369B2">
      <w:pPr>
        <w:rPr>
          <w:b/>
          <w:color w:val="000000" w:themeColor="text1"/>
        </w:rPr>
      </w:pPr>
      <w:r>
        <w:rPr>
          <w:b/>
          <w:color w:val="000000" w:themeColor="text1"/>
        </w:rPr>
        <w:t>Response to actions required in FFY 2020 SPP/APR</w:t>
      </w:r>
    </w:p>
    <w:p w14:paraId="18FDD3C1" w14:textId="77777777" w:rsidR="009F69E7" w:rsidRPr="00781112" w:rsidRDefault="009F69E7" w:rsidP="004E2151">
      <w:pPr>
        <w:rPr>
          <w:rFonts w:cs="Arial"/>
          <w:color w:val="000000" w:themeColor="text1"/>
          <w:szCs w:val="16"/>
        </w:rPr>
      </w:pP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Because PRDE reported less than 100% compliance for FFY 2021, PRDE must report on the status of correction of noncompliance identified in FFY 2021 for this indicator. When reporting on the correction of noncompliance, PRDE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PRDE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PRDE did not identify any findings of noncompliance in FFY 2021, although its FFY 2021 data reflect less than 100% compliance, provide an explanation of why PRDE did not identify any findings of noncompliance in FFY 2021.</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049A8FC3"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67"/>
    </w:p>
    <w:p w14:paraId="22761492" w14:textId="77777777" w:rsidR="005C50DB" w:rsidRPr="00781112" w:rsidRDefault="005C50DB" w:rsidP="00A018D4">
      <w:pPr>
        <w:rPr>
          <w:szCs w:val="20"/>
        </w:rPr>
      </w:pPr>
      <w:bookmarkStart w:id="68"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 xml:space="preserve">C. Enrolled in higher education or in </w:t>
      </w:r>
      <w:proofErr w:type="gramStart"/>
      <w:r w:rsidRPr="00781112">
        <w:rPr>
          <w:rFonts w:cs="Arial"/>
          <w:szCs w:val="16"/>
        </w:rPr>
        <w:t>some</w:t>
      </w:r>
      <w:proofErr w:type="gramEnd"/>
      <w:r w:rsidRPr="00781112">
        <w:rPr>
          <w:rFonts w:cs="Arial"/>
          <w:szCs w:val="16"/>
        </w:rPr>
        <w:t xml:space="preserv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w:t>
      </w:r>
      <w:proofErr w:type="gramStart"/>
      <w:r w:rsidRPr="00781112">
        <w:rPr>
          <w:rFonts w:eastAsia="Times New Roman" w:cs="Arial"/>
          <w:i/>
          <w:iCs/>
          <w:szCs w:val="16"/>
        </w:rPr>
        <w:t>is allowed</w:t>
      </w:r>
      <w:proofErr w:type="gramEnd"/>
      <w:r w:rsidRPr="00781112">
        <w:rPr>
          <w:rFonts w:eastAsia="Times New Roman" w:cs="Arial"/>
          <w:i/>
          <w:iCs/>
          <w:szCs w:val="16"/>
        </w:rPr>
        <w:t xml:space="preserve">. When sampling </w:t>
      </w:r>
      <w:proofErr w:type="gramStart"/>
      <w:r w:rsidRPr="00781112">
        <w:rPr>
          <w:rFonts w:eastAsia="Times New Roman" w:cs="Arial"/>
          <w:i/>
          <w:iCs/>
          <w:szCs w:val="16"/>
        </w:rPr>
        <w:t>is used</w:t>
      </w:r>
      <w:proofErr w:type="gramEnd"/>
      <w:r w:rsidRPr="00781112">
        <w:rPr>
          <w:rFonts w:eastAsia="Times New Roman" w:cs="Arial"/>
          <w:i/>
          <w:iCs/>
          <w:szCs w:val="16"/>
        </w:rPr>
        <w:t>,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2775E89A" w:rsidR="00B67038" w:rsidRPr="00781112" w:rsidRDefault="003A4027" w:rsidP="003A4027">
      <w:pPr>
        <w:spacing w:before="0" w:after="210"/>
        <w:rPr>
          <w:rFonts w:eastAsia="Times New Roman" w:cs="Arial"/>
          <w:szCs w:val="16"/>
        </w:rPr>
      </w:pPr>
      <w:r w:rsidRPr="00781112">
        <w:rPr>
          <w:rFonts w:eastAsia="Times New Roman" w:cs="Arial"/>
          <w:szCs w:val="16"/>
        </w:rPr>
        <w:t xml:space="preserve">Collect data by September 2022 on students who left school during 2020-2021, timing the data collection so that at least one year has passed since the students left school. Include students who dropped out during 2020-2021 or who </w:t>
      </w:r>
      <w:proofErr w:type="gramStart"/>
      <w:r w:rsidRPr="00781112">
        <w:rPr>
          <w:rFonts w:eastAsia="Times New Roman" w:cs="Arial"/>
          <w:szCs w:val="16"/>
        </w:rPr>
        <w:t>were expected</w:t>
      </w:r>
      <w:proofErr w:type="gramEnd"/>
      <w:r w:rsidRPr="00781112">
        <w:rPr>
          <w:rFonts w:eastAsia="Times New Roman" w:cs="Arial"/>
          <w:szCs w:val="16"/>
        </w:rPr>
        <w:t xml:space="preserve"> to return but did not return for the current school year. This includes all youth who had an IEP in effect at the time they left school, including those who graduated with a regular diploma or </w:t>
      </w:r>
      <w:proofErr w:type="gramStart"/>
      <w:r w:rsidRPr="00781112">
        <w:rPr>
          <w:rFonts w:eastAsia="Times New Roman" w:cs="Arial"/>
          <w:szCs w:val="16"/>
        </w:rPr>
        <w:t>some</w:t>
      </w:r>
      <w:proofErr w:type="gramEnd"/>
      <w:r w:rsidRPr="00781112">
        <w:rPr>
          <w:rFonts w:eastAsia="Times New Roman" w:cs="Arial"/>
          <w:szCs w:val="16"/>
        </w:rPr>
        <w:t xml:space="preserv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 xml:space="preserve">Option 2: States report in alignment with the term “competitive integrated employment” and its definition, in section 7(5) of the Rehabilitation Act of 1973, as amended by Workforce Innovation and Opportunity Act (WIOA). </w:t>
      </w:r>
      <w:proofErr w:type="gramStart"/>
      <w:r w:rsidRPr="00781112">
        <w:rPr>
          <w:rFonts w:eastAsia="Times New Roman" w:cs="Arial"/>
          <w:szCs w:val="16"/>
        </w:rPr>
        <w:t>For the purpose of</w:t>
      </w:r>
      <w:proofErr w:type="gramEnd"/>
      <w:r w:rsidRPr="00781112">
        <w:rPr>
          <w:rFonts w:eastAsia="Times New Roman" w:cs="Arial"/>
          <w:szCs w:val="16"/>
        </w:rPr>
        <w:t xml:space="preserve">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proofErr w:type="gramStart"/>
      <w:r w:rsidRPr="00781112">
        <w:rPr>
          <w:rFonts w:eastAsia="Times New Roman" w:cs="Arial"/>
          <w:i/>
          <w:iCs/>
          <w:szCs w:val="16"/>
        </w:rPr>
        <w:t>Some</w:t>
      </w:r>
      <w:proofErr w:type="gramEnd"/>
      <w:r w:rsidRPr="00781112">
        <w:rPr>
          <w:rFonts w:eastAsia="Times New Roman" w:cs="Arial"/>
          <w:i/>
          <w:iCs/>
          <w:szCs w:val="16"/>
        </w:rPr>
        <w:t xml:space="preserve"> other employment</w:t>
      </w:r>
      <w:r w:rsidRPr="00781112">
        <w:rPr>
          <w:rFonts w:eastAsia="Times New Roman" w:cs="Arial"/>
          <w:szCs w:val="16"/>
        </w:rPr>
        <w:t xml:space="preserve"> as used in measure C means youth have worked for pay or been self-employed for a period of at least 90 days at any time in the year since leaving high school. This includes working in a family business (e.g., farm, store, fishing, ranching, catering services, </w:t>
      </w:r>
      <w:proofErr w:type="gramStart"/>
      <w:r w:rsidRPr="00781112">
        <w:rPr>
          <w:rFonts w:eastAsia="Times New Roman" w:cs="Arial"/>
          <w:szCs w:val="16"/>
        </w:rPr>
        <w:t>etc.</w:t>
      </w:r>
      <w:proofErr w:type="gramEnd"/>
      <w:r w:rsidRPr="00781112">
        <w:rPr>
          <w:rFonts w:eastAsia="Times New Roman" w:cs="Arial"/>
          <w:szCs w:val="16"/>
        </w:rPr>
        <w:t>).</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 xml:space="preserve">1. Enrolled in higher education within one year of leaving high </w:t>
      </w:r>
      <w:proofErr w:type="gramStart"/>
      <w:r w:rsidRPr="00781112">
        <w:rPr>
          <w:rFonts w:eastAsia="Times New Roman" w:cs="Arial"/>
          <w:szCs w:val="16"/>
        </w:rPr>
        <w:t>school;</w:t>
      </w:r>
      <w:proofErr w:type="gramEnd"/>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roofErr w:type="gramStart"/>
      <w:r w:rsidRPr="00781112">
        <w:rPr>
          <w:rFonts w:eastAsia="Times New Roman" w:cs="Arial"/>
          <w:szCs w:val="16"/>
        </w:rPr>
        <w:t>);</w:t>
      </w:r>
      <w:proofErr w:type="gramEnd"/>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roofErr w:type="gramStart"/>
      <w:r w:rsidRPr="00781112">
        <w:rPr>
          <w:rFonts w:eastAsia="Times New Roman" w:cs="Arial"/>
          <w:szCs w:val="16"/>
        </w:rPr>
        <w:t>);</w:t>
      </w:r>
      <w:proofErr w:type="gramEnd"/>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 xml:space="preserve">4. In </w:t>
      </w:r>
      <w:proofErr w:type="gramStart"/>
      <w:r w:rsidRPr="00781112">
        <w:rPr>
          <w:rFonts w:eastAsia="Times New Roman" w:cs="Arial"/>
          <w:szCs w:val="16"/>
        </w:rPr>
        <w:t>some</w:t>
      </w:r>
      <w:proofErr w:type="gramEnd"/>
      <w:r w:rsidRPr="00781112">
        <w:rPr>
          <w:rFonts w:eastAsia="Times New Roman" w:cs="Arial"/>
          <w:szCs w:val="16"/>
        </w:rPr>
        <w:t xml:space="preserv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w:t>
      </w:r>
      <w:proofErr w:type="gramStart"/>
      <w:r w:rsidRPr="00781112">
        <w:rPr>
          <w:rFonts w:eastAsia="Times New Roman" w:cs="Arial"/>
          <w:szCs w:val="16"/>
        </w:rPr>
        <w:t>be counted</w:t>
      </w:r>
      <w:proofErr w:type="gramEnd"/>
      <w:r w:rsidRPr="00781112">
        <w:rPr>
          <w:rFonts w:eastAsia="Times New Roman" w:cs="Arial"/>
          <w:szCs w:val="16"/>
        </w:rPr>
        <w:t xml:space="preserve"> in one of the above categories, and the categories are organized hierarchically. So, for example, “leavers” who are enrolled in full- or part-time higher education within one year of leaving high school should only be reported in category </w:t>
      </w:r>
      <w:proofErr w:type="gramStart"/>
      <w:r w:rsidRPr="00781112">
        <w:rPr>
          <w:rFonts w:eastAsia="Times New Roman" w:cs="Arial"/>
          <w:szCs w:val="16"/>
        </w:rPr>
        <w:t>1</w:t>
      </w:r>
      <w:proofErr w:type="gramEnd"/>
      <w:r w:rsidRPr="00781112">
        <w:rPr>
          <w:rFonts w:eastAsia="Times New Roman" w:cs="Arial"/>
          <w:szCs w:val="16"/>
        </w:rPr>
        <w:t xml:space="preserve">,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xml:space="preserve">, but who are competitively employed, should only be reported under category </w:t>
      </w:r>
      <w:proofErr w:type="gramStart"/>
      <w:r w:rsidRPr="00781112">
        <w:rPr>
          <w:rFonts w:eastAsia="Times New Roman" w:cs="Arial"/>
          <w:color w:val="000000" w:themeColor="text1"/>
          <w:szCs w:val="16"/>
        </w:rPr>
        <w:t>2</w:t>
      </w:r>
      <w:proofErr w:type="gramEnd"/>
      <w:r w:rsidRPr="00781112">
        <w:rPr>
          <w:rFonts w:eastAsia="Times New Roman" w:cs="Arial"/>
          <w:color w:val="000000" w:themeColor="text1"/>
          <w:szCs w:val="16"/>
        </w:rPr>
        <w:t>, even if they happen to be enrolled in some other postsecondary education or training program.</w:t>
      </w:r>
    </w:p>
    <w:p w14:paraId="4A3EA80C" w14:textId="61D64FB4"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Targets must </w:t>
      </w:r>
      <w:proofErr w:type="gramStart"/>
      <w:r w:rsidRPr="00781112">
        <w:rPr>
          <w:rFonts w:eastAsia="Times New Roman" w:cs="Arial"/>
          <w:color w:val="000000" w:themeColor="text1"/>
          <w:szCs w:val="16"/>
        </w:rPr>
        <w:t>be established</w:t>
      </w:r>
      <w:proofErr w:type="gramEnd"/>
      <w:r w:rsidRPr="00781112">
        <w:rPr>
          <w:rFonts w:eastAsia="Times New Roman" w:cs="Arial"/>
          <w:color w:val="000000" w:themeColor="text1"/>
          <w:szCs w:val="16"/>
        </w:rPr>
        <w:t xml:space="preserve">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Measure A: For purposes of reporting on the measures/indicators, please note that any youth enrolled in an institution of higher education (that meets any definition of this term in the Higher Education Act (HEA)) within one year of leaving high school must </w:t>
      </w:r>
      <w:proofErr w:type="gramStart"/>
      <w:r w:rsidRPr="00781112">
        <w:rPr>
          <w:rFonts w:eastAsia="Times New Roman" w:cs="Arial"/>
          <w:color w:val="000000" w:themeColor="text1"/>
          <w:szCs w:val="16"/>
        </w:rPr>
        <w:t>be reported</w:t>
      </w:r>
      <w:proofErr w:type="gramEnd"/>
      <w:r w:rsidRPr="00781112">
        <w:rPr>
          <w:rFonts w:eastAsia="Times New Roman" w:cs="Arial"/>
          <w:color w:val="000000" w:themeColor="text1"/>
          <w:szCs w:val="16"/>
        </w:rPr>
        <w:t xml:space="preserve"> under measure A. This could include youth who also happen to be competitively employed, or in </w:t>
      </w:r>
      <w:proofErr w:type="gramStart"/>
      <w:r w:rsidRPr="00781112">
        <w:rPr>
          <w:rFonts w:eastAsia="Times New Roman" w:cs="Arial"/>
          <w:color w:val="000000" w:themeColor="text1"/>
          <w:szCs w:val="16"/>
        </w:rPr>
        <w:t>some</w:t>
      </w:r>
      <w:proofErr w:type="gramEnd"/>
      <w:r w:rsidRPr="00781112">
        <w:rPr>
          <w:rFonts w:eastAsia="Times New Roman" w:cs="Arial"/>
          <w:color w:val="000000" w:themeColor="text1"/>
          <w:szCs w:val="16"/>
        </w:rPr>
        <w:t xml:space="preserv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Measure B: All youth reported under measure A should also </w:t>
      </w:r>
      <w:proofErr w:type="gramStart"/>
      <w:r w:rsidRPr="00781112">
        <w:rPr>
          <w:rFonts w:eastAsia="Times New Roman" w:cs="Arial"/>
          <w:color w:val="000000" w:themeColor="text1"/>
          <w:szCs w:val="16"/>
        </w:rPr>
        <w:t>be reported</w:t>
      </w:r>
      <w:proofErr w:type="gramEnd"/>
      <w:r w:rsidRPr="00781112">
        <w:rPr>
          <w:rFonts w:eastAsia="Times New Roman" w:cs="Arial"/>
          <w:color w:val="000000" w:themeColor="text1"/>
          <w:szCs w:val="16"/>
        </w:rPr>
        <w:t xml:space="preserve"> under measure B, in addition to all youth that obtain competitive employment within one year of leaving high school.</w:t>
      </w:r>
    </w:p>
    <w:p w14:paraId="52D47ED5" w14:textId="76A8EB3A" w:rsidR="00B67038"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Measure C: All youth reported under measures A and B should also </w:t>
      </w:r>
      <w:proofErr w:type="gramStart"/>
      <w:r w:rsidRPr="00781112">
        <w:rPr>
          <w:rFonts w:eastAsia="Times New Roman" w:cs="Arial"/>
          <w:color w:val="000000" w:themeColor="text1"/>
          <w:szCs w:val="16"/>
        </w:rPr>
        <w:t>be reported</w:t>
      </w:r>
      <w:proofErr w:type="gramEnd"/>
      <w:r w:rsidRPr="00781112">
        <w:rPr>
          <w:rFonts w:eastAsia="Times New Roman" w:cs="Arial"/>
          <w:color w:val="000000" w:themeColor="text1"/>
          <w:szCs w:val="16"/>
        </w:rPr>
        <w:t xml:space="preserve"> under measure C, in addition to youth that are enrolled in some other postsecondary education or training program, or in some other employment.</w:t>
      </w:r>
    </w:p>
    <w:p w14:paraId="5D1C94BB" w14:textId="44727F96" w:rsidR="00DF5951" w:rsidRPr="006D5DC4" w:rsidRDefault="00DF5951" w:rsidP="003A4027">
      <w:pPr>
        <w:spacing w:before="0" w:after="210"/>
      </w:pPr>
      <w:bookmarkStart w:id="69" w:name="_Hlk116647998"/>
      <w:r>
        <w:t>Beginning with the FFY 2021 SPP/APR, due February 1, 2023, include the State’s analysis of the extent to which the response data are representative of the demographics of youth who are no longer in secondary school and had IEPs in effect at the time they left school. States must include race/ethnicity in their analysis. In addition, the State’s analysis must include at least one of the following demographics:</w:t>
      </w:r>
      <w:r w:rsidR="00F24C95">
        <w:t xml:space="preserve"> disability category, gender, geographic location, and/or another demographic category approved through the stakeholder input process. 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bookmarkEnd w:id="69"/>
    <w:p w14:paraId="3FE9961A" w14:textId="1EDBA086" w:rsidR="000301BA" w:rsidRPr="00781112" w:rsidRDefault="00172058" w:rsidP="00123D76">
      <w:pPr>
        <w:pStyle w:val="Heading2"/>
      </w:pPr>
      <w:r w:rsidRPr="00781112">
        <w:t>14 - Indicator Data</w:t>
      </w:r>
    </w:p>
    <w:bookmarkEnd w:id="68"/>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2020</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49.20%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49.40%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49.60%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49.80%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48.50%</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48.00%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57.46%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51.10%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59.16%</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58.57%</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48.85%</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56.10%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56.20%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56.30%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56.40%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57.00%</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55.30%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69.83%</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65.46%</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68.74%</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68.21%</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68.17%</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85.60%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86.40%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87.11%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87.11%</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81.00%</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87.10%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84.58%</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87.37%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83.82%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85.66%</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81.12%</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42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2"/>
        <w:gridCol w:w="1664"/>
        <w:gridCol w:w="1664"/>
        <w:gridCol w:w="1663"/>
        <w:gridCol w:w="1663"/>
        <w:gridCol w:w="1663"/>
      </w:tblGrid>
      <w:tr w:rsidR="00B14519" w:rsidRPr="00781112" w14:paraId="0D5EED67" w14:textId="79D43F28" w:rsidTr="00451D7E">
        <w:trPr>
          <w:trHeight w:val="388"/>
        </w:trPr>
        <w:tc>
          <w:tcPr>
            <w:tcW w:w="449" w:type="pct"/>
            <w:tcBorders>
              <w:bottom w:val="single" w:sz="4" w:space="0" w:color="auto"/>
            </w:tcBorders>
            <w:shd w:val="clear" w:color="auto" w:fill="auto"/>
          </w:tcPr>
          <w:p w14:paraId="3A39086B" w14:textId="77777777" w:rsidR="00B14519" w:rsidRPr="00781112" w:rsidRDefault="00B14519" w:rsidP="00AF574F">
            <w:pPr>
              <w:jc w:val="center"/>
              <w:rPr>
                <w:b/>
                <w:color w:val="000000" w:themeColor="text1"/>
              </w:rPr>
            </w:pPr>
            <w:r w:rsidRPr="00781112">
              <w:rPr>
                <w:b/>
                <w:color w:val="000000" w:themeColor="text1"/>
              </w:rPr>
              <w:t>FFY</w:t>
            </w:r>
          </w:p>
        </w:tc>
        <w:tc>
          <w:tcPr>
            <w:tcW w:w="910" w:type="pct"/>
            <w:shd w:val="clear" w:color="auto" w:fill="auto"/>
          </w:tcPr>
          <w:p w14:paraId="3904D56E" w14:textId="5A40B787" w:rsidR="00B14519" w:rsidRPr="00781112" w:rsidRDefault="00B14519" w:rsidP="00AF574F">
            <w:pPr>
              <w:jc w:val="center"/>
              <w:rPr>
                <w:b/>
                <w:color w:val="000000" w:themeColor="text1"/>
              </w:rPr>
            </w:pPr>
            <w:r w:rsidRPr="00781112">
              <w:rPr>
                <w:b/>
                <w:color w:val="000000" w:themeColor="text1"/>
              </w:rPr>
              <w:t>2021</w:t>
            </w:r>
          </w:p>
        </w:tc>
        <w:tc>
          <w:tcPr>
            <w:tcW w:w="910" w:type="pct"/>
          </w:tcPr>
          <w:p w14:paraId="5E87DEBC" w14:textId="3C58C740" w:rsidR="00B14519" w:rsidRPr="00781112" w:rsidRDefault="00B14519" w:rsidP="00AF574F">
            <w:pPr>
              <w:jc w:val="center"/>
              <w:rPr>
                <w:b/>
                <w:color w:val="000000" w:themeColor="text1"/>
              </w:rPr>
            </w:pPr>
            <w:r w:rsidRPr="00781112">
              <w:rPr>
                <w:rFonts w:cs="Arial"/>
                <w:b/>
                <w:color w:val="000000" w:themeColor="text1"/>
                <w:szCs w:val="16"/>
              </w:rPr>
              <w:t>2022</w:t>
            </w:r>
          </w:p>
        </w:tc>
        <w:tc>
          <w:tcPr>
            <w:tcW w:w="910" w:type="pct"/>
          </w:tcPr>
          <w:p w14:paraId="1D78C038" w14:textId="34E0A4B6" w:rsidR="00B14519" w:rsidRPr="00781112" w:rsidRDefault="00B14519" w:rsidP="00AF574F">
            <w:pPr>
              <w:jc w:val="center"/>
              <w:rPr>
                <w:b/>
                <w:color w:val="000000" w:themeColor="text1"/>
              </w:rPr>
            </w:pPr>
            <w:r w:rsidRPr="00781112">
              <w:rPr>
                <w:rFonts w:cs="Arial"/>
                <w:b/>
                <w:color w:val="000000" w:themeColor="text1"/>
                <w:szCs w:val="16"/>
              </w:rPr>
              <w:t>2023</w:t>
            </w:r>
          </w:p>
        </w:tc>
        <w:tc>
          <w:tcPr>
            <w:tcW w:w="910" w:type="pct"/>
          </w:tcPr>
          <w:p w14:paraId="3C72E9BA" w14:textId="291BB861" w:rsidR="00B14519" w:rsidRPr="00781112" w:rsidRDefault="00B14519" w:rsidP="00AF574F">
            <w:pPr>
              <w:jc w:val="center"/>
              <w:rPr>
                <w:b/>
                <w:color w:val="000000" w:themeColor="text1"/>
              </w:rPr>
            </w:pPr>
            <w:r w:rsidRPr="00781112">
              <w:rPr>
                <w:rFonts w:cs="Arial"/>
                <w:b/>
                <w:color w:val="000000" w:themeColor="text1"/>
                <w:szCs w:val="16"/>
              </w:rPr>
              <w:t>2024</w:t>
            </w:r>
          </w:p>
        </w:tc>
        <w:tc>
          <w:tcPr>
            <w:tcW w:w="910" w:type="pct"/>
          </w:tcPr>
          <w:p w14:paraId="1F7D660E" w14:textId="277D280C"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7E2B073B" w14:textId="0B5C632B" w:rsidTr="00451D7E">
        <w:trPr>
          <w:trHeight w:val="396"/>
        </w:trPr>
        <w:tc>
          <w:tcPr>
            <w:tcW w:w="449" w:type="pct"/>
            <w:shd w:val="clear" w:color="auto" w:fill="auto"/>
          </w:tcPr>
          <w:p w14:paraId="0DC64663" w14:textId="2175F0A9" w:rsidR="00B14519" w:rsidRPr="00781112" w:rsidRDefault="00B14519" w:rsidP="00AF574F">
            <w:pPr>
              <w:rPr>
                <w:rFonts w:cs="Arial"/>
                <w:color w:val="000000" w:themeColor="text1"/>
                <w:szCs w:val="16"/>
              </w:rPr>
            </w:pPr>
            <w:r w:rsidRPr="00781112">
              <w:rPr>
                <w:rFonts w:cs="Arial"/>
                <w:color w:val="000000" w:themeColor="text1"/>
                <w:szCs w:val="16"/>
              </w:rPr>
              <w:t>Target A &gt;=</w:t>
            </w:r>
          </w:p>
        </w:tc>
        <w:tc>
          <w:tcPr>
            <w:tcW w:w="910" w:type="pct"/>
            <w:shd w:val="clear" w:color="auto" w:fill="auto"/>
            <w:vAlign w:val="center"/>
          </w:tcPr>
          <w:p w14:paraId="0A86FFC3" w14:textId="4AE9585E" w:rsidR="00B14519" w:rsidRPr="00781112" w:rsidRDefault="00B14519" w:rsidP="00AF574F">
            <w:pPr>
              <w:jc w:val="center"/>
              <w:rPr>
                <w:rFonts w:cs="Arial"/>
                <w:color w:val="000000" w:themeColor="text1"/>
                <w:szCs w:val="16"/>
              </w:rPr>
            </w:pPr>
            <w:r w:rsidRPr="00781112">
              <w:rPr>
                <w:rFonts w:cs="Arial"/>
                <w:color w:val="000000" w:themeColor="text1"/>
                <w:szCs w:val="16"/>
              </w:rPr>
              <w:t>48.70%</w:t>
            </w:r>
          </w:p>
        </w:tc>
        <w:tc>
          <w:tcPr>
            <w:tcW w:w="910" w:type="pct"/>
          </w:tcPr>
          <w:p w14:paraId="72551055" w14:textId="7A9EF926" w:rsidR="00B14519" w:rsidRPr="00781112" w:rsidRDefault="00B14519" w:rsidP="00AF574F">
            <w:pPr>
              <w:jc w:val="center"/>
              <w:rPr>
                <w:rFonts w:cs="Arial"/>
                <w:color w:val="000000" w:themeColor="text1"/>
                <w:szCs w:val="16"/>
              </w:rPr>
            </w:pPr>
            <w:r w:rsidRPr="00781112">
              <w:rPr>
                <w:color w:val="000000" w:themeColor="text1"/>
                <w:szCs w:val="16"/>
              </w:rPr>
              <w:t>48.90%</w:t>
            </w:r>
          </w:p>
        </w:tc>
        <w:tc>
          <w:tcPr>
            <w:tcW w:w="910" w:type="pct"/>
          </w:tcPr>
          <w:p w14:paraId="4460710F" w14:textId="653162EA" w:rsidR="00B14519" w:rsidRPr="00781112" w:rsidRDefault="00B14519" w:rsidP="00AF574F">
            <w:pPr>
              <w:jc w:val="center"/>
              <w:rPr>
                <w:rFonts w:cs="Arial"/>
                <w:color w:val="000000" w:themeColor="text1"/>
                <w:szCs w:val="16"/>
              </w:rPr>
            </w:pPr>
            <w:r w:rsidRPr="00781112">
              <w:rPr>
                <w:color w:val="000000" w:themeColor="text1"/>
                <w:szCs w:val="16"/>
              </w:rPr>
              <w:t>50.10%</w:t>
            </w:r>
          </w:p>
        </w:tc>
        <w:tc>
          <w:tcPr>
            <w:tcW w:w="910" w:type="pct"/>
          </w:tcPr>
          <w:p w14:paraId="42DE20BE" w14:textId="660F0A38" w:rsidR="00B14519" w:rsidRPr="00781112" w:rsidRDefault="00B14519" w:rsidP="00AF574F">
            <w:pPr>
              <w:jc w:val="center"/>
              <w:rPr>
                <w:rFonts w:cs="Arial"/>
                <w:color w:val="000000" w:themeColor="text1"/>
                <w:szCs w:val="16"/>
              </w:rPr>
            </w:pPr>
            <w:r w:rsidRPr="00781112">
              <w:rPr>
                <w:color w:val="000000" w:themeColor="text1"/>
                <w:szCs w:val="16"/>
              </w:rPr>
              <w:t>50.30%</w:t>
            </w:r>
          </w:p>
        </w:tc>
        <w:tc>
          <w:tcPr>
            <w:tcW w:w="910" w:type="pct"/>
          </w:tcPr>
          <w:p w14:paraId="5E9B0020" w14:textId="74258703" w:rsidR="00B14519" w:rsidRPr="00781112" w:rsidRDefault="00B14519" w:rsidP="00AF574F">
            <w:pPr>
              <w:jc w:val="center"/>
              <w:rPr>
                <w:rFonts w:cs="Arial"/>
                <w:color w:val="000000" w:themeColor="text1"/>
                <w:szCs w:val="16"/>
              </w:rPr>
            </w:pPr>
            <w:r w:rsidRPr="00781112">
              <w:rPr>
                <w:color w:val="000000" w:themeColor="text1"/>
                <w:szCs w:val="16"/>
              </w:rPr>
              <w:t>50.50%</w:t>
            </w:r>
          </w:p>
        </w:tc>
      </w:tr>
      <w:tr w:rsidR="00B14519" w:rsidRPr="00781112" w14:paraId="0314BAE3" w14:textId="455C9C0A" w:rsidTr="00451D7E">
        <w:trPr>
          <w:trHeight w:val="396"/>
        </w:trPr>
        <w:tc>
          <w:tcPr>
            <w:tcW w:w="449" w:type="pct"/>
            <w:shd w:val="clear" w:color="auto" w:fill="auto"/>
          </w:tcPr>
          <w:p w14:paraId="53C1536D" w14:textId="615A342B" w:rsidR="00B14519" w:rsidRPr="00781112" w:rsidRDefault="00B14519" w:rsidP="00AF574F">
            <w:pPr>
              <w:rPr>
                <w:rFonts w:cs="Arial"/>
                <w:color w:val="000000" w:themeColor="text1"/>
                <w:szCs w:val="16"/>
              </w:rPr>
            </w:pPr>
            <w:r w:rsidRPr="00781112">
              <w:rPr>
                <w:rFonts w:cs="Arial"/>
                <w:color w:val="000000" w:themeColor="text1"/>
                <w:szCs w:val="16"/>
              </w:rPr>
              <w:t>Target B &gt;=</w:t>
            </w:r>
          </w:p>
        </w:tc>
        <w:tc>
          <w:tcPr>
            <w:tcW w:w="910" w:type="pct"/>
            <w:shd w:val="clear" w:color="auto" w:fill="auto"/>
            <w:vAlign w:val="center"/>
          </w:tcPr>
          <w:p w14:paraId="3AAA5324" w14:textId="5539646A" w:rsidR="00B14519" w:rsidRPr="00781112" w:rsidRDefault="00B14519" w:rsidP="00AF574F">
            <w:pPr>
              <w:jc w:val="center"/>
              <w:rPr>
                <w:rFonts w:cs="Arial"/>
                <w:color w:val="000000" w:themeColor="text1"/>
                <w:szCs w:val="16"/>
              </w:rPr>
            </w:pPr>
            <w:r w:rsidRPr="00781112">
              <w:rPr>
                <w:rFonts w:cs="Arial"/>
                <w:color w:val="000000" w:themeColor="text1"/>
                <w:szCs w:val="16"/>
              </w:rPr>
              <w:t>58.00%</w:t>
            </w:r>
          </w:p>
        </w:tc>
        <w:tc>
          <w:tcPr>
            <w:tcW w:w="910" w:type="pct"/>
          </w:tcPr>
          <w:p w14:paraId="0CDB15F6" w14:textId="4F01BE13" w:rsidR="00B14519" w:rsidRPr="00781112" w:rsidRDefault="00B14519" w:rsidP="00AF574F">
            <w:pPr>
              <w:jc w:val="center"/>
              <w:rPr>
                <w:rFonts w:cs="Arial"/>
                <w:color w:val="000000" w:themeColor="text1"/>
                <w:szCs w:val="16"/>
              </w:rPr>
            </w:pPr>
            <w:r w:rsidRPr="00781112">
              <w:rPr>
                <w:color w:val="000000" w:themeColor="text1"/>
                <w:szCs w:val="16"/>
              </w:rPr>
              <w:t>58.50%</w:t>
            </w:r>
          </w:p>
        </w:tc>
        <w:tc>
          <w:tcPr>
            <w:tcW w:w="910" w:type="pct"/>
          </w:tcPr>
          <w:p w14:paraId="4BE6282D" w14:textId="241D14B5" w:rsidR="00B14519" w:rsidRPr="00781112" w:rsidRDefault="00B14519" w:rsidP="00AF574F">
            <w:pPr>
              <w:jc w:val="center"/>
              <w:rPr>
                <w:rFonts w:cs="Arial"/>
                <w:color w:val="000000" w:themeColor="text1"/>
                <w:szCs w:val="16"/>
              </w:rPr>
            </w:pPr>
            <w:r w:rsidRPr="00781112">
              <w:rPr>
                <w:color w:val="000000" w:themeColor="text1"/>
                <w:szCs w:val="16"/>
              </w:rPr>
              <w:t>59.00%</w:t>
            </w:r>
          </w:p>
        </w:tc>
        <w:tc>
          <w:tcPr>
            <w:tcW w:w="910" w:type="pct"/>
          </w:tcPr>
          <w:p w14:paraId="57A02DD3" w14:textId="4CEDC8B3" w:rsidR="00B14519" w:rsidRPr="00781112" w:rsidRDefault="00B14519" w:rsidP="00AF574F">
            <w:pPr>
              <w:jc w:val="center"/>
              <w:rPr>
                <w:rFonts w:cs="Arial"/>
                <w:color w:val="000000" w:themeColor="text1"/>
                <w:szCs w:val="16"/>
              </w:rPr>
            </w:pPr>
            <w:r w:rsidRPr="00781112">
              <w:rPr>
                <w:color w:val="000000" w:themeColor="text1"/>
                <w:szCs w:val="16"/>
              </w:rPr>
              <w:t>59.50%</w:t>
            </w:r>
          </w:p>
        </w:tc>
        <w:tc>
          <w:tcPr>
            <w:tcW w:w="910" w:type="pct"/>
          </w:tcPr>
          <w:p w14:paraId="370ACB93" w14:textId="0BC1C559" w:rsidR="00B14519" w:rsidRPr="00781112" w:rsidRDefault="00B14519" w:rsidP="00AF574F">
            <w:pPr>
              <w:jc w:val="center"/>
              <w:rPr>
                <w:rFonts w:cs="Arial"/>
                <w:color w:val="000000" w:themeColor="text1"/>
                <w:szCs w:val="16"/>
              </w:rPr>
            </w:pPr>
            <w:r w:rsidRPr="00781112">
              <w:rPr>
                <w:color w:val="000000" w:themeColor="text1"/>
                <w:szCs w:val="16"/>
              </w:rPr>
              <w:t>60.00%</w:t>
            </w:r>
          </w:p>
        </w:tc>
      </w:tr>
      <w:tr w:rsidR="00B14519" w:rsidRPr="00781112" w14:paraId="571B685C" w14:textId="45446171" w:rsidTr="00451D7E">
        <w:trPr>
          <w:trHeight w:val="396"/>
        </w:trPr>
        <w:tc>
          <w:tcPr>
            <w:tcW w:w="449" w:type="pct"/>
            <w:shd w:val="clear" w:color="auto" w:fill="auto"/>
          </w:tcPr>
          <w:p w14:paraId="4D525255" w14:textId="5D1105EA" w:rsidR="00B14519" w:rsidRPr="00781112" w:rsidRDefault="00B14519" w:rsidP="00AF574F">
            <w:pPr>
              <w:rPr>
                <w:rFonts w:cs="Arial"/>
                <w:color w:val="000000" w:themeColor="text1"/>
                <w:szCs w:val="16"/>
              </w:rPr>
            </w:pPr>
            <w:r w:rsidRPr="00781112">
              <w:rPr>
                <w:rFonts w:cs="Arial"/>
                <w:color w:val="000000" w:themeColor="text1"/>
                <w:szCs w:val="16"/>
              </w:rPr>
              <w:t>Target C &gt;=</w:t>
            </w:r>
          </w:p>
        </w:tc>
        <w:tc>
          <w:tcPr>
            <w:tcW w:w="910" w:type="pct"/>
            <w:shd w:val="clear" w:color="auto" w:fill="auto"/>
            <w:vAlign w:val="center"/>
          </w:tcPr>
          <w:p w14:paraId="6A2D65BD" w14:textId="1F6D3E1F" w:rsidR="00B14519" w:rsidRPr="00781112" w:rsidRDefault="00B14519" w:rsidP="00AF574F">
            <w:pPr>
              <w:jc w:val="center"/>
              <w:rPr>
                <w:rFonts w:cs="Arial"/>
                <w:color w:val="000000" w:themeColor="text1"/>
                <w:szCs w:val="16"/>
              </w:rPr>
            </w:pPr>
            <w:r w:rsidRPr="00781112">
              <w:rPr>
                <w:rFonts w:cs="Arial"/>
                <w:color w:val="000000" w:themeColor="text1"/>
                <w:szCs w:val="16"/>
              </w:rPr>
              <w:t>81.20%</w:t>
            </w:r>
          </w:p>
        </w:tc>
        <w:tc>
          <w:tcPr>
            <w:tcW w:w="910" w:type="pct"/>
          </w:tcPr>
          <w:p w14:paraId="6B5B030A" w14:textId="41C6CE98" w:rsidR="00B14519" w:rsidRPr="00781112" w:rsidRDefault="00B14519" w:rsidP="00AF574F">
            <w:pPr>
              <w:jc w:val="center"/>
              <w:rPr>
                <w:rFonts w:cs="Arial"/>
                <w:color w:val="000000" w:themeColor="text1"/>
                <w:szCs w:val="16"/>
              </w:rPr>
            </w:pPr>
            <w:r w:rsidRPr="00781112">
              <w:rPr>
                <w:color w:val="000000" w:themeColor="text1"/>
                <w:szCs w:val="16"/>
              </w:rPr>
              <w:t>81.40%</w:t>
            </w:r>
          </w:p>
        </w:tc>
        <w:tc>
          <w:tcPr>
            <w:tcW w:w="910" w:type="pct"/>
          </w:tcPr>
          <w:p w14:paraId="1D90926B" w14:textId="034D06FC" w:rsidR="00B14519" w:rsidRPr="00781112" w:rsidRDefault="00B14519" w:rsidP="00AF574F">
            <w:pPr>
              <w:jc w:val="center"/>
              <w:rPr>
                <w:rFonts w:cs="Arial"/>
                <w:color w:val="000000" w:themeColor="text1"/>
                <w:szCs w:val="16"/>
              </w:rPr>
            </w:pPr>
            <w:r w:rsidRPr="00781112">
              <w:rPr>
                <w:color w:val="000000" w:themeColor="text1"/>
                <w:szCs w:val="16"/>
              </w:rPr>
              <w:t>81.60%</w:t>
            </w:r>
          </w:p>
        </w:tc>
        <w:tc>
          <w:tcPr>
            <w:tcW w:w="910" w:type="pct"/>
          </w:tcPr>
          <w:p w14:paraId="4E4DC90B" w14:textId="096AE3F3" w:rsidR="00B14519" w:rsidRPr="00781112" w:rsidRDefault="00B14519" w:rsidP="00AF574F">
            <w:pPr>
              <w:jc w:val="center"/>
              <w:rPr>
                <w:rFonts w:cs="Arial"/>
                <w:color w:val="000000" w:themeColor="text1"/>
                <w:szCs w:val="16"/>
              </w:rPr>
            </w:pPr>
            <w:r w:rsidRPr="00781112">
              <w:rPr>
                <w:color w:val="000000" w:themeColor="text1"/>
                <w:szCs w:val="16"/>
              </w:rPr>
              <w:t>81.80%</w:t>
            </w:r>
          </w:p>
        </w:tc>
        <w:tc>
          <w:tcPr>
            <w:tcW w:w="910" w:type="pct"/>
          </w:tcPr>
          <w:p w14:paraId="1926915A" w14:textId="136C8151" w:rsidR="00B14519" w:rsidRPr="00781112" w:rsidRDefault="00B14519" w:rsidP="00AF574F">
            <w:pPr>
              <w:jc w:val="center"/>
              <w:rPr>
                <w:rFonts w:cs="Arial"/>
                <w:color w:val="000000" w:themeColor="text1"/>
                <w:szCs w:val="16"/>
              </w:rPr>
            </w:pPr>
            <w:r w:rsidRPr="00781112">
              <w:rPr>
                <w:color w:val="000000" w:themeColor="text1"/>
                <w:szCs w:val="16"/>
              </w:rPr>
              <w:t>87.11%</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 xml:space="preserve">PRDE solicited broad stakeholder input on PRDE’s targets in the SPP/APR including any subsequent revisions made to those targets and the development and implementation of Indicator 17, Puerto Rico’s State Systemic Improvement Plan (SSIP). </w:t>
      </w:r>
      <w:r w:rsidRPr="00781112">
        <w:rPr>
          <w:rFonts w:cs="Arial"/>
          <w:color w:val="000000" w:themeColor="text1"/>
          <w:szCs w:val="16"/>
        </w:rPr>
        <w:br/>
      </w:r>
      <w:r w:rsidRPr="00781112">
        <w:rPr>
          <w:rFonts w:cs="Arial"/>
          <w:color w:val="000000" w:themeColor="text1"/>
          <w:szCs w:val="16"/>
        </w:rPr>
        <w:br/>
        <w:t xml:space="preserve">Our original stakeholder group, called the Comité Consultivo de Educación Especial (“Special Education Advisory Committee”), is responsible for advising PRDE regarding the needs in the education of children with disabilities and for </w:t>
      </w:r>
      <w:proofErr w:type="gramStart"/>
      <w:r w:rsidRPr="00781112">
        <w:rPr>
          <w:rFonts w:cs="Arial"/>
          <w:color w:val="000000" w:themeColor="text1"/>
          <w:szCs w:val="16"/>
        </w:rPr>
        <w:t>providing assistance</w:t>
      </w:r>
      <w:proofErr w:type="gramEnd"/>
      <w:r w:rsidRPr="00781112">
        <w:rPr>
          <w:rFonts w:cs="Arial"/>
          <w:color w:val="000000" w:themeColor="text1"/>
          <w:szCs w:val="16"/>
        </w:rPr>
        <w:t xml:space="preserve"> and feedback about reports to be submitted to the Federal Government including our SSIP. The group includes representation from various sectors such as: the non-profit organization Apoyo a Padres de Niños con Impedimentos (Support for Parents of Students with Disabilities, or APNI by its acronym in Spanish), the Puerto Rico Department of the Family, the Puerto Rico Vocational Rehabilitation Administration, the Puerto Rico Department of Health, Special Education Teachers, School Directors, parents of students with disabilities, SAEE personnel, autism representative, specialists such as a School Psychologist, Occupational Therapist, Speech Pathologist, and adult with impairment, and others. SAEE personnel participate continuously in meetings with the special education </w:t>
      </w:r>
      <w:proofErr w:type="gramStart"/>
      <w:r w:rsidRPr="00781112">
        <w:rPr>
          <w:rFonts w:cs="Arial"/>
          <w:color w:val="000000" w:themeColor="text1"/>
          <w:szCs w:val="16"/>
        </w:rPr>
        <w:t>stakeholders</w:t>
      </w:r>
      <w:proofErr w:type="gramEnd"/>
      <w:r w:rsidRPr="00781112">
        <w:rPr>
          <w:rFonts w:cs="Arial"/>
          <w:color w:val="000000" w:themeColor="text1"/>
          <w:szCs w:val="16"/>
        </w:rPr>
        <w:t xml:space="preserve"> group. </w:t>
      </w:r>
      <w:r w:rsidRPr="00781112">
        <w:rPr>
          <w:rFonts w:cs="Arial"/>
          <w:color w:val="000000" w:themeColor="text1"/>
          <w:szCs w:val="16"/>
        </w:rPr>
        <w:br/>
      </w:r>
      <w:r w:rsidRPr="00781112">
        <w:rPr>
          <w:rFonts w:cs="Arial"/>
          <w:color w:val="000000" w:themeColor="text1"/>
          <w:szCs w:val="16"/>
        </w:rPr>
        <w:lastRenderedPageBreak/>
        <w:br/>
        <w:t xml:space="preserve">The members of our stakeholder group also serve as liaisons for initiatives that benefit the special education population and their families. Recommendations provided </w:t>
      </w:r>
      <w:proofErr w:type="gramStart"/>
      <w:r w:rsidRPr="00781112">
        <w:rPr>
          <w:rFonts w:cs="Arial"/>
          <w:color w:val="000000" w:themeColor="text1"/>
          <w:szCs w:val="16"/>
        </w:rPr>
        <w:t>from</w:t>
      </w:r>
      <w:proofErr w:type="gramEnd"/>
      <w:r w:rsidRPr="00781112">
        <w:rPr>
          <w:rFonts w:cs="Arial"/>
          <w:color w:val="000000" w:themeColor="text1"/>
          <w:szCs w:val="16"/>
        </w:rPr>
        <w:t xml:space="preserve"> the stakeholders </w:t>
      </w:r>
      <w:proofErr w:type="gramStart"/>
      <w:r w:rsidRPr="00781112">
        <w:rPr>
          <w:rFonts w:cs="Arial"/>
          <w:color w:val="000000" w:themeColor="text1"/>
          <w:szCs w:val="16"/>
        </w:rPr>
        <w:t>were incorporated</w:t>
      </w:r>
      <w:proofErr w:type="gramEnd"/>
      <w:r w:rsidRPr="00781112">
        <w:rPr>
          <w:rFonts w:cs="Arial"/>
          <w:color w:val="000000" w:themeColor="text1"/>
          <w:szCs w:val="16"/>
        </w:rPr>
        <w:t xml:space="preserve"> into PRDE’s FFY 2021 APR. PRDE developed this FFY 2021 SPP/APR with broad stakeholder input. As discussed above, PRDE SAEE held various meetings with the stakeholder group and received their input regarding the SPP/APR, including feedback regarding the individual indicators including FFY 2021 data, targets, any subsequent revisions to targets, and related activities and initiatives as well as the SSIP.</w:t>
      </w:r>
      <w:r w:rsidRPr="00781112">
        <w:rPr>
          <w:rFonts w:cs="Arial"/>
          <w:color w:val="000000" w:themeColor="text1"/>
          <w:szCs w:val="16"/>
        </w:rPr>
        <w:br/>
      </w:r>
      <w:r w:rsidRPr="00781112">
        <w:rPr>
          <w:rFonts w:cs="Arial"/>
          <w:color w:val="000000" w:themeColor="text1"/>
          <w:szCs w:val="16"/>
        </w:rPr>
        <w:br/>
        <w:t xml:space="preserve">Additional mechanisms through with PRDE solicits broad stakeholder input includes PRDE work with and through the non-profit organization Apoyo a Padres de Niños con Impedimentos (Support for Parents of Students with Disabilities, or APNI by its acronym in Spanish), its operation of Parent Academies on post-secondary topics, and Communities of Learning through its SSIP efforts, among others. APNI’s work helps increase the capacity of parents and serves as an avenue for receiving feedback on improvement activities and related policies. Similarly, the Parent Academies provide capacity building sessions for parents and include feedback sessions where parents provide feedback regarding improvement activities and data and policies related to post-secondary transition. Finally, the communities of learning have been key in providing feedback regarding the Indicator 17 / the SSIP in its entirety and implementation thereof. Through </w:t>
      </w:r>
      <w:proofErr w:type="gramStart"/>
      <w:r w:rsidRPr="00781112">
        <w:rPr>
          <w:rFonts w:cs="Arial"/>
          <w:color w:val="000000" w:themeColor="text1"/>
          <w:szCs w:val="16"/>
        </w:rPr>
        <w:t>all of</w:t>
      </w:r>
      <w:proofErr w:type="gramEnd"/>
      <w:r w:rsidRPr="00781112">
        <w:rPr>
          <w:rFonts w:cs="Arial"/>
          <w:color w:val="000000" w:themeColor="text1"/>
          <w:szCs w:val="16"/>
        </w:rPr>
        <w:t xml:space="preserve"> these avenues, PRDE seeks and receives stakeholder input that is considered in the development of the SPP/APR including targets, subsequent revisions of targets, and development and implementation of the SSIP (Ind. 17). </w:t>
      </w:r>
    </w:p>
    <w:p w14:paraId="262FFC50" w14:textId="3E779EE8" w:rsidR="000A2C83" w:rsidRPr="00781112" w:rsidRDefault="000A2C83" w:rsidP="000A2C83">
      <w:pPr>
        <w:rPr>
          <w:rFonts w:cs="Arial"/>
          <w:color w:val="000000" w:themeColor="text1"/>
          <w:szCs w:val="16"/>
        </w:rPr>
      </w:pPr>
    </w:p>
    <w:p w14:paraId="4522ADD4" w14:textId="77777777" w:rsidR="00E448E9" w:rsidRPr="00781112" w:rsidRDefault="00E448E9" w:rsidP="004369B2">
      <w:pPr>
        <w:rPr>
          <w:color w:val="000000" w:themeColor="text1"/>
        </w:rPr>
      </w:pPr>
      <w:bookmarkStart w:id="70" w:name="_Toc392159337"/>
    </w:p>
    <w:bookmarkEnd w:id="70"/>
    <w:p w14:paraId="4202DC3A" w14:textId="73004647" w:rsidR="00A03EFA"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8,333</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4,005</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48.06%</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1,950</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1,433</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3. Number of respondent youth enrolled in </w:t>
            </w:r>
            <w:proofErr w:type="gramStart"/>
            <w:r w:rsidRPr="00781112">
              <w:rPr>
                <w:rFonts w:cs="Arial"/>
                <w:color w:val="000000" w:themeColor="text1"/>
                <w:szCs w:val="16"/>
              </w:rPr>
              <w:t>some</w:t>
            </w:r>
            <w:proofErr w:type="gramEnd"/>
            <w:r w:rsidRPr="00781112">
              <w:rPr>
                <w:rFonts w:cs="Arial"/>
                <w:color w:val="000000" w:themeColor="text1"/>
                <w:szCs w:val="16"/>
              </w:rPr>
              <w:t xml:space="preserv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347</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4. Number of respondent youth who are in </w:t>
            </w:r>
            <w:proofErr w:type="gramStart"/>
            <w:r w:rsidRPr="00781112">
              <w:rPr>
                <w:rFonts w:cs="Arial"/>
                <w:color w:val="000000" w:themeColor="text1"/>
                <w:szCs w:val="16"/>
              </w:rPr>
              <w:t>some</w:t>
            </w:r>
            <w:proofErr w:type="gramEnd"/>
            <w:r w:rsidRPr="00781112">
              <w:rPr>
                <w:rFonts w:cs="Arial"/>
                <w:color w:val="000000" w:themeColor="text1"/>
                <w:szCs w:val="16"/>
              </w:rPr>
              <w:t xml:space="preserv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108</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B1652C" w:rsidRPr="00781112" w14:paraId="5EEC1BAF" w14:textId="0A8A2949" w:rsidTr="0033429D">
        <w:trPr>
          <w:trHeight w:val="358"/>
          <w:tblHeader/>
        </w:trPr>
        <w:tc>
          <w:tcPr>
            <w:tcW w:w="625" w:type="pct"/>
            <w:shd w:val="clear" w:color="auto" w:fill="auto"/>
            <w:vAlign w:val="bottom"/>
          </w:tcPr>
          <w:p w14:paraId="4E882584" w14:textId="038C3477" w:rsidR="00B1652C" w:rsidRPr="00781112" w:rsidRDefault="00B1652C" w:rsidP="00B1652C">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523422A9" w:rsidR="00B1652C" w:rsidRPr="006D0A52" w:rsidRDefault="00B1652C" w:rsidP="00B1652C">
            <w:pPr>
              <w:jc w:val="center"/>
              <w:rPr>
                <w:rFonts w:cs="Arial"/>
                <w:b/>
                <w:bCs/>
                <w:color w:val="000000" w:themeColor="text1"/>
                <w:szCs w:val="16"/>
              </w:rPr>
            </w:pPr>
            <w:r w:rsidRPr="006D0A52">
              <w:rPr>
                <w:b/>
                <w:bCs/>
              </w:rPr>
              <w:t>FFY 2020 Data</w:t>
            </w:r>
          </w:p>
        </w:tc>
        <w:tc>
          <w:tcPr>
            <w:tcW w:w="625" w:type="pct"/>
            <w:shd w:val="clear" w:color="auto" w:fill="auto"/>
            <w:vAlign w:val="bottom"/>
          </w:tcPr>
          <w:p w14:paraId="5152926B" w14:textId="35228357" w:rsidR="00B1652C" w:rsidRPr="006D0A52" w:rsidRDefault="00B1652C" w:rsidP="00B1652C">
            <w:pPr>
              <w:jc w:val="center"/>
              <w:rPr>
                <w:rFonts w:cs="Arial"/>
                <w:b/>
                <w:bCs/>
                <w:color w:val="000000" w:themeColor="text1"/>
                <w:szCs w:val="16"/>
              </w:rPr>
            </w:pPr>
            <w:r w:rsidRPr="006D0A52">
              <w:rPr>
                <w:b/>
                <w:bCs/>
              </w:rPr>
              <w:t>FFY 2021 Target</w:t>
            </w:r>
          </w:p>
        </w:tc>
        <w:tc>
          <w:tcPr>
            <w:tcW w:w="625" w:type="pct"/>
            <w:shd w:val="clear" w:color="auto" w:fill="auto"/>
            <w:vAlign w:val="bottom"/>
          </w:tcPr>
          <w:p w14:paraId="520BBB1B" w14:textId="08156133" w:rsidR="00B1652C" w:rsidRPr="006D0A52" w:rsidRDefault="00B1652C" w:rsidP="00B1652C">
            <w:pPr>
              <w:jc w:val="center"/>
              <w:rPr>
                <w:rFonts w:cs="Arial"/>
                <w:b/>
                <w:bCs/>
                <w:color w:val="000000" w:themeColor="text1"/>
                <w:szCs w:val="16"/>
              </w:rPr>
            </w:pPr>
            <w:r w:rsidRPr="006D0A52">
              <w:rPr>
                <w:b/>
                <w:bCs/>
              </w:rPr>
              <w:t>FFY 2021 Data</w:t>
            </w:r>
          </w:p>
        </w:tc>
        <w:tc>
          <w:tcPr>
            <w:tcW w:w="625" w:type="pct"/>
            <w:shd w:val="clear" w:color="auto" w:fill="auto"/>
            <w:vAlign w:val="bottom"/>
          </w:tcPr>
          <w:p w14:paraId="4E9CD96E" w14:textId="648B12F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1,950</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4,005</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48.85%</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48.70%</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48.69%</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3,383</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4,005</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68.17%</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58.00%</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84.47%</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 xml:space="preserve">C. Enrolled in higher education, or in </w:t>
            </w:r>
            <w:proofErr w:type="gramStart"/>
            <w:r w:rsidRPr="00781112">
              <w:rPr>
                <w:rFonts w:cs="Arial"/>
                <w:color w:val="000000" w:themeColor="text1"/>
                <w:szCs w:val="16"/>
              </w:rPr>
              <w:t>some</w:t>
            </w:r>
            <w:proofErr w:type="gramEnd"/>
            <w:r w:rsidRPr="00781112">
              <w:rPr>
                <w:rFonts w:cs="Arial"/>
                <w:color w:val="000000" w:themeColor="text1"/>
                <w:szCs w:val="16"/>
              </w:rPr>
              <w:t xml:space="preserv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3,838</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4,005</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81.12%</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81.20%</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95.83%</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A5381A2" w14:textId="3787227C" w:rsidR="001773E7" w:rsidRPr="00781112" w:rsidRDefault="001773E7" w:rsidP="00C66181">
      <w:pPr>
        <w:rPr>
          <w:rFonts w:cs="Arial"/>
          <w:i/>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lastRenderedPageBreak/>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2020</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2021</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55.75%</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48.06%</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 xml:space="preserve">Describe strategies that will </w:t>
      </w:r>
      <w:proofErr w:type="gramStart"/>
      <w:r w:rsidRPr="00002B33">
        <w:rPr>
          <w:b/>
          <w:bCs/>
        </w:rPr>
        <w:t>be implemented</w:t>
      </w:r>
      <w:proofErr w:type="gramEnd"/>
      <w:r w:rsidRPr="00002B33">
        <w:rPr>
          <w:b/>
          <w:bCs/>
        </w:rPr>
        <w:t xml:space="preserve"> which are expected to increase the response rate year over year, particularly for those groups that are underrepresented.</w:t>
      </w:r>
    </w:p>
    <w:p w14:paraId="054F9DF8" w14:textId="77777777" w:rsidR="00090132" w:rsidRPr="00B551F2" w:rsidRDefault="00090132" w:rsidP="00090132">
      <w:r w:rsidRPr="00B551F2">
        <w:t>PRDE will closely monitor progress with obtaining responses, assess response rate at regular intervals, and use multiple forms of follow-up in effort to continuously improve the response rate.</w:t>
      </w:r>
    </w:p>
    <w:p w14:paraId="5A6BE78B" w14:textId="77777777" w:rsidR="00090132" w:rsidRPr="00002B33" w:rsidRDefault="00090132" w:rsidP="00090132">
      <w:pPr>
        <w:rPr>
          <w:b/>
          <w:bCs/>
        </w:rPr>
      </w:pPr>
      <w:r w:rsidRPr="00002B33">
        <w:rPr>
          <w:b/>
          <w:bCs/>
        </w:rPr>
        <w:t xml:space="preserve">Describe the analysis of the response rate including any nonresponse bias that </w:t>
      </w:r>
      <w:proofErr w:type="gramStart"/>
      <w:r w:rsidRPr="00002B33">
        <w:rPr>
          <w:b/>
          <w:bCs/>
        </w:rPr>
        <w:t>was identified</w:t>
      </w:r>
      <w:proofErr w:type="gramEnd"/>
      <w:r w:rsidRPr="00002B33">
        <w:rPr>
          <w:b/>
          <w:bCs/>
        </w:rPr>
        <w:t>,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 xml:space="preserve">As noted below, PRDE analysis of the response data </w:t>
      </w:r>
      <w:proofErr w:type="gramStart"/>
      <w:r w:rsidRPr="00B551F2">
        <w:t>reflect</w:t>
      </w:r>
      <w:proofErr w:type="gramEnd"/>
      <w:r w:rsidRPr="00B551F2">
        <w:t xml:space="preserve"> that the data is representative of the demographics of youth who are no longer in secondary school. PRDE analyzed the response rate, and no nonresponse bias </w:t>
      </w:r>
      <w:proofErr w:type="gramStart"/>
      <w:r w:rsidRPr="00B551F2">
        <w:t>was identified</w:t>
      </w:r>
      <w:proofErr w:type="gramEnd"/>
      <w:r w:rsidRPr="00B551F2">
        <w:t>.</w:t>
      </w:r>
    </w:p>
    <w:p w14:paraId="16C9E9FA" w14:textId="77777777" w:rsidR="00F03088" w:rsidRPr="00F03088" w:rsidRDefault="00F03088" w:rsidP="00F03088">
      <w:pPr>
        <w:spacing w:before="0"/>
        <w:rPr>
          <w:rFonts w:eastAsia="Times New Roman" w:cs="Arial"/>
          <w:b/>
          <w:bCs/>
          <w:szCs w:val="16"/>
        </w:rPr>
      </w:pPr>
      <w:r w:rsidRPr="00F03088">
        <w:rPr>
          <w:b/>
          <w:bCs/>
        </w:rPr>
        <w:t>Include the State’s analyses of the extent to which the response data are representative of the demographics of youth who are no longer in secondary school and had IEPs in effect at the time they left school.</w:t>
      </w:r>
      <w:r w:rsidRPr="00F03088">
        <w:rPr>
          <w:rFonts w:eastAsia="Times New Roman" w:cs="Arial"/>
          <w:b/>
          <w:bCs/>
          <w:szCs w:val="16"/>
        </w:rPr>
        <w:t xml:space="preserve"> States must include race/ethnicity in its analysis. In addition, the State’s analysis must include at least one of the following demographics: disability category, gender, geographic location, and/or another demographic category approved through the stakeholder input process.</w:t>
      </w:r>
    </w:p>
    <w:p w14:paraId="73A0DF3C" w14:textId="77777777" w:rsidR="00090132" w:rsidRPr="00560FEE" w:rsidRDefault="00090132" w:rsidP="00090132">
      <w:r w:rsidRPr="008D51F2">
        <w:t xml:space="preserve">PRDE analyzed respondent data and determined the response group was representative of the demographics of youth who are no longer in secondary school and had IEPs in effect at the time they left school (target population). The response group accurately reflects the target population. For example, the following lists note the make-up of the target population and the representativeness of each response data by (i) race/ethnicity and (ii) disability classification. For each race/ethnicity and disability classification category, the percentage make-up of the target population for that classification </w:t>
      </w:r>
      <w:proofErr w:type="gramStart"/>
      <w:r w:rsidRPr="008D51F2">
        <w:t>is listed</w:t>
      </w:r>
      <w:proofErr w:type="gramEnd"/>
      <w:r w:rsidRPr="008D51F2">
        <w:t xml:space="preserve"> followed by the percentage make-up of the response data for that group of responders. </w:t>
      </w:r>
      <w:r w:rsidRPr="008D51F2">
        <w:br/>
      </w:r>
      <w:r w:rsidRPr="008D51F2">
        <w:br/>
        <w:t xml:space="preserve">Comparing Target Population % to Response Data % by Race/Ethnicity: </w:t>
      </w:r>
      <w:r w:rsidRPr="008D51F2">
        <w:br/>
        <w:t xml:space="preserve">Asian: 0.01%, 0.02% </w:t>
      </w:r>
      <w:r w:rsidRPr="008D51F2">
        <w:br/>
        <w:t xml:space="preserve">White, Not Hispanic: 0.06%, 0.05% </w:t>
      </w:r>
      <w:r w:rsidRPr="008D51F2">
        <w:br/>
        <w:t>Hispanic/Latino: 99.87%, 99.88%</w:t>
      </w:r>
      <w:r w:rsidRPr="008D51F2">
        <w:br/>
        <w:t>Native American: 0.04%, 0.02%</w:t>
      </w:r>
      <w:r w:rsidRPr="008D51F2">
        <w:br/>
        <w:t>Black, Not Hispanic: 0.02%, 0.02%</w:t>
      </w:r>
      <w:r w:rsidRPr="008D51F2">
        <w:br/>
        <w:t xml:space="preserve"> </w:t>
      </w:r>
      <w:r w:rsidRPr="008D51F2">
        <w:br/>
        <w:t xml:space="preserve">Comparing Target Population % to Response Data % by IDEA Disability Category Classification: </w:t>
      </w:r>
      <w:r w:rsidRPr="008D51F2">
        <w:br/>
        <w:t xml:space="preserve">Autism: 3.83%, 4.27% </w:t>
      </w:r>
      <w:r w:rsidRPr="008D51F2">
        <w:br/>
        <w:t xml:space="preserve">Deaf-blindness: 0.01%, 0.02% </w:t>
      </w:r>
      <w:r w:rsidRPr="008D51F2">
        <w:br/>
        <w:t>Emotional Disturbance: 1.91%, 1.52%</w:t>
      </w:r>
      <w:r w:rsidRPr="008D51F2">
        <w:br/>
        <w:t xml:space="preserve">Hearing Impairment: 0.56%, 0.55% </w:t>
      </w:r>
      <w:r w:rsidRPr="008D51F2">
        <w:br/>
        <w:t xml:space="preserve">Multiple Disabilities: 0.68%, 0.60% </w:t>
      </w:r>
      <w:r w:rsidRPr="008D51F2">
        <w:br/>
        <w:t xml:space="preserve">Intellectual Disabilities: 7.44%, 6.62% </w:t>
      </w:r>
      <w:r w:rsidRPr="008D51F2">
        <w:br/>
        <w:t xml:space="preserve">Other Health Impairment: 23.46%, 23.608% </w:t>
      </w:r>
      <w:r w:rsidRPr="008D51F2">
        <w:br/>
        <w:t xml:space="preserve">Orthopedic Impairment: 0.24%, 0.40% </w:t>
      </w:r>
      <w:r w:rsidRPr="008D51F2">
        <w:br/>
        <w:t xml:space="preserve">Specific Learning Disability: 58.73%, 59.65% </w:t>
      </w:r>
      <w:r w:rsidRPr="008D51F2">
        <w:br/>
        <w:t xml:space="preserve">Speech or Language Impairment: 2.56%, 1.95% </w:t>
      </w:r>
      <w:r w:rsidRPr="008D51F2">
        <w:br/>
        <w:t xml:space="preserve">Traumatic Brain Injury: 0.02%, 0.02% </w:t>
      </w:r>
      <w:r w:rsidRPr="008D51F2">
        <w:br/>
        <w:t>Visual Impairment: 0.55%, 0.80%</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YES</w:t>
      </w:r>
    </w:p>
    <w:p w14:paraId="027CD8C2" w14:textId="77777777" w:rsidR="00090132" w:rsidRPr="005C202C" w:rsidRDefault="00090132" w:rsidP="005C202C">
      <w:pPr>
        <w:rPr>
          <w:b/>
          <w:bCs/>
        </w:rPr>
      </w:pPr>
      <w:r w:rsidRPr="005C202C">
        <w:rPr>
          <w:b/>
          <w:bCs/>
        </w:rPr>
        <w:t xml:space="preserve">If </w:t>
      </w:r>
      <w:proofErr w:type="gramStart"/>
      <w:r w:rsidRPr="005C202C">
        <w:rPr>
          <w:b/>
          <w:bCs/>
        </w:rPr>
        <w:t>no</w:t>
      </w:r>
      <w:proofErr w:type="gramEnd"/>
      <w:r w:rsidRPr="005C202C">
        <w:rPr>
          <w:b/>
          <w:bCs/>
        </w:rPr>
        <w:t>,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The metric used to determine representativeness was +/- 3% discrepancy in the proportion of responders compared to target group.</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71" w:name="_Toc382082390"/>
      <w:bookmarkStart w:id="72" w:name="_Toc392159339"/>
      <w:r w:rsidRPr="00781112">
        <w:rPr>
          <w:rFonts w:cs="Arial"/>
          <w:b/>
          <w:color w:val="000000" w:themeColor="text1"/>
          <w:szCs w:val="16"/>
        </w:rPr>
        <w:t>Provide additional information about this indicator (optional)</w:t>
      </w:r>
    </w:p>
    <w:p w14:paraId="30BD41D2" w14:textId="40D58B63" w:rsidR="00293C7E" w:rsidRPr="00781112" w:rsidRDefault="00293C7E" w:rsidP="007D435F">
      <w:pPr>
        <w:rPr>
          <w:rFonts w:cs="Arial"/>
          <w:color w:val="000000" w:themeColor="text1"/>
          <w:szCs w:val="16"/>
        </w:rPr>
      </w:pP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None</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lastRenderedPageBreak/>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93C7E" w:rsidP="001F692C">
      <w:pPr>
        <w:rPr>
          <w:rFonts w:cs="Arial"/>
          <w:color w:val="000000" w:themeColor="text1"/>
          <w:szCs w:val="16"/>
        </w:rPr>
      </w:pP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93C7E" w:rsidP="001F692C">
      <w:pPr>
        <w:rPr>
          <w:rFonts w:cs="Arial"/>
          <w:color w:val="000000" w:themeColor="text1"/>
          <w:szCs w:val="16"/>
        </w:rPr>
      </w:pP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71"/>
      <w:bookmarkEnd w:id="72"/>
    </w:p>
    <w:p w14:paraId="7EA31497" w14:textId="77777777" w:rsidR="005B0B58" w:rsidRPr="00781112" w:rsidRDefault="005B0B58" w:rsidP="00A018D4">
      <w:pPr>
        <w:rPr>
          <w:color w:val="000000" w:themeColor="text1"/>
          <w:szCs w:val="20"/>
        </w:rPr>
      </w:pPr>
      <w:bookmarkStart w:id="73" w:name="_Toc381786822"/>
      <w:bookmarkStart w:id="74" w:name="_Toc382731911"/>
      <w:bookmarkStart w:id="75" w:name="_Toc382731912"/>
      <w:bookmarkStart w:id="76" w:name="_Toc392159340"/>
      <w:bookmarkEnd w:id="73"/>
      <w:bookmarkEnd w:id="74"/>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t>
      </w:r>
      <w:proofErr w:type="gramStart"/>
      <w:r w:rsidRPr="00781112">
        <w:rPr>
          <w:rFonts w:cs="Arial"/>
          <w:color w:val="000000" w:themeColor="text1"/>
          <w:szCs w:val="16"/>
        </w:rPr>
        <w:t>were resolved</w:t>
      </w:r>
      <w:proofErr w:type="gramEnd"/>
      <w:r w:rsidRPr="00781112">
        <w:rPr>
          <w:rFonts w:cs="Arial"/>
          <w:color w:val="000000" w:themeColor="text1"/>
          <w:szCs w:val="16"/>
        </w:rPr>
        <w:t xml:space="preserve">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 xml:space="preserve">Sampling </w:t>
      </w:r>
      <w:proofErr w:type="gramStart"/>
      <w:r w:rsidRPr="00781112">
        <w:rPr>
          <w:rFonts w:cs="Arial"/>
          <w:i/>
          <w:iCs/>
          <w:color w:val="000000" w:themeColor="text1"/>
          <w:szCs w:val="16"/>
        </w:rPr>
        <w:t>is not allowed</w:t>
      </w:r>
      <w:proofErr w:type="gramEnd"/>
      <w:r w:rsidRPr="00781112">
        <w:rPr>
          <w:rFonts w:cs="Arial"/>
          <w:i/>
          <w:iCs/>
          <w:color w:val="000000" w:themeColor="text1"/>
          <w:szCs w:val="16"/>
        </w:rPr>
        <w:t>.</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establish </w:t>
      </w:r>
      <w:proofErr w:type="gramStart"/>
      <w:r w:rsidRPr="00781112">
        <w:rPr>
          <w:rFonts w:cs="Arial"/>
          <w:color w:val="000000" w:themeColor="text1"/>
          <w:szCs w:val="16"/>
        </w:rPr>
        <w:t>baseline</w:t>
      </w:r>
      <w:proofErr w:type="gramEnd"/>
      <w:r w:rsidRPr="00781112">
        <w:rPr>
          <w:rFonts w:cs="Arial"/>
          <w:color w:val="000000" w:themeColor="text1"/>
          <w:szCs w:val="16"/>
        </w:rPr>
        <w:t xml:space="preserve"> or targets if the number of resolution sessions is less than 10. In a reporting period when the number of resolution sessions reaches </w:t>
      </w:r>
      <w:proofErr w:type="gramStart"/>
      <w:r w:rsidRPr="00781112">
        <w:rPr>
          <w:rFonts w:cs="Arial"/>
          <w:color w:val="000000" w:themeColor="text1"/>
          <w:szCs w:val="16"/>
        </w:rPr>
        <w:t>10</w:t>
      </w:r>
      <w:proofErr w:type="gramEnd"/>
      <w:r w:rsidRPr="00781112">
        <w:rPr>
          <w:rFonts w:cs="Arial"/>
          <w:color w:val="000000" w:themeColor="text1"/>
          <w:szCs w:val="16"/>
        </w:rPr>
        <w:t xml:space="preserve">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 xml:space="preserve">If the data reported in this indicator are </w:t>
      </w:r>
      <w:proofErr w:type="gramStart"/>
      <w:r w:rsidRPr="00781112">
        <w:rPr>
          <w:rFonts w:cs="Arial"/>
          <w:color w:val="000000" w:themeColor="text1"/>
          <w:szCs w:val="16"/>
        </w:rPr>
        <w:t>not the same as</w:t>
      </w:r>
      <w:proofErr w:type="gramEnd"/>
      <w:r w:rsidRPr="00781112">
        <w:rPr>
          <w:rFonts w:cs="Arial"/>
          <w:color w:val="000000" w:themeColor="text1"/>
          <w:szCs w:val="16"/>
        </w:rPr>
        <w:t xml:space="preserve"> the State’s data under IDEA section 618, explain.</w:t>
      </w:r>
    </w:p>
    <w:p w14:paraId="5C27A911" w14:textId="0F93F55A" w:rsidR="00B14746" w:rsidRDefault="00B14746"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report data at the LEA level.</w:t>
      </w:r>
    </w:p>
    <w:p w14:paraId="25CC5747" w14:textId="77777777" w:rsidR="007103FF" w:rsidRPr="00781112" w:rsidRDefault="007103FF" w:rsidP="00286BDF">
      <w:pPr>
        <w:rPr>
          <w:rFonts w:cs="Arial"/>
          <w:color w:val="000000" w:themeColor="text1"/>
          <w:szCs w:val="16"/>
        </w:rPr>
      </w:pP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not used</w:t>
      </w:r>
    </w:p>
    <w:bookmarkEnd w:id="75"/>
    <w:bookmarkEnd w:id="76"/>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712</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444</w:t>
            </w:r>
          </w:p>
        </w:tc>
      </w:tr>
    </w:tbl>
    <w:p w14:paraId="162CEFB3" w14:textId="55A4ED3A" w:rsidR="004A33CD" w:rsidRPr="00781112" w:rsidRDefault="00E31E29">
      <w:pPr>
        <w:rPr>
          <w:b/>
          <w:color w:val="000000" w:themeColor="text1"/>
        </w:rPr>
      </w:pPr>
      <w:bookmarkStart w:id="77" w:name="_Toc382731913"/>
      <w:bookmarkStart w:id="78" w:name="_Toc392159341"/>
      <w:r w:rsidRPr="00781112">
        <w:rPr>
          <w:b/>
          <w:color w:val="000000" w:themeColor="text1"/>
        </w:rPr>
        <w:t xml:space="preserve">Select yes if the data reported in this indicator are </w:t>
      </w:r>
      <w:proofErr w:type="gramStart"/>
      <w:r w:rsidRPr="00781112">
        <w:rPr>
          <w:b/>
          <w:color w:val="000000" w:themeColor="text1"/>
        </w:rPr>
        <w:t>not the same as</w:t>
      </w:r>
      <w:proofErr w:type="gramEnd"/>
      <w:r w:rsidRPr="00781112">
        <w:rPr>
          <w:b/>
          <w:color w:val="000000" w:themeColor="text1"/>
        </w:rPr>
        <w:t xml:space="preserve">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60B2BAB4" w14:textId="6EAE1CD9" w:rsidR="000A2C83" w:rsidRPr="00781112" w:rsidRDefault="002B7490" w:rsidP="000A2C83">
      <w:pPr>
        <w:rPr>
          <w:rFonts w:cs="Arial"/>
          <w:color w:val="000000" w:themeColor="text1"/>
          <w:szCs w:val="16"/>
        </w:rPr>
      </w:pPr>
      <w:r w:rsidRPr="00781112">
        <w:rPr>
          <w:rFonts w:cs="Arial"/>
          <w:color w:val="000000" w:themeColor="text1"/>
          <w:szCs w:val="16"/>
        </w:rPr>
        <w:t xml:space="preserve">PRDE solicited broad stakeholder input on PRDE’s targets in the SPP/APR including any subsequent revisions made to those targets and the development and implementation of Indicator 17, Puerto Rico’s State Systemic Improvement Plan (SSIP). </w:t>
      </w:r>
      <w:r w:rsidRPr="00781112">
        <w:rPr>
          <w:rFonts w:cs="Arial"/>
          <w:color w:val="000000" w:themeColor="text1"/>
          <w:szCs w:val="16"/>
        </w:rPr>
        <w:br/>
      </w:r>
      <w:r w:rsidRPr="00781112">
        <w:rPr>
          <w:rFonts w:cs="Arial"/>
          <w:color w:val="000000" w:themeColor="text1"/>
          <w:szCs w:val="16"/>
        </w:rPr>
        <w:br/>
        <w:t xml:space="preserve">Our original stakeholder group, called the Comité Consultivo de Educación Especial (“Special Education Advisory Committee”), is responsible for advising PRDE regarding the needs in the education of children with disabilities and for </w:t>
      </w:r>
      <w:proofErr w:type="gramStart"/>
      <w:r w:rsidRPr="00781112">
        <w:rPr>
          <w:rFonts w:cs="Arial"/>
          <w:color w:val="000000" w:themeColor="text1"/>
          <w:szCs w:val="16"/>
        </w:rPr>
        <w:t>providing assistance</w:t>
      </w:r>
      <w:proofErr w:type="gramEnd"/>
      <w:r w:rsidRPr="00781112">
        <w:rPr>
          <w:rFonts w:cs="Arial"/>
          <w:color w:val="000000" w:themeColor="text1"/>
          <w:szCs w:val="16"/>
        </w:rPr>
        <w:t xml:space="preserve"> and feedback about reports to be submitted to the Federal Government including our SSIP. The group includes representation from various sectors such as: the non-profit organization Apoyo a Padres de Niños con Impedimentos (Support for Parents of Students with Disabilities, or APNI by its acronym in Spanish), the Puerto Rico Department of the Family, the Puerto Rico Vocational Rehabilitation Administration, the Puerto Rico Department of Health, Special Education Teachers, School Directors, parents of students with disabilities, SAEE personnel, autism representative, specialists such as a School Psychologist, Occupational Therapist, Speech Pathologist, and adult with impairment, and others. SAEE personnel participate continuously in meetings with the special education </w:t>
      </w:r>
      <w:proofErr w:type="gramStart"/>
      <w:r w:rsidRPr="00781112">
        <w:rPr>
          <w:rFonts w:cs="Arial"/>
          <w:color w:val="000000" w:themeColor="text1"/>
          <w:szCs w:val="16"/>
        </w:rPr>
        <w:t>stakeholders</w:t>
      </w:r>
      <w:proofErr w:type="gramEnd"/>
      <w:r w:rsidRPr="00781112">
        <w:rPr>
          <w:rFonts w:cs="Arial"/>
          <w:color w:val="000000" w:themeColor="text1"/>
          <w:szCs w:val="16"/>
        </w:rPr>
        <w:t xml:space="preserve"> group. </w:t>
      </w:r>
      <w:r w:rsidRPr="00781112">
        <w:rPr>
          <w:rFonts w:cs="Arial"/>
          <w:color w:val="000000" w:themeColor="text1"/>
          <w:szCs w:val="16"/>
        </w:rPr>
        <w:br/>
      </w:r>
      <w:r w:rsidRPr="00781112">
        <w:rPr>
          <w:rFonts w:cs="Arial"/>
          <w:color w:val="000000" w:themeColor="text1"/>
          <w:szCs w:val="16"/>
        </w:rPr>
        <w:br/>
        <w:t xml:space="preserve">The members of our stakeholder group also serve as liaisons for initiatives that benefit the special education population and their families. Recommendations provided </w:t>
      </w:r>
      <w:proofErr w:type="gramStart"/>
      <w:r w:rsidRPr="00781112">
        <w:rPr>
          <w:rFonts w:cs="Arial"/>
          <w:color w:val="000000" w:themeColor="text1"/>
          <w:szCs w:val="16"/>
        </w:rPr>
        <w:t>from</w:t>
      </w:r>
      <w:proofErr w:type="gramEnd"/>
      <w:r w:rsidRPr="00781112">
        <w:rPr>
          <w:rFonts w:cs="Arial"/>
          <w:color w:val="000000" w:themeColor="text1"/>
          <w:szCs w:val="16"/>
        </w:rPr>
        <w:t xml:space="preserve"> the stakeholders </w:t>
      </w:r>
      <w:proofErr w:type="gramStart"/>
      <w:r w:rsidRPr="00781112">
        <w:rPr>
          <w:rFonts w:cs="Arial"/>
          <w:color w:val="000000" w:themeColor="text1"/>
          <w:szCs w:val="16"/>
        </w:rPr>
        <w:t>were incorporated</w:t>
      </w:r>
      <w:proofErr w:type="gramEnd"/>
      <w:r w:rsidRPr="00781112">
        <w:rPr>
          <w:rFonts w:cs="Arial"/>
          <w:color w:val="000000" w:themeColor="text1"/>
          <w:szCs w:val="16"/>
        </w:rPr>
        <w:t xml:space="preserve"> into PRDE’s FFY 2021 APR. PRDE developed this FFY 2021 SPP/APR with broad stakeholder input. As discussed above, PRDE SAEE held various meetings with the stakeholder group and received their input regarding the SPP/APR, including feedback regarding the individual indicators including FFY 2021 data, targets, any subsequent revisions to targets, and related activities and initiatives as well as the SSIP.</w:t>
      </w:r>
      <w:r w:rsidRPr="00781112">
        <w:rPr>
          <w:rFonts w:cs="Arial"/>
          <w:color w:val="000000" w:themeColor="text1"/>
          <w:szCs w:val="16"/>
        </w:rPr>
        <w:br/>
      </w:r>
      <w:r w:rsidRPr="00781112">
        <w:rPr>
          <w:rFonts w:cs="Arial"/>
          <w:color w:val="000000" w:themeColor="text1"/>
          <w:szCs w:val="16"/>
        </w:rPr>
        <w:br/>
        <w:t xml:space="preserve">Additional mechanisms through with PRDE solicits broad stakeholder input includes PRDE work with and through the non-profit organization Apoyo a Padres de Niños con Impedimentos (Support for Parents of Students with Disabilities, or APNI by its acronym in Spanish), its operation of Parent Academies on post-secondary topics, and Communities of Learning through its SSIP efforts, among others. APNI’s work helps increase the capacity of parents and serves as an avenue for receiving feedback on improvement activities and related policies. Similarly, the Parent Academies provide capacity building sessions for parents and include feedback sessions where parents provide feedback regarding improvement activities and data and policies related to post-secondary transition. Finally, the communities of learning have been key in providing feedback regarding the Indicator 17 / the SSIP in its entirety and implementation thereof. Through </w:t>
      </w:r>
      <w:proofErr w:type="gramStart"/>
      <w:r w:rsidRPr="00781112">
        <w:rPr>
          <w:rFonts w:cs="Arial"/>
          <w:color w:val="000000" w:themeColor="text1"/>
          <w:szCs w:val="16"/>
        </w:rPr>
        <w:t>all of</w:t>
      </w:r>
      <w:proofErr w:type="gramEnd"/>
      <w:r w:rsidRPr="00781112">
        <w:rPr>
          <w:rFonts w:cs="Arial"/>
          <w:color w:val="000000" w:themeColor="text1"/>
          <w:szCs w:val="16"/>
        </w:rPr>
        <w:t xml:space="preserve"> these avenues, PRDE seeks and receives stakeholder input that is considered in the development of the SPP/APR including targets, subsequent revisions of targets, and development and implementation of the SSIP (Ind. 17). </w:t>
      </w:r>
    </w:p>
    <w:p w14:paraId="43B1695A" w14:textId="2970A905" w:rsidR="000A2C83" w:rsidRPr="00781112" w:rsidRDefault="000A2C83" w:rsidP="000A2C83">
      <w:pPr>
        <w:rPr>
          <w:rFonts w:cs="Arial"/>
          <w:color w:val="000000" w:themeColor="text1"/>
          <w:szCs w:val="16"/>
        </w:rPr>
      </w:pPr>
    </w:p>
    <w:bookmarkEnd w:id="77"/>
    <w:bookmarkEnd w:id="78"/>
    <w:p w14:paraId="1C7304E3" w14:textId="77777777" w:rsidR="007103FF" w:rsidRPr="00781112" w:rsidRDefault="007103FF"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2006</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50.00%</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53.00%</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53.25%</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53.50%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50.01%</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50.00%</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59.00%</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70.82%</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27.78%</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40.48%</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61.48%</w:t>
            </w:r>
          </w:p>
        </w:tc>
      </w:tr>
    </w:tbl>
    <w:p w14:paraId="49D45707" w14:textId="4136C190" w:rsidR="00CE0C68" w:rsidRPr="00781112" w:rsidRDefault="00CE0C68">
      <w:pPr>
        <w:rPr>
          <w:color w:val="000000" w:themeColor="text1"/>
        </w:rPr>
      </w:pPr>
    </w:p>
    <w:p w14:paraId="0B3CADC6" w14:textId="0A7F1EFC" w:rsidR="00372DF8" w:rsidRPr="00781112" w:rsidRDefault="00372DF8" w:rsidP="004369B2">
      <w:pPr>
        <w:rPr>
          <w:color w:val="000000" w:themeColor="text1"/>
        </w:rPr>
      </w:pPr>
      <w:r w:rsidRPr="00781112">
        <w:rPr>
          <w:b/>
          <w:color w:val="000000" w:themeColor="text1"/>
        </w:rPr>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18"/>
        <w:gridCol w:w="2016"/>
        <w:gridCol w:w="1554"/>
        <w:gridCol w:w="1554"/>
        <w:gridCol w:w="1554"/>
        <w:gridCol w:w="1554"/>
      </w:tblGrid>
      <w:tr w:rsidR="00B14519" w:rsidRPr="00781112" w14:paraId="5B5B06C7" w14:textId="5314EC59" w:rsidTr="00451D7E">
        <w:trPr>
          <w:trHeight w:val="431"/>
        </w:trPr>
        <w:tc>
          <w:tcPr>
            <w:tcW w:w="502" w:type="pct"/>
            <w:tcBorders>
              <w:bottom w:val="single" w:sz="4" w:space="0" w:color="auto"/>
            </w:tcBorders>
            <w:shd w:val="clear" w:color="auto" w:fill="auto"/>
          </w:tcPr>
          <w:p w14:paraId="31E34DD6" w14:textId="77777777" w:rsidR="00B14519" w:rsidRPr="00781112" w:rsidRDefault="00B14519" w:rsidP="00AF574F">
            <w:pPr>
              <w:jc w:val="center"/>
              <w:rPr>
                <w:b/>
                <w:color w:val="000000" w:themeColor="text1"/>
              </w:rPr>
            </w:pPr>
            <w:r w:rsidRPr="00781112">
              <w:rPr>
                <w:b/>
                <w:color w:val="000000" w:themeColor="text1"/>
              </w:rPr>
              <w:t>FFY</w:t>
            </w:r>
          </w:p>
        </w:tc>
        <w:tc>
          <w:tcPr>
            <w:tcW w:w="1102" w:type="pct"/>
            <w:shd w:val="clear" w:color="auto" w:fill="auto"/>
          </w:tcPr>
          <w:p w14:paraId="782DDA76" w14:textId="193A6DE4" w:rsidR="00B14519" w:rsidRPr="00781112" w:rsidRDefault="00B14519" w:rsidP="00AF574F">
            <w:pPr>
              <w:jc w:val="center"/>
              <w:rPr>
                <w:b/>
                <w:color w:val="000000" w:themeColor="text1"/>
              </w:rPr>
            </w:pPr>
            <w:r w:rsidRPr="00781112">
              <w:rPr>
                <w:b/>
                <w:color w:val="000000" w:themeColor="text1"/>
              </w:rPr>
              <w:t>2021</w:t>
            </w:r>
          </w:p>
        </w:tc>
        <w:tc>
          <w:tcPr>
            <w:tcW w:w="849" w:type="pct"/>
          </w:tcPr>
          <w:p w14:paraId="64BBFFA7" w14:textId="5A89DD6A" w:rsidR="00B14519" w:rsidRPr="00781112" w:rsidRDefault="00B14519" w:rsidP="00AD75EE">
            <w:pPr>
              <w:spacing w:before="0" w:after="200" w:line="276" w:lineRule="auto"/>
              <w:jc w:val="center"/>
            </w:pPr>
            <w:r w:rsidRPr="00781112">
              <w:rPr>
                <w:rFonts w:cs="Arial"/>
                <w:b/>
                <w:color w:val="000000" w:themeColor="text1"/>
                <w:szCs w:val="16"/>
              </w:rPr>
              <w:t>2022</w:t>
            </w:r>
          </w:p>
        </w:tc>
        <w:tc>
          <w:tcPr>
            <w:tcW w:w="849" w:type="pct"/>
          </w:tcPr>
          <w:p w14:paraId="1B4B8409" w14:textId="760000D9" w:rsidR="00B14519" w:rsidRPr="00781112" w:rsidRDefault="00B14519" w:rsidP="00AD75EE">
            <w:pPr>
              <w:spacing w:before="0" w:after="200" w:line="276" w:lineRule="auto"/>
              <w:jc w:val="center"/>
            </w:pPr>
            <w:r w:rsidRPr="00781112">
              <w:rPr>
                <w:rFonts w:cs="Arial"/>
                <w:b/>
                <w:color w:val="000000" w:themeColor="text1"/>
                <w:szCs w:val="16"/>
              </w:rPr>
              <w:t>2023</w:t>
            </w:r>
          </w:p>
        </w:tc>
        <w:tc>
          <w:tcPr>
            <w:tcW w:w="849" w:type="pct"/>
          </w:tcPr>
          <w:p w14:paraId="3B1502FE" w14:textId="792D80C3" w:rsidR="00B14519" w:rsidRPr="00781112" w:rsidRDefault="00B14519" w:rsidP="00AD75EE">
            <w:pPr>
              <w:spacing w:before="0" w:after="200" w:line="276" w:lineRule="auto"/>
              <w:jc w:val="center"/>
            </w:pPr>
            <w:r w:rsidRPr="00781112">
              <w:rPr>
                <w:rFonts w:cs="Arial"/>
                <w:b/>
                <w:color w:val="000000" w:themeColor="text1"/>
                <w:szCs w:val="16"/>
              </w:rPr>
              <w:t>2024</w:t>
            </w:r>
          </w:p>
        </w:tc>
        <w:tc>
          <w:tcPr>
            <w:tcW w:w="849" w:type="pct"/>
          </w:tcPr>
          <w:p w14:paraId="3020AD2E" w14:textId="61B1A376" w:rsidR="00B14519" w:rsidRPr="00781112" w:rsidRDefault="00B14519" w:rsidP="00AD75EE">
            <w:pPr>
              <w:spacing w:before="0" w:after="200" w:line="276" w:lineRule="auto"/>
              <w:jc w:val="center"/>
            </w:pPr>
            <w:r w:rsidRPr="00781112">
              <w:rPr>
                <w:rFonts w:cs="Arial"/>
                <w:b/>
                <w:color w:val="000000" w:themeColor="text1"/>
                <w:szCs w:val="16"/>
              </w:rPr>
              <w:t>2025</w:t>
            </w:r>
          </w:p>
        </w:tc>
      </w:tr>
      <w:tr w:rsidR="00B14519" w:rsidRPr="00781112" w14:paraId="2E97FCFB" w14:textId="76FCB4DE" w:rsidTr="00451D7E">
        <w:trPr>
          <w:trHeight w:val="521"/>
        </w:trPr>
        <w:tc>
          <w:tcPr>
            <w:tcW w:w="502" w:type="pct"/>
            <w:shd w:val="clear" w:color="auto" w:fill="auto"/>
          </w:tcPr>
          <w:p w14:paraId="4E1FED50" w14:textId="35E6081C" w:rsidR="00B14519" w:rsidRPr="00781112" w:rsidRDefault="00B14519" w:rsidP="00AF574F">
            <w:pPr>
              <w:rPr>
                <w:rFonts w:cs="Arial"/>
                <w:color w:val="000000" w:themeColor="text1"/>
                <w:szCs w:val="16"/>
              </w:rPr>
            </w:pPr>
            <w:r w:rsidRPr="00781112">
              <w:rPr>
                <w:rFonts w:cs="Arial"/>
                <w:color w:val="000000" w:themeColor="text1"/>
                <w:szCs w:val="16"/>
              </w:rPr>
              <w:t>Target &gt;=</w:t>
            </w:r>
          </w:p>
        </w:tc>
        <w:tc>
          <w:tcPr>
            <w:tcW w:w="1102" w:type="pct"/>
            <w:shd w:val="clear" w:color="auto" w:fill="auto"/>
            <w:vAlign w:val="center"/>
          </w:tcPr>
          <w:p w14:paraId="39DFFAEB" w14:textId="54D1D7D6" w:rsidR="00B14519" w:rsidRPr="00781112" w:rsidRDefault="00B14519" w:rsidP="008D24E3">
            <w:pPr>
              <w:jc w:val="center"/>
              <w:rPr>
                <w:rFonts w:cs="Arial"/>
                <w:color w:val="000000" w:themeColor="text1"/>
                <w:szCs w:val="16"/>
              </w:rPr>
            </w:pPr>
            <w:r w:rsidRPr="00781112">
              <w:rPr>
                <w:rFonts w:cs="Arial"/>
                <w:color w:val="000000" w:themeColor="text1"/>
                <w:szCs w:val="16"/>
              </w:rPr>
              <w:t>50.10%</w:t>
            </w:r>
          </w:p>
        </w:tc>
        <w:tc>
          <w:tcPr>
            <w:tcW w:w="849" w:type="pct"/>
          </w:tcPr>
          <w:p w14:paraId="57B3A075" w14:textId="21F2B25E" w:rsidR="00B14519" w:rsidRPr="00781112" w:rsidRDefault="00B14519" w:rsidP="008D24E3">
            <w:pPr>
              <w:spacing w:before="0" w:after="200" w:line="276" w:lineRule="auto"/>
              <w:jc w:val="center"/>
            </w:pPr>
            <w:r w:rsidRPr="00781112">
              <w:rPr>
                <w:color w:val="000000" w:themeColor="text1"/>
                <w:szCs w:val="16"/>
              </w:rPr>
              <w:t>50.00%</w:t>
            </w:r>
          </w:p>
        </w:tc>
        <w:tc>
          <w:tcPr>
            <w:tcW w:w="849" w:type="pct"/>
          </w:tcPr>
          <w:p w14:paraId="211F936E" w14:textId="58F0DC2F" w:rsidR="00B14519" w:rsidRPr="00781112" w:rsidRDefault="00B14519" w:rsidP="008D24E3">
            <w:pPr>
              <w:spacing w:before="0" w:after="200" w:line="276" w:lineRule="auto"/>
              <w:jc w:val="center"/>
            </w:pPr>
            <w:r w:rsidRPr="00781112">
              <w:rPr>
                <w:color w:val="000000" w:themeColor="text1"/>
                <w:szCs w:val="16"/>
              </w:rPr>
              <w:t>50.30%</w:t>
            </w:r>
          </w:p>
        </w:tc>
        <w:tc>
          <w:tcPr>
            <w:tcW w:w="849" w:type="pct"/>
          </w:tcPr>
          <w:p w14:paraId="53679E27" w14:textId="6773FF8D" w:rsidR="00B14519" w:rsidRPr="00781112" w:rsidRDefault="00B14519" w:rsidP="008D24E3">
            <w:pPr>
              <w:spacing w:before="0" w:after="200" w:line="276" w:lineRule="auto"/>
              <w:jc w:val="center"/>
            </w:pPr>
            <w:r w:rsidRPr="00781112">
              <w:rPr>
                <w:color w:val="000000" w:themeColor="text1"/>
                <w:szCs w:val="16"/>
              </w:rPr>
              <w:t>50.40%</w:t>
            </w:r>
          </w:p>
        </w:tc>
        <w:tc>
          <w:tcPr>
            <w:tcW w:w="849" w:type="pct"/>
          </w:tcPr>
          <w:p w14:paraId="492B2B0A" w14:textId="258B9D99" w:rsidR="00B14519" w:rsidRPr="00781112" w:rsidRDefault="00B14519" w:rsidP="008D24E3">
            <w:pPr>
              <w:spacing w:before="0" w:after="200" w:line="276" w:lineRule="auto"/>
              <w:jc w:val="center"/>
            </w:pPr>
            <w:r w:rsidRPr="00781112">
              <w:rPr>
                <w:color w:val="000000" w:themeColor="text1"/>
                <w:szCs w:val="16"/>
              </w:rPr>
              <w:t>50.50%</w:t>
            </w:r>
          </w:p>
        </w:tc>
      </w:tr>
    </w:tbl>
    <w:p w14:paraId="25B7ED55" w14:textId="77777777" w:rsidR="00CE0C68" w:rsidRPr="00781112" w:rsidRDefault="00CE0C68" w:rsidP="004369B2">
      <w:pPr>
        <w:rPr>
          <w:color w:val="000000" w:themeColor="text1"/>
        </w:rPr>
      </w:pPr>
    </w:p>
    <w:p w14:paraId="639445A0" w14:textId="725332EC" w:rsidR="00634AD8" w:rsidRPr="00781112" w:rsidRDefault="0047313F">
      <w:pPr>
        <w:rPr>
          <w:b/>
          <w:color w:val="000000" w:themeColor="text1"/>
        </w:rPr>
      </w:pPr>
      <w:r>
        <w:rPr>
          <w:b/>
          <w:color w:val="000000" w:themeColor="text1"/>
        </w:rPr>
        <w:t>FFY 2021 SPP/APR Data</w:t>
      </w:r>
    </w:p>
    <w:p w14:paraId="59EF63A0" w14:textId="77777777" w:rsidR="00127006" w:rsidRPr="00781112"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B21923" w:rsidRPr="00781112" w14:paraId="7CE022CD" w14:textId="689D2875" w:rsidTr="00877012">
        <w:trPr>
          <w:trHeight w:val="354"/>
          <w:tblHeader/>
        </w:trPr>
        <w:tc>
          <w:tcPr>
            <w:tcW w:w="757" w:type="pct"/>
            <w:shd w:val="clear" w:color="auto" w:fill="auto"/>
            <w:vAlign w:val="bottom"/>
          </w:tcPr>
          <w:p w14:paraId="4A4004E2"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14:paraId="61FCEFFA" w14:textId="7CD58682" w:rsidR="00B21923" w:rsidRPr="006D0A52" w:rsidRDefault="00B21923" w:rsidP="00B21923">
            <w:pPr>
              <w:jc w:val="center"/>
              <w:rPr>
                <w:rFonts w:cs="Arial"/>
                <w:b/>
                <w:bCs/>
                <w:color w:val="000000" w:themeColor="text1"/>
                <w:szCs w:val="16"/>
              </w:rPr>
            </w:pPr>
            <w:r w:rsidRPr="006D0A52">
              <w:rPr>
                <w:b/>
                <w:bCs/>
              </w:rPr>
              <w:t>FFY 2020 Data</w:t>
            </w:r>
          </w:p>
        </w:tc>
        <w:tc>
          <w:tcPr>
            <w:tcW w:w="884" w:type="pct"/>
            <w:shd w:val="clear" w:color="auto" w:fill="auto"/>
            <w:vAlign w:val="bottom"/>
          </w:tcPr>
          <w:p w14:paraId="5285C3DA" w14:textId="6BAE9C76" w:rsidR="00B21923" w:rsidRPr="006D0A52" w:rsidRDefault="00B21923" w:rsidP="00B21923">
            <w:pPr>
              <w:jc w:val="center"/>
              <w:rPr>
                <w:rFonts w:cs="Arial"/>
                <w:b/>
                <w:bCs/>
                <w:color w:val="000000" w:themeColor="text1"/>
                <w:szCs w:val="16"/>
              </w:rPr>
            </w:pPr>
            <w:r w:rsidRPr="006D0A52">
              <w:rPr>
                <w:b/>
                <w:bCs/>
              </w:rPr>
              <w:t>FFY 2021 Target</w:t>
            </w:r>
          </w:p>
        </w:tc>
        <w:tc>
          <w:tcPr>
            <w:tcW w:w="692" w:type="pct"/>
            <w:shd w:val="clear" w:color="auto" w:fill="auto"/>
            <w:vAlign w:val="bottom"/>
          </w:tcPr>
          <w:p w14:paraId="767EE33A" w14:textId="24B54F4F" w:rsidR="00B21923" w:rsidRPr="006D0A52" w:rsidRDefault="00B21923" w:rsidP="00B21923">
            <w:pPr>
              <w:jc w:val="center"/>
              <w:rPr>
                <w:rFonts w:cs="Arial"/>
                <w:b/>
                <w:bCs/>
                <w:color w:val="000000" w:themeColor="text1"/>
                <w:szCs w:val="16"/>
              </w:rPr>
            </w:pPr>
            <w:r w:rsidRPr="006D0A52">
              <w:rPr>
                <w:b/>
                <w:bCs/>
              </w:rPr>
              <w:t>FFY 2021 Data</w:t>
            </w:r>
          </w:p>
        </w:tc>
        <w:tc>
          <w:tcPr>
            <w:tcW w:w="673" w:type="pct"/>
            <w:shd w:val="clear" w:color="auto" w:fill="auto"/>
            <w:vAlign w:val="bottom"/>
          </w:tcPr>
          <w:p w14:paraId="3FC7FD1C" w14:textId="7EA4D921"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14:paraId="7025F3A2" w14:textId="466A0744"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104AFA36" w14:textId="7B00739A" w:rsidTr="00877012">
        <w:trPr>
          <w:trHeight w:val="361"/>
        </w:trPr>
        <w:tc>
          <w:tcPr>
            <w:tcW w:w="757" w:type="pct"/>
            <w:shd w:val="clear" w:color="auto" w:fill="auto"/>
            <w:vAlign w:val="center"/>
          </w:tcPr>
          <w:p w14:paraId="3DA400B1" w14:textId="063A879F" w:rsidR="00372DF8" w:rsidRPr="00781112" w:rsidRDefault="002B7490" w:rsidP="00A018D4">
            <w:pPr>
              <w:jc w:val="center"/>
              <w:rPr>
                <w:rFonts w:cs="Arial"/>
                <w:color w:val="000000" w:themeColor="text1"/>
                <w:szCs w:val="16"/>
              </w:rPr>
            </w:pPr>
            <w:r w:rsidRPr="00781112">
              <w:rPr>
                <w:rFonts w:cs="Arial"/>
                <w:color w:val="000000" w:themeColor="text1"/>
                <w:szCs w:val="16"/>
              </w:rPr>
              <w:t>444</w:t>
            </w:r>
          </w:p>
        </w:tc>
        <w:tc>
          <w:tcPr>
            <w:tcW w:w="753" w:type="pct"/>
            <w:shd w:val="clear" w:color="auto" w:fill="auto"/>
          </w:tcPr>
          <w:p w14:paraId="57BB67A2" w14:textId="2B997355" w:rsidR="00372DF8" w:rsidRPr="00781112" w:rsidRDefault="002B7490" w:rsidP="00A018D4">
            <w:pPr>
              <w:jc w:val="center"/>
              <w:rPr>
                <w:rFonts w:cs="Arial"/>
                <w:color w:val="000000" w:themeColor="text1"/>
                <w:szCs w:val="16"/>
              </w:rPr>
            </w:pPr>
            <w:r w:rsidRPr="00781112">
              <w:rPr>
                <w:rFonts w:cs="Arial"/>
                <w:color w:val="000000" w:themeColor="text1"/>
                <w:szCs w:val="16"/>
              </w:rPr>
              <w:t>712</w:t>
            </w:r>
          </w:p>
        </w:tc>
        <w:tc>
          <w:tcPr>
            <w:tcW w:w="589" w:type="pct"/>
            <w:shd w:val="clear" w:color="auto" w:fill="auto"/>
          </w:tcPr>
          <w:p w14:paraId="759C2AEB" w14:textId="7C5FF94E" w:rsidR="00372DF8" w:rsidRPr="00781112" w:rsidRDefault="002B7490" w:rsidP="00A018D4">
            <w:pPr>
              <w:jc w:val="center"/>
              <w:rPr>
                <w:rFonts w:cs="Arial"/>
                <w:color w:val="000000" w:themeColor="text1"/>
                <w:szCs w:val="16"/>
              </w:rPr>
            </w:pPr>
            <w:r w:rsidRPr="00781112">
              <w:rPr>
                <w:rFonts w:cs="Arial"/>
                <w:color w:val="000000" w:themeColor="text1"/>
                <w:szCs w:val="16"/>
              </w:rPr>
              <w:t>61.48%</w:t>
            </w:r>
          </w:p>
        </w:tc>
        <w:tc>
          <w:tcPr>
            <w:tcW w:w="884" w:type="pct"/>
            <w:shd w:val="clear" w:color="auto" w:fill="auto"/>
          </w:tcPr>
          <w:p w14:paraId="446CA14A" w14:textId="2AFBAFDB" w:rsidR="00372DF8" w:rsidRPr="00781112" w:rsidRDefault="002B7490" w:rsidP="00A018D4">
            <w:pPr>
              <w:jc w:val="center"/>
              <w:rPr>
                <w:rFonts w:cs="Arial"/>
                <w:color w:val="000000" w:themeColor="text1"/>
                <w:szCs w:val="16"/>
              </w:rPr>
            </w:pPr>
            <w:r w:rsidRPr="00781112">
              <w:rPr>
                <w:rFonts w:cs="Arial"/>
                <w:color w:val="000000" w:themeColor="text1"/>
                <w:szCs w:val="16"/>
              </w:rPr>
              <w:t>50.10%</w:t>
            </w:r>
          </w:p>
        </w:tc>
        <w:tc>
          <w:tcPr>
            <w:tcW w:w="692" w:type="pct"/>
            <w:shd w:val="clear" w:color="auto" w:fill="auto"/>
          </w:tcPr>
          <w:p w14:paraId="4B8389D1" w14:textId="31159250" w:rsidR="00372DF8" w:rsidRPr="00781112" w:rsidRDefault="002B7490" w:rsidP="00A018D4">
            <w:pPr>
              <w:jc w:val="center"/>
              <w:rPr>
                <w:rFonts w:cs="Arial"/>
                <w:color w:val="000000" w:themeColor="text1"/>
                <w:szCs w:val="16"/>
              </w:rPr>
            </w:pPr>
            <w:r w:rsidRPr="00781112">
              <w:rPr>
                <w:rFonts w:cs="Arial"/>
                <w:color w:val="000000" w:themeColor="text1"/>
                <w:szCs w:val="16"/>
              </w:rPr>
              <w:t>62.36%</w:t>
            </w:r>
          </w:p>
        </w:tc>
        <w:tc>
          <w:tcPr>
            <w:tcW w:w="673" w:type="pct"/>
            <w:shd w:val="clear" w:color="auto" w:fill="auto"/>
          </w:tcPr>
          <w:p w14:paraId="73DE10E2" w14:textId="0659DF1D" w:rsidR="00372DF8"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52" w:type="pct"/>
            <w:shd w:val="clear" w:color="auto" w:fill="auto"/>
          </w:tcPr>
          <w:p w14:paraId="5B5FCE8F" w14:textId="2E877FC8" w:rsidR="00372DF8"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93C7E" w:rsidP="007D435F">
      <w:pPr>
        <w:rPr>
          <w:rFonts w:cs="Arial"/>
          <w:color w:val="000000" w:themeColor="text1"/>
          <w:szCs w:val="16"/>
        </w:rPr>
      </w:pP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93C7E" w:rsidP="001F692C">
      <w:pPr>
        <w:rPr>
          <w:rFonts w:cs="Arial"/>
          <w:color w:val="000000" w:themeColor="text1"/>
          <w:szCs w:val="16"/>
        </w:rPr>
      </w:pP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095B9B99"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79" w:name="_Toc382731916"/>
      <w:bookmarkStart w:id="80"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 xml:space="preserve">Sampling </w:t>
      </w:r>
      <w:proofErr w:type="gramStart"/>
      <w:r w:rsidRPr="00781112">
        <w:rPr>
          <w:rFonts w:cs="Arial"/>
          <w:i/>
          <w:iCs/>
          <w:color w:val="000000" w:themeColor="text1"/>
          <w:szCs w:val="16"/>
        </w:rPr>
        <w:t>is not allowed</w:t>
      </w:r>
      <w:proofErr w:type="gramEnd"/>
      <w:r w:rsidRPr="00781112">
        <w:rPr>
          <w:rFonts w:cs="Arial"/>
          <w:i/>
          <w:iCs/>
          <w:color w:val="000000" w:themeColor="text1"/>
          <w:szCs w:val="16"/>
        </w:rPr>
        <w:t>.</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establish </w:t>
      </w:r>
      <w:proofErr w:type="gramStart"/>
      <w:r w:rsidRPr="00781112">
        <w:rPr>
          <w:rFonts w:cs="Arial"/>
          <w:color w:val="000000" w:themeColor="text1"/>
          <w:szCs w:val="16"/>
        </w:rPr>
        <w:t>baseline</w:t>
      </w:r>
      <w:proofErr w:type="gramEnd"/>
      <w:r w:rsidRPr="00781112">
        <w:rPr>
          <w:rFonts w:cs="Arial"/>
          <w:color w:val="000000" w:themeColor="text1"/>
          <w:szCs w:val="16"/>
        </w:rPr>
        <w:t xml:space="preserv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proofErr w:type="gramStart"/>
      <w:r w:rsidRPr="00781112">
        <w:rPr>
          <w:rFonts w:cs="Arial"/>
          <w:color w:val="000000" w:themeColor="text1"/>
          <w:szCs w:val="16"/>
        </w:rPr>
        <w:t>10</w:t>
      </w:r>
      <w:proofErr w:type="gramEnd"/>
      <w:r w:rsidRPr="00781112">
        <w:rPr>
          <w:rFonts w:cs="Arial"/>
          <w:color w:val="000000" w:themeColor="text1"/>
          <w:szCs w:val="16"/>
        </w:rPr>
        <w:t xml:space="preserve">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 xml:space="preserve">If the data reported in this indicator are </w:t>
      </w:r>
      <w:proofErr w:type="gramStart"/>
      <w:r w:rsidRPr="00781112">
        <w:rPr>
          <w:rFonts w:cs="Arial"/>
          <w:color w:val="000000" w:themeColor="text1"/>
          <w:szCs w:val="16"/>
        </w:rPr>
        <w:t>not the same as</w:t>
      </w:r>
      <w:proofErr w:type="gramEnd"/>
      <w:r w:rsidRPr="00781112">
        <w:rPr>
          <w:rFonts w:cs="Arial"/>
          <w:color w:val="000000" w:themeColor="text1"/>
          <w:szCs w:val="16"/>
        </w:rPr>
        <w:t xml:space="preserve">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not used</w:t>
      </w:r>
    </w:p>
    <w:bookmarkEnd w:id="79"/>
    <w:bookmarkEnd w:id="80"/>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256</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206</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2C4CE14C" w14:textId="5AC27D72" w:rsidR="00E8514E" w:rsidRPr="00781112" w:rsidRDefault="007D219D">
      <w:pPr>
        <w:rPr>
          <w:b/>
          <w:color w:val="000000" w:themeColor="text1"/>
        </w:rPr>
      </w:pPr>
      <w:r w:rsidRPr="00781112">
        <w:rPr>
          <w:b/>
          <w:color w:val="000000" w:themeColor="text1"/>
        </w:rPr>
        <w:t xml:space="preserve">Select yes if the data reported in this indicator are </w:t>
      </w:r>
      <w:proofErr w:type="gramStart"/>
      <w:r w:rsidRPr="00781112">
        <w:rPr>
          <w:b/>
          <w:color w:val="000000" w:themeColor="text1"/>
        </w:rPr>
        <w:t>not the same as</w:t>
      </w:r>
      <w:proofErr w:type="gramEnd"/>
      <w:r w:rsidRPr="00781112">
        <w:rPr>
          <w:b/>
          <w:color w:val="000000" w:themeColor="text1"/>
        </w:rPr>
        <w:t xml:space="preserve">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7B6B5101" w14:textId="2C5569CC" w:rsidR="000A2C83" w:rsidRPr="00781112" w:rsidRDefault="002B7490" w:rsidP="000A2C83">
      <w:pPr>
        <w:rPr>
          <w:rFonts w:cs="Arial"/>
          <w:color w:val="000000" w:themeColor="text1"/>
          <w:szCs w:val="16"/>
        </w:rPr>
      </w:pPr>
      <w:r w:rsidRPr="00781112">
        <w:rPr>
          <w:rFonts w:cs="Arial"/>
          <w:color w:val="000000" w:themeColor="text1"/>
          <w:szCs w:val="16"/>
        </w:rPr>
        <w:t xml:space="preserve">PRDE solicited broad stakeholder input on PRDE’s targets in the SPP/APR including any subsequent revisions made to those targets and the development and implementation of Indicator 17, Puerto Rico’s State Systemic Improvement Plan (SSIP). </w:t>
      </w:r>
      <w:r w:rsidRPr="00781112">
        <w:rPr>
          <w:rFonts w:cs="Arial"/>
          <w:color w:val="000000" w:themeColor="text1"/>
          <w:szCs w:val="16"/>
        </w:rPr>
        <w:br/>
      </w:r>
      <w:r w:rsidRPr="00781112">
        <w:rPr>
          <w:rFonts w:cs="Arial"/>
          <w:color w:val="000000" w:themeColor="text1"/>
          <w:szCs w:val="16"/>
        </w:rPr>
        <w:br/>
        <w:t xml:space="preserve">Our original stakeholder group, called the Comité Consultivo de Educación Especial (“Special Education Advisory Committee”), is responsible for advising PRDE regarding the needs in the education of children with disabilities and for </w:t>
      </w:r>
      <w:proofErr w:type="gramStart"/>
      <w:r w:rsidRPr="00781112">
        <w:rPr>
          <w:rFonts w:cs="Arial"/>
          <w:color w:val="000000" w:themeColor="text1"/>
          <w:szCs w:val="16"/>
        </w:rPr>
        <w:t>providing assistance</w:t>
      </w:r>
      <w:proofErr w:type="gramEnd"/>
      <w:r w:rsidRPr="00781112">
        <w:rPr>
          <w:rFonts w:cs="Arial"/>
          <w:color w:val="000000" w:themeColor="text1"/>
          <w:szCs w:val="16"/>
        </w:rPr>
        <w:t xml:space="preserve"> and feedback about reports to be submitted to the Federal Government including our SSIP. The group includes representation from various sectors such as: the non-profit organization Apoyo a Padres de Niños con Impedimentos (Support for Parents of Students with Disabilities, or APNI by its acronym in Spanish), the Puerto Rico Department of the Family, the Puerto Rico Vocational Rehabilitation Administration, the Puerto Rico Department of Health, Special Education Teachers, School Directors, parents of students with disabilities, SAEE personnel, autism representative, specialists such as a School Psychologist, Occupational Therapist, Speech Pathologist, and adult with impairment, and others. SAEE personnel participate continuously in meetings with the special education </w:t>
      </w:r>
      <w:proofErr w:type="gramStart"/>
      <w:r w:rsidRPr="00781112">
        <w:rPr>
          <w:rFonts w:cs="Arial"/>
          <w:color w:val="000000" w:themeColor="text1"/>
          <w:szCs w:val="16"/>
        </w:rPr>
        <w:t>stakeholders</w:t>
      </w:r>
      <w:proofErr w:type="gramEnd"/>
      <w:r w:rsidRPr="00781112">
        <w:rPr>
          <w:rFonts w:cs="Arial"/>
          <w:color w:val="000000" w:themeColor="text1"/>
          <w:szCs w:val="16"/>
        </w:rPr>
        <w:t xml:space="preserve"> group. </w:t>
      </w:r>
      <w:r w:rsidRPr="00781112">
        <w:rPr>
          <w:rFonts w:cs="Arial"/>
          <w:color w:val="000000" w:themeColor="text1"/>
          <w:szCs w:val="16"/>
        </w:rPr>
        <w:br/>
      </w:r>
      <w:r w:rsidRPr="00781112">
        <w:rPr>
          <w:rFonts w:cs="Arial"/>
          <w:color w:val="000000" w:themeColor="text1"/>
          <w:szCs w:val="16"/>
        </w:rPr>
        <w:br/>
        <w:t xml:space="preserve">The members of our stakeholder group also serve as liaisons for initiatives that benefit the special education population and their families. Recommendations provided </w:t>
      </w:r>
      <w:proofErr w:type="gramStart"/>
      <w:r w:rsidRPr="00781112">
        <w:rPr>
          <w:rFonts w:cs="Arial"/>
          <w:color w:val="000000" w:themeColor="text1"/>
          <w:szCs w:val="16"/>
        </w:rPr>
        <w:t>from</w:t>
      </w:r>
      <w:proofErr w:type="gramEnd"/>
      <w:r w:rsidRPr="00781112">
        <w:rPr>
          <w:rFonts w:cs="Arial"/>
          <w:color w:val="000000" w:themeColor="text1"/>
          <w:szCs w:val="16"/>
        </w:rPr>
        <w:t xml:space="preserve"> the stakeholders </w:t>
      </w:r>
      <w:proofErr w:type="gramStart"/>
      <w:r w:rsidRPr="00781112">
        <w:rPr>
          <w:rFonts w:cs="Arial"/>
          <w:color w:val="000000" w:themeColor="text1"/>
          <w:szCs w:val="16"/>
        </w:rPr>
        <w:t>were incorporated</w:t>
      </w:r>
      <w:proofErr w:type="gramEnd"/>
      <w:r w:rsidRPr="00781112">
        <w:rPr>
          <w:rFonts w:cs="Arial"/>
          <w:color w:val="000000" w:themeColor="text1"/>
          <w:szCs w:val="16"/>
        </w:rPr>
        <w:t xml:space="preserve"> into PRDE’s FFY 2021 APR. PRDE developed this FFY 2021 SPP/APR with broad stakeholder input. As discussed above, PRDE SAEE held various meetings with the stakeholder group and received their input regarding the SPP/APR, including feedback regarding the individual indicators including FFY 2021 data, targets, any subsequent revisions to targets, and related activities and initiatives as well as the SSIP.</w:t>
      </w:r>
      <w:r w:rsidRPr="00781112">
        <w:rPr>
          <w:rFonts w:cs="Arial"/>
          <w:color w:val="000000" w:themeColor="text1"/>
          <w:szCs w:val="16"/>
        </w:rPr>
        <w:br/>
      </w:r>
      <w:r w:rsidRPr="00781112">
        <w:rPr>
          <w:rFonts w:cs="Arial"/>
          <w:color w:val="000000" w:themeColor="text1"/>
          <w:szCs w:val="16"/>
        </w:rPr>
        <w:br/>
        <w:t xml:space="preserve">Additional mechanisms through with PRDE solicits broad stakeholder input includes PRDE work with and through the non-profit organization Apoyo a Padres de Niños con Impedimentos (Support for Parents of Students with Disabilities, or APNI by its acronym in Spanish), its operation of Parent Academies on post-secondary topics, and Communities of Learning through its SSIP efforts, among others. APNI’s work helps increase the capacity of parents and serves as an avenue for receiving feedback on improvement activities and related policies. Similarly, the Parent Academies provide capacity building sessions for parents and include feedback sessions where parents provide feedback regarding improvement activities and data and policies related to post-secondary transition. Finally, the communities of learning have been key in providing feedback regarding the Indicator 17 / the SSIP in its entirety and implementation thereof. Through </w:t>
      </w:r>
      <w:proofErr w:type="gramStart"/>
      <w:r w:rsidRPr="00781112">
        <w:rPr>
          <w:rFonts w:cs="Arial"/>
          <w:color w:val="000000" w:themeColor="text1"/>
          <w:szCs w:val="16"/>
        </w:rPr>
        <w:t>all of</w:t>
      </w:r>
      <w:proofErr w:type="gramEnd"/>
      <w:r w:rsidRPr="00781112">
        <w:rPr>
          <w:rFonts w:cs="Arial"/>
          <w:color w:val="000000" w:themeColor="text1"/>
          <w:szCs w:val="16"/>
        </w:rPr>
        <w:t xml:space="preserve"> these avenues, PRDE seeks and receives stakeholder input that is considered in the development of the SPP/APR including targets, subsequent revisions of targets, and development and implementation of the SSIP (Ind. 17). </w:t>
      </w:r>
    </w:p>
    <w:p w14:paraId="5F0F979C" w14:textId="2A86F023" w:rsidR="000A2C83" w:rsidRPr="00781112" w:rsidRDefault="000A2C83" w:rsidP="000A2C83">
      <w:pPr>
        <w:rPr>
          <w:rFonts w:cs="Arial"/>
          <w:color w:val="000000" w:themeColor="text1"/>
          <w:szCs w:val="16"/>
        </w:rPr>
      </w:pP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2005</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43.30%</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66.50%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66.75%</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67.00%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56.76%</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57.00%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91.61%</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89.70%</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56.76%</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74.24%</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81.60%</w:t>
            </w:r>
          </w:p>
        </w:tc>
      </w:tr>
    </w:tbl>
    <w:p w14:paraId="2B5B5701" w14:textId="2BB5836C" w:rsidR="00DA3157" w:rsidRPr="00781112" w:rsidRDefault="00DA3157">
      <w:pPr>
        <w:rPr>
          <w:color w:val="000000" w:themeColor="text1"/>
        </w:rPr>
      </w:pPr>
    </w:p>
    <w:p w14:paraId="0F09B55F" w14:textId="55F1767C" w:rsidR="008E31C4" w:rsidRPr="00781112" w:rsidRDefault="008E31C4" w:rsidP="004369B2">
      <w:pPr>
        <w:rPr>
          <w:color w:val="000000" w:themeColor="text1"/>
        </w:rPr>
      </w:pPr>
      <w:r w:rsidRPr="00781112">
        <w:rPr>
          <w:b/>
          <w:color w:val="000000" w:themeColor="text1"/>
        </w:rPr>
        <w:t>Targets</w:t>
      </w:r>
    </w:p>
    <w:tbl>
      <w:tblPr>
        <w:tblW w:w="4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773"/>
        <w:gridCol w:w="1684"/>
        <w:gridCol w:w="1683"/>
        <w:gridCol w:w="1683"/>
        <w:gridCol w:w="1683"/>
        <w:gridCol w:w="1683"/>
      </w:tblGrid>
      <w:tr w:rsidR="006D0A52" w:rsidRPr="00781112" w14:paraId="7D6724D3" w14:textId="3FE2AE32" w:rsidTr="006D0A52">
        <w:trPr>
          <w:trHeight w:val="161"/>
        </w:trPr>
        <w:tc>
          <w:tcPr>
            <w:tcW w:w="420" w:type="pct"/>
            <w:tcBorders>
              <w:bottom w:val="single" w:sz="4" w:space="0" w:color="auto"/>
            </w:tcBorders>
            <w:shd w:val="clear" w:color="auto" w:fill="auto"/>
          </w:tcPr>
          <w:p w14:paraId="027FBB7B" w14:textId="77777777" w:rsidR="006D0A52" w:rsidRPr="00781112" w:rsidRDefault="006D0A52" w:rsidP="00C91F30">
            <w:pPr>
              <w:jc w:val="center"/>
              <w:rPr>
                <w:b/>
                <w:color w:val="000000" w:themeColor="text1"/>
              </w:rPr>
            </w:pPr>
            <w:r w:rsidRPr="00781112">
              <w:rPr>
                <w:b/>
                <w:color w:val="000000" w:themeColor="text1"/>
              </w:rPr>
              <w:t>FFY</w:t>
            </w:r>
          </w:p>
        </w:tc>
        <w:tc>
          <w:tcPr>
            <w:tcW w:w="916" w:type="pct"/>
            <w:shd w:val="clear" w:color="auto" w:fill="auto"/>
          </w:tcPr>
          <w:p w14:paraId="79481979" w14:textId="1C95D22E" w:rsidR="006D0A52" w:rsidRPr="00781112" w:rsidRDefault="006D0A52" w:rsidP="00C91F30">
            <w:pPr>
              <w:jc w:val="center"/>
              <w:rPr>
                <w:b/>
                <w:color w:val="000000" w:themeColor="text1"/>
              </w:rPr>
            </w:pPr>
            <w:r w:rsidRPr="00781112">
              <w:rPr>
                <w:b/>
                <w:color w:val="000000" w:themeColor="text1"/>
              </w:rPr>
              <w:t>2021</w:t>
            </w:r>
          </w:p>
        </w:tc>
        <w:tc>
          <w:tcPr>
            <w:tcW w:w="916" w:type="pct"/>
          </w:tcPr>
          <w:p w14:paraId="7641993D" w14:textId="318DCACC" w:rsidR="006D0A52" w:rsidRPr="00781112" w:rsidRDefault="006D0A52" w:rsidP="00C91F30">
            <w:pPr>
              <w:jc w:val="center"/>
              <w:rPr>
                <w:b/>
                <w:color w:val="000000" w:themeColor="text1"/>
              </w:rPr>
            </w:pPr>
            <w:r w:rsidRPr="00781112">
              <w:rPr>
                <w:rFonts w:cs="Arial"/>
                <w:b/>
                <w:color w:val="000000" w:themeColor="text1"/>
                <w:szCs w:val="16"/>
              </w:rPr>
              <w:t>2022</w:t>
            </w:r>
          </w:p>
        </w:tc>
        <w:tc>
          <w:tcPr>
            <w:tcW w:w="916" w:type="pct"/>
          </w:tcPr>
          <w:p w14:paraId="4DA0BAA3" w14:textId="27A9B6F2" w:rsidR="006D0A52" w:rsidRPr="00781112" w:rsidRDefault="006D0A52" w:rsidP="00C91F30">
            <w:pPr>
              <w:jc w:val="center"/>
              <w:rPr>
                <w:b/>
                <w:color w:val="000000" w:themeColor="text1"/>
              </w:rPr>
            </w:pPr>
            <w:r w:rsidRPr="00781112">
              <w:rPr>
                <w:rFonts w:cs="Arial"/>
                <w:b/>
                <w:color w:val="000000" w:themeColor="text1"/>
                <w:szCs w:val="16"/>
              </w:rPr>
              <w:t>2023</w:t>
            </w:r>
          </w:p>
        </w:tc>
        <w:tc>
          <w:tcPr>
            <w:tcW w:w="916" w:type="pct"/>
          </w:tcPr>
          <w:p w14:paraId="2A24D443" w14:textId="34DC3CA7" w:rsidR="006D0A52" w:rsidRPr="00781112" w:rsidRDefault="006D0A52" w:rsidP="00C91F30">
            <w:pPr>
              <w:jc w:val="center"/>
              <w:rPr>
                <w:b/>
                <w:color w:val="000000" w:themeColor="text1"/>
              </w:rPr>
            </w:pPr>
            <w:r w:rsidRPr="00781112">
              <w:rPr>
                <w:rFonts w:cs="Arial"/>
                <w:b/>
                <w:color w:val="000000" w:themeColor="text1"/>
                <w:szCs w:val="16"/>
              </w:rPr>
              <w:t>2024</w:t>
            </w:r>
          </w:p>
        </w:tc>
        <w:tc>
          <w:tcPr>
            <w:tcW w:w="916" w:type="pct"/>
          </w:tcPr>
          <w:p w14:paraId="61EFC808" w14:textId="000FAB3D" w:rsidR="006D0A52" w:rsidRPr="00781112" w:rsidRDefault="006D0A52" w:rsidP="00C91F30">
            <w:pPr>
              <w:jc w:val="center"/>
              <w:rPr>
                <w:b/>
                <w:color w:val="000000" w:themeColor="text1"/>
              </w:rPr>
            </w:pPr>
            <w:r w:rsidRPr="00781112">
              <w:rPr>
                <w:rFonts w:cs="Arial"/>
                <w:b/>
                <w:color w:val="000000" w:themeColor="text1"/>
                <w:szCs w:val="16"/>
              </w:rPr>
              <w:t>2025</w:t>
            </w:r>
          </w:p>
        </w:tc>
      </w:tr>
      <w:tr w:rsidR="006D0A52" w:rsidRPr="00781112" w14:paraId="3CA53C0F" w14:textId="2DEE5BE6" w:rsidTr="006D0A52">
        <w:trPr>
          <w:trHeight w:val="60"/>
        </w:trPr>
        <w:tc>
          <w:tcPr>
            <w:tcW w:w="420" w:type="pct"/>
            <w:shd w:val="clear" w:color="auto" w:fill="auto"/>
          </w:tcPr>
          <w:p w14:paraId="78FC9CAC" w14:textId="6980A1CA" w:rsidR="006D0A52" w:rsidRPr="00781112" w:rsidRDefault="006D0A52" w:rsidP="00C91F30">
            <w:pPr>
              <w:jc w:val="center"/>
              <w:rPr>
                <w:rFonts w:cs="Arial"/>
                <w:color w:val="000000" w:themeColor="text1"/>
                <w:szCs w:val="16"/>
              </w:rPr>
            </w:pPr>
            <w:r w:rsidRPr="00781112">
              <w:rPr>
                <w:rFonts w:cs="Arial"/>
                <w:color w:val="000000" w:themeColor="text1"/>
                <w:szCs w:val="16"/>
              </w:rPr>
              <w:t>Target &gt;=</w:t>
            </w:r>
          </w:p>
        </w:tc>
        <w:tc>
          <w:tcPr>
            <w:tcW w:w="916" w:type="pct"/>
            <w:shd w:val="clear" w:color="auto" w:fill="auto"/>
            <w:vAlign w:val="center"/>
          </w:tcPr>
          <w:p w14:paraId="0E137397" w14:textId="06CBC1FD" w:rsidR="006D0A52" w:rsidRPr="00781112" w:rsidRDefault="006D0A52" w:rsidP="00C91F30">
            <w:pPr>
              <w:jc w:val="center"/>
              <w:rPr>
                <w:rFonts w:cs="Arial"/>
                <w:color w:val="000000" w:themeColor="text1"/>
                <w:szCs w:val="16"/>
              </w:rPr>
            </w:pPr>
            <w:r w:rsidRPr="00781112">
              <w:rPr>
                <w:rFonts w:cs="Arial"/>
                <w:color w:val="000000" w:themeColor="text1"/>
                <w:szCs w:val="16"/>
              </w:rPr>
              <w:t>57.10%</w:t>
            </w:r>
          </w:p>
        </w:tc>
        <w:tc>
          <w:tcPr>
            <w:tcW w:w="916" w:type="pct"/>
          </w:tcPr>
          <w:p w14:paraId="2C484D83" w14:textId="77BCE060" w:rsidR="006D0A52" w:rsidRPr="00781112" w:rsidRDefault="006D0A52" w:rsidP="00C91F30">
            <w:pPr>
              <w:jc w:val="center"/>
              <w:rPr>
                <w:rFonts w:cs="Arial"/>
                <w:color w:val="000000" w:themeColor="text1"/>
                <w:szCs w:val="16"/>
              </w:rPr>
            </w:pPr>
            <w:r w:rsidRPr="00781112">
              <w:rPr>
                <w:color w:val="000000" w:themeColor="text1"/>
                <w:szCs w:val="16"/>
              </w:rPr>
              <w:t>57.20%</w:t>
            </w:r>
          </w:p>
        </w:tc>
        <w:tc>
          <w:tcPr>
            <w:tcW w:w="916" w:type="pct"/>
          </w:tcPr>
          <w:p w14:paraId="6CD274F3" w14:textId="076582AE" w:rsidR="006D0A52" w:rsidRPr="00781112" w:rsidRDefault="006D0A52" w:rsidP="00C91F30">
            <w:pPr>
              <w:jc w:val="center"/>
              <w:rPr>
                <w:rFonts w:cs="Arial"/>
                <w:color w:val="000000" w:themeColor="text1"/>
                <w:szCs w:val="16"/>
              </w:rPr>
            </w:pPr>
            <w:r w:rsidRPr="00781112">
              <w:rPr>
                <w:color w:val="000000" w:themeColor="text1"/>
                <w:szCs w:val="16"/>
              </w:rPr>
              <w:t>57.30%</w:t>
            </w:r>
          </w:p>
        </w:tc>
        <w:tc>
          <w:tcPr>
            <w:tcW w:w="916" w:type="pct"/>
          </w:tcPr>
          <w:p w14:paraId="60DD90BA" w14:textId="5816204A" w:rsidR="006D0A52" w:rsidRPr="00781112" w:rsidRDefault="006D0A52" w:rsidP="00C91F30">
            <w:pPr>
              <w:jc w:val="center"/>
              <w:rPr>
                <w:rFonts w:cs="Arial"/>
                <w:color w:val="000000" w:themeColor="text1"/>
                <w:szCs w:val="16"/>
              </w:rPr>
            </w:pPr>
            <w:r w:rsidRPr="00781112">
              <w:rPr>
                <w:color w:val="000000" w:themeColor="text1"/>
                <w:szCs w:val="16"/>
              </w:rPr>
              <w:t>57.40%</w:t>
            </w:r>
          </w:p>
        </w:tc>
        <w:tc>
          <w:tcPr>
            <w:tcW w:w="916" w:type="pct"/>
          </w:tcPr>
          <w:p w14:paraId="2F06128D" w14:textId="63E3880D" w:rsidR="006D0A52" w:rsidRPr="00781112" w:rsidRDefault="006D0A52" w:rsidP="00C91F30">
            <w:pPr>
              <w:jc w:val="center"/>
              <w:rPr>
                <w:rFonts w:cs="Arial"/>
                <w:color w:val="000000" w:themeColor="text1"/>
                <w:szCs w:val="16"/>
              </w:rPr>
            </w:pPr>
            <w:r w:rsidRPr="00781112">
              <w:rPr>
                <w:color w:val="000000" w:themeColor="text1"/>
                <w:szCs w:val="16"/>
              </w:rPr>
              <w:t>57.50%</w:t>
            </w:r>
          </w:p>
        </w:tc>
      </w:tr>
    </w:tbl>
    <w:p w14:paraId="3BC65958" w14:textId="77777777" w:rsidR="00DA3157" w:rsidRPr="00781112" w:rsidRDefault="00DA3157" w:rsidP="004369B2">
      <w:pPr>
        <w:rPr>
          <w:color w:val="000000" w:themeColor="text1"/>
        </w:rPr>
      </w:pPr>
    </w:p>
    <w:p w14:paraId="29FDEA16" w14:textId="333AA980" w:rsidR="008E31C4" w:rsidRPr="00781112" w:rsidRDefault="0047313F">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B21923" w:rsidRPr="00781112" w14:paraId="30B18EC1" w14:textId="77777777" w:rsidTr="0033429D">
        <w:trPr>
          <w:trHeight w:val="354"/>
          <w:tblHeader/>
        </w:trPr>
        <w:tc>
          <w:tcPr>
            <w:tcW w:w="666" w:type="pct"/>
            <w:shd w:val="clear" w:color="auto" w:fill="auto"/>
          </w:tcPr>
          <w:p w14:paraId="2285C16D" w14:textId="593BA89E" w:rsidR="00B21923" w:rsidRPr="00781112" w:rsidRDefault="00B21923" w:rsidP="00B21923">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666" w:type="pct"/>
            <w:shd w:val="clear" w:color="auto" w:fill="auto"/>
            <w:vAlign w:val="bottom"/>
          </w:tcPr>
          <w:p w14:paraId="0D0A1148" w14:textId="5AB9157D" w:rsidR="00B21923" w:rsidRPr="00781112" w:rsidRDefault="00B21923" w:rsidP="00B21923">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B21923" w:rsidRPr="00781112" w:rsidRDefault="00B21923" w:rsidP="00B21923">
            <w:pPr>
              <w:jc w:val="center"/>
              <w:rPr>
                <w:rFonts w:cs="Arial"/>
                <w:b/>
                <w:color w:val="000000" w:themeColor="text1"/>
                <w:szCs w:val="16"/>
              </w:rPr>
            </w:pPr>
            <w:r w:rsidRPr="00781112">
              <w:rPr>
                <w:rFonts w:cs="Arial"/>
                <w:b/>
                <w:color w:val="000000" w:themeColor="text1"/>
                <w:szCs w:val="16"/>
              </w:rPr>
              <w:t>2.1 Number of mediations held</w:t>
            </w:r>
          </w:p>
        </w:tc>
        <w:tc>
          <w:tcPr>
            <w:tcW w:w="513" w:type="pct"/>
            <w:shd w:val="clear" w:color="auto" w:fill="auto"/>
            <w:vAlign w:val="bottom"/>
          </w:tcPr>
          <w:p w14:paraId="4A569306" w14:textId="6C8561F3" w:rsidR="00B21923" w:rsidRPr="006D0A52" w:rsidRDefault="00B21923" w:rsidP="00B21923">
            <w:pPr>
              <w:jc w:val="center"/>
              <w:rPr>
                <w:rFonts w:cs="Arial"/>
                <w:b/>
                <w:bCs/>
                <w:color w:val="000000" w:themeColor="text1"/>
                <w:szCs w:val="16"/>
              </w:rPr>
            </w:pPr>
            <w:r w:rsidRPr="006D0A52">
              <w:rPr>
                <w:b/>
                <w:bCs/>
              </w:rPr>
              <w:t>FFY 2020 Data</w:t>
            </w:r>
          </w:p>
        </w:tc>
        <w:tc>
          <w:tcPr>
            <w:tcW w:w="760" w:type="pct"/>
            <w:shd w:val="clear" w:color="auto" w:fill="auto"/>
            <w:vAlign w:val="bottom"/>
          </w:tcPr>
          <w:p w14:paraId="76531DBA" w14:textId="540B87EF" w:rsidR="00B21923" w:rsidRPr="006D0A52" w:rsidRDefault="00B21923" w:rsidP="00B21923">
            <w:pPr>
              <w:jc w:val="center"/>
              <w:rPr>
                <w:rFonts w:cs="Arial"/>
                <w:b/>
                <w:bCs/>
                <w:color w:val="000000" w:themeColor="text1"/>
                <w:szCs w:val="16"/>
              </w:rPr>
            </w:pPr>
            <w:r w:rsidRPr="006D0A52">
              <w:rPr>
                <w:b/>
                <w:bCs/>
              </w:rPr>
              <w:t>FFY 2021 Target</w:t>
            </w:r>
          </w:p>
        </w:tc>
        <w:tc>
          <w:tcPr>
            <w:tcW w:w="598" w:type="pct"/>
            <w:shd w:val="clear" w:color="auto" w:fill="auto"/>
            <w:vAlign w:val="bottom"/>
          </w:tcPr>
          <w:p w14:paraId="6DA84C86" w14:textId="596AC1F3" w:rsidR="00B21923" w:rsidRPr="006D0A52" w:rsidRDefault="00B21923" w:rsidP="00B21923">
            <w:pPr>
              <w:jc w:val="center"/>
              <w:rPr>
                <w:rFonts w:cs="Arial"/>
                <w:b/>
                <w:bCs/>
                <w:color w:val="000000" w:themeColor="text1"/>
                <w:szCs w:val="16"/>
              </w:rPr>
            </w:pPr>
            <w:r w:rsidRPr="006D0A52">
              <w:rPr>
                <w:b/>
                <w:bCs/>
              </w:rPr>
              <w:t>FFY 2021 Data</w:t>
            </w:r>
          </w:p>
        </w:tc>
        <w:tc>
          <w:tcPr>
            <w:tcW w:w="582" w:type="pct"/>
            <w:shd w:val="clear" w:color="auto" w:fill="auto"/>
            <w:vAlign w:val="bottom"/>
          </w:tcPr>
          <w:p w14:paraId="6C8C9681"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564" w:type="pct"/>
            <w:shd w:val="clear" w:color="auto" w:fill="auto"/>
            <w:vAlign w:val="bottom"/>
          </w:tcPr>
          <w:p w14:paraId="6876CD5E"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580CADA4" w14:textId="77777777" w:rsidTr="00326814">
        <w:trPr>
          <w:trHeight w:val="361"/>
        </w:trPr>
        <w:tc>
          <w:tcPr>
            <w:tcW w:w="666" w:type="pct"/>
            <w:shd w:val="clear" w:color="auto" w:fill="auto"/>
          </w:tcPr>
          <w:p w14:paraId="229DBD16" w14:textId="3985AF14" w:rsidR="00ED71A6" w:rsidRPr="00781112" w:rsidRDefault="002B7490" w:rsidP="004369B2">
            <w:pPr>
              <w:jc w:val="center"/>
              <w:rPr>
                <w:rFonts w:cs="Arial"/>
                <w:color w:val="000000" w:themeColor="text1"/>
                <w:szCs w:val="16"/>
              </w:rPr>
            </w:pPr>
            <w:r w:rsidRPr="00781112">
              <w:rPr>
                <w:rFonts w:cs="Arial"/>
                <w:color w:val="000000" w:themeColor="text1"/>
                <w:szCs w:val="16"/>
              </w:rPr>
              <w:t>206</w:t>
            </w:r>
          </w:p>
        </w:tc>
        <w:tc>
          <w:tcPr>
            <w:tcW w:w="666" w:type="pct"/>
            <w:shd w:val="clear" w:color="auto" w:fill="auto"/>
          </w:tcPr>
          <w:p w14:paraId="26BE4267" w14:textId="64153881" w:rsidR="00ED71A6"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651" w:type="pct"/>
            <w:shd w:val="clear" w:color="auto" w:fill="auto"/>
            <w:vAlign w:val="center"/>
          </w:tcPr>
          <w:p w14:paraId="6C063D69" w14:textId="6595E94B" w:rsidR="00ED71A6" w:rsidRPr="00781112" w:rsidRDefault="002B7490" w:rsidP="004369B2">
            <w:pPr>
              <w:jc w:val="center"/>
              <w:rPr>
                <w:rFonts w:cs="Arial"/>
                <w:color w:val="000000" w:themeColor="text1"/>
                <w:szCs w:val="16"/>
              </w:rPr>
            </w:pPr>
            <w:r w:rsidRPr="00781112">
              <w:rPr>
                <w:rFonts w:cs="Arial"/>
                <w:color w:val="000000" w:themeColor="text1"/>
                <w:szCs w:val="16"/>
              </w:rPr>
              <w:t>256</w:t>
            </w:r>
          </w:p>
        </w:tc>
        <w:tc>
          <w:tcPr>
            <w:tcW w:w="513" w:type="pct"/>
            <w:shd w:val="clear" w:color="auto" w:fill="auto"/>
          </w:tcPr>
          <w:p w14:paraId="466ED6BC" w14:textId="5349E9C8" w:rsidR="00ED71A6" w:rsidRPr="00781112" w:rsidRDefault="002B7490" w:rsidP="004369B2">
            <w:pPr>
              <w:jc w:val="center"/>
              <w:rPr>
                <w:rFonts w:cs="Arial"/>
                <w:color w:val="000000" w:themeColor="text1"/>
                <w:szCs w:val="16"/>
              </w:rPr>
            </w:pPr>
            <w:r w:rsidRPr="00781112">
              <w:rPr>
                <w:rFonts w:cs="Arial"/>
                <w:color w:val="000000" w:themeColor="text1"/>
                <w:szCs w:val="16"/>
              </w:rPr>
              <w:t>81.60%</w:t>
            </w:r>
          </w:p>
        </w:tc>
        <w:tc>
          <w:tcPr>
            <w:tcW w:w="760" w:type="pct"/>
            <w:shd w:val="clear" w:color="auto" w:fill="auto"/>
          </w:tcPr>
          <w:p w14:paraId="2530D239" w14:textId="21181E1F" w:rsidR="00ED71A6" w:rsidRPr="00781112" w:rsidRDefault="002B7490" w:rsidP="004369B2">
            <w:pPr>
              <w:jc w:val="center"/>
              <w:rPr>
                <w:rFonts w:cs="Arial"/>
                <w:color w:val="000000" w:themeColor="text1"/>
                <w:szCs w:val="16"/>
              </w:rPr>
            </w:pPr>
            <w:r w:rsidRPr="00781112">
              <w:rPr>
                <w:rFonts w:cs="Arial"/>
                <w:color w:val="000000" w:themeColor="text1"/>
                <w:szCs w:val="16"/>
              </w:rPr>
              <w:t>57.10%</w:t>
            </w:r>
          </w:p>
        </w:tc>
        <w:tc>
          <w:tcPr>
            <w:tcW w:w="598" w:type="pct"/>
            <w:shd w:val="clear" w:color="auto" w:fill="auto"/>
          </w:tcPr>
          <w:p w14:paraId="5CFDAC12" w14:textId="030BF46B" w:rsidR="00ED71A6" w:rsidRPr="00781112" w:rsidRDefault="002B7490" w:rsidP="004369B2">
            <w:pPr>
              <w:jc w:val="center"/>
              <w:rPr>
                <w:rFonts w:cs="Arial"/>
                <w:color w:val="000000" w:themeColor="text1"/>
                <w:szCs w:val="16"/>
              </w:rPr>
            </w:pPr>
            <w:r w:rsidRPr="00781112">
              <w:rPr>
                <w:rFonts w:cs="Arial"/>
                <w:color w:val="000000" w:themeColor="text1"/>
                <w:szCs w:val="16"/>
              </w:rPr>
              <w:t>80.47%</w:t>
            </w:r>
          </w:p>
        </w:tc>
        <w:tc>
          <w:tcPr>
            <w:tcW w:w="582" w:type="pct"/>
            <w:shd w:val="clear" w:color="auto" w:fill="auto"/>
          </w:tcPr>
          <w:p w14:paraId="0ABF26CD" w14:textId="7C384528" w:rsidR="00ED71A6" w:rsidRPr="00781112" w:rsidRDefault="002B7490" w:rsidP="004369B2">
            <w:pPr>
              <w:jc w:val="center"/>
              <w:rPr>
                <w:rFonts w:cs="Arial"/>
                <w:color w:val="000000" w:themeColor="text1"/>
                <w:szCs w:val="16"/>
              </w:rPr>
            </w:pPr>
            <w:r w:rsidRPr="00781112">
              <w:rPr>
                <w:rFonts w:cs="Arial"/>
                <w:color w:val="000000" w:themeColor="text1"/>
                <w:szCs w:val="16"/>
              </w:rPr>
              <w:t>Met target</w:t>
            </w:r>
          </w:p>
        </w:tc>
        <w:tc>
          <w:tcPr>
            <w:tcW w:w="564" w:type="pct"/>
            <w:shd w:val="clear" w:color="auto" w:fill="auto"/>
          </w:tcPr>
          <w:p w14:paraId="62404E67" w14:textId="522FE20B" w:rsidR="00ED71A6"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3422290" w14:textId="77777777" w:rsidR="00BB79DA" w:rsidRPr="00781112" w:rsidRDefault="00BB79DA">
      <w:pPr>
        <w:rPr>
          <w:color w:val="000000" w:themeColor="text1"/>
        </w:rPr>
      </w:pP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93C7E" w:rsidP="007D435F">
      <w:pPr>
        <w:rPr>
          <w:rFonts w:cs="Arial"/>
          <w:color w:val="000000" w:themeColor="text1"/>
          <w:szCs w:val="16"/>
        </w:rPr>
      </w:pP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93C7E" w:rsidP="001F692C">
      <w:pPr>
        <w:rPr>
          <w:rFonts w:cs="Arial"/>
          <w:color w:val="000000" w:themeColor="text1"/>
          <w:szCs w:val="16"/>
        </w:rPr>
      </w:pP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w:t>
      </w:r>
      <w:proofErr w:type="gramStart"/>
      <w:r w:rsidRPr="00781112">
        <w:t>percentage</w:t>
      </w:r>
      <w:proofErr w:type="gramEnd"/>
      <w:r w:rsidRPr="00781112">
        <w:t xml:space="preserve"> and which is aligned with the State-identified Measurable Result(s) for </w:t>
      </w:r>
      <w:r w:rsidR="00B00A11" w:rsidRPr="00781112">
        <w:rPr>
          <w:rFonts w:cs="Arial"/>
          <w:szCs w:val="16"/>
        </w:rPr>
        <w:t>Children with Disabilities.</w:t>
      </w:r>
    </w:p>
    <w:p w14:paraId="200B44A4" w14:textId="1EC5E359"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 xml:space="preserve">In its </w:t>
      </w:r>
      <w:r w:rsidR="0047313F">
        <w:rPr>
          <w:rFonts w:cs="Arial"/>
          <w:szCs w:val="16"/>
        </w:rPr>
        <w:t xml:space="preserve">FFY 2021 SPP/APR, due </w:t>
      </w:r>
      <w:r w:rsidR="00AD1B29">
        <w:rPr>
          <w:rFonts w:cs="Arial"/>
          <w:szCs w:val="16"/>
        </w:rPr>
        <w:t>February 1, 2023</w:t>
      </w:r>
      <w:r w:rsidR="00E101A7" w:rsidRPr="00781112">
        <w:rPr>
          <w:rFonts w:cs="Arial"/>
          <w:szCs w:val="16"/>
        </w:rPr>
        <w:t xml:space="preserve">, the State must provide measurable and rigorous targets (expressed as percentages) for each of the six years from FFY </w:t>
      </w:r>
      <w:r w:rsidR="00B21923" w:rsidRPr="00781112">
        <w:rPr>
          <w:rFonts w:cs="Arial"/>
          <w:szCs w:val="16"/>
        </w:rPr>
        <w:t>202</w:t>
      </w:r>
      <w:r w:rsidR="00B21923">
        <w:rPr>
          <w:rFonts w:cs="Arial"/>
          <w:szCs w:val="16"/>
        </w:rPr>
        <w:t>1</w:t>
      </w:r>
      <w:r w:rsidR="00B21923" w:rsidRPr="00781112">
        <w:rPr>
          <w:rFonts w:cs="Arial"/>
          <w:szCs w:val="16"/>
        </w:rPr>
        <w:t xml:space="preserve"> </w:t>
      </w:r>
      <w:r w:rsidR="00E101A7" w:rsidRPr="00781112">
        <w:rPr>
          <w:rFonts w:cs="Arial"/>
          <w:szCs w:val="16"/>
        </w:rPr>
        <w:t>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r w:rsidR="00404B50">
        <w:rPr>
          <w:rFonts w:cs="Arial"/>
          <w:szCs w:val="16"/>
        </w:rPr>
        <w:t xml:space="preserve"> </w:t>
      </w:r>
    </w:p>
    <w:p w14:paraId="6B54FC53" w14:textId="00B83E5E"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 xml:space="preserve">through FFY 2025 SPPs/APRs, due </w:t>
      </w:r>
      <w:r w:rsidR="00AD1B29">
        <w:rPr>
          <w:rFonts w:cs="Arial"/>
          <w:szCs w:val="16"/>
        </w:rPr>
        <w:t>February 1, 2023</w:t>
      </w:r>
      <w:r w:rsidR="00B00A11" w:rsidRPr="00781112">
        <w:rPr>
          <w:rFonts w:cs="Arial"/>
          <w:szCs w:val="16"/>
        </w:rPr>
        <w:t>, the State must provide updated data for that specific FFY (expressed as percentages</w:t>
      </w:r>
      <w:proofErr w:type="gramStart"/>
      <w:r w:rsidR="00B00A11" w:rsidRPr="00781112">
        <w:rPr>
          <w:rFonts w:cs="Arial"/>
          <w:szCs w:val="16"/>
        </w:rPr>
        <w:t>)</w:t>
      </w:r>
      <w:proofErr w:type="gramEnd"/>
      <w:r w:rsidR="00B00A11" w:rsidRPr="00781112">
        <w:rPr>
          <w:rFonts w:cs="Arial"/>
          <w:szCs w:val="16"/>
        </w:rPr>
        <w:t xml:space="preserve"> and that data must be aligned with the State-identified Measurable Result(s) for Children with Disabilities. 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 xml:space="preserve">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w:t>
      </w:r>
      <w:proofErr w:type="gramStart"/>
      <w:r w:rsidRPr="00781112">
        <w:rPr>
          <w:rFonts w:cs="Arial"/>
          <w:szCs w:val="16"/>
        </w:rPr>
        <w:t>be included</w:t>
      </w:r>
      <w:proofErr w:type="gramEnd"/>
      <w:r w:rsidRPr="00781112">
        <w:rPr>
          <w:rFonts w:cs="Arial"/>
          <w:szCs w:val="16"/>
        </w:rPr>
        <w:t xml:space="preserve">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xml:space="preserve">- Data </w:t>
      </w:r>
      <w:proofErr w:type="gramStart"/>
      <w:r w:rsidRPr="00781112">
        <w:t>Analysis;</w:t>
      </w:r>
      <w:proofErr w:type="gramEnd"/>
    </w:p>
    <w:p w14:paraId="27016A94" w14:textId="77777777" w:rsidR="00AE1972" w:rsidRPr="00781112" w:rsidRDefault="00AE1972" w:rsidP="00AE1972">
      <w:pPr>
        <w:ind w:left="360"/>
      </w:pPr>
      <w:r w:rsidRPr="00781112">
        <w:t xml:space="preserve">- Analysis of State Infrastructure to Support Improvement and Build </w:t>
      </w:r>
      <w:proofErr w:type="gramStart"/>
      <w:r w:rsidRPr="00781112">
        <w:t>Capacity;</w:t>
      </w:r>
      <w:proofErr w:type="gramEnd"/>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 xml:space="preserve">Children with </w:t>
      </w:r>
      <w:proofErr w:type="gramStart"/>
      <w:r w:rsidR="00B00A11" w:rsidRPr="00781112">
        <w:rPr>
          <w:rFonts w:cs="Arial"/>
          <w:szCs w:val="16"/>
        </w:rPr>
        <w:t>Disabilities</w:t>
      </w:r>
      <w:r w:rsidRPr="00781112">
        <w:t>;</w:t>
      </w:r>
      <w:proofErr w:type="gramEnd"/>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 xml:space="preserve">Infrastructure </w:t>
      </w:r>
      <w:proofErr w:type="gramStart"/>
      <w:r w:rsidR="00AE1972" w:rsidRPr="00781112">
        <w:t>Development;</w:t>
      </w:r>
      <w:proofErr w:type="gramEnd"/>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 xml:space="preserve">Phase III should only include information from Phase I or Phase II if </w:t>
      </w:r>
      <w:proofErr w:type="gramStart"/>
      <w:r w:rsidRPr="00781112">
        <w:t>changes or revisions are being made by the State</w:t>
      </w:r>
      <w:proofErr w:type="gramEnd"/>
      <w:r w:rsidRPr="00781112">
        <w:t xml:space="preserv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148D91BE" w:rsidR="000063AC" w:rsidRPr="00781112" w:rsidRDefault="000063AC" w:rsidP="000063AC">
      <w:pPr>
        <w:rPr>
          <w:rFonts w:cs="Arial"/>
          <w:szCs w:val="16"/>
        </w:rPr>
      </w:pPr>
      <w:r w:rsidRPr="00781112">
        <w:rPr>
          <w:rFonts w:cs="Arial"/>
          <w:szCs w:val="16"/>
        </w:rPr>
        <w:t xml:space="preserve">As required in the Instructions for the Indicator/Measurement, in its FFYs 2021 through 2025 SPP/APR, the State must report data for that specific FFY (expressed as actual numbers and percentages) that </w:t>
      </w:r>
      <w:proofErr w:type="gramStart"/>
      <w:r w:rsidRPr="00781112">
        <w:rPr>
          <w:rFonts w:cs="Arial"/>
          <w:szCs w:val="16"/>
        </w:rPr>
        <w:t>are aligned</w:t>
      </w:r>
      <w:proofErr w:type="gramEnd"/>
      <w:r w:rsidRPr="00781112">
        <w:rPr>
          <w:rFonts w:cs="Arial"/>
          <w:szCs w:val="16"/>
        </w:rPr>
        <w:t xml:space="preserve"> with the SiMR. The State must report on whether the State met its target. In addition, the State may report on any additional data (e.g., progress monitoring data) that </w:t>
      </w:r>
      <w:proofErr w:type="gramStart"/>
      <w:r w:rsidRPr="00781112">
        <w:rPr>
          <w:rFonts w:cs="Arial"/>
          <w:szCs w:val="16"/>
        </w:rPr>
        <w:t>were collected</w:t>
      </w:r>
      <w:proofErr w:type="gramEnd"/>
      <w:r w:rsidRPr="00781112">
        <w:rPr>
          <w:rFonts w:cs="Arial"/>
          <w:szCs w:val="16"/>
        </w:rPr>
        <w:t xml:space="preserve"> and analyzed that would suggest progress toward the SiMR. States using a subset of the population from the indicator (e.g., a sample, cohort model) should describe how data </w:t>
      </w:r>
      <w:proofErr w:type="gramStart"/>
      <w:r w:rsidRPr="00781112">
        <w:rPr>
          <w:rFonts w:cs="Arial"/>
          <w:szCs w:val="16"/>
        </w:rPr>
        <w:t>are collected</w:t>
      </w:r>
      <w:proofErr w:type="gramEnd"/>
      <w:r w:rsidRPr="00781112">
        <w:rPr>
          <w:rFonts w:cs="Arial"/>
          <w:szCs w:val="16"/>
        </w:rPr>
        <w:t xml:space="preserve"> and analyzed for the SiMR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161CEC9C" w:rsidR="00AE1972" w:rsidRPr="00781112" w:rsidRDefault="00AE1972" w:rsidP="00AE1972">
      <w:r w:rsidRPr="00781112">
        <w:t xml:space="preserve">The State must provide a narrative or graphic representation, e.g., a logic model, of the principal activities, measures and outcomes that </w:t>
      </w:r>
      <w:proofErr w:type="gramStart"/>
      <w:r w:rsidRPr="00781112">
        <w:t>were implemented</w:t>
      </w:r>
      <w:proofErr w:type="gramEnd"/>
      <w:r w:rsidRPr="00781112">
        <w:t xml:space="preserve"> since the State’s last SSIP submission (i.e., </w:t>
      </w:r>
      <w:r w:rsidR="00F302A0" w:rsidRPr="00781112">
        <w:t>Feb</w:t>
      </w:r>
      <w:r w:rsidRPr="00781112">
        <w:t xml:space="preserve"> </w:t>
      </w:r>
      <w:r w:rsidR="00B21923" w:rsidRPr="00781112">
        <w:t>202</w:t>
      </w:r>
      <w:r w:rsidR="00B21923">
        <w:t>2</w:t>
      </w:r>
      <w:r w:rsidRPr="00781112">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1DB24C7F" w:rsidR="00AE1972" w:rsidRPr="00781112" w:rsidRDefault="00AE1972" w:rsidP="00AE1972">
      <w:r w:rsidRPr="00781112">
        <w:t xml:space="preserve">The State must summarize the infrastructure improvement strategies that </w:t>
      </w:r>
      <w:proofErr w:type="gramStart"/>
      <w:r w:rsidRPr="00781112">
        <w:t>were implemented</w:t>
      </w:r>
      <w:proofErr w:type="gramEnd"/>
      <w:r w:rsidRPr="00781112">
        <w:t xml:space="preserve">,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w:t>
      </w:r>
      <w:r w:rsidR="00B21923">
        <w:rPr>
          <w:rFonts w:cs="Arial"/>
          <w:szCs w:val="16"/>
        </w:rPr>
        <w:t>for the FFY 2021 APR, report on anticipated outcomes to be obtained during FFY 2022, i.e., July 1, 2022-June 30, 2023for the FFY 2021 APR, report on anticipated outcomes to be obtained during FFY 2022, i.e., July 1, 2022-June 30, 2023</w:t>
      </w:r>
      <w:r w:rsidR="00B21923" w:rsidRPr="00651E83">
        <w:rPr>
          <w:rFonts w:cs="Arial"/>
          <w:szCs w:val="16"/>
        </w:rPr>
        <w:t>).</w:t>
      </w:r>
      <w:r w:rsidRPr="00781112">
        <w:t>).</w:t>
      </w:r>
    </w:p>
    <w:p w14:paraId="6198E1D5" w14:textId="77777777" w:rsidR="00AE1972" w:rsidRPr="00781112" w:rsidRDefault="00AE1972" w:rsidP="00AE1972">
      <w:r w:rsidRPr="00781112">
        <w:t xml:space="preserve">The State must summarize the specific evidence-based practices that </w:t>
      </w:r>
      <w:proofErr w:type="gramStart"/>
      <w:r w:rsidRPr="00781112">
        <w:t>were implemented</w:t>
      </w:r>
      <w:proofErr w:type="gramEnd"/>
      <w:r w:rsidRPr="00781112">
        <w:t xml:space="preserve"> and the strategies or activities that supported their selection and ensured their use with fidelity. Describe how the evidence-based practices, and activities or strategies that support their use, </w:t>
      </w:r>
      <w:proofErr w:type="gramStart"/>
      <w:r w:rsidRPr="00781112">
        <w:t>are intended</w:t>
      </w:r>
      <w:proofErr w:type="gramEnd"/>
      <w:r w:rsidRPr="00781112">
        <w:t xml:space="preserve"> to impact the SiMR by changing program/district policies, procedures, and/or practices, teacher/provider practices (i.e., behaviors), parent/caregiver outcomes, </w:t>
      </w:r>
      <w:r w:rsidRPr="00781112">
        <w:lastRenderedPageBreak/>
        <w:t xml:space="preserve">and/or child outcomes. Describe any additional data (i.e., progress monitoring data) that </w:t>
      </w:r>
      <w:proofErr w:type="gramStart"/>
      <w:r w:rsidRPr="00781112">
        <w:t>was collected</w:t>
      </w:r>
      <w:proofErr w:type="gramEnd"/>
      <w:r w:rsidRPr="00781112">
        <w:t xml:space="preserve">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5C2D5ECE" w:rsidR="00AE1972" w:rsidRPr="00781112" w:rsidRDefault="00AE1972" w:rsidP="00AE1972">
      <w:r w:rsidRPr="00781112">
        <w:t xml:space="preserve">The State should identify any activities not already described that it intends to implement in the next fiscal year (e.g., </w:t>
      </w:r>
      <w:r w:rsidR="00B21923">
        <w:rPr>
          <w:rFonts w:cs="Arial"/>
          <w:szCs w:val="16"/>
        </w:rPr>
        <w:t>for the FFY 2021 APR, report on activities it intends to implement in FFY 2022, i.e., July 1, 2022-June 30, 2023for the FFY 2021 APR, report on activities it intends to implement in FFY 2022, i.e., July 1, 2022-June 30, 2023</w:t>
      </w:r>
      <w:r w:rsidR="00B21923" w:rsidRPr="00651E83">
        <w:rPr>
          <w:rFonts w:cs="Arial"/>
          <w:szCs w:val="16"/>
        </w:rPr>
        <w:t>)</w:t>
      </w:r>
      <w:r w:rsidRPr="00781112">
        <w:t>) including a timeline, anticipated data collection and measures, and expected outcomes that are related to the SiMR.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(SiMR)?</w:t>
      </w:r>
    </w:p>
    <w:p w14:paraId="2CDA0A52" w14:textId="1253220E" w:rsidR="00AE1972" w:rsidRPr="00781112" w:rsidRDefault="00AE1972" w:rsidP="00AE1972">
      <w:pPr>
        <w:rPr>
          <w:color w:val="000000" w:themeColor="text1"/>
        </w:rPr>
      </w:pPr>
      <w:r w:rsidRPr="00781112">
        <w:rPr>
          <w:color w:val="000000" w:themeColor="text1"/>
        </w:rPr>
        <w:t xml:space="preserve">PRDE’s State Identified Measurable Results (SIMR) criteria is to increase the percentage (%) of special education students in the </w:t>
      </w:r>
      <w:proofErr w:type="gramStart"/>
      <w:r w:rsidRPr="00781112">
        <w:rPr>
          <w:color w:val="000000" w:themeColor="text1"/>
        </w:rPr>
        <w:t>5th</w:t>
      </w:r>
      <w:proofErr w:type="gramEnd"/>
      <w:r w:rsidRPr="00781112">
        <w:rPr>
          <w:color w:val="000000" w:themeColor="text1"/>
        </w:rPr>
        <w:t xml:space="preserve"> grade who score proficient or advanced on the math regular assessment in the participating schools (all elementary schools from the former Yabucoa School District). PRDE’s SIMR </w:t>
      </w:r>
      <w:proofErr w:type="gramStart"/>
      <w:r w:rsidRPr="00781112">
        <w:rPr>
          <w:color w:val="000000" w:themeColor="text1"/>
        </w:rPr>
        <w:t>is aligned</w:t>
      </w:r>
      <w:proofErr w:type="gramEnd"/>
      <w:r w:rsidRPr="00781112">
        <w:rPr>
          <w:color w:val="000000" w:themeColor="text1"/>
        </w:rPr>
        <w:t xml:space="preserve"> in accordance with APR Indicator 3 and focuses on improving the performance of students with disabilities on the Puerto Rico Assessment System, called Measurement and Evaluation for Academic Transformation of Puerto Rico (META-PR).</w:t>
      </w:r>
    </w:p>
    <w:p w14:paraId="43CABCA3" w14:textId="77777777" w:rsidR="00AE1972" w:rsidRPr="00781112" w:rsidRDefault="00AE1972" w:rsidP="00AE1972">
      <w:pPr>
        <w:rPr>
          <w:b/>
          <w:bCs/>
        </w:rPr>
      </w:pPr>
      <w:bookmarkStart w:id="81" w:name="_Hlk85195358"/>
      <w:r w:rsidRPr="00781112">
        <w:rPr>
          <w:b/>
          <w:bCs/>
        </w:rPr>
        <w:t>Has the SiMR changed since the last SSIP submission? (yes/no)</w:t>
      </w:r>
    </w:p>
    <w:p w14:paraId="53B392AE" w14:textId="5D60E4A2" w:rsidR="00AE1972" w:rsidRDefault="00AE1972" w:rsidP="00AE1972">
      <w:r w:rsidRPr="00781112">
        <w:t>NO</w:t>
      </w:r>
    </w:p>
    <w:bookmarkEnd w:id="81"/>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NO</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PRDE's theory of action has not changed. A copy of PRDE's Theory of Action is available in the following link: https://compascgcom-my.sharepoint.com/:b:/g/personal/yayala_compascg_com/ETpLBby90XtDr9RYPreVHT8B24zHQm23hevb1KBND070LQ?e=tSff9m</w:t>
      </w:r>
    </w:p>
    <w:p w14:paraId="4736A5D8" w14:textId="1685348D" w:rsidR="00CF0910" w:rsidRDefault="00CF0910" w:rsidP="00A202E9"/>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Progress toward the SiMR</w:t>
      </w:r>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FFY 2015</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27.63%</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4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5"/>
        <w:gridCol w:w="1665"/>
        <w:gridCol w:w="1665"/>
        <w:gridCol w:w="1661"/>
      </w:tblGrid>
      <w:tr w:rsidR="004158DD" w:rsidRPr="00781112" w14:paraId="6151B608" w14:textId="77777777" w:rsidTr="00451D7E">
        <w:trPr>
          <w:trHeight w:val="360"/>
        </w:trPr>
        <w:tc>
          <w:tcPr>
            <w:tcW w:w="442" w:type="pct"/>
            <w:tcBorders>
              <w:bottom w:val="single" w:sz="4" w:space="0" w:color="auto"/>
            </w:tcBorders>
            <w:shd w:val="clear" w:color="auto" w:fill="auto"/>
          </w:tcPr>
          <w:p w14:paraId="6F2EC278" w14:textId="77777777" w:rsidR="004158DD" w:rsidRPr="00781112" w:rsidRDefault="004158DD" w:rsidP="00FE5C1F">
            <w:pPr>
              <w:jc w:val="center"/>
              <w:rPr>
                <w:b/>
                <w:color w:val="000000" w:themeColor="text1"/>
              </w:rPr>
            </w:pPr>
            <w:r w:rsidRPr="00781112">
              <w:rPr>
                <w:b/>
                <w:color w:val="000000" w:themeColor="text1"/>
              </w:rPr>
              <w:t>FFY</w:t>
            </w:r>
          </w:p>
        </w:tc>
        <w:tc>
          <w:tcPr>
            <w:tcW w:w="912" w:type="pct"/>
            <w:shd w:val="clear" w:color="auto" w:fill="auto"/>
            <w:vAlign w:val="center"/>
          </w:tcPr>
          <w:p w14:paraId="6FE75FC4" w14:textId="77777777" w:rsidR="004158DD" w:rsidRPr="00781112" w:rsidRDefault="004158DD" w:rsidP="00FE5C1F">
            <w:pPr>
              <w:jc w:val="center"/>
              <w:rPr>
                <w:b/>
                <w:color w:val="000000" w:themeColor="text1"/>
              </w:rPr>
            </w:pPr>
            <w:r w:rsidRPr="00781112">
              <w:rPr>
                <w:b/>
                <w:color w:val="000000" w:themeColor="text1"/>
              </w:rPr>
              <w:t>2021</w:t>
            </w:r>
          </w:p>
        </w:tc>
        <w:tc>
          <w:tcPr>
            <w:tcW w:w="912" w:type="pct"/>
          </w:tcPr>
          <w:p w14:paraId="1A51CAE1" w14:textId="77777777" w:rsidR="004158DD" w:rsidRPr="00781112" w:rsidRDefault="004158DD" w:rsidP="00FE5C1F">
            <w:pPr>
              <w:jc w:val="center"/>
              <w:rPr>
                <w:b/>
                <w:color w:val="000000" w:themeColor="text1"/>
              </w:rPr>
            </w:pPr>
            <w:r w:rsidRPr="00781112">
              <w:rPr>
                <w:rFonts w:cs="Arial"/>
                <w:b/>
                <w:color w:val="000000" w:themeColor="text1"/>
                <w:szCs w:val="16"/>
              </w:rPr>
              <w:t>2022</w:t>
            </w:r>
          </w:p>
        </w:tc>
        <w:tc>
          <w:tcPr>
            <w:tcW w:w="912" w:type="pct"/>
          </w:tcPr>
          <w:p w14:paraId="4EE0EA23" w14:textId="77777777" w:rsidR="004158DD" w:rsidRPr="00781112" w:rsidRDefault="004158DD" w:rsidP="00FE5C1F">
            <w:pPr>
              <w:jc w:val="center"/>
              <w:rPr>
                <w:b/>
                <w:color w:val="000000" w:themeColor="text1"/>
              </w:rPr>
            </w:pPr>
            <w:r w:rsidRPr="00781112">
              <w:rPr>
                <w:rFonts w:cs="Arial"/>
                <w:b/>
                <w:color w:val="000000" w:themeColor="text1"/>
                <w:szCs w:val="16"/>
              </w:rPr>
              <w:t>2023</w:t>
            </w:r>
          </w:p>
        </w:tc>
        <w:tc>
          <w:tcPr>
            <w:tcW w:w="912" w:type="pct"/>
          </w:tcPr>
          <w:p w14:paraId="258316BC" w14:textId="77777777" w:rsidR="004158DD" w:rsidRPr="00781112" w:rsidRDefault="004158DD" w:rsidP="00FE5C1F">
            <w:pPr>
              <w:jc w:val="center"/>
              <w:rPr>
                <w:b/>
                <w:color w:val="000000" w:themeColor="text1"/>
              </w:rPr>
            </w:pPr>
            <w:r w:rsidRPr="00781112">
              <w:rPr>
                <w:rFonts w:cs="Arial"/>
                <w:b/>
                <w:color w:val="000000" w:themeColor="text1"/>
                <w:szCs w:val="16"/>
              </w:rPr>
              <w:t>2024</w:t>
            </w:r>
          </w:p>
        </w:tc>
        <w:tc>
          <w:tcPr>
            <w:tcW w:w="912" w:type="pct"/>
          </w:tcPr>
          <w:p w14:paraId="310BF1DB" w14:textId="77777777" w:rsidR="004158DD" w:rsidRPr="00781112" w:rsidRDefault="004158DD" w:rsidP="00FE5C1F">
            <w:pPr>
              <w:jc w:val="center"/>
              <w:rPr>
                <w:b/>
                <w:color w:val="000000" w:themeColor="text1"/>
              </w:rPr>
            </w:pPr>
            <w:r w:rsidRPr="00781112">
              <w:rPr>
                <w:rFonts w:cs="Arial"/>
                <w:b/>
                <w:color w:val="000000" w:themeColor="text1"/>
                <w:szCs w:val="16"/>
              </w:rPr>
              <w:t>2025</w:t>
            </w:r>
          </w:p>
        </w:tc>
      </w:tr>
      <w:tr w:rsidR="004158DD" w:rsidRPr="00781112" w14:paraId="7F5560B1" w14:textId="77777777" w:rsidTr="00451D7E">
        <w:trPr>
          <w:trHeight w:val="367"/>
        </w:trPr>
        <w:tc>
          <w:tcPr>
            <w:tcW w:w="442" w:type="pct"/>
            <w:shd w:val="clear" w:color="auto" w:fill="auto"/>
          </w:tcPr>
          <w:p w14:paraId="16C136D0" w14:textId="77777777" w:rsidR="004158DD" w:rsidRPr="00781112" w:rsidRDefault="004158DD" w:rsidP="00FE5C1F">
            <w:pPr>
              <w:rPr>
                <w:rFonts w:cs="Arial"/>
                <w:color w:val="000000" w:themeColor="text1"/>
                <w:szCs w:val="16"/>
              </w:rPr>
            </w:pPr>
            <w:r w:rsidRPr="00781112">
              <w:rPr>
                <w:rFonts w:cs="Arial"/>
                <w:color w:val="000000" w:themeColor="text1"/>
                <w:szCs w:val="16"/>
              </w:rPr>
              <w:t>Target&gt;=</w:t>
            </w:r>
          </w:p>
        </w:tc>
        <w:tc>
          <w:tcPr>
            <w:tcW w:w="912" w:type="pct"/>
            <w:shd w:val="clear" w:color="auto" w:fill="auto"/>
            <w:vAlign w:val="center"/>
          </w:tcPr>
          <w:p w14:paraId="0D607E3E" w14:textId="0FE0E0F2" w:rsidR="004158DD" w:rsidRPr="00781112" w:rsidRDefault="004158DD" w:rsidP="00FE5C1F">
            <w:pPr>
              <w:jc w:val="center"/>
              <w:rPr>
                <w:color w:val="000000" w:themeColor="text1"/>
              </w:rPr>
            </w:pPr>
            <w:r w:rsidRPr="00781112">
              <w:rPr>
                <w:color w:val="000000" w:themeColor="text1"/>
              </w:rPr>
              <w:t>27.73%</w:t>
            </w:r>
          </w:p>
        </w:tc>
        <w:tc>
          <w:tcPr>
            <w:tcW w:w="912" w:type="pct"/>
          </w:tcPr>
          <w:p w14:paraId="49D7B83C" w14:textId="5D2EEC9F" w:rsidR="004158DD" w:rsidRPr="00781112" w:rsidRDefault="004158DD" w:rsidP="00FE5C1F">
            <w:pPr>
              <w:jc w:val="center"/>
              <w:rPr>
                <w:color w:val="000000" w:themeColor="text1"/>
              </w:rPr>
            </w:pPr>
            <w:r w:rsidRPr="00781112">
              <w:rPr>
                <w:rFonts w:cs="Arial"/>
                <w:color w:val="000000" w:themeColor="text1"/>
                <w:szCs w:val="16"/>
              </w:rPr>
              <w:t>27.78%</w:t>
            </w:r>
          </w:p>
        </w:tc>
        <w:tc>
          <w:tcPr>
            <w:tcW w:w="912" w:type="pct"/>
          </w:tcPr>
          <w:p w14:paraId="73C3B9F9" w14:textId="4B324AE0" w:rsidR="004158DD" w:rsidRPr="00781112" w:rsidRDefault="004158DD" w:rsidP="00FE5C1F">
            <w:pPr>
              <w:jc w:val="center"/>
              <w:rPr>
                <w:color w:val="000000" w:themeColor="text1"/>
              </w:rPr>
            </w:pPr>
            <w:r w:rsidRPr="00781112">
              <w:rPr>
                <w:rFonts w:cs="Arial"/>
                <w:color w:val="000000" w:themeColor="text1"/>
                <w:szCs w:val="16"/>
              </w:rPr>
              <w:t>27.83%</w:t>
            </w:r>
          </w:p>
        </w:tc>
        <w:tc>
          <w:tcPr>
            <w:tcW w:w="912" w:type="pct"/>
          </w:tcPr>
          <w:p w14:paraId="36C2800A" w14:textId="411CFB34" w:rsidR="004158DD" w:rsidRPr="00781112" w:rsidRDefault="004158DD" w:rsidP="00FE5C1F">
            <w:pPr>
              <w:jc w:val="center"/>
              <w:rPr>
                <w:color w:val="000000" w:themeColor="text1"/>
              </w:rPr>
            </w:pPr>
            <w:r w:rsidRPr="00781112">
              <w:rPr>
                <w:rFonts w:cs="Arial"/>
                <w:color w:val="000000" w:themeColor="text1"/>
                <w:szCs w:val="16"/>
              </w:rPr>
              <w:t>27.88%</w:t>
            </w:r>
          </w:p>
        </w:tc>
        <w:tc>
          <w:tcPr>
            <w:tcW w:w="912" w:type="pct"/>
          </w:tcPr>
          <w:p w14:paraId="5EB6DFC4" w14:textId="4B024AC3" w:rsidR="004158DD" w:rsidRPr="00781112" w:rsidRDefault="004158DD" w:rsidP="00FE5C1F">
            <w:pPr>
              <w:jc w:val="center"/>
              <w:rPr>
                <w:color w:val="000000" w:themeColor="text1"/>
              </w:rPr>
            </w:pPr>
            <w:r w:rsidRPr="00781112">
              <w:rPr>
                <w:rFonts w:cs="Arial"/>
                <w:color w:val="000000" w:themeColor="text1"/>
                <w:szCs w:val="16"/>
              </w:rPr>
              <w:t>27.93%</w:t>
            </w:r>
          </w:p>
        </w:tc>
      </w:tr>
    </w:tbl>
    <w:p w14:paraId="096B5400" w14:textId="77777777" w:rsidR="00AE1972" w:rsidRPr="00781112" w:rsidRDefault="00AE1972" w:rsidP="00AE1972">
      <w:pPr>
        <w:pStyle w:val="Italic"/>
        <w:rPr>
          <w:rFonts w:cs="Arial"/>
          <w:i w:val="0"/>
          <w:color w:val="000000" w:themeColor="text1"/>
          <w:szCs w:val="16"/>
        </w:rPr>
      </w:pPr>
    </w:p>
    <w:p w14:paraId="7582347A" w14:textId="648DE41D" w:rsidR="00AE1972" w:rsidRPr="00781112" w:rsidRDefault="0047313F" w:rsidP="00AE1972">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B21923" w:rsidRPr="00781112" w14:paraId="6ACE308B" w14:textId="77777777" w:rsidTr="004B2960">
        <w:trPr>
          <w:trHeight w:val="354"/>
        </w:trPr>
        <w:tc>
          <w:tcPr>
            <w:tcW w:w="1165" w:type="pct"/>
            <w:shd w:val="clear" w:color="auto" w:fill="auto"/>
            <w:vAlign w:val="bottom"/>
          </w:tcPr>
          <w:p w14:paraId="1F241A2B" w14:textId="43C3BBEC" w:rsidR="00B21923" w:rsidRPr="00781112" w:rsidRDefault="00B21923" w:rsidP="00B21923">
            <w:pPr>
              <w:jc w:val="center"/>
              <w:rPr>
                <w:b/>
                <w:bCs/>
                <w:color w:val="000000" w:themeColor="text1"/>
                <w:szCs w:val="16"/>
              </w:rPr>
            </w:pPr>
            <w:r w:rsidRPr="00781112">
              <w:rPr>
                <w:b/>
                <w:bCs/>
                <w:color w:val="000000" w:themeColor="text1"/>
                <w:szCs w:val="16"/>
              </w:rPr>
              <w:t>Number of students from the SiMR scoring Proficient or Advance</w:t>
            </w:r>
          </w:p>
        </w:tc>
        <w:tc>
          <w:tcPr>
            <w:tcW w:w="876" w:type="pct"/>
            <w:shd w:val="clear" w:color="auto" w:fill="auto"/>
            <w:vAlign w:val="bottom"/>
          </w:tcPr>
          <w:p w14:paraId="470CA230" w14:textId="5C37C1F9" w:rsidR="00B21923" w:rsidRPr="00781112" w:rsidRDefault="00B21923" w:rsidP="00B21923">
            <w:pPr>
              <w:jc w:val="center"/>
              <w:rPr>
                <w:b/>
                <w:bCs/>
                <w:color w:val="000000" w:themeColor="text1"/>
                <w:szCs w:val="16"/>
              </w:rPr>
            </w:pPr>
            <w:r w:rsidRPr="00781112">
              <w:rPr>
                <w:b/>
                <w:bCs/>
                <w:color w:val="000000" w:themeColor="text1"/>
                <w:szCs w:val="16"/>
              </w:rPr>
              <w:t>Number of participating students</w:t>
            </w:r>
          </w:p>
        </w:tc>
        <w:tc>
          <w:tcPr>
            <w:tcW w:w="667" w:type="pct"/>
            <w:shd w:val="clear" w:color="auto" w:fill="auto"/>
            <w:vAlign w:val="bottom"/>
          </w:tcPr>
          <w:p w14:paraId="4AB6D89D" w14:textId="32751A3B" w:rsidR="00B21923" w:rsidRPr="00781112" w:rsidRDefault="00B21923" w:rsidP="00B21923">
            <w:pPr>
              <w:jc w:val="center"/>
              <w:rPr>
                <w:b/>
                <w:color w:val="000000" w:themeColor="text1"/>
                <w:szCs w:val="16"/>
              </w:rPr>
            </w:pPr>
            <w:r>
              <w:t>FFY 2020</w:t>
            </w:r>
            <w:r w:rsidRPr="00C318B5">
              <w:t xml:space="preserve"> Data</w:t>
            </w:r>
          </w:p>
        </w:tc>
        <w:tc>
          <w:tcPr>
            <w:tcW w:w="626" w:type="pct"/>
            <w:shd w:val="clear" w:color="auto" w:fill="auto"/>
            <w:vAlign w:val="bottom"/>
          </w:tcPr>
          <w:p w14:paraId="63A0DC52" w14:textId="517C2046" w:rsidR="00B21923" w:rsidRPr="00781112" w:rsidRDefault="00B21923" w:rsidP="00B21923">
            <w:pPr>
              <w:jc w:val="center"/>
              <w:rPr>
                <w:b/>
                <w:color w:val="000000" w:themeColor="text1"/>
                <w:szCs w:val="16"/>
              </w:rPr>
            </w:pPr>
            <w:r>
              <w:t>FFY 2021</w:t>
            </w:r>
            <w:r w:rsidRPr="00C318B5">
              <w:t xml:space="preserve"> Target</w:t>
            </w:r>
          </w:p>
        </w:tc>
        <w:tc>
          <w:tcPr>
            <w:tcW w:w="584" w:type="pct"/>
            <w:shd w:val="clear" w:color="auto" w:fill="auto"/>
            <w:vAlign w:val="bottom"/>
          </w:tcPr>
          <w:p w14:paraId="2D311519" w14:textId="21EF0B47" w:rsidR="00B21923" w:rsidRPr="00781112" w:rsidRDefault="00B21923" w:rsidP="00B21923">
            <w:pPr>
              <w:jc w:val="center"/>
              <w:rPr>
                <w:b/>
                <w:color w:val="000000" w:themeColor="text1"/>
                <w:szCs w:val="16"/>
              </w:rPr>
            </w:pPr>
            <w:r>
              <w:t>FFY 2021</w:t>
            </w:r>
            <w:r w:rsidRPr="00C318B5">
              <w:t xml:space="preserve"> Data</w:t>
            </w:r>
          </w:p>
        </w:tc>
        <w:tc>
          <w:tcPr>
            <w:tcW w:w="584" w:type="pct"/>
            <w:shd w:val="clear" w:color="auto" w:fill="auto"/>
            <w:vAlign w:val="bottom"/>
          </w:tcPr>
          <w:p w14:paraId="4F033BB8" w14:textId="77777777" w:rsidR="00B21923" w:rsidRPr="00781112" w:rsidRDefault="00B21923" w:rsidP="00B21923">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B21923" w:rsidRPr="00781112" w:rsidRDefault="00B21923" w:rsidP="00B21923">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r w:rsidRPr="00781112">
              <w:rPr>
                <w:color w:val="000000" w:themeColor="text1"/>
                <w:szCs w:val="16"/>
              </w:rPr>
              <w:t>85</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263</w:t>
            </w:r>
          </w:p>
        </w:tc>
        <w:tc>
          <w:tcPr>
            <w:tcW w:w="667" w:type="pct"/>
            <w:shd w:val="clear" w:color="auto" w:fill="auto"/>
          </w:tcPr>
          <w:p w14:paraId="75E02A3E" w14:textId="1669E08C" w:rsidR="00AE1972" w:rsidRPr="00781112" w:rsidRDefault="00AE1972" w:rsidP="00FE5C1F">
            <w:pPr>
              <w:jc w:val="center"/>
              <w:rPr>
                <w:color w:val="000000" w:themeColor="text1"/>
                <w:szCs w:val="16"/>
              </w:rPr>
            </w:pP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27.73%</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32.32%</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N/A</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N/A</w:t>
            </w:r>
          </w:p>
        </w:tc>
      </w:tr>
    </w:tbl>
    <w:p w14:paraId="66E5C45A" w14:textId="77777777" w:rsidR="00AE1972" w:rsidRPr="00781112" w:rsidRDefault="00AE1972" w:rsidP="00AE1972"/>
    <w:p w14:paraId="30EFC313" w14:textId="4284CBF2" w:rsidR="005D6EB4" w:rsidRPr="00781112" w:rsidRDefault="004F3929" w:rsidP="005D6EB4">
      <w:pPr>
        <w:rPr>
          <w:b/>
          <w:bCs/>
        </w:rPr>
      </w:pPr>
      <w:r>
        <w:rPr>
          <w:b/>
          <w:bCs/>
        </w:rPr>
        <w:t>Provide the data source for the FFY 2021 data.</w:t>
      </w:r>
    </w:p>
    <w:p w14:paraId="791B79B4" w14:textId="2C5B8D5E" w:rsidR="005D6EB4" w:rsidRPr="00781112" w:rsidRDefault="005D6EB4" w:rsidP="005D6EB4">
      <w:pPr>
        <w:rPr>
          <w:color w:val="000000" w:themeColor="text1"/>
        </w:rPr>
      </w:pPr>
      <w:r w:rsidRPr="00781112">
        <w:rPr>
          <w:color w:val="000000" w:themeColor="text1"/>
        </w:rPr>
        <w:t xml:space="preserve">The data source to </w:t>
      </w:r>
      <w:proofErr w:type="gramStart"/>
      <w:r w:rsidRPr="00781112">
        <w:rPr>
          <w:color w:val="000000" w:themeColor="text1"/>
        </w:rPr>
        <w:t>be used</w:t>
      </w:r>
      <w:proofErr w:type="gramEnd"/>
      <w:r w:rsidRPr="00781112">
        <w:rPr>
          <w:color w:val="000000" w:themeColor="text1"/>
        </w:rPr>
        <w:t xml:space="preserve"> would come from SY 2021-22 Assessment Data Groups – Math (EDFacts file spec FS175).</w:t>
      </w:r>
    </w:p>
    <w:p w14:paraId="17AAB1A6" w14:textId="2D1007DB" w:rsidR="00AE1972" w:rsidRPr="00781112" w:rsidRDefault="00AE1972" w:rsidP="00AE1972">
      <w:r w:rsidRPr="00781112">
        <w:rPr>
          <w:b/>
          <w:bCs/>
        </w:rPr>
        <w:t xml:space="preserve">Please describe how data </w:t>
      </w:r>
      <w:proofErr w:type="gramStart"/>
      <w:r w:rsidRPr="00781112">
        <w:rPr>
          <w:b/>
          <w:bCs/>
        </w:rPr>
        <w:t>are collected</w:t>
      </w:r>
      <w:proofErr w:type="gramEnd"/>
      <w:r w:rsidRPr="00781112">
        <w:rPr>
          <w:b/>
          <w:bCs/>
        </w:rPr>
        <w:t xml:space="preserve"> and analyzed for the SiMR</w:t>
      </w:r>
      <w:r w:rsidRPr="00781112">
        <w:t>.</w:t>
      </w:r>
    </w:p>
    <w:p w14:paraId="0A6DF7F0" w14:textId="29C12277" w:rsidR="00AE1972" w:rsidRPr="00781112" w:rsidRDefault="00AE1972" w:rsidP="00AE1972">
      <w:pPr>
        <w:rPr>
          <w:color w:val="000000" w:themeColor="text1"/>
        </w:rPr>
      </w:pPr>
      <w:r w:rsidRPr="00781112">
        <w:rPr>
          <w:color w:val="000000" w:themeColor="text1"/>
        </w:rPr>
        <w:t xml:space="preserve">PRDE’s SIMR </w:t>
      </w:r>
      <w:proofErr w:type="gramStart"/>
      <w:r w:rsidRPr="00781112">
        <w:rPr>
          <w:color w:val="000000" w:themeColor="text1"/>
        </w:rPr>
        <w:t>is aligned</w:t>
      </w:r>
      <w:proofErr w:type="gramEnd"/>
      <w:r w:rsidRPr="00781112">
        <w:rPr>
          <w:color w:val="000000" w:themeColor="text1"/>
        </w:rPr>
        <w:t xml:space="preserve"> in accordance with APR Indicator 3 and focuses on improving the performance of students with disabilities on the Puerto Rico Assessment System, called Measurement and Evaluation for Academic Transformation of Puerto Rico (META-PR). Once the assessment </w:t>
      </w:r>
      <w:proofErr w:type="gramStart"/>
      <w:r w:rsidRPr="00781112">
        <w:rPr>
          <w:color w:val="000000" w:themeColor="text1"/>
        </w:rPr>
        <w:t>is administered</w:t>
      </w:r>
      <w:proofErr w:type="gramEnd"/>
      <w:r w:rsidRPr="00781112">
        <w:rPr>
          <w:color w:val="000000" w:themeColor="text1"/>
        </w:rPr>
        <w:t xml:space="preserve">, the results are received from the PRDE Planning Office. PRDE Central Level performs its data analysis by identifying the schools within the SiMR, specifically their </w:t>
      </w:r>
      <w:proofErr w:type="gramStart"/>
      <w:r w:rsidRPr="00781112">
        <w:rPr>
          <w:color w:val="000000" w:themeColor="text1"/>
        </w:rPr>
        <w:t>5th</w:t>
      </w:r>
      <w:proofErr w:type="gramEnd"/>
      <w:r w:rsidRPr="00781112">
        <w:rPr>
          <w:color w:val="000000" w:themeColor="text1"/>
        </w:rPr>
        <w:t xml:space="preserve"> grade student performance on META-PR in mathematics.</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SiMR?</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NO</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w:t>
      </w:r>
      <w:proofErr w:type="gramStart"/>
      <w:r w:rsidRPr="00781112">
        <w:rPr>
          <w:rFonts w:cs="Arial"/>
          <w:b/>
          <w:bCs/>
        </w:rPr>
        <w:t>that</w:t>
      </w:r>
      <w:proofErr w:type="gramEnd"/>
      <w:r w:rsidRPr="00781112">
        <w:rPr>
          <w:rFonts w:cs="Arial"/>
          <w:b/>
          <w:bCs/>
        </w:rPr>
        <w:t xml:space="preserve"> affected progress toward the SiMR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 xml:space="preserve">Did the State identify any data quality concerns </w:t>
      </w:r>
      <w:proofErr w:type="gramStart"/>
      <w:r w:rsidRPr="00781112">
        <w:rPr>
          <w:b/>
          <w:bCs/>
        </w:rPr>
        <w:t>directly related</w:t>
      </w:r>
      <w:proofErr w:type="gramEnd"/>
      <w:r w:rsidRPr="00781112">
        <w:rPr>
          <w:b/>
          <w:bCs/>
        </w:rPr>
        <w:t xml:space="preserve">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NO</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https://compascgcom-my.sharepoint.com/:b:/g/personal/yayala_compascg_com/Ee0ZhRQXQ8tLk84u9zYYxtsBhB_Sv9X7Hv376rQiT4F4dg?e=MygJVq</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 xml:space="preserve">As an infrastructure improvement strategy PRDE started implementing Response to Intervention in the </w:t>
      </w:r>
      <w:proofErr w:type="gramStart"/>
      <w:r w:rsidRPr="00781112">
        <w:rPr>
          <w:color w:val="000000" w:themeColor="text1"/>
        </w:rPr>
        <w:t>25</w:t>
      </w:r>
      <w:proofErr w:type="gramEnd"/>
      <w:r w:rsidRPr="00781112">
        <w:rPr>
          <w:color w:val="000000" w:themeColor="text1"/>
        </w:rPr>
        <w:t xml:space="preserve"> schools of the HREO. This is a multilevel system of support for enhancing instruction and improving student outcomes. RTI </w:t>
      </w:r>
      <w:proofErr w:type="gramStart"/>
      <w:r w:rsidRPr="00781112">
        <w:rPr>
          <w:color w:val="000000" w:themeColor="text1"/>
        </w:rPr>
        <w:t>is driven</w:t>
      </w:r>
      <w:proofErr w:type="gramEnd"/>
      <w:r w:rsidRPr="00781112">
        <w:rPr>
          <w:color w:val="000000" w:themeColor="text1"/>
        </w:rPr>
        <w:t xml:space="preserve"> by individual student needs as determined by ongoing performance and efficient progress-monitoring measures. These measures provide an estimate of students’ response to effective tier </w:t>
      </w:r>
      <w:proofErr w:type="gramStart"/>
      <w:r w:rsidRPr="00781112">
        <w:rPr>
          <w:color w:val="000000" w:themeColor="text1"/>
        </w:rPr>
        <w:t>1</w:t>
      </w:r>
      <w:proofErr w:type="gramEnd"/>
      <w:r w:rsidRPr="00781112">
        <w:rPr>
          <w:color w:val="000000" w:themeColor="text1"/>
        </w:rPr>
        <w:t xml:space="preserve"> instruction. For students who respond less than adequately, increasingly intense instruction is available in tier 2 (small groups support) and tier 3 (individualized support).</w:t>
      </w:r>
      <w:r w:rsidRPr="00781112">
        <w:rPr>
          <w:color w:val="000000" w:themeColor="text1"/>
        </w:rPr>
        <w:br/>
        <w:t>RTI implementation status</w:t>
      </w:r>
      <w:r w:rsidRPr="00781112">
        <w:rPr>
          <w:color w:val="000000" w:themeColor="text1"/>
        </w:rPr>
        <w:br/>
        <w:t>•</w:t>
      </w:r>
      <w:r w:rsidRPr="00781112">
        <w:rPr>
          <w:color w:val="000000" w:themeColor="text1"/>
        </w:rPr>
        <w:tab/>
      </w:r>
      <w:proofErr w:type="gramStart"/>
      <w:r w:rsidRPr="00781112">
        <w:rPr>
          <w:color w:val="000000" w:themeColor="text1"/>
        </w:rPr>
        <w:t>25</w:t>
      </w:r>
      <w:proofErr w:type="gramEnd"/>
      <w:r w:rsidRPr="00781112">
        <w:rPr>
          <w:color w:val="000000" w:themeColor="text1"/>
        </w:rPr>
        <w:t xml:space="preserve"> schools in the HREO are participating in an RTI professional development program. </w:t>
      </w:r>
      <w:r w:rsidRPr="00781112">
        <w:rPr>
          <w:color w:val="000000" w:themeColor="text1"/>
        </w:rPr>
        <w:br/>
        <w:t>• The training program focuses on developing infrastructure to address the technical and academic dimensions of RTI.</w:t>
      </w:r>
      <w:r w:rsidRPr="00781112">
        <w:rPr>
          <w:color w:val="000000" w:themeColor="text1"/>
        </w:rPr>
        <w:br/>
        <w:t>• As part of the infrastructure, to implement RTI, schools have been taking workshops and coaching to form RTI’s Leadership Team and RTI Math Teachers Team. The school’s leadership team serves as the site’s guiding coalition for implementing RTI. The teacher teams work together to implement RTI and promote positive student outcomes. Teams of educators meet regularly to analyze student data, create math intervention plans, work on common formative assessments, and how to improve teaching practices using evidence-based strategies.</w:t>
      </w:r>
      <w:r w:rsidRPr="00781112">
        <w:rPr>
          <w:color w:val="000000" w:themeColor="text1"/>
        </w:rPr>
        <w:br/>
        <w:t xml:space="preserve">• At PRDEs central and regional administration level RTI Leadership teams </w:t>
      </w:r>
      <w:proofErr w:type="gramStart"/>
      <w:r w:rsidRPr="00781112">
        <w:rPr>
          <w:color w:val="000000" w:themeColor="text1"/>
        </w:rPr>
        <w:t>were also formed</w:t>
      </w:r>
      <w:proofErr w:type="gramEnd"/>
      <w:r w:rsidRPr="00781112">
        <w:rPr>
          <w:color w:val="000000" w:themeColor="text1"/>
        </w:rPr>
        <w:t xml:space="preserve"> to support RTI implementation in schools. Members of these teams are </w:t>
      </w:r>
      <w:proofErr w:type="gramStart"/>
      <w:r w:rsidRPr="00781112">
        <w:rPr>
          <w:color w:val="000000" w:themeColor="text1"/>
        </w:rPr>
        <w:t>being trained</w:t>
      </w:r>
      <w:proofErr w:type="gramEnd"/>
      <w:r w:rsidRPr="00781112">
        <w:rPr>
          <w:color w:val="000000" w:themeColor="text1"/>
        </w:rPr>
        <w:t xml:space="preserve"> </w:t>
      </w:r>
      <w:proofErr w:type="gramStart"/>
      <w:r w:rsidRPr="00781112">
        <w:rPr>
          <w:color w:val="000000" w:themeColor="text1"/>
        </w:rPr>
        <w:t>on</w:t>
      </w:r>
      <w:proofErr w:type="gramEnd"/>
      <w:r w:rsidRPr="00781112">
        <w:rPr>
          <w:color w:val="000000" w:themeColor="text1"/>
        </w:rPr>
        <w:t xml:space="preserve"> how to implement RTI effectively. High-level officials are engaged in the process of decision-making to implement RTI. These are the important steps to support the multilevel system of support at the school level.</w:t>
      </w:r>
      <w:r w:rsidRPr="00781112">
        <w:rPr>
          <w:color w:val="000000" w:themeColor="text1"/>
        </w:rPr>
        <w:br/>
        <w:t xml:space="preserve">• Students of 70.8% (85/120) of the participating teachers in RTI Professional Development Program are receiving a primary level of prevention through the teaching of a research-based core curriculum in the general education classroom (RTI-Tier 1). </w:t>
      </w:r>
      <w:proofErr w:type="gramStart"/>
      <w:r w:rsidRPr="00781112">
        <w:rPr>
          <w:color w:val="000000" w:themeColor="text1"/>
        </w:rPr>
        <w:t>Some of</w:t>
      </w:r>
      <w:proofErr w:type="gramEnd"/>
      <w:r w:rsidRPr="00781112">
        <w:rPr>
          <w:color w:val="000000" w:themeColor="text1"/>
        </w:rPr>
        <w:t xml:space="preserve"> the evidence-based teaching strategies they are using are differentiated instruction, flexible grouping, direct /explicit instruction, scaffolding, student feedback, metacognition, data analysis, and common formative assessments, among others. If the primary level of prevention is effective, most students will be able to maintain appropriate progress in math and meet academic benchmarks. However, a percentage of students will </w:t>
      </w:r>
      <w:proofErr w:type="gramStart"/>
      <w:r w:rsidRPr="00781112">
        <w:rPr>
          <w:color w:val="000000" w:themeColor="text1"/>
        </w:rPr>
        <w:t>likely require</w:t>
      </w:r>
      <w:proofErr w:type="gramEnd"/>
      <w:r w:rsidRPr="00781112">
        <w:rPr>
          <w:color w:val="000000" w:themeColor="text1"/>
        </w:rPr>
        <w:t xml:space="preserve"> a more intense level of instruction and be referred to tier 2 or 3.</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w:t>
      </w:r>
    </w:p>
    <w:p w14:paraId="29CD7E16" w14:textId="62EA3FF0" w:rsidR="00AE1972" w:rsidRPr="00781112" w:rsidRDefault="00AE1972" w:rsidP="00AE1972">
      <w:pPr>
        <w:rPr>
          <w:b/>
          <w:bCs/>
        </w:rPr>
      </w:pPr>
      <w:r w:rsidRPr="00781112">
        <w:rPr>
          <w:color w:val="000000" w:themeColor="text1"/>
        </w:rPr>
        <w:t>Infrastructure: 25 schools implementing RTI</w:t>
      </w:r>
      <w:r w:rsidRPr="00781112">
        <w:rPr>
          <w:color w:val="000000" w:themeColor="text1"/>
        </w:rPr>
        <w:br/>
      </w:r>
      <w:r w:rsidRPr="00781112">
        <w:rPr>
          <w:color w:val="000000" w:themeColor="text1"/>
        </w:rPr>
        <w:br/>
        <w:t xml:space="preserve">Short-term outcome: </w:t>
      </w:r>
      <w:r w:rsidRPr="00781112">
        <w:rPr>
          <w:color w:val="000000" w:themeColor="text1"/>
        </w:rPr>
        <w:br/>
        <w:t>- Scientifically based classroom instruction</w:t>
      </w:r>
      <w:r w:rsidRPr="00781112">
        <w:rPr>
          <w:color w:val="000000" w:themeColor="text1"/>
        </w:rPr>
        <w:br/>
        <w:t>-Differentiated instruction</w:t>
      </w:r>
      <w:r w:rsidRPr="00781112">
        <w:rPr>
          <w:color w:val="000000" w:themeColor="text1"/>
        </w:rPr>
        <w:br/>
        <w:t>-Ongoing student assessment.</w:t>
      </w:r>
      <w:r w:rsidRPr="00781112">
        <w:rPr>
          <w:color w:val="000000" w:themeColor="text1"/>
        </w:rPr>
        <w:br/>
        <w:t>-RtI Math Teacher Team</w:t>
      </w:r>
      <w:r w:rsidRPr="00781112">
        <w:rPr>
          <w:color w:val="000000" w:themeColor="text1"/>
        </w:rPr>
        <w:br/>
        <w:t>-RTI School Leadership team</w:t>
      </w:r>
      <w:r w:rsidRPr="00781112">
        <w:rPr>
          <w:color w:val="000000" w:themeColor="text1"/>
        </w:rPr>
        <w:br/>
        <w:t>-RTI Humacao Regional Education Office Leadership Team</w:t>
      </w:r>
      <w:r w:rsidRPr="00781112">
        <w:rPr>
          <w:color w:val="000000" w:themeColor="text1"/>
        </w:rPr>
        <w:br/>
        <w:t>-RTI State Level Team</w:t>
      </w:r>
      <w:r w:rsidRPr="00781112">
        <w:rPr>
          <w:color w:val="000000" w:themeColor="text1"/>
        </w:rPr>
        <w:br/>
      </w:r>
      <w:r w:rsidRPr="00781112">
        <w:rPr>
          <w:color w:val="000000" w:themeColor="text1"/>
        </w:rPr>
        <w:br/>
        <w:t xml:space="preserve">Professional Development: </w:t>
      </w:r>
      <w:r w:rsidRPr="00781112">
        <w:rPr>
          <w:color w:val="000000" w:themeColor="text1"/>
        </w:rPr>
        <w:br/>
        <w:t>-RtI workshops tier 1, 2 and 3 for teachers, school personnel, state level staff and Humacao Regional Education Office</w:t>
      </w:r>
      <w:r w:rsidRPr="00781112">
        <w:rPr>
          <w:color w:val="000000" w:themeColor="text1"/>
        </w:rPr>
        <w:br/>
        <w:t>-Coaching’s</w:t>
      </w:r>
      <w:r w:rsidRPr="00781112">
        <w:rPr>
          <w:color w:val="000000" w:themeColor="text1"/>
        </w:rPr>
        <w:br/>
        <w:t>-Technical Assistance</w:t>
      </w:r>
      <w:r w:rsidRPr="00781112">
        <w:rPr>
          <w:color w:val="000000" w:themeColor="text1"/>
        </w:rPr>
        <w:br/>
      </w:r>
      <w:r w:rsidRPr="00781112">
        <w:rPr>
          <w:color w:val="000000" w:themeColor="text1"/>
        </w:rPr>
        <w:br/>
        <w:t>Measure:</w:t>
      </w:r>
      <w:r w:rsidRPr="00781112">
        <w:rPr>
          <w:color w:val="000000" w:themeColor="text1"/>
        </w:rPr>
        <w:br/>
        <w:t>-Team members list</w:t>
      </w:r>
      <w:r w:rsidRPr="00781112">
        <w:rPr>
          <w:color w:val="000000" w:themeColor="text1"/>
        </w:rPr>
        <w:br/>
        <w:t>-Attendance sheets</w:t>
      </w:r>
      <w:r w:rsidRPr="00781112">
        <w:rPr>
          <w:color w:val="000000" w:themeColor="text1"/>
        </w:rPr>
        <w:br/>
        <w:t>-Pre-post test 32% relative learning gain in workshops</w:t>
      </w:r>
      <w:r w:rsidRPr="00781112">
        <w:rPr>
          <w:color w:val="000000" w:themeColor="text1"/>
        </w:rPr>
        <w:br/>
        <w:t>-92% workshop satisfaction</w:t>
      </w:r>
      <w:r w:rsidRPr="00781112">
        <w:rPr>
          <w:color w:val="000000" w:themeColor="text1"/>
        </w:rPr>
        <w:br/>
        <w:t>-98% coaching satisfaction</w:t>
      </w:r>
      <w:r w:rsidRPr="00781112">
        <w:rPr>
          <w:color w:val="000000" w:themeColor="text1"/>
        </w:rPr>
        <w:br/>
      </w:r>
      <w:r w:rsidRPr="00781112">
        <w:rPr>
          <w:color w:val="000000" w:themeColor="text1"/>
        </w:rPr>
        <w:br/>
        <w:t>Sustainability Improvement efforts:</w:t>
      </w:r>
      <w:r w:rsidRPr="00781112">
        <w:rPr>
          <w:color w:val="000000" w:themeColor="text1"/>
        </w:rPr>
        <w:br/>
        <w:t>- Collaboration among administrative staff, teachers, and parents regarding students’ learning in math</w:t>
      </w:r>
      <w:r w:rsidRPr="00781112">
        <w:rPr>
          <w:color w:val="000000" w:themeColor="text1"/>
        </w:rPr>
        <w:br/>
        <w:t>-Early intervention for students who are struggling with math</w:t>
      </w:r>
      <w:r w:rsidRPr="00781112">
        <w:rPr>
          <w:color w:val="000000" w:themeColor="text1"/>
        </w:rPr>
        <w:br/>
      </w:r>
      <w:r w:rsidRPr="00781112">
        <w:rPr>
          <w:color w:val="000000" w:themeColor="text1"/>
        </w:rPr>
        <w:lastRenderedPageBreak/>
        <w:t>-Decisions based on objective data (e.g., student progress monitoring data)</w:t>
      </w:r>
      <w:r w:rsidRPr="00781112">
        <w:rPr>
          <w:color w:val="000000" w:themeColor="text1"/>
        </w:rPr>
        <w:br/>
        <w:t>- Shared responsibility and increased accountability for student learning</w:t>
      </w:r>
      <w:r w:rsidRPr="00781112">
        <w:rPr>
          <w:color w:val="000000" w:themeColor="text1"/>
        </w:rPr>
        <w:br/>
        <w:t>- Instructional decisions guided by progress monitoring data</w:t>
      </w:r>
      <w:r w:rsidRPr="00781112">
        <w:rPr>
          <w:color w:val="000000" w:themeColor="text1"/>
        </w:rPr>
        <w:br/>
        <w:t>- Potential reduction of behavior problems</w:t>
      </w:r>
      <w:r w:rsidRPr="00781112">
        <w:rPr>
          <w:color w:val="000000" w:themeColor="text1"/>
        </w:rPr>
        <w:br/>
        <w:t>- Greater staff, parent, and student involvement in the educational process</w:t>
      </w:r>
      <w:r w:rsidRPr="00781112">
        <w:rPr>
          <w:color w:val="000000" w:themeColor="text1"/>
        </w:rPr>
        <w:br/>
      </w:r>
      <w:r w:rsidRPr="00781112">
        <w:rPr>
          <w:color w:val="000000" w:themeColor="text1"/>
        </w:rPr>
        <w:br/>
        <w:t>Scale-up:</w:t>
      </w:r>
      <w:r w:rsidRPr="00781112">
        <w:rPr>
          <w:color w:val="000000" w:themeColor="text1"/>
        </w:rPr>
        <w:br/>
        <w:t>Next year SSIP will be extended to 15 schools of the San Juan Regional Educational Office, to implement RTI in math.</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NO</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w:t>
      </w:r>
      <w:proofErr w:type="gramStart"/>
      <w:r w:rsidRPr="00781112">
        <w:rPr>
          <w:rFonts w:cs="Arial"/>
          <w:b/>
          <w:bCs/>
        </w:rPr>
        <w:t>be attained</w:t>
      </w:r>
      <w:proofErr w:type="gramEnd"/>
      <w:r w:rsidRPr="00781112">
        <w:rPr>
          <w:rFonts w:cs="Arial"/>
          <w:b/>
          <w:bCs/>
        </w:rPr>
        <w:t xml:space="preserve"> during the next reporting period. </w:t>
      </w:r>
    </w:p>
    <w:p w14:paraId="1A03571A" w14:textId="0DF7AD96" w:rsidR="00AE1972" w:rsidRPr="00781112" w:rsidRDefault="00AE1972" w:rsidP="00AE1972">
      <w:pPr>
        <w:rPr>
          <w:b/>
          <w:bCs/>
        </w:rPr>
      </w:pPr>
      <w:r w:rsidRPr="00781112">
        <w:rPr>
          <w:color w:val="000000" w:themeColor="text1"/>
        </w:rPr>
        <w:t xml:space="preserve">The 25 Schools that started implementing RTI as tier </w:t>
      </w:r>
      <w:proofErr w:type="gramStart"/>
      <w:r w:rsidRPr="00781112">
        <w:rPr>
          <w:color w:val="000000" w:themeColor="text1"/>
        </w:rPr>
        <w:t>1</w:t>
      </w:r>
      <w:proofErr w:type="gramEnd"/>
      <w:r w:rsidRPr="00781112">
        <w:rPr>
          <w:color w:val="000000" w:themeColor="text1"/>
        </w:rPr>
        <w:t xml:space="preserve"> first steps will move to provide tier 2 and tier 3 interventions next year.</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 Response to intervention</w:t>
      </w:r>
      <w:r w:rsidRPr="00781112">
        <w:rPr>
          <w:color w:val="000000" w:themeColor="text1"/>
        </w:rPr>
        <w:br/>
        <w:t>• Professional Learning Communities</w:t>
      </w:r>
      <w:r w:rsidRPr="00781112">
        <w:rPr>
          <w:color w:val="000000" w:themeColor="text1"/>
        </w:rPr>
        <w:br/>
        <w:t>• Explicit Instruction</w:t>
      </w:r>
      <w:r w:rsidRPr="00781112">
        <w:rPr>
          <w:color w:val="000000" w:themeColor="text1"/>
        </w:rPr>
        <w:br/>
        <w:t>• Differentiated Instruction</w:t>
      </w:r>
      <w:r w:rsidRPr="00781112">
        <w:rPr>
          <w:color w:val="000000" w:themeColor="text1"/>
        </w:rPr>
        <w:br/>
        <w:t>• Flexible Grouping</w:t>
      </w:r>
      <w:r w:rsidRPr="00781112">
        <w:rPr>
          <w:color w:val="000000" w:themeColor="text1"/>
        </w:rPr>
        <w:br/>
        <w:t>• Active Student Engagement</w:t>
      </w:r>
      <w:r w:rsidRPr="00781112">
        <w:rPr>
          <w:color w:val="000000" w:themeColor="text1"/>
        </w:rPr>
        <w:br/>
        <w:t>• Behavior Strategies</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 xml:space="preserve">Provide a summary of each evidence-based </w:t>
      </w:r>
      <w:proofErr w:type="gramStart"/>
      <w:r w:rsidRPr="00781112">
        <w:rPr>
          <w:rFonts w:cs="Arial"/>
          <w:b/>
          <w:bCs/>
        </w:rPr>
        <w:t>practices</w:t>
      </w:r>
      <w:proofErr w:type="gramEnd"/>
      <w:r w:rsidRPr="00781112">
        <w:rPr>
          <w:rFonts w:cs="Arial"/>
          <w:b/>
          <w:bCs/>
        </w:rPr>
        <w:t>.</w:t>
      </w:r>
    </w:p>
    <w:p w14:paraId="30605054" w14:textId="1313DE13" w:rsidR="00AE1972" w:rsidRPr="00781112" w:rsidRDefault="00AE1972" w:rsidP="00AE1972">
      <w:pPr>
        <w:rPr>
          <w:b/>
          <w:bCs/>
        </w:rPr>
      </w:pPr>
      <w:r w:rsidRPr="00781112">
        <w:rPr>
          <w:color w:val="000000" w:themeColor="text1"/>
        </w:rPr>
        <w:t>• Response to intervention is a system that provides a safety net for at-risk students, especially those with learning disabilities. The system monitors how well students respond to research-based instruction</w:t>
      </w:r>
      <w:proofErr w:type="gramStart"/>
      <w:r w:rsidRPr="00781112">
        <w:rPr>
          <w:color w:val="000000" w:themeColor="text1"/>
        </w:rPr>
        <w:t xml:space="preserve">.  </w:t>
      </w:r>
      <w:proofErr w:type="gramEnd"/>
      <w:r w:rsidRPr="00781112">
        <w:rPr>
          <w:color w:val="000000" w:themeColor="text1"/>
        </w:rPr>
        <w:t>It aims to identify struggling students early on and give them the support they need. The goal is for teachers to intervene before a student fall far behind in math and language.</w:t>
      </w:r>
      <w:r w:rsidRPr="00781112">
        <w:rPr>
          <w:color w:val="000000" w:themeColor="text1"/>
        </w:rPr>
        <w:br/>
        <w:t>• Professional Learning Communities: is a model that presents a shift from a focus on teaching to a focus on learning</w:t>
      </w:r>
      <w:proofErr w:type="gramStart"/>
      <w:r w:rsidRPr="00781112">
        <w:rPr>
          <w:color w:val="000000" w:themeColor="text1"/>
        </w:rPr>
        <w:t xml:space="preserve">.  </w:t>
      </w:r>
      <w:proofErr w:type="gramEnd"/>
      <w:r w:rsidRPr="00781112">
        <w:rPr>
          <w:color w:val="000000" w:themeColor="text1"/>
        </w:rPr>
        <w:t>It provides a systematic process in which teachers work together to analyze and improve learning outcomes for all students.</w:t>
      </w:r>
      <w:r w:rsidRPr="00781112">
        <w:rPr>
          <w:color w:val="000000" w:themeColor="text1"/>
        </w:rPr>
        <w:br/>
        <w:t>• Explicit Instruction is a teaching strategy in which math skills are taught from less to more complex using direct, clear, and concise instructional language</w:t>
      </w:r>
      <w:proofErr w:type="gramStart"/>
      <w:r w:rsidRPr="00781112">
        <w:rPr>
          <w:color w:val="000000" w:themeColor="text1"/>
        </w:rPr>
        <w:t xml:space="preserve">.  </w:t>
      </w:r>
      <w:proofErr w:type="gramEnd"/>
      <w:r w:rsidRPr="00781112">
        <w:rPr>
          <w:color w:val="000000" w:themeColor="text1"/>
        </w:rPr>
        <w:t>This approach is a way to teach in a direct, structured way with emphasis on proceeding in small steps and checking for understanding. It is also engaging, helping to achieve active and successful participation of all students.</w:t>
      </w:r>
      <w:r w:rsidRPr="00781112">
        <w:rPr>
          <w:color w:val="000000" w:themeColor="text1"/>
        </w:rPr>
        <w:br/>
        <w:t xml:space="preserve">• Differentiated Instruction engages each student in active learning according to his/her needs. In this process, lessons </w:t>
      </w:r>
      <w:proofErr w:type="gramStart"/>
      <w:r w:rsidRPr="00781112">
        <w:rPr>
          <w:color w:val="000000" w:themeColor="text1"/>
        </w:rPr>
        <w:t>are designed</w:t>
      </w:r>
      <w:proofErr w:type="gramEnd"/>
      <w:r w:rsidRPr="00781112">
        <w:rPr>
          <w:color w:val="000000" w:themeColor="text1"/>
        </w:rPr>
        <w:t xml:space="preserve"> to meet student’s interests, needs, and strengths. Teachers personalize learning and can give students a choice in how they learn.</w:t>
      </w:r>
      <w:r w:rsidRPr="00781112">
        <w:rPr>
          <w:color w:val="000000" w:themeColor="text1"/>
        </w:rPr>
        <w:br/>
        <w:t xml:space="preserve">• Flexible Grouping started as a strategy this year in math. This is a combination of the whole group, small group, and individual instruction that helps teachers to create fluid groups that meet the needs of all students. Schools are working to change their master schedule to have 30-minute blocks twice a week for tier </w:t>
      </w:r>
      <w:proofErr w:type="gramStart"/>
      <w:r w:rsidRPr="00781112">
        <w:rPr>
          <w:color w:val="000000" w:themeColor="text1"/>
        </w:rPr>
        <w:t>2</w:t>
      </w:r>
      <w:proofErr w:type="gramEnd"/>
      <w:r w:rsidRPr="00781112">
        <w:rPr>
          <w:color w:val="000000" w:themeColor="text1"/>
        </w:rPr>
        <w:t xml:space="preserve"> interventions and tier 3 will be offered as part of an afterschool support program called Extended Academic Reinforcement.</w:t>
      </w:r>
      <w:r w:rsidRPr="00781112">
        <w:rPr>
          <w:color w:val="000000" w:themeColor="text1"/>
        </w:rPr>
        <w:br/>
        <w:t xml:space="preserve">• Active Student Engagement: ensuring all students are actively involved during instruction. This includes </w:t>
      </w:r>
      <w:proofErr w:type="gramStart"/>
      <w:r w:rsidRPr="00781112">
        <w:rPr>
          <w:color w:val="000000" w:themeColor="text1"/>
        </w:rPr>
        <w:t>many</w:t>
      </w:r>
      <w:proofErr w:type="gramEnd"/>
      <w:r w:rsidRPr="00781112">
        <w:rPr>
          <w:color w:val="000000" w:themeColor="text1"/>
        </w:rPr>
        <w:t xml:space="preserve"> opportunities to respond, ample time to practice skills, and prompt corrective feedback.</w:t>
      </w:r>
      <w:r w:rsidRPr="00781112">
        <w:rPr>
          <w:color w:val="000000" w:themeColor="text1"/>
        </w:rPr>
        <w:br/>
        <w:t>• Behavior Strategies: using metacognitive strategies in math and proactively and explicitly teaching the expected behaviors and routines, and frequent use of reinforcement and praise.</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82" w:name="_Hlk88409387"/>
      <w:r w:rsidRPr="00781112">
        <w:rPr>
          <w:rFonts w:cs="Arial"/>
          <w:b/>
          <w:bCs/>
        </w:rPr>
        <w:t>Provide a summary of how each evidence-based practice and activities or strategies that support its use, is intended to impact the SiMR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82"/>
    <w:p w14:paraId="3E043DB7" w14:textId="7C3B2CD4" w:rsidR="00AE1972" w:rsidRPr="00781112" w:rsidRDefault="00AE1972" w:rsidP="00AE1972">
      <w:pPr>
        <w:rPr>
          <w:b/>
          <w:bCs/>
        </w:rPr>
      </w:pPr>
      <w:r w:rsidRPr="00781112">
        <w:rPr>
          <w:color w:val="000000" w:themeColor="text1"/>
        </w:rPr>
        <w:t>• Response to intervention helps outcomes for children with disabilities by providing well-designed instruction and intensified interventions in general education. This system identifies students at risk for poor learning outcomes, monitors student progress, provides evidence-based interventions, and can help identify students with learning disabilities or other disabilities. RTI also can help schools save special education resources for kids who truly need them.</w:t>
      </w:r>
      <w:r w:rsidRPr="00781112">
        <w:rPr>
          <w:color w:val="000000" w:themeColor="text1"/>
        </w:rPr>
        <w:br/>
        <w:t>• Professional learning communities can also help outcomes for children with disabilities by enhancing the communication between the regular classroom teacher and special education teacher. This approach develops teacher leadership focused on building and sustaining school improvement efforts. Teachers enhance their leadership capacity while they work as members of math collaborative teams that focus on improving student learning.</w:t>
      </w:r>
      <w:r w:rsidRPr="00781112">
        <w:rPr>
          <w:color w:val="000000" w:themeColor="text1"/>
        </w:rPr>
        <w:br/>
        <w:t xml:space="preserve">• Explicit Instruction is an educational strategy that has </w:t>
      </w:r>
      <w:proofErr w:type="gramStart"/>
      <w:r w:rsidRPr="00781112">
        <w:rPr>
          <w:color w:val="000000" w:themeColor="text1"/>
        </w:rPr>
        <w:t>been proven</w:t>
      </w:r>
      <w:proofErr w:type="gramEnd"/>
      <w:r w:rsidRPr="00781112">
        <w:rPr>
          <w:color w:val="000000" w:themeColor="text1"/>
        </w:rPr>
        <w:t xml:space="preserve"> to improve the abilities and outcomes in academics for students with special needs. Students with disabilities are at particular risk for experiencing math calculation difficulties. With the addition of explicit instruction into math curricula, students with special needs can improve their academic abilities. In addition, students can grow not only academically, but also in confidence and appropriate behavior.</w:t>
      </w:r>
      <w:r w:rsidRPr="00781112">
        <w:rPr>
          <w:color w:val="000000" w:themeColor="text1"/>
        </w:rPr>
        <w:br/>
      </w:r>
      <w:r w:rsidRPr="00781112">
        <w:rPr>
          <w:color w:val="000000" w:themeColor="text1"/>
        </w:rPr>
        <w:br/>
        <w:t xml:space="preserve">• Differentiating Instruction helps all students with disabilities. This teaching method helps bring struggling students up to speed in learning and enables gifted students to learn at a faster pace. When teachers use differentiated instruction, all students are moving toward the same learning objectives, while giving them the freedom to choose how they get there and demonstrate what </w:t>
      </w:r>
      <w:proofErr w:type="gramStart"/>
      <w:r w:rsidRPr="00781112">
        <w:rPr>
          <w:color w:val="000000" w:themeColor="text1"/>
        </w:rPr>
        <w:t>they’ve</w:t>
      </w:r>
      <w:proofErr w:type="gramEnd"/>
      <w:r w:rsidRPr="00781112">
        <w:rPr>
          <w:color w:val="000000" w:themeColor="text1"/>
        </w:rPr>
        <w:t xml:space="preserve"> learned.</w:t>
      </w:r>
      <w:r w:rsidRPr="00781112">
        <w:rPr>
          <w:color w:val="000000" w:themeColor="text1"/>
        </w:rPr>
        <w:br/>
      </w:r>
      <w:r w:rsidRPr="00781112">
        <w:rPr>
          <w:color w:val="000000" w:themeColor="text1"/>
        </w:rPr>
        <w:br/>
        <w:t xml:space="preserve">• Flexible grouping helps in teaching diverse learners, which allows the provision of in-class support for students with disabilities. It helps create an inclusive classroom culture that honors learner variability. Teachers use data to put students into small groups for instruction. These groups change frequently in response to the lesson outcome and student needs. It is flexible, as students can </w:t>
      </w:r>
      <w:proofErr w:type="gramStart"/>
      <w:r w:rsidRPr="00781112">
        <w:rPr>
          <w:color w:val="000000" w:themeColor="text1"/>
        </w:rPr>
        <w:t>be grouped</w:t>
      </w:r>
      <w:proofErr w:type="gramEnd"/>
      <w:r w:rsidRPr="00781112">
        <w:rPr>
          <w:color w:val="000000" w:themeColor="text1"/>
        </w:rPr>
        <w:t xml:space="preserve"> at the same skill level or with varying skill levels. It helps teachers provide the right support, in the right way, at the right time.</w:t>
      </w:r>
      <w:r w:rsidRPr="00781112">
        <w:rPr>
          <w:color w:val="000000" w:themeColor="text1"/>
        </w:rPr>
        <w:br/>
      </w:r>
      <w:r w:rsidRPr="00781112">
        <w:rPr>
          <w:color w:val="000000" w:themeColor="text1"/>
        </w:rPr>
        <w:br/>
        <w:t xml:space="preserve">• Active Student Engagement (ASE) strategies are </w:t>
      </w:r>
      <w:proofErr w:type="gramStart"/>
      <w:r w:rsidRPr="00781112">
        <w:rPr>
          <w:color w:val="000000" w:themeColor="text1"/>
        </w:rPr>
        <w:t>very important</w:t>
      </w:r>
      <w:proofErr w:type="gramEnd"/>
      <w:r w:rsidRPr="00781112">
        <w:rPr>
          <w:color w:val="000000" w:themeColor="text1"/>
        </w:rPr>
        <w:t xml:space="preserve"> to help outcomes for children with disabilities because teachers can turn things around for them creating inclusive classroom activities.  Educators ensure that all students are actively involved during instruction. These activities allow students with disabilities to bring themselves and their identities into the classroom. ASE is multi-faceted and </w:t>
      </w:r>
      <w:proofErr w:type="gramStart"/>
      <w:r w:rsidRPr="00781112">
        <w:rPr>
          <w:color w:val="000000" w:themeColor="text1"/>
        </w:rPr>
        <w:t>is often characterized</w:t>
      </w:r>
      <w:proofErr w:type="gramEnd"/>
      <w:r w:rsidRPr="00781112">
        <w:rPr>
          <w:color w:val="000000" w:themeColor="text1"/>
        </w:rPr>
        <w:t xml:space="preserve"> by a behavioral, emotional, and cognitive dimension. It is a key element of a positive classroom climate, with research linking it to academic achievement and life outcomes.</w:t>
      </w:r>
      <w:r w:rsidRPr="00781112">
        <w:rPr>
          <w:color w:val="000000" w:themeColor="text1"/>
        </w:rPr>
        <w:br/>
      </w:r>
      <w:r w:rsidRPr="00781112">
        <w:rPr>
          <w:color w:val="000000" w:themeColor="text1"/>
        </w:rPr>
        <w:br/>
      </w:r>
      <w:r w:rsidRPr="00781112">
        <w:rPr>
          <w:color w:val="000000" w:themeColor="text1"/>
        </w:rPr>
        <w:lastRenderedPageBreak/>
        <w:t xml:space="preserve">• Behavior strategies help ensure that students with disabilities achieve their academic and social goals by encouraging positive conduct in the classroom and other settings. By integrating behavior supports like pre-teaching, and opportunities to respond to instruction, teachers can foster </w:t>
      </w:r>
      <w:proofErr w:type="gramStart"/>
      <w:r w:rsidRPr="00781112">
        <w:rPr>
          <w:color w:val="000000" w:themeColor="text1"/>
        </w:rPr>
        <w:t>proactive</w:t>
      </w:r>
      <w:proofErr w:type="gramEnd"/>
      <w:r w:rsidRPr="00781112">
        <w:rPr>
          <w:color w:val="000000" w:themeColor="text1"/>
        </w:rPr>
        <w:t xml:space="preserve"> behaviors and reduce the probability that challenging behaviors occur. Also, students with learning disabilities tend to lack the skills to direct their learning so teachers in SSIP are learning to use metacognitive strategies for teaching. Students that learn how to be more metacognitive move from a mindset that leaves little room for change to a mindset that promotes self-awareness, helping them manage their feelings and boost self-esteem. It helps children to adapt to new experiences, challenges, and emotional setbacks.</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Considering the technical dimension of RTI, at PRDE we are starting with a more stable implementation of the multilevel system. To monitor fidelity of implementation and to assess practice change, we are training school personnel and staff at the state and regional levels to use an RTI rubric as a guide. Along the way we are adapting the implementation, according to our cultural reality, taking the first steps to start the system in our schools</w:t>
      </w:r>
      <w:proofErr w:type="gramStart"/>
      <w:r w:rsidRPr="00781112">
        <w:rPr>
          <w:color w:val="000000" w:themeColor="text1"/>
        </w:rPr>
        <w:t xml:space="preserve"> These</w:t>
      </w:r>
      <w:proofErr w:type="gramEnd"/>
      <w:r w:rsidRPr="00781112">
        <w:rPr>
          <w:color w:val="000000" w:themeColor="text1"/>
        </w:rPr>
        <w:t xml:space="preserve"> rubrics from RTI Action Network are available for the classroom, school, and regional office level. Each rubric describes what RTI looks like across its basic components: problem-solving, curriculum &amp; instruction, assessment, leadership, family &amp; community partnering, positive school climate, and across four growth stages: emerging, developing, operationalizing, and optimizing.</w:t>
      </w:r>
      <w:r w:rsidRPr="00781112">
        <w:rPr>
          <w:color w:val="000000" w:themeColor="text1"/>
        </w:rPr>
        <w:br/>
        <w:t>The purpose of these rubrics is to:</w:t>
      </w:r>
      <w:r w:rsidRPr="00781112">
        <w:rPr>
          <w:color w:val="000000" w:themeColor="text1"/>
        </w:rPr>
        <w:br/>
        <w:t>• serve as an informational resource, and roadmap of RTI implementation</w:t>
      </w:r>
      <w:r w:rsidRPr="00781112">
        <w:rPr>
          <w:color w:val="000000" w:themeColor="text1"/>
        </w:rPr>
        <w:br/>
        <w:t>• measure fidelity of RTI implementation</w:t>
      </w:r>
      <w:r w:rsidRPr="00781112">
        <w:rPr>
          <w:color w:val="000000" w:themeColor="text1"/>
        </w:rPr>
        <w:br/>
        <w:t>• assist school, regional, or state level personnel with planning for an action plan or school improvement plan</w:t>
      </w:r>
      <w:r w:rsidRPr="00781112">
        <w:rPr>
          <w:color w:val="000000" w:themeColor="text1"/>
        </w:rPr>
        <w:br/>
        <w:t xml:space="preserve">From the academic dimension of RTI, teachers are being trained to collect data to monitor student progress. They measure students’ skills with the diagnostic test, formative, and summative assessments, 10, 20, 30 a 40-week grades, and daily observation, to track how well the child is responding to evidenced-based teaching methods or instructional interventions. Charting progress over time is helping them use data to decide if the student needs to </w:t>
      </w:r>
      <w:proofErr w:type="gramStart"/>
      <w:r w:rsidRPr="00781112">
        <w:rPr>
          <w:color w:val="000000" w:themeColor="text1"/>
        </w:rPr>
        <w:t>be taught</w:t>
      </w:r>
      <w:proofErr w:type="gramEnd"/>
      <w:r w:rsidRPr="00781112">
        <w:rPr>
          <w:color w:val="000000" w:themeColor="text1"/>
        </w:rPr>
        <w:t xml:space="preserve"> differently. For example, in professional development teachers are learning to work with progress monitoring graphs, </w:t>
      </w:r>
      <w:proofErr w:type="gramStart"/>
      <w:r w:rsidRPr="00781112">
        <w:rPr>
          <w:color w:val="000000" w:themeColor="text1"/>
        </w:rPr>
        <w:t>that</w:t>
      </w:r>
      <w:proofErr w:type="gramEnd"/>
      <w:r w:rsidRPr="00781112">
        <w:rPr>
          <w:color w:val="000000" w:themeColor="text1"/>
        </w:rPr>
        <w:t xml:space="preserve"> show the student baseline, the goal is working toward, and how the student is doing on every assessment during the intervention period.</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 xml:space="preserve">In professional development, we are administering pre-post test and satisfaction surveys, this gives us information about the workshop and coaching quality and how school, regional, and state-level personnel are understanding evidence-based practices relating to RTI. As teachers, we also use an instrument to measure the use of evidence-based strategies in the classroom, to know the level of knowledge transfer applied to teaching. </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w:t>
      </w:r>
      <w:proofErr w:type="gramStart"/>
      <w:r w:rsidRPr="00730C62">
        <w:rPr>
          <w:b/>
          <w:bCs/>
          <w:color w:val="000000" w:themeColor="text1"/>
        </w:rPr>
        <w:t>practices</w:t>
      </w:r>
      <w:proofErr w:type="gramEnd"/>
      <w:r w:rsidRPr="00730C62">
        <w:rPr>
          <w:b/>
          <w:bCs/>
          <w:color w:val="000000" w:themeColor="text1"/>
        </w:rPr>
        <w:t xml:space="preserve"> and the anticipated outcomes to </w:t>
      </w:r>
      <w:proofErr w:type="gramStart"/>
      <w:r w:rsidRPr="00730C62">
        <w:rPr>
          <w:b/>
          <w:bCs/>
          <w:color w:val="000000" w:themeColor="text1"/>
        </w:rPr>
        <w:t>be attained</w:t>
      </w:r>
      <w:proofErr w:type="gramEnd"/>
      <w:r w:rsidRPr="00730C62">
        <w:rPr>
          <w:b/>
          <w:bCs/>
          <w:color w:val="000000" w:themeColor="text1"/>
        </w:rPr>
        <w:t xml:space="preserve"> during the next reporting period. </w:t>
      </w:r>
    </w:p>
    <w:p w14:paraId="3EDD1FBC" w14:textId="4546113E" w:rsidR="00C87801" w:rsidRDefault="00C87801" w:rsidP="00C87801">
      <w:pPr>
        <w:rPr>
          <w:color w:val="000000" w:themeColor="text1"/>
        </w:rPr>
      </w:pPr>
      <w:r w:rsidRPr="00781112">
        <w:rPr>
          <w:color w:val="000000" w:themeColor="text1"/>
        </w:rPr>
        <w:t>• Evidence-based approaches mentioned before are all important to the implementation of RTI</w:t>
      </w:r>
      <w:proofErr w:type="gramStart"/>
      <w:r w:rsidRPr="00781112">
        <w:rPr>
          <w:color w:val="000000" w:themeColor="text1"/>
        </w:rPr>
        <w:t xml:space="preserve">.  </w:t>
      </w:r>
      <w:proofErr w:type="gramEnd"/>
      <w:r w:rsidRPr="00781112">
        <w:rPr>
          <w:color w:val="000000" w:themeColor="text1"/>
        </w:rPr>
        <w:t xml:space="preserve">In the next steps, we will continue to offer teachers support with workshops and additional coaching on the topics so that they gain confidence in the implementation of strategies in the classroom. We will put </w:t>
      </w:r>
      <w:proofErr w:type="gramStart"/>
      <w:r w:rsidRPr="00781112">
        <w:rPr>
          <w:color w:val="000000" w:themeColor="text1"/>
        </w:rPr>
        <w:t>a lot of</w:t>
      </w:r>
      <w:proofErr w:type="gramEnd"/>
      <w:r w:rsidRPr="00781112">
        <w:rPr>
          <w:color w:val="000000" w:themeColor="text1"/>
        </w:rPr>
        <w:t xml:space="preserve"> emphasis on explicit instruction and differentiated instruction, as well as data analysis. We will also go deeper into RTI Tier 1, 2, and 3 interventions.</w:t>
      </w:r>
      <w:r w:rsidRPr="00781112">
        <w:rPr>
          <w:color w:val="000000" w:themeColor="text1"/>
        </w:rPr>
        <w:br/>
      </w:r>
      <w:r w:rsidRPr="00781112">
        <w:rPr>
          <w:color w:val="000000" w:themeColor="text1"/>
        </w:rPr>
        <w:br/>
        <w:t xml:space="preserve">• From the technical side of RTI, we will also continue to support staff at the educational region and state level, with workshops and coaching, so that they can develop the public policy necessary to support the full implementation of Response to Intervention. We want all levels of the educational system to </w:t>
      </w:r>
      <w:proofErr w:type="gramStart"/>
      <w:r w:rsidRPr="00781112">
        <w:rPr>
          <w:color w:val="000000" w:themeColor="text1"/>
        </w:rPr>
        <w:t>be trained</w:t>
      </w:r>
      <w:proofErr w:type="gramEnd"/>
      <w:r w:rsidRPr="00781112">
        <w:rPr>
          <w:color w:val="000000" w:themeColor="text1"/>
        </w:rPr>
        <w:t xml:space="preserve"> to contribute, from their role to the success of the RTI implementation. We will achieve this with quality professional development.</w:t>
      </w:r>
    </w:p>
    <w:p w14:paraId="0555DA84" w14:textId="3045F812" w:rsidR="00C87801" w:rsidRDefault="00C87801" w:rsidP="00AE1972">
      <w:pPr>
        <w:rPr>
          <w:color w:val="000000" w:themeColor="text1"/>
        </w:rPr>
      </w:pPr>
    </w:p>
    <w:p w14:paraId="6D882D9B" w14:textId="77777777" w:rsidR="00987BD2" w:rsidRDefault="00987BD2" w:rsidP="00987BD2">
      <w:pPr>
        <w:rPr>
          <w:b/>
          <w:bCs/>
        </w:rPr>
      </w:pPr>
      <w:r w:rsidRPr="00730C62">
        <w:rPr>
          <w:b/>
          <w:bCs/>
        </w:rPr>
        <w:t>Does the State intend to continue implementing the SSIP without modifications? (yes/no)</w:t>
      </w:r>
    </w:p>
    <w:p w14:paraId="1C4A7F35" w14:textId="77777777" w:rsidR="00987BD2" w:rsidRDefault="00987BD2" w:rsidP="00987BD2">
      <w:r w:rsidRPr="00781112">
        <w:t>NO</w:t>
      </w:r>
    </w:p>
    <w:p w14:paraId="7C7CFD5B" w14:textId="77777777" w:rsidR="00987BD2" w:rsidRPr="00730C62" w:rsidRDefault="00987BD2" w:rsidP="00987BD2">
      <w:pPr>
        <w:rPr>
          <w:b/>
          <w:bCs/>
        </w:rPr>
      </w:pPr>
      <w:r w:rsidRPr="00730C62">
        <w:rPr>
          <w:b/>
          <w:bCs/>
          <w:szCs w:val="16"/>
        </w:rPr>
        <w:t xml:space="preserve">If </w:t>
      </w:r>
      <w:proofErr w:type="gramStart"/>
      <w:r w:rsidRPr="00730C62">
        <w:rPr>
          <w:b/>
          <w:bCs/>
          <w:szCs w:val="16"/>
        </w:rPr>
        <w:t>no</w:t>
      </w:r>
      <w:proofErr w:type="gramEnd"/>
      <w:r w:rsidRPr="00730C62">
        <w:rPr>
          <w:b/>
          <w:bCs/>
          <w:szCs w:val="16"/>
        </w:rPr>
        <w:t>, describe any changes to the activities, strategies or timelines described in the previous submission and include a rationale or justification for the changes.</w:t>
      </w:r>
    </w:p>
    <w:p w14:paraId="62108E5B" w14:textId="77777777" w:rsidR="00987BD2" w:rsidRDefault="00987BD2" w:rsidP="00987BD2">
      <w:r w:rsidRPr="00781112">
        <w:t xml:space="preserve">For FFY 2022 participating schools will increase for the San Juan Educational Region to </w:t>
      </w:r>
      <w:proofErr w:type="gramStart"/>
      <w:r w:rsidRPr="00781112">
        <w:t>15</w:t>
      </w:r>
      <w:proofErr w:type="gramEnd"/>
      <w:r w:rsidRPr="00781112">
        <w:t xml:space="preserve"> additional schools. This will increase the participating schools to a total of </w:t>
      </w:r>
      <w:proofErr w:type="gramStart"/>
      <w:r w:rsidRPr="00781112">
        <w:t>40</w:t>
      </w:r>
      <w:proofErr w:type="gramEnd"/>
      <w:r w:rsidRPr="00781112">
        <w:t xml:space="preserve"> schools.</w:t>
      </w:r>
    </w:p>
    <w:p w14:paraId="074AA68E" w14:textId="77777777" w:rsidR="00987BD2" w:rsidRPr="00781112" w:rsidRDefault="00987BD2"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 xml:space="preserve">PRDE solicited broad stakeholder input on PRDE’s targets in the SPP/APR including any subsequent revisions made to those targets and the development and implementation of Indicator 17, Puerto Rico’s State Systemic Improvement Plan (SSIP). </w:t>
      </w:r>
      <w:r w:rsidRPr="00781112">
        <w:rPr>
          <w:color w:val="000000" w:themeColor="text1"/>
        </w:rPr>
        <w:br/>
      </w:r>
      <w:r w:rsidRPr="00781112">
        <w:rPr>
          <w:color w:val="000000" w:themeColor="text1"/>
        </w:rPr>
        <w:br/>
        <w:t xml:space="preserve">Our original stakeholder group, called the Comité Consultivo de Educación Especial (“Special Education Advisory Committee”), is responsible for advising PRDE regarding the needs in the education of children with disabilities and for </w:t>
      </w:r>
      <w:proofErr w:type="gramStart"/>
      <w:r w:rsidRPr="00781112">
        <w:rPr>
          <w:color w:val="000000" w:themeColor="text1"/>
        </w:rPr>
        <w:t>providing assistance</w:t>
      </w:r>
      <w:proofErr w:type="gramEnd"/>
      <w:r w:rsidRPr="00781112">
        <w:rPr>
          <w:color w:val="000000" w:themeColor="text1"/>
        </w:rPr>
        <w:t xml:space="preserve"> and feedback about reports to be submitted to the Federal Government including our SSIP. The group includes representation from various sectors such as: the non-profit organization Apoyo a Padres de Niños con Impedimentos (Support for Parents of Students with Disabilities, or APNI by its acronym in Spanish), the Puerto Rico Department of the Family, the Puerto Rico Vocational Rehabilitation Administration, the Puerto Rico Department of Health, Special Education Teachers, School Directors, parents of students with disabilities, SAEE personnel, autism representative, specialists such as a School Psychologist, Occupational Therapist, Speech Pathologist, and adult with impairment, and others. SAEE personnel participate continuously in meetings with the special education </w:t>
      </w:r>
      <w:proofErr w:type="gramStart"/>
      <w:r w:rsidRPr="00781112">
        <w:rPr>
          <w:color w:val="000000" w:themeColor="text1"/>
        </w:rPr>
        <w:t>stakeholders</w:t>
      </w:r>
      <w:proofErr w:type="gramEnd"/>
      <w:r w:rsidRPr="00781112">
        <w:rPr>
          <w:color w:val="000000" w:themeColor="text1"/>
        </w:rPr>
        <w:t xml:space="preserve"> group. </w:t>
      </w:r>
      <w:r w:rsidRPr="00781112">
        <w:rPr>
          <w:color w:val="000000" w:themeColor="text1"/>
        </w:rPr>
        <w:br/>
      </w:r>
      <w:r w:rsidRPr="00781112">
        <w:rPr>
          <w:color w:val="000000" w:themeColor="text1"/>
        </w:rPr>
        <w:br/>
        <w:t xml:space="preserve">The members of our stakeholder group also serve as liaisons for initiatives that benefit the special education population and their families. Recommendations provided </w:t>
      </w:r>
      <w:proofErr w:type="gramStart"/>
      <w:r w:rsidRPr="00781112">
        <w:rPr>
          <w:color w:val="000000" w:themeColor="text1"/>
        </w:rPr>
        <w:t>from</w:t>
      </w:r>
      <w:proofErr w:type="gramEnd"/>
      <w:r w:rsidRPr="00781112">
        <w:rPr>
          <w:color w:val="000000" w:themeColor="text1"/>
        </w:rPr>
        <w:t xml:space="preserve"> the stakeholders </w:t>
      </w:r>
      <w:proofErr w:type="gramStart"/>
      <w:r w:rsidRPr="00781112">
        <w:rPr>
          <w:color w:val="000000" w:themeColor="text1"/>
        </w:rPr>
        <w:t>were incorporated</w:t>
      </w:r>
      <w:proofErr w:type="gramEnd"/>
      <w:r w:rsidRPr="00781112">
        <w:rPr>
          <w:color w:val="000000" w:themeColor="text1"/>
        </w:rPr>
        <w:t xml:space="preserve"> into PRDE’s FFY 2021 APR. PRDE developed this FFY 2021 SPP/APR with broad stakeholder input. As discussed above, PRDE SAEE held various meetings with the stakeholder group and received their input regarding the SPP/APR, including feedback regarding the individual indicators including FFY 2021 data, targets, any subsequent revisions to targets, and related activities and initiatives as well as the SSIP.</w:t>
      </w:r>
      <w:r w:rsidRPr="00781112">
        <w:rPr>
          <w:color w:val="000000" w:themeColor="text1"/>
        </w:rPr>
        <w:br/>
      </w:r>
      <w:r w:rsidRPr="00781112">
        <w:rPr>
          <w:color w:val="000000" w:themeColor="text1"/>
        </w:rPr>
        <w:br/>
        <w:t xml:space="preserve">Additional mechanisms through with PRDE solicits broad stakeholder input includes PRDE work with and through the non-profit organization Apoyo a Padres de Niños con Impedimentos (Support for Parents of Students with Disabilities, or APNI by its acronym in Spanish), its operation of Parent </w:t>
      </w:r>
      <w:r w:rsidRPr="00781112">
        <w:rPr>
          <w:color w:val="000000" w:themeColor="text1"/>
        </w:rPr>
        <w:lastRenderedPageBreak/>
        <w:t xml:space="preserve">Academies on post-secondary topics, and Communities of Learning through its SSIP efforts, among others. APNI’s work helps increase the capacity of parents and serves as an avenue for receiving feedback on improvement activities and related policies. Similarly, the Parent Academies provide capacity building sessions for parents and include feedback sessions where parents provide feedback regarding improvement activities and data and policies related to post-secondary transition. Finally, the communities of learning have been key in providing feedback regarding the Indicator 17 / the SSIP in its entirety and implementation thereof. Through </w:t>
      </w:r>
      <w:proofErr w:type="gramStart"/>
      <w:r w:rsidRPr="00781112">
        <w:rPr>
          <w:color w:val="000000" w:themeColor="text1"/>
        </w:rPr>
        <w:t>all of</w:t>
      </w:r>
      <w:proofErr w:type="gramEnd"/>
      <w:r w:rsidRPr="00781112">
        <w:rPr>
          <w:color w:val="000000" w:themeColor="text1"/>
        </w:rPr>
        <w:t xml:space="preserve"> these avenues, PRDE seeks and receives stakeholder input that is considered in the development of the SPP/APR including targets, subsequent revisions of targets, and development and implementation of the SSIP (Ind. 17). </w:t>
      </w:r>
    </w:p>
    <w:p w14:paraId="613D691C" w14:textId="77777777" w:rsidR="00C2635F" w:rsidRPr="00781112" w:rsidRDefault="00C2635F" w:rsidP="00C2635F">
      <w:pPr>
        <w:pStyle w:val="Bold"/>
        <w:rPr>
          <w:b w:val="0"/>
          <w:color w:val="000000" w:themeColor="text1"/>
        </w:rPr>
      </w:pPr>
      <w:r w:rsidRPr="00781112">
        <w:rPr>
          <w:rFonts w:cs="Arial"/>
          <w:b w:val="0"/>
          <w:color w:val="000000" w:themeColor="text1"/>
          <w:szCs w:val="16"/>
        </w:rPr>
        <w:t xml:space="preserve">The stakeholder input  received from the Comite Consultivo de EE was to increase the amount or schools benefiting from the SSIP improvement strategies. </w:t>
      </w: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 xml:space="preserve">• To engage stakeholders, we are focusing on professional development, so personnel </w:t>
      </w:r>
      <w:proofErr w:type="gramStart"/>
      <w:r w:rsidRPr="00781112">
        <w:rPr>
          <w:color w:val="000000" w:themeColor="text1"/>
        </w:rPr>
        <w:t>is</w:t>
      </w:r>
      <w:proofErr w:type="gramEnd"/>
      <w:r w:rsidRPr="00781112">
        <w:rPr>
          <w:color w:val="000000" w:themeColor="text1"/>
        </w:rPr>
        <w:t xml:space="preserve"> well trained. We are communicating the vision and goals of the multi-level system of support.</w:t>
      </w:r>
      <w:r w:rsidRPr="00781112">
        <w:rPr>
          <w:color w:val="000000" w:themeColor="text1"/>
        </w:rPr>
        <w:br/>
      </w:r>
      <w:r w:rsidRPr="00781112">
        <w:rPr>
          <w:color w:val="000000" w:themeColor="text1"/>
        </w:rPr>
        <w:br/>
        <w:t xml:space="preserve">• We also have an open table approach, as a professional learning community we emphasize the importance of partnering to find solutions and make decisions. We are talking about evidenced-based practices, and procedures in the multilevel system, and how </w:t>
      </w:r>
      <w:proofErr w:type="gramStart"/>
      <w:r w:rsidRPr="00781112">
        <w:rPr>
          <w:color w:val="000000" w:themeColor="text1"/>
        </w:rPr>
        <w:t>it’s</w:t>
      </w:r>
      <w:proofErr w:type="gramEnd"/>
      <w:r w:rsidRPr="00781112">
        <w:rPr>
          <w:color w:val="000000" w:themeColor="text1"/>
        </w:rPr>
        <w:t xml:space="preserve"> tied to equitable learner outcomes.  Also identifying available resources and professional development needed so stakeholders get a deep understanding of opportunities and how to overcome barriers.</w:t>
      </w:r>
      <w:r w:rsidRPr="00781112">
        <w:rPr>
          <w:color w:val="000000" w:themeColor="text1"/>
        </w:rPr>
        <w:br/>
      </w:r>
      <w:r w:rsidRPr="00781112">
        <w:rPr>
          <w:color w:val="000000" w:themeColor="text1"/>
        </w:rPr>
        <w:br/>
        <w:t>• In the workshops and coaching, we are working with role clarity and responsibilities with RTI implementation.</w:t>
      </w:r>
      <w:r w:rsidRPr="00781112">
        <w:rPr>
          <w:color w:val="000000" w:themeColor="text1"/>
        </w:rPr>
        <w:br/>
      </w:r>
      <w:r w:rsidRPr="00781112">
        <w:rPr>
          <w:color w:val="000000" w:themeColor="text1"/>
        </w:rPr>
        <w:br/>
        <w:t xml:space="preserve">• As part of the workshops, we are suggesting multiple strategies so schools can engage the whole community with RTI implementation. This can </w:t>
      </w:r>
      <w:proofErr w:type="gramStart"/>
      <w:r w:rsidRPr="00781112">
        <w:rPr>
          <w:color w:val="000000" w:themeColor="text1"/>
        </w:rPr>
        <w:t>be accomplished</w:t>
      </w:r>
      <w:proofErr w:type="gramEnd"/>
      <w:r w:rsidRPr="00781112">
        <w:rPr>
          <w:color w:val="000000" w:themeColor="text1"/>
        </w:rPr>
        <w:t xml:space="preserve"> through virtual events, hosting coffee with the principal events, using physical or virtual comment boxes, encouraging email or phone communication, and using surveys. We emphasize the importance of gathering input from diverse groups of stakeholders who accurately represent the entire school community.</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7B375F38" w:rsidR="00AE1972" w:rsidRDefault="00AE1972" w:rsidP="00AE1972">
      <w:pPr>
        <w:rPr>
          <w:color w:val="000000" w:themeColor="text1"/>
        </w:rPr>
      </w:pPr>
      <w:r w:rsidRPr="00781112">
        <w:rPr>
          <w:color w:val="000000" w:themeColor="text1"/>
        </w:rPr>
        <w:t>YES</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0BCE4D81" w:rsidR="00AE1972" w:rsidRDefault="00AE1972" w:rsidP="00AE1972">
      <w:pPr>
        <w:rPr>
          <w:color w:val="000000" w:themeColor="text1"/>
        </w:rPr>
      </w:pPr>
      <w:r w:rsidRPr="00781112">
        <w:rPr>
          <w:color w:val="000000" w:themeColor="text1"/>
        </w:rPr>
        <w:t xml:space="preserve">The Associate Secretary for Special Education has joined forces with the Humacao Regional Office for Education and the Undersecretary for Academic Affairs to address the challenges associated with the implementation of RTI and evidence-based strategies. A professional development plan </w:t>
      </w:r>
      <w:proofErr w:type="gramStart"/>
      <w:r w:rsidRPr="00781112">
        <w:rPr>
          <w:color w:val="000000" w:themeColor="text1"/>
        </w:rPr>
        <w:t>was designed</w:t>
      </w:r>
      <w:proofErr w:type="gramEnd"/>
      <w:r w:rsidRPr="00781112">
        <w:rPr>
          <w:color w:val="000000" w:themeColor="text1"/>
        </w:rPr>
        <w:t xml:space="preserve"> to address the challenges described and we will continue with dialogue tables to promote communication among the professional learning community, as they find solutions to the challenges in implementation and share threats and best practices.</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List any activities not already described that the State intends to implement in the next fiscal year that are related to the SiMR.</w:t>
      </w:r>
    </w:p>
    <w:p w14:paraId="35A94BC4" w14:textId="6D7D4D2A" w:rsidR="00AE1972" w:rsidRPr="00781112" w:rsidRDefault="00AE1972" w:rsidP="00AE1972">
      <w:pPr>
        <w:rPr>
          <w:color w:val="000000" w:themeColor="text1"/>
        </w:rPr>
      </w:pPr>
      <w:r w:rsidRPr="00781112">
        <w:rPr>
          <w:color w:val="000000" w:themeColor="text1"/>
        </w:rPr>
        <w:t xml:space="preserve">Next year we will focus on the scaling up to a new Educational Region. This includes </w:t>
      </w:r>
      <w:proofErr w:type="gramStart"/>
      <w:r w:rsidRPr="00781112">
        <w:rPr>
          <w:color w:val="000000" w:themeColor="text1"/>
        </w:rPr>
        <w:t>to implement</w:t>
      </w:r>
      <w:proofErr w:type="gramEnd"/>
      <w:r w:rsidRPr="00781112">
        <w:rPr>
          <w:color w:val="000000" w:themeColor="text1"/>
        </w:rPr>
        <w:t xml:space="preserve"> the SSIP from the beginning and provide all the required orientation to Regional Personnel and School Directors to have them engaged in the SSIP implementation</w:t>
      </w:r>
      <w:proofErr w:type="gramStart"/>
      <w:r w:rsidRPr="00781112">
        <w:rPr>
          <w:color w:val="000000" w:themeColor="text1"/>
        </w:rPr>
        <w:t xml:space="preserve">.  </w:t>
      </w:r>
      <w:proofErr w:type="gramEnd"/>
      <w:r w:rsidRPr="00781112">
        <w:rPr>
          <w:color w:val="000000" w:themeColor="text1"/>
        </w:rPr>
        <w:t xml:space="preserve">   </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SiMR. </w:t>
      </w:r>
    </w:p>
    <w:p w14:paraId="50377A67" w14:textId="7B063CE4" w:rsidR="00AE1972" w:rsidRPr="00781112" w:rsidRDefault="00AE1972" w:rsidP="00AE1972">
      <w:pPr>
        <w:rPr>
          <w:color w:val="000000" w:themeColor="text1"/>
        </w:rPr>
      </w:pPr>
      <w:r w:rsidRPr="00781112">
        <w:rPr>
          <w:color w:val="000000" w:themeColor="text1"/>
        </w:rPr>
        <w:t xml:space="preserve">We anticipate that as with the schools from the Humacao Region we would have a positive engagement from school administrators. </w:t>
      </w:r>
      <w:proofErr w:type="gramStart"/>
      <w:r w:rsidRPr="00781112">
        <w:rPr>
          <w:color w:val="000000" w:themeColor="text1"/>
        </w:rPr>
        <w:t>Which we</w:t>
      </w:r>
      <w:proofErr w:type="gramEnd"/>
      <w:r w:rsidRPr="00781112">
        <w:rPr>
          <w:color w:val="000000" w:themeColor="text1"/>
        </w:rPr>
        <w:t xml:space="preserve"> can predict a positive outcome that demonstrates benefits for students in math. the data collection will continue to be our Ed Facts Assessment data. </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 xml:space="preserve">The impact on virtual learning during the COVID Pandemic significantly affected the results of students with disabilities in math on the assessment data. The Department of Education of PR established a work plan called "Plan de Recuperacion Academica" which includes </w:t>
      </w:r>
      <w:proofErr w:type="gramStart"/>
      <w:r w:rsidRPr="00781112">
        <w:rPr>
          <w:color w:val="000000" w:themeColor="text1"/>
        </w:rPr>
        <w:t>after hour</w:t>
      </w:r>
      <w:proofErr w:type="gramEnd"/>
      <w:r w:rsidRPr="00781112">
        <w:rPr>
          <w:color w:val="000000" w:themeColor="text1"/>
        </w:rPr>
        <w:t xml:space="preserve"> school interventions for teachers to support students needs</w:t>
      </w:r>
      <w:proofErr w:type="gramStart"/>
      <w:r w:rsidRPr="00781112">
        <w:rPr>
          <w:color w:val="000000" w:themeColor="text1"/>
        </w:rPr>
        <w:t xml:space="preserve">.  </w:t>
      </w:r>
      <w:proofErr w:type="gramEnd"/>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83"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 xml:space="preserve">Daiber N. Carrion </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 xml:space="preserve">PR Special Education Compliance Officer </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carrionmdn@de.pr.gov</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787 380-6997</w:t>
      </w:r>
    </w:p>
    <w:bookmarkEnd w:id="83"/>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5487A8BD" w:rsidR="00371FAA" w:rsidRPr="002F68DD" w:rsidRDefault="006879FA" w:rsidP="00371FAA">
      <w:pPr>
        <w:rPr>
          <w:lang w:val="es-ES"/>
        </w:rPr>
      </w:pPr>
      <w:r w:rsidRPr="002F68DD">
        <w:rPr>
          <w:lang w:val="es-ES"/>
        </w:rPr>
        <w:t>04/27/</w:t>
      </w:r>
      <w:proofErr w:type="gramStart"/>
      <w:r w:rsidRPr="002F68DD">
        <w:rPr>
          <w:lang w:val="es-ES"/>
        </w:rPr>
        <w:t>23  6:45:15</w:t>
      </w:r>
      <w:proofErr w:type="gramEnd"/>
      <w:r w:rsidRPr="002F68DD">
        <w:rPr>
          <w:lang w:val="es-ES"/>
        </w:rPr>
        <w:t xml:space="preserve"> PM</w:t>
      </w:r>
    </w:p>
    <w:p w14:paraId="137CE14B" w14:textId="38DBB8E3" w:rsidR="00371FAA" w:rsidRPr="002F68DD" w:rsidRDefault="00D12506" w:rsidP="00D12506">
      <w:pPr>
        <w:spacing w:before="0" w:after="200" w:line="276" w:lineRule="auto"/>
        <w:rPr>
          <w:lang w:val="es-ES"/>
        </w:rPr>
      </w:pPr>
      <w:r w:rsidRPr="002F68DD">
        <w:rPr>
          <w:lang w:val="es-ES"/>
        </w:rPr>
        <w:br w:type="page"/>
      </w:r>
    </w:p>
    <w:p w14:paraId="66D36872" w14:textId="52ECB6DB" w:rsidR="00BE0EEF" w:rsidRPr="002F68DD" w:rsidRDefault="00AF2BDA" w:rsidP="00AF2BDA">
      <w:pPr>
        <w:pStyle w:val="Heading1"/>
        <w:rPr>
          <w:color w:val="000000" w:themeColor="text1"/>
          <w:lang w:val="es-ES"/>
        </w:rPr>
      </w:pPr>
      <w:proofErr w:type="spellStart"/>
      <w:r w:rsidRPr="002F68DD">
        <w:rPr>
          <w:color w:val="000000" w:themeColor="text1"/>
          <w:lang w:val="es-ES"/>
        </w:rPr>
        <w:lastRenderedPageBreak/>
        <w:t>Determination</w:t>
      </w:r>
      <w:proofErr w:type="spellEnd"/>
      <w:r w:rsidRPr="002F68DD">
        <w:rPr>
          <w:color w:val="000000" w:themeColor="text1"/>
          <w:lang w:val="es-ES"/>
        </w:rPr>
        <w:t xml:space="preserve"> </w:t>
      </w:r>
      <w:proofErr w:type="spellStart"/>
      <w:r w:rsidRPr="002F68DD">
        <w:rPr>
          <w:color w:val="000000" w:themeColor="text1"/>
          <w:lang w:val="es-ES"/>
        </w:rPr>
        <w:t>Enclosures</w:t>
      </w:r>
      <w:proofErr w:type="spellEnd"/>
    </w:p>
    <w:p w14:paraId="7F6A87DA" w14:textId="7873ABE7" w:rsidR="00BE0EEF" w:rsidRPr="002F68DD" w:rsidRDefault="00BE0EEF" w:rsidP="00BE0EEF">
      <w:pPr>
        <w:pStyle w:val="Heading2"/>
        <w:rPr>
          <w:lang w:val="es-ES"/>
        </w:rPr>
      </w:pPr>
      <w:r w:rsidRPr="002F68DD">
        <w:rPr>
          <w:lang w:val="es-ES"/>
        </w:rPr>
        <w:t>RDA Matrix</w:t>
      </w:r>
    </w:p>
    <w:p w14:paraId="57360C95" w14:textId="0E2CF73A" w:rsidR="000C3A99" w:rsidRPr="002F68DD" w:rsidRDefault="000C3A99" w:rsidP="000C3A99">
      <w:pPr>
        <w:rPr>
          <w:b/>
          <w:bCs/>
          <w:sz w:val="20"/>
          <w:szCs w:val="28"/>
          <w:lang w:val="es-ES"/>
        </w:rPr>
      </w:pPr>
      <w:r w:rsidRPr="002F68DD">
        <w:rPr>
          <w:b/>
          <w:bCs/>
          <w:sz w:val="20"/>
          <w:szCs w:val="28"/>
          <w:lang w:val="es-ES"/>
        </w:rPr>
        <w:t>Puerto Rico</w:t>
      </w:r>
    </w:p>
    <w:p w14:paraId="34FD6914" w14:textId="4D3F485E" w:rsidR="00824D00" w:rsidRPr="00824D00" w:rsidRDefault="00BE0EEF" w:rsidP="00824D00">
      <w:pPr>
        <w:jc w:val="center"/>
        <w:rPr>
          <w:sz w:val="32"/>
          <w:szCs w:val="32"/>
        </w:rPr>
      </w:pPr>
      <w:r w:rsidRPr="007103FF">
        <w:rPr>
          <w:sz w:val="32"/>
          <w:szCs w:val="32"/>
        </w:rPr>
        <w:br/>
      </w:r>
      <w:r w:rsidRPr="00824D00">
        <w:rPr>
          <w:sz w:val="32"/>
          <w:szCs w:val="32"/>
        </w:rPr>
        <w:t xml:space="preserve">2023 Part B </w:t>
      </w:r>
      <w:proofErr w:type="gramStart"/>
      <w:r w:rsidRPr="00824D00">
        <w:rPr>
          <w:sz w:val="32"/>
          <w:szCs w:val="32"/>
        </w:rPr>
        <w:t>Results-Driven</w:t>
      </w:r>
      <w:proofErr w:type="gramEnd"/>
      <w:r w:rsidRPr="00824D00">
        <w:rPr>
          <w:sz w:val="32"/>
          <w:szCs w:val="32"/>
        </w:rPr>
        <w:t xml:space="preserve"> Accountability Matrix</w:t>
      </w:r>
    </w:p>
    <w:p w14:paraId="2A7E4326" w14:textId="77777777" w:rsidR="00BE0EEF" w:rsidRPr="00210AC6" w:rsidRDefault="00BE0EEF" w:rsidP="00BE0EEF">
      <w:pPr>
        <w:rPr>
          <w:rFonts w:cs="Arial"/>
          <w:b/>
          <w:bCs/>
          <w:szCs w:val="16"/>
        </w:rPr>
      </w:pPr>
      <w:proofErr w:type="gramStart"/>
      <w:r w:rsidRPr="00210AC6">
        <w:rPr>
          <w:rFonts w:cs="Arial"/>
          <w:b/>
          <w:bCs/>
          <w:szCs w:val="16"/>
        </w:rPr>
        <w:t>Results-Driven</w:t>
      </w:r>
      <w:proofErr w:type="gramEnd"/>
      <w:r w:rsidRPr="00210AC6">
        <w:rPr>
          <w:rFonts w:cs="Arial"/>
          <w:b/>
          <w:bCs/>
          <w:szCs w:val="16"/>
        </w:rPr>
        <w:t xml:space="preserve"> Accountability Percentage and Determination</w:t>
      </w:r>
      <w:r w:rsidRPr="00210AC6">
        <w:rPr>
          <w:rStyle w:val="FootnoteReference"/>
          <w:rFonts w:cs="Arial"/>
          <w:b/>
          <w:bCs/>
          <w:szCs w:val="16"/>
        </w:rPr>
        <w:footnoteReference w:id="4"/>
      </w:r>
    </w:p>
    <w:tbl>
      <w:tblPr>
        <w:tblStyle w:val="TableGrid1"/>
        <w:tblW w:w="5009" w:type="pct"/>
        <w:tblLook w:val="04A0" w:firstRow="1" w:lastRow="0" w:firstColumn="1" w:lastColumn="0" w:noHBand="0" w:noVBand="1"/>
        <w:tblCaption w:val="BENNSRSTRDACFFYSTAT"/>
      </w:tblPr>
      <w:tblGrid>
        <w:gridCol w:w="5404"/>
        <w:gridCol w:w="5405"/>
      </w:tblGrid>
      <w:tr w:rsidR="00BE0EEF" w:rsidRPr="00210AC6" w14:paraId="441F44A8" w14:textId="77777777" w:rsidTr="0064778E">
        <w:trPr>
          <w:tblHeader/>
        </w:trPr>
        <w:tc>
          <w:tcPr>
            <w:tcW w:w="2500" w:type="pct"/>
          </w:tcPr>
          <w:p w14:paraId="48E2D994" w14:textId="77777777" w:rsidR="00BE0EEF" w:rsidRPr="00210AC6" w:rsidRDefault="00BE0EEF" w:rsidP="002C333C">
            <w:pPr>
              <w:rPr>
                <w:rFonts w:cs="Arial"/>
                <w:b/>
                <w:bCs/>
                <w:szCs w:val="16"/>
              </w:rPr>
            </w:pPr>
            <w:r w:rsidRPr="00210AC6">
              <w:rPr>
                <w:rFonts w:cs="Arial"/>
                <w:b/>
                <w:bCs/>
                <w:szCs w:val="16"/>
              </w:rPr>
              <w:t>Percentage (%)</w:t>
            </w:r>
          </w:p>
        </w:tc>
        <w:tc>
          <w:tcPr>
            <w:tcW w:w="2500" w:type="pct"/>
          </w:tcPr>
          <w:p w14:paraId="41C1D543" w14:textId="77777777" w:rsidR="00BE0EEF" w:rsidRPr="00210AC6" w:rsidRDefault="00BE0EEF" w:rsidP="002C333C">
            <w:pPr>
              <w:rPr>
                <w:rFonts w:cs="Arial"/>
                <w:b/>
                <w:bCs/>
                <w:szCs w:val="16"/>
              </w:rPr>
            </w:pPr>
            <w:r w:rsidRPr="00210AC6">
              <w:rPr>
                <w:rFonts w:cs="Arial"/>
                <w:b/>
                <w:bCs/>
                <w:szCs w:val="16"/>
              </w:rPr>
              <w:t>Determination</w:t>
            </w:r>
          </w:p>
        </w:tc>
      </w:tr>
      <w:tr w:rsidR="00416463" w:rsidRPr="00210AC6" w14:paraId="2EA9543B" w14:textId="77777777" w:rsidTr="00FB3F34">
        <w:tc>
          <w:tcPr>
            <w:tcW w:w="2500" w:type="pct"/>
          </w:tcPr>
          <w:p w14:paraId="7E99A849" w14:textId="1196736B" w:rsidR="00416463" w:rsidRPr="00210AC6" w:rsidRDefault="00416463" w:rsidP="00416463">
            <w:pPr>
              <w:rPr>
                <w:rFonts w:cs="Arial"/>
                <w:szCs w:val="16"/>
              </w:rPr>
            </w:pPr>
            <w:r w:rsidRPr="00210AC6">
              <w:rPr>
                <w:rFonts w:cs="Arial"/>
                <w:szCs w:val="16"/>
              </w:rPr>
              <w:t>70.63%</w:t>
            </w:r>
          </w:p>
        </w:tc>
        <w:tc>
          <w:tcPr>
            <w:tcW w:w="2500" w:type="pct"/>
          </w:tcPr>
          <w:p w14:paraId="67D9EEC1" w14:textId="53D67E7A" w:rsidR="00416463" w:rsidRPr="00210AC6" w:rsidRDefault="00416463" w:rsidP="00416463">
            <w:pPr>
              <w:rPr>
                <w:rFonts w:cs="Arial"/>
                <w:szCs w:val="16"/>
              </w:rPr>
            </w:pPr>
            <w:r w:rsidRPr="00210AC6">
              <w:rPr>
                <w:rFonts w:cs="Arial"/>
                <w:noProof/>
                <w:szCs w:val="16"/>
              </w:rPr>
              <w:t>Needs Assistance</w:t>
            </w:r>
          </w:p>
        </w:tc>
      </w:tr>
    </w:tbl>
    <w:p w14:paraId="3111276A" w14:textId="77777777" w:rsidR="00BE0EEF" w:rsidRPr="00210AC6" w:rsidRDefault="00BE0EEF" w:rsidP="00BE0EEF">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BENNSRSTCMPCFFYSTAT"/>
      </w:tblPr>
      <w:tblGrid>
        <w:gridCol w:w="2724"/>
        <w:gridCol w:w="2724"/>
        <w:gridCol w:w="2722"/>
        <w:gridCol w:w="2631"/>
      </w:tblGrid>
      <w:tr w:rsidR="00BE0EEF" w:rsidRPr="00210AC6" w14:paraId="171A34FE" w14:textId="77777777" w:rsidTr="00851F98">
        <w:trPr>
          <w:tblHeader/>
        </w:trPr>
        <w:tc>
          <w:tcPr>
            <w:tcW w:w="1261" w:type="pct"/>
          </w:tcPr>
          <w:p w14:paraId="7A21C806" w14:textId="77777777" w:rsidR="00BE0EEF" w:rsidRPr="00210AC6" w:rsidRDefault="00BE0EEF" w:rsidP="002C333C">
            <w:pPr>
              <w:rPr>
                <w:rFonts w:cs="Arial"/>
                <w:b/>
                <w:bCs/>
                <w:szCs w:val="16"/>
              </w:rPr>
            </w:pPr>
          </w:p>
        </w:tc>
        <w:tc>
          <w:tcPr>
            <w:tcW w:w="1261" w:type="pct"/>
          </w:tcPr>
          <w:p w14:paraId="7D03890F" w14:textId="77777777" w:rsidR="00BE0EEF" w:rsidRPr="00210AC6" w:rsidRDefault="00BE0EEF" w:rsidP="002C333C">
            <w:pPr>
              <w:rPr>
                <w:rFonts w:cs="Arial"/>
                <w:b/>
                <w:bCs/>
                <w:szCs w:val="16"/>
              </w:rPr>
            </w:pPr>
            <w:r w:rsidRPr="00210AC6">
              <w:rPr>
                <w:rFonts w:cs="Arial"/>
                <w:b/>
                <w:bCs/>
                <w:szCs w:val="16"/>
              </w:rPr>
              <w:t>Total Points Available</w:t>
            </w:r>
          </w:p>
        </w:tc>
        <w:tc>
          <w:tcPr>
            <w:tcW w:w="1260" w:type="pct"/>
          </w:tcPr>
          <w:p w14:paraId="0BAE0076" w14:textId="77777777" w:rsidR="00BE0EEF" w:rsidRPr="00210AC6" w:rsidRDefault="00BE0EEF" w:rsidP="002C333C">
            <w:pPr>
              <w:rPr>
                <w:rFonts w:cs="Arial"/>
                <w:b/>
                <w:bCs/>
                <w:szCs w:val="16"/>
              </w:rPr>
            </w:pPr>
            <w:r w:rsidRPr="00210AC6">
              <w:rPr>
                <w:rFonts w:cs="Arial"/>
                <w:b/>
                <w:bCs/>
                <w:szCs w:val="16"/>
              </w:rPr>
              <w:t>Points Earned</w:t>
            </w:r>
          </w:p>
        </w:tc>
        <w:tc>
          <w:tcPr>
            <w:tcW w:w="1218" w:type="pct"/>
          </w:tcPr>
          <w:p w14:paraId="2D5453A9" w14:textId="77777777" w:rsidR="00BE0EEF" w:rsidRPr="00210AC6" w:rsidRDefault="00BE0EEF" w:rsidP="002C333C">
            <w:pPr>
              <w:rPr>
                <w:rFonts w:cs="Arial"/>
                <w:b/>
                <w:bCs/>
                <w:szCs w:val="16"/>
              </w:rPr>
            </w:pPr>
            <w:r w:rsidRPr="00210AC6">
              <w:rPr>
                <w:rFonts w:cs="Arial"/>
                <w:b/>
                <w:bCs/>
                <w:szCs w:val="16"/>
              </w:rPr>
              <w:t>Score (%)</w:t>
            </w:r>
          </w:p>
        </w:tc>
      </w:tr>
      <w:tr w:rsidR="00E1330D" w:rsidRPr="00210AC6" w14:paraId="24CD0491" w14:textId="77777777" w:rsidTr="00851F98">
        <w:tc>
          <w:tcPr>
            <w:tcW w:w="1261" w:type="pct"/>
          </w:tcPr>
          <w:p w14:paraId="636FA965" w14:textId="77777777" w:rsidR="00E1330D" w:rsidRPr="00210AC6" w:rsidRDefault="00E1330D" w:rsidP="00E1330D">
            <w:pPr>
              <w:rPr>
                <w:rFonts w:cs="Arial"/>
                <w:b/>
                <w:bCs/>
                <w:szCs w:val="16"/>
              </w:rPr>
            </w:pPr>
            <w:r w:rsidRPr="00210AC6">
              <w:rPr>
                <w:rFonts w:cs="Arial"/>
                <w:b/>
                <w:bCs/>
                <w:szCs w:val="16"/>
              </w:rPr>
              <w:t>Results</w:t>
            </w:r>
          </w:p>
        </w:tc>
        <w:tc>
          <w:tcPr>
            <w:tcW w:w="1261" w:type="pct"/>
          </w:tcPr>
          <w:p w14:paraId="4DC27F93" w14:textId="2A310F59" w:rsidR="00E1330D" w:rsidRPr="00210AC6" w:rsidRDefault="00E1330D" w:rsidP="00E1330D">
            <w:pPr>
              <w:rPr>
                <w:rFonts w:cs="Arial"/>
                <w:noProof/>
                <w:szCs w:val="16"/>
              </w:rPr>
            </w:pPr>
            <w:r w:rsidRPr="00210AC6">
              <w:rPr>
                <w:rFonts w:cs="Arial"/>
                <w:szCs w:val="16"/>
              </w:rPr>
              <w:t>18</w:t>
            </w:r>
          </w:p>
        </w:tc>
        <w:tc>
          <w:tcPr>
            <w:tcW w:w="1260" w:type="pct"/>
          </w:tcPr>
          <w:p w14:paraId="39A51C38" w14:textId="16E843D2" w:rsidR="00E1330D" w:rsidRPr="00210AC6" w:rsidRDefault="00E1330D" w:rsidP="00E1330D">
            <w:pPr>
              <w:rPr>
                <w:rFonts w:cs="Arial"/>
                <w:szCs w:val="16"/>
              </w:rPr>
            </w:pPr>
            <w:r w:rsidRPr="00210AC6">
              <w:rPr>
                <w:rFonts w:cs="Arial"/>
                <w:szCs w:val="16"/>
              </w:rPr>
              <w:t>10</w:t>
            </w:r>
          </w:p>
        </w:tc>
        <w:tc>
          <w:tcPr>
            <w:tcW w:w="1218" w:type="pct"/>
          </w:tcPr>
          <w:p w14:paraId="0E3866D0" w14:textId="74D5D84B" w:rsidR="00E1330D" w:rsidRPr="00210AC6" w:rsidRDefault="00E1330D" w:rsidP="00E1330D">
            <w:pPr>
              <w:rPr>
                <w:rFonts w:cs="Arial"/>
                <w:szCs w:val="16"/>
              </w:rPr>
            </w:pPr>
            <w:r w:rsidRPr="00210AC6">
              <w:rPr>
                <w:rFonts w:cs="Arial"/>
                <w:szCs w:val="16"/>
              </w:rPr>
              <w:t>55.56%</w:t>
            </w:r>
          </w:p>
        </w:tc>
      </w:tr>
      <w:tr w:rsidR="00E1330D" w:rsidRPr="00210AC6" w14:paraId="6160CFE2" w14:textId="77777777" w:rsidTr="00851F98">
        <w:tc>
          <w:tcPr>
            <w:tcW w:w="1261" w:type="pct"/>
          </w:tcPr>
          <w:p w14:paraId="683501B2" w14:textId="77777777" w:rsidR="00E1330D" w:rsidRPr="00210AC6" w:rsidRDefault="00E1330D" w:rsidP="00E1330D">
            <w:pPr>
              <w:rPr>
                <w:rFonts w:cs="Arial"/>
                <w:b/>
                <w:bCs/>
                <w:szCs w:val="16"/>
              </w:rPr>
            </w:pPr>
            <w:r w:rsidRPr="00210AC6">
              <w:rPr>
                <w:rFonts w:cs="Arial"/>
                <w:b/>
                <w:bCs/>
                <w:szCs w:val="16"/>
              </w:rPr>
              <w:t>Compliance</w:t>
            </w:r>
          </w:p>
        </w:tc>
        <w:tc>
          <w:tcPr>
            <w:tcW w:w="1261" w:type="pct"/>
          </w:tcPr>
          <w:p w14:paraId="548EED65" w14:textId="52CD3569" w:rsidR="00E1330D" w:rsidRPr="00210AC6" w:rsidRDefault="00E1330D" w:rsidP="00E1330D">
            <w:pPr>
              <w:rPr>
                <w:rFonts w:cs="Arial"/>
                <w:szCs w:val="16"/>
              </w:rPr>
            </w:pPr>
            <w:r w:rsidRPr="00210AC6">
              <w:rPr>
                <w:rFonts w:cs="Arial"/>
                <w:szCs w:val="16"/>
              </w:rPr>
              <w:t>14</w:t>
            </w:r>
          </w:p>
        </w:tc>
        <w:tc>
          <w:tcPr>
            <w:tcW w:w="1260" w:type="pct"/>
          </w:tcPr>
          <w:p w14:paraId="0A360C78" w14:textId="7DE98E29" w:rsidR="00E1330D" w:rsidRPr="00210AC6" w:rsidRDefault="00E1330D" w:rsidP="00E1330D">
            <w:pPr>
              <w:rPr>
                <w:rFonts w:cs="Arial"/>
                <w:szCs w:val="16"/>
              </w:rPr>
            </w:pPr>
            <w:r w:rsidRPr="00210AC6">
              <w:rPr>
                <w:rFonts w:cs="Arial"/>
                <w:szCs w:val="16"/>
              </w:rPr>
              <w:t>12</w:t>
            </w:r>
          </w:p>
        </w:tc>
        <w:tc>
          <w:tcPr>
            <w:tcW w:w="1218" w:type="pct"/>
          </w:tcPr>
          <w:p w14:paraId="568903BA" w14:textId="193CF7F1" w:rsidR="00E1330D" w:rsidRPr="00210AC6" w:rsidRDefault="00E1330D" w:rsidP="00E1330D">
            <w:pPr>
              <w:rPr>
                <w:rFonts w:cs="Arial"/>
                <w:szCs w:val="16"/>
              </w:rPr>
            </w:pPr>
            <w:r w:rsidRPr="00210AC6">
              <w:rPr>
                <w:rFonts w:cs="Arial"/>
                <w:szCs w:val="16"/>
              </w:rPr>
              <w:t>85.71%</w:t>
            </w:r>
          </w:p>
        </w:tc>
      </w:tr>
    </w:tbl>
    <w:p w14:paraId="5A13FEB8" w14:textId="650D2B71" w:rsidR="00BE0EEF" w:rsidRDefault="00BE0EEF" w:rsidP="00BE0EEF">
      <w:pPr>
        <w:rPr>
          <w:rFonts w:cs="Arial"/>
          <w:b/>
          <w:bCs/>
          <w:szCs w:val="16"/>
        </w:rPr>
      </w:pPr>
      <w:r w:rsidRPr="00210AC6">
        <w:rPr>
          <w:rFonts w:cs="Arial"/>
          <w:b/>
          <w:bCs/>
          <w:szCs w:val="16"/>
        </w:rPr>
        <w:t>2023 Part B Results Matrix</w:t>
      </w:r>
    </w:p>
    <w:p w14:paraId="54FF45BF" w14:textId="4C5619B9" w:rsidR="00353EB1" w:rsidRPr="00210AC6" w:rsidRDefault="00353EB1" w:rsidP="00353EB1">
      <w:pPr>
        <w:rPr>
          <w:rFonts w:cs="Arial"/>
          <w:b/>
          <w:bCs/>
          <w:szCs w:val="16"/>
        </w:rPr>
      </w:pPr>
      <w:r w:rsidRPr="00210AC6">
        <w:rPr>
          <w:rFonts w:cs="Arial"/>
          <w:b/>
          <w:bCs/>
          <w:szCs w:val="16"/>
        </w:rPr>
        <w:t>Reading Assessment Elements</w:t>
      </w:r>
    </w:p>
    <w:tbl>
      <w:tblPr>
        <w:tblStyle w:val="TableGrid1"/>
        <w:tblW w:w="5009" w:type="pct"/>
        <w:tblLayout w:type="fixed"/>
        <w:tblLook w:val="04A0" w:firstRow="1" w:lastRow="0" w:firstColumn="1" w:lastColumn="0" w:noHBand="0" w:noVBand="1"/>
        <w:tblCaption w:val="BRLAENNSRSTCFFY"/>
      </w:tblPr>
      <w:tblGrid>
        <w:gridCol w:w="7207"/>
        <w:gridCol w:w="1801"/>
        <w:gridCol w:w="1801"/>
      </w:tblGrid>
      <w:tr w:rsidR="00BE0EEF" w:rsidRPr="00210AC6" w14:paraId="6C98717E" w14:textId="77777777" w:rsidTr="0064778E">
        <w:trPr>
          <w:tblHeader/>
        </w:trPr>
        <w:tc>
          <w:tcPr>
            <w:tcW w:w="3334" w:type="pct"/>
          </w:tcPr>
          <w:p w14:paraId="7B58243A" w14:textId="77777777" w:rsidR="00BE0EEF" w:rsidRPr="00210AC6" w:rsidRDefault="00BE0EEF" w:rsidP="002C333C">
            <w:pPr>
              <w:rPr>
                <w:rFonts w:cs="Arial"/>
                <w:b/>
                <w:bCs/>
                <w:szCs w:val="16"/>
              </w:rPr>
            </w:pPr>
            <w:r w:rsidRPr="00210AC6">
              <w:rPr>
                <w:rFonts w:cs="Arial"/>
                <w:b/>
                <w:bCs/>
                <w:szCs w:val="16"/>
              </w:rPr>
              <w:t>Reading Assessment Elements</w:t>
            </w:r>
          </w:p>
        </w:tc>
        <w:tc>
          <w:tcPr>
            <w:tcW w:w="833" w:type="pct"/>
          </w:tcPr>
          <w:p w14:paraId="7F72CFD5"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729C2DDD" w14:textId="77777777" w:rsidR="00BE0EEF" w:rsidRPr="00210AC6" w:rsidRDefault="00BE0EEF" w:rsidP="002C333C">
            <w:pPr>
              <w:rPr>
                <w:rFonts w:cs="Arial"/>
                <w:b/>
                <w:bCs/>
                <w:szCs w:val="16"/>
              </w:rPr>
            </w:pPr>
            <w:r w:rsidRPr="00210AC6">
              <w:rPr>
                <w:rFonts w:cs="Arial"/>
                <w:b/>
                <w:bCs/>
                <w:szCs w:val="16"/>
              </w:rPr>
              <w:t>Score</w:t>
            </w:r>
          </w:p>
        </w:tc>
      </w:tr>
      <w:tr w:rsidR="00AC185D" w:rsidRPr="00210AC6" w14:paraId="66509352" w14:textId="77777777" w:rsidTr="00FB3F34">
        <w:tc>
          <w:tcPr>
            <w:tcW w:w="3334" w:type="pct"/>
          </w:tcPr>
          <w:p w14:paraId="2F46D281" w14:textId="77777777" w:rsidR="00AC185D" w:rsidRPr="00210AC6" w:rsidRDefault="00AC185D" w:rsidP="00AC185D">
            <w:pPr>
              <w:rPr>
                <w:rFonts w:cs="Arial"/>
                <w:b/>
                <w:bCs/>
                <w:szCs w:val="16"/>
              </w:rPr>
            </w:pPr>
            <w:r w:rsidRPr="00210AC6">
              <w:rPr>
                <w:rFonts w:cs="Arial"/>
                <w:b/>
                <w:bCs/>
                <w:szCs w:val="16"/>
              </w:rPr>
              <w:t>Percentage of 4th Grade Children with Disabilities Participating in Regular Statewide Assessments</w:t>
            </w:r>
          </w:p>
        </w:tc>
        <w:tc>
          <w:tcPr>
            <w:tcW w:w="833" w:type="pct"/>
          </w:tcPr>
          <w:p w14:paraId="4B066FB6" w14:textId="065EED21" w:rsidR="00AC185D" w:rsidRPr="00210AC6" w:rsidRDefault="00AC185D" w:rsidP="00AC185D">
            <w:pPr>
              <w:rPr>
                <w:rFonts w:cs="Arial"/>
                <w:szCs w:val="16"/>
              </w:rPr>
            </w:pPr>
            <w:r w:rsidRPr="00210AC6">
              <w:rPr>
                <w:rFonts w:cs="Arial"/>
                <w:szCs w:val="16"/>
              </w:rPr>
              <w:t>94%</w:t>
            </w:r>
          </w:p>
        </w:tc>
        <w:tc>
          <w:tcPr>
            <w:tcW w:w="833" w:type="pct"/>
          </w:tcPr>
          <w:p w14:paraId="50F87295" w14:textId="3E5BE83B" w:rsidR="00AC185D" w:rsidRPr="00210AC6" w:rsidRDefault="00AC185D" w:rsidP="00AC185D">
            <w:pPr>
              <w:rPr>
                <w:rFonts w:cs="Arial"/>
                <w:szCs w:val="16"/>
              </w:rPr>
            </w:pPr>
            <w:r w:rsidRPr="00210AC6">
              <w:rPr>
                <w:rFonts w:cs="Arial"/>
                <w:szCs w:val="16"/>
              </w:rPr>
              <w:t>2</w:t>
            </w:r>
          </w:p>
        </w:tc>
      </w:tr>
      <w:tr w:rsidR="00AC185D" w:rsidRPr="00210AC6" w14:paraId="3550FF4A" w14:textId="77777777" w:rsidTr="00FB3F34">
        <w:tc>
          <w:tcPr>
            <w:tcW w:w="3334" w:type="pct"/>
          </w:tcPr>
          <w:p w14:paraId="3C309EC9" w14:textId="77777777" w:rsidR="00AC185D" w:rsidRPr="00210AC6" w:rsidRDefault="00AC185D" w:rsidP="00AC185D">
            <w:pPr>
              <w:rPr>
                <w:rFonts w:cs="Arial"/>
                <w:b/>
                <w:bCs/>
                <w:szCs w:val="16"/>
              </w:rPr>
            </w:pPr>
            <w:r w:rsidRPr="00210AC6">
              <w:rPr>
                <w:rFonts w:cs="Arial"/>
                <w:b/>
                <w:bCs/>
                <w:szCs w:val="16"/>
              </w:rPr>
              <w:t>Percentage of 8th Grade Children with Disabilities Participating in Regular Statewide Assessments</w:t>
            </w:r>
          </w:p>
        </w:tc>
        <w:tc>
          <w:tcPr>
            <w:tcW w:w="833" w:type="pct"/>
          </w:tcPr>
          <w:p w14:paraId="3048515F" w14:textId="76393BE7" w:rsidR="00AC185D" w:rsidRPr="00210AC6" w:rsidRDefault="00AC185D" w:rsidP="00AC185D">
            <w:pPr>
              <w:rPr>
                <w:rFonts w:cs="Arial"/>
                <w:szCs w:val="16"/>
              </w:rPr>
            </w:pPr>
            <w:r w:rsidRPr="00210AC6">
              <w:rPr>
                <w:rFonts w:cs="Arial"/>
                <w:szCs w:val="16"/>
              </w:rPr>
              <w:t>94%</w:t>
            </w:r>
          </w:p>
        </w:tc>
        <w:tc>
          <w:tcPr>
            <w:tcW w:w="833" w:type="pct"/>
          </w:tcPr>
          <w:p w14:paraId="616686DF" w14:textId="143C7242" w:rsidR="00AC185D" w:rsidRPr="00210AC6" w:rsidRDefault="00AC185D" w:rsidP="00AC185D">
            <w:pPr>
              <w:rPr>
                <w:rFonts w:cs="Arial"/>
                <w:szCs w:val="16"/>
              </w:rPr>
            </w:pPr>
            <w:r w:rsidRPr="00210AC6">
              <w:rPr>
                <w:rFonts w:cs="Arial"/>
                <w:szCs w:val="16"/>
              </w:rPr>
              <w:t>2</w:t>
            </w:r>
          </w:p>
        </w:tc>
      </w:tr>
      <w:tr w:rsidR="00AC185D" w:rsidRPr="00210AC6" w14:paraId="3DAECFCC" w14:textId="77777777" w:rsidTr="00FB3F34">
        <w:tc>
          <w:tcPr>
            <w:tcW w:w="3334" w:type="pct"/>
          </w:tcPr>
          <w:p w14:paraId="7F5E9165" w14:textId="77777777" w:rsidR="00AC185D" w:rsidRPr="00210AC6" w:rsidRDefault="00AC185D" w:rsidP="00AC185D">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3" w:type="pct"/>
          </w:tcPr>
          <w:p w14:paraId="69FCD5E3" w14:textId="2225AB69" w:rsidR="00AC185D" w:rsidRPr="00210AC6" w:rsidRDefault="00AC185D" w:rsidP="00AC185D">
            <w:pPr>
              <w:rPr>
                <w:rFonts w:cs="Arial"/>
                <w:szCs w:val="16"/>
              </w:rPr>
            </w:pPr>
            <w:r w:rsidRPr="00210AC6">
              <w:rPr>
                <w:rFonts w:cs="Arial"/>
                <w:szCs w:val="16"/>
              </w:rPr>
              <w:t>N/A</w:t>
            </w:r>
          </w:p>
        </w:tc>
        <w:tc>
          <w:tcPr>
            <w:tcW w:w="833" w:type="pct"/>
          </w:tcPr>
          <w:p w14:paraId="23A64B98" w14:textId="5F4E05F3" w:rsidR="00AC185D" w:rsidRPr="00210AC6" w:rsidRDefault="00AC185D" w:rsidP="00AC185D">
            <w:pPr>
              <w:rPr>
                <w:rFonts w:cs="Arial"/>
                <w:szCs w:val="16"/>
              </w:rPr>
            </w:pPr>
            <w:r w:rsidRPr="00210AC6">
              <w:rPr>
                <w:rFonts w:cs="Arial"/>
                <w:szCs w:val="16"/>
              </w:rPr>
              <w:t>N/A</w:t>
            </w:r>
          </w:p>
        </w:tc>
      </w:tr>
      <w:tr w:rsidR="00AC185D" w:rsidRPr="00210AC6" w14:paraId="2B48B4E0" w14:textId="77777777" w:rsidTr="00FB3F34">
        <w:tc>
          <w:tcPr>
            <w:tcW w:w="3334" w:type="pct"/>
          </w:tcPr>
          <w:p w14:paraId="7666AD2F" w14:textId="77777777" w:rsidR="00AC185D" w:rsidRPr="00210AC6" w:rsidRDefault="00AC185D" w:rsidP="00AC185D">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3" w:type="pct"/>
          </w:tcPr>
          <w:p w14:paraId="5C0EC960" w14:textId="61075875" w:rsidR="00AC185D" w:rsidRPr="00210AC6" w:rsidRDefault="00AC185D" w:rsidP="00AC185D">
            <w:pPr>
              <w:rPr>
                <w:rFonts w:cs="Arial"/>
                <w:szCs w:val="16"/>
              </w:rPr>
            </w:pPr>
            <w:r w:rsidRPr="00210AC6">
              <w:rPr>
                <w:rFonts w:cs="Arial"/>
                <w:szCs w:val="16"/>
              </w:rPr>
              <w:t>N/A</w:t>
            </w:r>
          </w:p>
        </w:tc>
        <w:tc>
          <w:tcPr>
            <w:tcW w:w="833" w:type="pct"/>
          </w:tcPr>
          <w:p w14:paraId="3E5057E5" w14:textId="74D3F3A3" w:rsidR="00AC185D" w:rsidRPr="00210AC6" w:rsidRDefault="00AC185D" w:rsidP="00AC185D">
            <w:pPr>
              <w:rPr>
                <w:rFonts w:cs="Arial"/>
                <w:szCs w:val="16"/>
              </w:rPr>
            </w:pPr>
            <w:r w:rsidRPr="00210AC6">
              <w:rPr>
                <w:rFonts w:cs="Arial"/>
                <w:szCs w:val="16"/>
              </w:rPr>
              <w:t>N/A</w:t>
            </w:r>
          </w:p>
        </w:tc>
      </w:tr>
      <w:tr w:rsidR="00AC185D" w:rsidRPr="00210AC6" w14:paraId="558A8BBA" w14:textId="77777777" w:rsidTr="00FB3F34">
        <w:tc>
          <w:tcPr>
            <w:tcW w:w="3334" w:type="pct"/>
          </w:tcPr>
          <w:p w14:paraId="1F4FB032" w14:textId="77777777" w:rsidR="00AC185D" w:rsidRPr="00210AC6" w:rsidRDefault="00AC185D" w:rsidP="00AC185D">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3" w:type="pct"/>
          </w:tcPr>
          <w:p w14:paraId="4F273831" w14:textId="3D65715F" w:rsidR="00AC185D" w:rsidRPr="00210AC6" w:rsidRDefault="00AC185D" w:rsidP="00AC185D">
            <w:pPr>
              <w:rPr>
                <w:rFonts w:cs="Arial"/>
                <w:szCs w:val="16"/>
              </w:rPr>
            </w:pPr>
            <w:r w:rsidRPr="00210AC6">
              <w:rPr>
                <w:rFonts w:cs="Arial"/>
                <w:szCs w:val="16"/>
              </w:rPr>
              <w:t>N/A</w:t>
            </w:r>
          </w:p>
        </w:tc>
        <w:tc>
          <w:tcPr>
            <w:tcW w:w="833" w:type="pct"/>
          </w:tcPr>
          <w:p w14:paraId="2EA39B53" w14:textId="06051205" w:rsidR="00AC185D" w:rsidRPr="00210AC6" w:rsidRDefault="00AC185D" w:rsidP="00AC185D">
            <w:pPr>
              <w:rPr>
                <w:rFonts w:cs="Arial"/>
                <w:szCs w:val="16"/>
              </w:rPr>
            </w:pPr>
            <w:r w:rsidRPr="00210AC6">
              <w:rPr>
                <w:rFonts w:cs="Arial"/>
                <w:szCs w:val="16"/>
              </w:rPr>
              <w:t>N/A</w:t>
            </w:r>
          </w:p>
        </w:tc>
      </w:tr>
      <w:tr w:rsidR="00AC185D" w:rsidRPr="00210AC6" w14:paraId="13947FC1" w14:textId="77777777" w:rsidTr="00FB3F34">
        <w:tc>
          <w:tcPr>
            <w:tcW w:w="3334" w:type="pct"/>
          </w:tcPr>
          <w:p w14:paraId="3F1F50D6" w14:textId="77777777" w:rsidR="00AC185D" w:rsidRPr="00210AC6" w:rsidRDefault="00AC185D" w:rsidP="00AC185D">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3" w:type="pct"/>
          </w:tcPr>
          <w:p w14:paraId="2F6CFBA8" w14:textId="5E8AA4EC" w:rsidR="00AC185D" w:rsidRPr="00210AC6" w:rsidRDefault="00AC185D" w:rsidP="00AC185D">
            <w:pPr>
              <w:rPr>
                <w:rFonts w:cs="Arial"/>
                <w:szCs w:val="16"/>
              </w:rPr>
            </w:pPr>
            <w:r w:rsidRPr="00210AC6">
              <w:rPr>
                <w:rFonts w:cs="Arial"/>
                <w:szCs w:val="16"/>
              </w:rPr>
              <w:t>N/A</w:t>
            </w:r>
          </w:p>
        </w:tc>
        <w:tc>
          <w:tcPr>
            <w:tcW w:w="833" w:type="pct"/>
          </w:tcPr>
          <w:p w14:paraId="02FF34AD" w14:textId="55F2DC29" w:rsidR="00AC185D" w:rsidRPr="00210AC6" w:rsidRDefault="00AC185D" w:rsidP="00AC185D">
            <w:pPr>
              <w:rPr>
                <w:rFonts w:cs="Arial"/>
                <w:szCs w:val="16"/>
              </w:rPr>
            </w:pPr>
            <w:r w:rsidRPr="00210AC6">
              <w:rPr>
                <w:rFonts w:cs="Arial"/>
                <w:szCs w:val="16"/>
              </w:rPr>
              <w:t>N/A</w:t>
            </w:r>
          </w:p>
        </w:tc>
      </w:tr>
    </w:tbl>
    <w:p w14:paraId="07CD2882" w14:textId="5840DCDF" w:rsidR="00353EB1" w:rsidRDefault="00395B6C" w:rsidP="00BE0EEF">
      <w:pPr>
        <w:rPr>
          <w:rFonts w:cs="Arial"/>
          <w:b/>
          <w:bCs/>
          <w:szCs w:val="16"/>
        </w:rPr>
      </w:pPr>
      <w:r w:rsidRPr="00395B6C">
        <w:rPr>
          <w:rFonts w:cs="Arial"/>
          <w:b/>
          <w:bCs/>
          <w:szCs w:val="16"/>
        </w:rPr>
        <w:t>Math Assessment Elements</w:t>
      </w:r>
    </w:p>
    <w:tbl>
      <w:tblPr>
        <w:tblStyle w:val="TableGrid1"/>
        <w:tblW w:w="5009" w:type="pct"/>
        <w:tblLayout w:type="fixed"/>
        <w:tblLook w:val="04A0" w:firstRow="1" w:lastRow="0" w:firstColumn="1" w:lastColumn="0" w:noHBand="0" w:noVBand="1"/>
        <w:tblCaption w:val="BMTHENNSRSTCFFY"/>
      </w:tblPr>
      <w:tblGrid>
        <w:gridCol w:w="7205"/>
        <w:gridCol w:w="1803"/>
        <w:gridCol w:w="1801"/>
      </w:tblGrid>
      <w:tr w:rsidR="00BE0EEF" w:rsidRPr="00210AC6" w14:paraId="469D669E" w14:textId="77777777" w:rsidTr="00C74568">
        <w:trPr>
          <w:tblHeader/>
        </w:trPr>
        <w:tc>
          <w:tcPr>
            <w:tcW w:w="3333" w:type="pct"/>
          </w:tcPr>
          <w:p w14:paraId="6D4794B6" w14:textId="77777777" w:rsidR="00BE0EEF" w:rsidRPr="00210AC6" w:rsidRDefault="00BE0EEF" w:rsidP="002C333C">
            <w:pPr>
              <w:rPr>
                <w:rFonts w:cs="Arial"/>
                <w:b/>
                <w:bCs/>
                <w:szCs w:val="16"/>
              </w:rPr>
            </w:pPr>
            <w:r w:rsidRPr="00210AC6">
              <w:rPr>
                <w:rFonts w:cs="Arial"/>
                <w:b/>
                <w:bCs/>
                <w:szCs w:val="16"/>
              </w:rPr>
              <w:t>Math Assessment Elements</w:t>
            </w:r>
          </w:p>
        </w:tc>
        <w:tc>
          <w:tcPr>
            <w:tcW w:w="834" w:type="pct"/>
          </w:tcPr>
          <w:p w14:paraId="6E210526"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03CF668A" w14:textId="77777777" w:rsidR="00BE0EEF" w:rsidRPr="00210AC6" w:rsidRDefault="00BE0EEF" w:rsidP="002C333C">
            <w:pPr>
              <w:rPr>
                <w:rFonts w:cs="Arial"/>
                <w:b/>
                <w:bCs/>
                <w:szCs w:val="16"/>
              </w:rPr>
            </w:pPr>
            <w:r w:rsidRPr="00210AC6">
              <w:rPr>
                <w:rFonts w:cs="Arial"/>
                <w:b/>
                <w:bCs/>
                <w:szCs w:val="16"/>
              </w:rPr>
              <w:t>Score</w:t>
            </w:r>
          </w:p>
        </w:tc>
      </w:tr>
      <w:tr w:rsidR="0019671E" w:rsidRPr="00210AC6" w14:paraId="64DF3CC7" w14:textId="77777777" w:rsidTr="00FB3F34">
        <w:tc>
          <w:tcPr>
            <w:tcW w:w="3333" w:type="pct"/>
          </w:tcPr>
          <w:p w14:paraId="1F7694DD" w14:textId="77777777" w:rsidR="0019671E" w:rsidRPr="00210AC6" w:rsidRDefault="0019671E" w:rsidP="0019671E">
            <w:pPr>
              <w:rPr>
                <w:rFonts w:cs="Arial"/>
                <w:b/>
                <w:bCs/>
                <w:szCs w:val="16"/>
              </w:rPr>
            </w:pPr>
            <w:r w:rsidRPr="00210AC6">
              <w:rPr>
                <w:rFonts w:cs="Arial"/>
                <w:b/>
                <w:bCs/>
                <w:szCs w:val="16"/>
              </w:rPr>
              <w:t>Percentage of 4th Grade Children with Disabilities Participating in Regular Statewide Assessments</w:t>
            </w:r>
          </w:p>
        </w:tc>
        <w:tc>
          <w:tcPr>
            <w:tcW w:w="834" w:type="pct"/>
          </w:tcPr>
          <w:p w14:paraId="2339B77B" w14:textId="2D4D0198" w:rsidR="0019671E" w:rsidRPr="00210AC6" w:rsidRDefault="0019671E" w:rsidP="0019671E">
            <w:pPr>
              <w:rPr>
                <w:rFonts w:cs="Arial"/>
                <w:szCs w:val="16"/>
              </w:rPr>
            </w:pPr>
            <w:r w:rsidRPr="00210AC6">
              <w:rPr>
                <w:rFonts w:cs="Arial"/>
                <w:szCs w:val="16"/>
              </w:rPr>
              <w:t>93%</w:t>
            </w:r>
          </w:p>
        </w:tc>
        <w:tc>
          <w:tcPr>
            <w:tcW w:w="833" w:type="pct"/>
          </w:tcPr>
          <w:p w14:paraId="7840B150" w14:textId="6A0FC50C" w:rsidR="0019671E" w:rsidRPr="00210AC6" w:rsidRDefault="0019671E" w:rsidP="0019671E">
            <w:pPr>
              <w:rPr>
                <w:rFonts w:cs="Arial"/>
                <w:szCs w:val="16"/>
              </w:rPr>
            </w:pPr>
            <w:r w:rsidRPr="00210AC6">
              <w:rPr>
                <w:rFonts w:cs="Arial"/>
                <w:szCs w:val="16"/>
              </w:rPr>
              <w:t>2</w:t>
            </w:r>
          </w:p>
        </w:tc>
      </w:tr>
      <w:tr w:rsidR="0019671E" w:rsidRPr="00210AC6" w14:paraId="76362DFE" w14:textId="77777777" w:rsidTr="00FB3F34">
        <w:tc>
          <w:tcPr>
            <w:tcW w:w="3333" w:type="pct"/>
          </w:tcPr>
          <w:p w14:paraId="632B7BBA" w14:textId="77777777" w:rsidR="0019671E" w:rsidRPr="00210AC6" w:rsidRDefault="0019671E" w:rsidP="0019671E">
            <w:pPr>
              <w:rPr>
                <w:rFonts w:cs="Arial"/>
                <w:b/>
                <w:bCs/>
                <w:szCs w:val="16"/>
              </w:rPr>
            </w:pPr>
            <w:r w:rsidRPr="00210AC6">
              <w:rPr>
                <w:rFonts w:cs="Arial"/>
                <w:b/>
                <w:bCs/>
                <w:szCs w:val="16"/>
              </w:rPr>
              <w:t>Percentage of 8th Grade Children with Disabilities Participating in Regular Statewide Assessments</w:t>
            </w:r>
          </w:p>
        </w:tc>
        <w:tc>
          <w:tcPr>
            <w:tcW w:w="834" w:type="pct"/>
          </w:tcPr>
          <w:p w14:paraId="16367BD2" w14:textId="6986E939" w:rsidR="0019671E" w:rsidRPr="00210AC6" w:rsidRDefault="0019671E" w:rsidP="0019671E">
            <w:pPr>
              <w:rPr>
                <w:rFonts w:cs="Arial"/>
                <w:szCs w:val="16"/>
              </w:rPr>
            </w:pPr>
            <w:r w:rsidRPr="00210AC6">
              <w:rPr>
                <w:rFonts w:cs="Arial"/>
                <w:szCs w:val="16"/>
              </w:rPr>
              <w:t>94%</w:t>
            </w:r>
          </w:p>
        </w:tc>
        <w:tc>
          <w:tcPr>
            <w:tcW w:w="833" w:type="pct"/>
          </w:tcPr>
          <w:p w14:paraId="4338D452" w14:textId="060DA0F7" w:rsidR="0019671E" w:rsidRPr="00210AC6" w:rsidRDefault="0019671E" w:rsidP="0019671E">
            <w:pPr>
              <w:rPr>
                <w:rFonts w:cs="Arial"/>
                <w:szCs w:val="16"/>
              </w:rPr>
            </w:pPr>
            <w:r w:rsidRPr="00210AC6">
              <w:rPr>
                <w:rFonts w:cs="Arial"/>
                <w:szCs w:val="16"/>
              </w:rPr>
              <w:t>2</w:t>
            </w:r>
          </w:p>
        </w:tc>
      </w:tr>
      <w:tr w:rsidR="0019671E" w:rsidRPr="00210AC6" w14:paraId="6ACA5C8B" w14:textId="77777777" w:rsidTr="00FB3F34">
        <w:tc>
          <w:tcPr>
            <w:tcW w:w="3333" w:type="pct"/>
          </w:tcPr>
          <w:p w14:paraId="178F722C" w14:textId="77777777" w:rsidR="0019671E" w:rsidRPr="00210AC6" w:rsidRDefault="0019671E" w:rsidP="0019671E">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4" w:type="pct"/>
          </w:tcPr>
          <w:p w14:paraId="751BB010" w14:textId="709ECD3F" w:rsidR="0019671E" w:rsidRPr="00210AC6" w:rsidRDefault="0019671E" w:rsidP="0019671E">
            <w:pPr>
              <w:rPr>
                <w:rFonts w:cs="Arial"/>
                <w:szCs w:val="16"/>
              </w:rPr>
            </w:pPr>
            <w:r w:rsidRPr="00210AC6">
              <w:rPr>
                <w:rFonts w:cs="Arial"/>
                <w:szCs w:val="16"/>
              </w:rPr>
              <w:t>5%</w:t>
            </w:r>
          </w:p>
        </w:tc>
        <w:tc>
          <w:tcPr>
            <w:tcW w:w="833" w:type="pct"/>
          </w:tcPr>
          <w:p w14:paraId="423E4ADA" w14:textId="0CADE31A" w:rsidR="0019671E" w:rsidRPr="00210AC6" w:rsidRDefault="0019671E" w:rsidP="0019671E">
            <w:pPr>
              <w:rPr>
                <w:rFonts w:cs="Arial"/>
                <w:szCs w:val="16"/>
              </w:rPr>
            </w:pPr>
            <w:r w:rsidRPr="00210AC6">
              <w:rPr>
                <w:rFonts w:cs="Arial"/>
                <w:szCs w:val="16"/>
              </w:rPr>
              <w:t>0</w:t>
            </w:r>
          </w:p>
        </w:tc>
      </w:tr>
      <w:tr w:rsidR="0019671E" w:rsidRPr="00210AC6" w14:paraId="3940F80A" w14:textId="77777777" w:rsidTr="00FB3F34">
        <w:tc>
          <w:tcPr>
            <w:tcW w:w="3333" w:type="pct"/>
          </w:tcPr>
          <w:p w14:paraId="704D280B" w14:textId="77777777" w:rsidR="0019671E" w:rsidRPr="00210AC6" w:rsidRDefault="0019671E" w:rsidP="0019671E">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4" w:type="pct"/>
          </w:tcPr>
          <w:p w14:paraId="5B062F65" w14:textId="5FD7F636" w:rsidR="0019671E" w:rsidRPr="00210AC6" w:rsidRDefault="0019671E" w:rsidP="0019671E">
            <w:pPr>
              <w:rPr>
                <w:rFonts w:cs="Arial"/>
                <w:szCs w:val="16"/>
              </w:rPr>
            </w:pPr>
            <w:r w:rsidRPr="00210AC6">
              <w:rPr>
                <w:rFonts w:cs="Arial"/>
                <w:szCs w:val="16"/>
              </w:rPr>
              <w:t>100%</w:t>
            </w:r>
          </w:p>
        </w:tc>
        <w:tc>
          <w:tcPr>
            <w:tcW w:w="833" w:type="pct"/>
          </w:tcPr>
          <w:p w14:paraId="17552A35" w14:textId="1A894F87" w:rsidR="0019671E" w:rsidRPr="00210AC6" w:rsidRDefault="0019671E" w:rsidP="0019671E">
            <w:pPr>
              <w:rPr>
                <w:rFonts w:cs="Arial"/>
                <w:szCs w:val="16"/>
              </w:rPr>
            </w:pPr>
            <w:r w:rsidRPr="00210AC6">
              <w:rPr>
                <w:rFonts w:cs="Arial"/>
                <w:szCs w:val="16"/>
              </w:rPr>
              <w:t>1</w:t>
            </w:r>
          </w:p>
        </w:tc>
      </w:tr>
      <w:tr w:rsidR="0019671E" w:rsidRPr="00210AC6" w14:paraId="3328409B" w14:textId="77777777" w:rsidTr="00FB3F34">
        <w:tc>
          <w:tcPr>
            <w:tcW w:w="3333" w:type="pct"/>
          </w:tcPr>
          <w:p w14:paraId="0C7867BC" w14:textId="77777777" w:rsidR="0019671E" w:rsidRPr="00210AC6" w:rsidRDefault="0019671E" w:rsidP="0019671E">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4" w:type="pct"/>
          </w:tcPr>
          <w:p w14:paraId="02305172" w14:textId="6F908621" w:rsidR="0019671E" w:rsidRPr="00210AC6" w:rsidRDefault="0019671E" w:rsidP="0019671E">
            <w:pPr>
              <w:rPr>
                <w:rFonts w:cs="Arial"/>
                <w:szCs w:val="16"/>
              </w:rPr>
            </w:pPr>
            <w:r w:rsidRPr="00210AC6">
              <w:rPr>
                <w:rFonts w:cs="Arial"/>
                <w:szCs w:val="16"/>
              </w:rPr>
              <w:t>1%</w:t>
            </w:r>
          </w:p>
        </w:tc>
        <w:tc>
          <w:tcPr>
            <w:tcW w:w="833" w:type="pct"/>
          </w:tcPr>
          <w:p w14:paraId="12B13418" w14:textId="014DA8D1" w:rsidR="0019671E" w:rsidRPr="00210AC6" w:rsidRDefault="0019671E" w:rsidP="0019671E">
            <w:pPr>
              <w:rPr>
                <w:rFonts w:cs="Arial"/>
                <w:szCs w:val="16"/>
              </w:rPr>
            </w:pPr>
            <w:r w:rsidRPr="00210AC6">
              <w:rPr>
                <w:rFonts w:cs="Arial"/>
                <w:szCs w:val="16"/>
              </w:rPr>
              <w:t>0</w:t>
            </w:r>
          </w:p>
        </w:tc>
      </w:tr>
      <w:tr w:rsidR="0019671E" w:rsidRPr="00210AC6" w14:paraId="7EE431B9" w14:textId="77777777" w:rsidTr="00FB3F34">
        <w:tc>
          <w:tcPr>
            <w:tcW w:w="3333" w:type="pct"/>
          </w:tcPr>
          <w:p w14:paraId="2A435A85" w14:textId="77777777" w:rsidR="0019671E" w:rsidRPr="00210AC6" w:rsidRDefault="0019671E" w:rsidP="0019671E">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4" w:type="pct"/>
          </w:tcPr>
          <w:p w14:paraId="74F45C7B" w14:textId="79EE0E57" w:rsidR="0019671E" w:rsidRPr="00210AC6" w:rsidRDefault="0019671E" w:rsidP="0019671E">
            <w:pPr>
              <w:rPr>
                <w:rFonts w:cs="Arial"/>
                <w:szCs w:val="16"/>
              </w:rPr>
            </w:pPr>
            <w:r w:rsidRPr="00210AC6">
              <w:rPr>
                <w:rFonts w:cs="Arial"/>
                <w:szCs w:val="16"/>
              </w:rPr>
              <w:t>100%</w:t>
            </w:r>
          </w:p>
        </w:tc>
        <w:tc>
          <w:tcPr>
            <w:tcW w:w="833" w:type="pct"/>
          </w:tcPr>
          <w:p w14:paraId="5D8CD56A" w14:textId="372C2AD5" w:rsidR="0019671E" w:rsidRPr="00210AC6" w:rsidRDefault="0019671E" w:rsidP="0019671E">
            <w:pPr>
              <w:rPr>
                <w:rFonts w:cs="Arial"/>
                <w:szCs w:val="16"/>
              </w:rPr>
            </w:pPr>
            <w:r w:rsidRPr="00210AC6">
              <w:rPr>
                <w:rFonts w:cs="Arial"/>
                <w:szCs w:val="16"/>
              </w:rPr>
              <w:t>1</w:t>
            </w:r>
          </w:p>
        </w:tc>
      </w:tr>
    </w:tbl>
    <w:p w14:paraId="26B2A12B" w14:textId="1CD408FC" w:rsidR="00570930" w:rsidRDefault="00570930">
      <w:pPr>
        <w:spacing w:before="0" w:after="200" w:line="276" w:lineRule="auto"/>
        <w:rPr>
          <w:rFonts w:cs="Arial"/>
          <w:b/>
          <w:bCs/>
          <w:szCs w:val="16"/>
        </w:rPr>
      </w:pPr>
      <w:r>
        <w:rPr>
          <w:rFonts w:cs="Arial"/>
          <w:b/>
          <w:bCs/>
          <w:szCs w:val="16"/>
        </w:rPr>
        <w:br w:type="page"/>
      </w:r>
    </w:p>
    <w:p w14:paraId="575750B6" w14:textId="01189256" w:rsidR="004613BA" w:rsidRDefault="00BE0EEF" w:rsidP="00BE0EEF">
      <w:pPr>
        <w:rPr>
          <w:rFonts w:cs="Arial"/>
          <w:b/>
          <w:bCs/>
          <w:szCs w:val="16"/>
        </w:rPr>
      </w:pPr>
      <w:r w:rsidRPr="00210AC6">
        <w:rPr>
          <w:rFonts w:cs="Arial"/>
          <w:b/>
          <w:bCs/>
          <w:szCs w:val="16"/>
        </w:rPr>
        <w:lastRenderedPageBreak/>
        <w:t>Exiting Data Elements</w:t>
      </w:r>
    </w:p>
    <w:tbl>
      <w:tblPr>
        <w:tblStyle w:val="TableGrid1"/>
        <w:tblW w:w="5000" w:type="pct"/>
        <w:tblLook w:val="04A0" w:firstRow="1" w:lastRow="0" w:firstColumn="1" w:lastColumn="0" w:noHBand="0" w:noVBand="1"/>
        <w:tblCaption w:val="BENNSRSTCFFYEXIT"/>
      </w:tblPr>
      <w:tblGrid>
        <w:gridCol w:w="4939"/>
        <w:gridCol w:w="2877"/>
        <w:gridCol w:w="2974"/>
      </w:tblGrid>
      <w:tr w:rsidR="0075626F" w14:paraId="7384A561" w14:textId="77777777">
        <w:trPr>
          <w:divId w:val="380713603"/>
          <w:tblHeader/>
        </w:trPr>
        <w:tc>
          <w:tcPr>
            <w:tcW w:w="2289" w:type="pct"/>
            <w:tcBorders>
              <w:top w:val="single" w:sz="4" w:space="0" w:color="auto"/>
              <w:left w:val="single" w:sz="4" w:space="0" w:color="auto"/>
              <w:bottom w:val="single" w:sz="4" w:space="0" w:color="auto"/>
              <w:right w:val="single" w:sz="4" w:space="0" w:color="auto"/>
            </w:tcBorders>
            <w:hideMark/>
          </w:tcPr>
          <w:p w14:paraId="7D74420D" w14:textId="77777777" w:rsidR="0075626F" w:rsidRDefault="0075626F" w:rsidP="0075626F">
            <w:pPr>
              <w:rPr>
                <w:rFonts w:cs="Arial"/>
                <w:b/>
                <w:bCs/>
                <w:szCs w:val="16"/>
              </w:rPr>
            </w:pPr>
            <w:r>
              <w:rPr>
                <w:rFonts w:cs="Arial"/>
                <w:b/>
                <w:bCs/>
                <w:szCs w:val="16"/>
              </w:rPr>
              <w:t>Exiting Data Elements</w:t>
            </w:r>
          </w:p>
        </w:tc>
        <w:tc>
          <w:tcPr>
            <w:tcW w:w="1333" w:type="pct"/>
            <w:tcBorders>
              <w:top w:val="single" w:sz="4" w:space="0" w:color="auto"/>
              <w:left w:val="single" w:sz="4" w:space="0" w:color="auto"/>
              <w:bottom w:val="single" w:sz="4" w:space="0" w:color="auto"/>
              <w:right w:val="single" w:sz="4" w:space="0" w:color="auto"/>
            </w:tcBorders>
            <w:hideMark/>
          </w:tcPr>
          <w:p w14:paraId="7016EA73" w14:textId="77777777" w:rsidR="0075626F" w:rsidRDefault="0075626F" w:rsidP="0075626F">
            <w:pPr>
              <w:rPr>
                <w:rFonts w:cs="Arial"/>
                <w:b/>
                <w:bCs/>
                <w:szCs w:val="16"/>
              </w:rPr>
            </w:pPr>
            <w:r>
              <w:rPr>
                <w:rFonts w:cs="Arial"/>
                <w:b/>
                <w:bCs/>
                <w:szCs w:val="16"/>
              </w:rPr>
              <w:t>Performance (%)</w:t>
            </w:r>
          </w:p>
        </w:tc>
        <w:tc>
          <w:tcPr>
            <w:tcW w:w="1378" w:type="pct"/>
            <w:tcBorders>
              <w:top w:val="single" w:sz="4" w:space="0" w:color="auto"/>
              <w:left w:val="single" w:sz="4" w:space="0" w:color="auto"/>
              <w:bottom w:val="single" w:sz="4" w:space="0" w:color="auto"/>
              <w:right w:val="single" w:sz="4" w:space="0" w:color="auto"/>
            </w:tcBorders>
            <w:hideMark/>
          </w:tcPr>
          <w:p w14:paraId="3A2D3630" w14:textId="77777777" w:rsidR="0075626F" w:rsidRDefault="0075626F" w:rsidP="0075626F">
            <w:pPr>
              <w:rPr>
                <w:rFonts w:cs="Arial"/>
                <w:b/>
                <w:bCs/>
                <w:szCs w:val="16"/>
              </w:rPr>
            </w:pPr>
            <w:r>
              <w:rPr>
                <w:rFonts w:cs="Arial"/>
                <w:b/>
                <w:bCs/>
                <w:szCs w:val="16"/>
              </w:rPr>
              <w:t>Score</w:t>
            </w:r>
          </w:p>
        </w:tc>
      </w:tr>
      <w:tr w:rsidR="0075626F" w14:paraId="47FF2742"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42C96131" w14:textId="77777777" w:rsidR="0075626F" w:rsidRDefault="0075626F" w:rsidP="0075626F">
            <w:pPr>
              <w:rPr>
                <w:rFonts w:cs="Arial"/>
                <w:b/>
                <w:bCs/>
                <w:szCs w:val="16"/>
              </w:rPr>
            </w:pPr>
            <w:r>
              <w:rPr>
                <w:rFonts w:cs="Arial"/>
                <w:b/>
                <w:bCs/>
                <w:szCs w:val="16"/>
              </w:rPr>
              <w:t>Percentage of Children with Disabilities who Dropped Out</w:t>
            </w:r>
          </w:p>
        </w:tc>
        <w:tc>
          <w:tcPr>
            <w:tcW w:w="1333" w:type="pct"/>
            <w:tcBorders>
              <w:top w:val="single" w:sz="4" w:space="0" w:color="auto"/>
              <w:left w:val="single" w:sz="4" w:space="0" w:color="auto"/>
              <w:bottom w:val="single" w:sz="4" w:space="0" w:color="auto"/>
              <w:right w:val="single" w:sz="4" w:space="0" w:color="auto"/>
            </w:tcBorders>
            <w:hideMark/>
          </w:tcPr>
          <w:p w14:paraId="42A25E75" w14:textId="77777777" w:rsidR="0075626F" w:rsidRDefault="0075626F" w:rsidP="0075626F">
            <w:pPr>
              <w:rPr>
                <w:rFonts w:cs="Arial"/>
                <w:szCs w:val="16"/>
              </w:rPr>
            </w:pPr>
            <w:r>
              <w:rPr>
                <w:rFonts w:cs="Arial"/>
                <w:szCs w:val="16"/>
              </w:rPr>
              <w:t>31</w:t>
            </w:r>
          </w:p>
        </w:tc>
        <w:tc>
          <w:tcPr>
            <w:tcW w:w="1378" w:type="pct"/>
            <w:tcBorders>
              <w:top w:val="single" w:sz="4" w:space="0" w:color="auto"/>
              <w:left w:val="single" w:sz="4" w:space="0" w:color="auto"/>
              <w:bottom w:val="single" w:sz="4" w:space="0" w:color="auto"/>
              <w:right w:val="single" w:sz="4" w:space="0" w:color="auto"/>
            </w:tcBorders>
            <w:hideMark/>
          </w:tcPr>
          <w:p w14:paraId="6A0E772F" w14:textId="77777777" w:rsidR="0075626F" w:rsidRDefault="0075626F" w:rsidP="0075626F">
            <w:pPr>
              <w:rPr>
                <w:rFonts w:cs="Arial"/>
                <w:szCs w:val="16"/>
              </w:rPr>
            </w:pPr>
            <w:r>
              <w:rPr>
                <w:rFonts w:cs="Arial"/>
                <w:szCs w:val="16"/>
              </w:rPr>
              <w:t>0</w:t>
            </w:r>
          </w:p>
        </w:tc>
      </w:tr>
      <w:tr w:rsidR="0075626F" w14:paraId="7946F4E5"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2291D902" w14:textId="2BEE28A5" w:rsidR="0075626F" w:rsidRDefault="0075626F" w:rsidP="0075626F">
            <w:pPr>
              <w:rPr>
                <w:rFonts w:cs="Arial"/>
                <w:b/>
                <w:bCs/>
                <w:szCs w:val="16"/>
              </w:rPr>
            </w:pPr>
            <w:r>
              <w:rPr>
                <w:rFonts w:cs="Arial"/>
                <w:b/>
                <w:bCs/>
                <w:szCs w:val="16"/>
              </w:rPr>
              <w:t>Percentage of Children with Disabilities who Graduated with a Regular High School Diploma**</w:t>
            </w:r>
          </w:p>
        </w:tc>
        <w:tc>
          <w:tcPr>
            <w:tcW w:w="1333" w:type="pct"/>
            <w:tcBorders>
              <w:top w:val="single" w:sz="4" w:space="0" w:color="auto"/>
              <w:left w:val="single" w:sz="4" w:space="0" w:color="auto"/>
              <w:bottom w:val="single" w:sz="4" w:space="0" w:color="auto"/>
              <w:right w:val="single" w:sz="4" w:space="0" w:color="auto"/>
            </w:tcBorders>
            <w:hideMark/>
          </w:tcPr>
          <w:p w14:paraId="503EE6E2" w14:textId="77777777" w:rsidR="0075626F" w:rsidRDefault="0075626F" w:rsidP="0075626F">
            <w:pPr>
              <w:rPr>
                <w:rFonts w:cs="Arial"/>
                <w:szCs w:val="16"/>
              </w:rPr>
            </w:pPr>
            <w:r>
              <w:rPr>
                <w:rFonts w:cs="Arial"/>
                <w:szCs w:val="16"/>
              </w:rPr>
              <w:t>62</w:t>
            </w:r>
          </w:p>
        </w:tc>
        <w:tc>
          <w:tcPr>
            <w:tcW w:w="1378" w:type="pct"/>
            <w:tcBorders>
              <w:top w:val="single" w:sz="4" w:space="0" w:color="auto"/>
              <w:left w:val="single" w:sz="4" w:space="0" w:color="auto"/>
              <w:bottom w:val="single" w:sz="4" w:space="0" w:color="auto"/>
              <w:right w:val="single" w:sz="4" w:space="0" w:color="auto"/>
            </w:tcBorders>
            <w:hideMark/>
          </w:tcPr>
          <w:p w14:paraId="182C5F0B" w14:textId="77777777" w:rsidR="0075626F" w:rsidRDefault="0075626F" w:rsidP="0075626F">
            <w:pPr>
              <w:rPr>
                <w:rFonts w:cs="Arial"/>
                <w:szCs w:val="16"/>
              </w:rPr>
            </w:pPr>
            <w:r>
              <w:rPr>
                <w:rFonts w:cs="Arial"/>
                <w:szCs w:val="16"/>
              </w:rPr>
              <w:t>0</w:t>
            </w:r>
          </w:p>
        </w:tc>
      </w:tr>
    </w:tbl>
    <w:p w14:paraId="0C2E315C" w14:textId="00ACC19C" w:rsidR="00D12506" w:rsidRDefault="00C56EE8" w:rsidP="00BE0EEF">
      <w:pPr>
        <w:rPr>
          <w:rFonts w:cstheme="minorHAnsi"/>
          <w:szCs w:val="16"/>
        </w:rPr>
      </w:pPr>
      <w:r>
        <w:rPr>
          <w:rFonts w:cstheme="minorHAnsi"/>
          <w:szCs w:val="16"/>
        </w:rPr>
        <w:t xml:space="preserve">**When providing exiting data under section 618 of the IDEA, States </w:t>
      </w:r>
      <w:proofErr w:type="gramStart"/>
      <w:r>
        <w:rPr>
          <w:rFonts w:cstheme="minorHAnsi"/>
          <w:szCs w:val="16"/>
        </w:rPr>
        <w:t>are required</w:t>
      </w:r>
      <w:proofErr w:type="gramEnd"/>
      <w:r>
        <w:rPr>
          <w:rFonts w:cstheme="minorHAnsi"/>
          <w:szCs w:val="16"/>
        </w:rPr>
        <w:t xml:space="preserve"> to report on the number of students with disabilities who exited an educational program through receipt of a regular high school diploma. These students meet the same standards for graduation as those for students without disabilities. As explained in 34 C.F.R. § 300.102(a)(3)(iv), in effect June 30, 2017, “the term regular high school diploma means the standard high school diploma awarded to the preponderance of students in the State that is fully aligned with State standards, or a higher diploma, except that a regular high school diploma shall not be aligned to the alternate academic achievement standards described in section 1111(b)(1)(E) of the ESEA. A regular high school diploma does not include a recognized equivalent of a diploma, such as a general equivalency diploma, certificate of completion, certificate of attendance, or similar lesser credential.”</w:t>
      </w:r>
    </w:p>
    <w:p w14:paraId="0F9F6077" w14:textId="77777777" w:rsidR="00D12506" w:rsidRDefault="00D12506" w:rsidP="00BE0EEF">
      <w:pPr>
        <w:rPr>
          <w:rFonts w:cs="Arial"/>
          <w:b/>
          <w:bCs/>
          <w:szCs w:val="16"/>
        </w:rPr>
      </w:pPr>
    </w:p>
    <w:p w14:paraId="472B8AF6" w14:textId="67D424CA" w:rsidR="00BE0EEF" w:rsidRPr="00210AC6" w:rsidRDefault="00D12506" w:rsidP="00D12506">
      <w:pPr>
        <w:spacing w:before="0" w:after="200" w:line="276" w:lineRule="auto"/>
        <w:rPr>
          <w:rFonts w:cs="Arial"/>
          <w:b/>
          <w:bCs/>
          <w:szCs w:val="16"/>
        </w:rPr>
      </w:pPr>
      <w:r>
        <w:rPr>
          <w:rFonts w:cs="Arial"/>
          <w:b/>
          <w:bCs/>
          <w:szCs w:val="16"/>
        </w:rPr>
        <w:br w:type="page"/>
      </w:r>
      <w:r w:rsidR="00BE0EEF" w:rsidRPr="00210AC6">
        <w:rPr>
          <w:rFonts w:cs="Arial"/>
          <w:b/>
          <w:bCs/>
          <w:szCs w:val="16"/>
        </w:rPr>
        <w:lastRenderedPageBreak/>
        <w:t>2023 Part B Compliance Matrix</w:t>
      </w:r>
    </w:p>
    <w:tbl>
      <w:tblPr>
        <w:tblStyle w:val="TableGrid1"/>
        <w:tblW w:w="5004" w:type="pct"/>
        <w:tblLayout w:type="fixed"/>
        <w:tblLook w:val="04A0" w:firstRow="1" w:lastRow="0" w:firstColumn="1" w:lastColumn="0" w:noHBand="0" w:noVBand="1"/>
        <w:tblCaption w:val="BENNSRSTCFFYCMP"/>
      </w:tblPr>
      <w:tblGrid>
        <w:gridCol w:w="5408"/>
        <w:gridCol w:w="1797"/>
        <w:gridCol w:w="1797"/>
        <w:gridCol w:w="1797"/>
      </w:tblGrid>
      <w:tr w:rsidR="00BE0EEF" w:rsidRPr="00210AC6" w14:paraId="5D2BF1AF" w14:textId="77777777" w:rsidTr="00C74568">
        <w:trPr>
          <w:tblHeader/>
        </w:trPr>
        <w:tc>
          <w:tcPr>
            <w:tcW w:w="2504" w:type="pct"/>
          </w:tcPr>
          <w:p w14:paraId="6C7ED070" w14:textId="77777777" w:rsidR="00BE0EEF" w:rsidRPr="00210AC6" w:rsidRDefault="00BE0EEF" w:rsidP="002C333C">
            <w:pPr>
              <w:rPr>
                <w:rFonts w:cs="Arial"/>
                <w:b/>
                <w:bCs/>
                <w:szCs w:val="16"/>
              </w:rPr>
            </w:pPr>
            <w:r w:rsidRPr="00210AC6">
              <w:rPr>
                <w:rFonts w:cs="Arial"/>
                <w:b/>
                <w:bCs/>
                <w:szCs w:val="16"/>
              </w:rPr>
              <w:t>Part B Compliance Indicator</w:t>
            </w:r>
            <w:r w:rsidRPr="00210AC6">
              <w:rPr>
                <w:rStyle w:val="FootnoteReference"/>
                <w:rFonts w:cs="Arial"/>
                <w:b/>
                <w:bCs/>
                <w:szCs w:val="16"/>
              </w:rPr>
              <w:footnoteReference w:id="5"/>
            </w:r>
          </w:p>
        </w:tc>
        <w:tc>
          <w:tcPr>
            <w:tcW w:w="832" w:type="pct"/>
          </w:tcPr>
          <w:p w14:paraId="580F470E" w14:textId="77777777" w:rsidR="00BE0EEF" w:rsidRPr="00210AC6" w:rsidRDefault="00BE0EEF" w:rsidP="002C333C">
            <w:pPr>
              <w:rPr>
                <w:rFonts w:cs="Arial"/>
                <w:b/>
                <w:bCs/>
                <w:szCs w:val="16"/>
              </w:rPr>
            </w:pPr>
            <w:r w:rsidRPr="00210AC6">
              <w:rPr>
                <w:rFonts w:cs="Arial"/>
                <w:b/>
                <w:bCs/>
                <w:szCs w:val="16"/>
              </w:rPr>
              <w:t xml:space="preserve">Performance (%) </w:t>
            </w:r>
          </w:p>
        </w:tc>
        <w:tc>
          <w:tcPr>
            <w:tcW w:w="832" w:type="pct"/>
          </w:tcPr>
          <w:p w14:paraId="5D25D35A" w14:textId="77777777" w:rsidR="00BE0EEF" w:rsidRPr="00210AC6" w:rsidRDefault="00BE0EEF" w:rsidP="002C333C">
            <w:pPr>
              <w:rPr>
                <w:rFonts w:cs="Arial"/>
                <w:b/>
                <w:bCs/>
                <w:szCs w:val="16"/>
              </w:rPr>
            </w:pPr>
            <w:r w:rsidRPr="00210AC6">
              <w:rPr>
                <w:rFonts w:cs="Arial"/>
                <w:b/>
                <w:bCs/>
                <w:szCs w:val="16"/>
              </w:rPr>
              <w:t>Full Correction of Findings of Noncompliance Identified in FFY 2020</w:t>
            </w:r>
          </w:p>
        </w:tc>
        <w:tc>
          <w:tcPr>
            <w:tcW w:w="832" w:type="pct"/>
          </w:tcPr>
          <w:p w14:paraId="0F2A19C9" w14:textId="77777777" w:rsidR="00BE0EEF" w:rsidRPr="00210AC6" w:rsidRDefault="00BE0EEF" w:rsidP="002C333C">
            <w:pPr>
              <w:rPr>
                <w:rFonts w:cs="Arial"/>
                <w:b/>
                <w:bCs/>
                <w:szCs w:val="16"/>
              </w:rPr>
            </w:pPr>
            <w:r w:rsidRPr="00210AC6">
              <w:rPr>
                <w:rFonts w:cs="Arial"/>
                <w:b/>
                <w:bCs/>
                <w:szCs w:val="16"/>
              </w:rPr>
              <w:t>Score</w:t>
            </w:r>
          </w:p>
        </w:tc>
      </w:tr>
      <w:tr w:rsidR="00AA1152" w:rsidRPr="00210AC6" w14:paraId="58EE7EBF" w14:textId="77777777" w:rsidTr="00FB3F34">
        <w:tc>
          <w:tcPr>
            <w:tcW w:w="2504" w:type="pct"/>
          </w:tcPr>
          <w:p w14:paraId="79E3B338" w14:textId="77777777" w:rsidR="00AA1152" w:rsidRPr="00210AC6" w:rsidRDefault="00AA1152" w:rsidP="00AA1152">
            <w:pPr>
              <w:rPr>
                <w:rFonts w:cs="Arial"/>
                <w:b/>
                <w:bCs/>
                <w:szCs w:val="16"/>
              </w:rPr>
            </w:pPr>
            <w:r w:rsidRPr="00210AC6">
              <w:rPr>
                <w:rFonts w:cs="Arial"/>
                <w:b/>
                <w:bCs/>
                <w:szCs w:val="16"/>
              </w:rPr>
              <w:t>Indicator 4B: Significant discrepancy, by race and ethnicity, in the rate of suspension and expulsion, and policies, procedures or practices that contribute to the significant discrepancy and do not comply with specified requirements.</w:t>
            </w:r>
          </w:p>
        </w:tc>
        <w:tc>
          <w:tcPr>
            <w:tcW w:w="832" w:type="pct"/>
          </w:tcPr>
          <w:p w14:paraId="2F5F53B8" w14:textId="72EE73B0" w:rsidR="00AA1152" w:rsidRPr="00210AC6" w:rsidRDefault="00AA1152" w:rsidP="00AA1152">
            <w:pPr>
              <w:rPr>
                <w:rFonts w:cs="Arial"/>
                <w:szCs w:val="16"/>
              </w:rPr>
            </w:pPr>
            <w:r w:rsidRPr="00210AC6">
              <w:rPr>
                <w:rFonts w:cs="Arial"/>
                <w:szCs w:val="16"/>
              </w:rPr>
              <w:t>N/A</w:t>
            </w:r>
          </w:p>
        </w:tc>
        <w:tc>
          <w:tcPr>
            <w:tcW w:w="832" w:type="pct"/>
          </w:tcPr>
          <w:p w14:paraId="771B94BB" w14:textId="4E9D5A8F" w:rsidR="00AA1152" w:rsidRPr="00210AC6" w:rsidRDefault="00AA1152" w:rsidP="00AA1152">
            <w:pPr>
              <w:rPr>
                <w:rFonts w:cs="Arial"/>
                <w:szCs w:val="16"/>
              </w:rPr>
            </w:pPr>
            <w:r w:rsidRPr="00210AC6">
              <w:rPr>
                <w:rFonts w:cs="Arial"/>
                <w:szCs w:val="16"/>
              </w:rPr>
              <w:t>N/A</w:t>
            </w:r>
          </w:p>
        </w:tc>
        <w:tc>
          <w:tcPr>
            <w:tcW w:w="832" w:type="pct"/>
          </w:tcPr>
          <w:p w14:paraId="7825B06F" w14:textId="05A81092" w:rsidR="00AA1152" w:rsidRPr="00210AC6" w:rsidRDefault="00AA1152" w:rsidP="00AA1152">
            <w:pPr>
              <w:rPr>
                <w:rFonts w:cs="Arial"/>
                <w:szCs w:val="16"/>
              </w:rPr>
            </w:pPr>
            <w:r w:rsidRPr="00210AC6">
              <w:rPr>
                <w:rFonts w:cs="Arial"/>
                <w:szCs w:val="16"/>
              </w:rPr>
              <w:t>N/A</w:t>
            </w:r>
          </w:p>
        </w:tc>
      </w:tr>
      <w:tr w:rsidR="00AA1152" w:rsidRPr="00210AC6" w14:paraId="21C2980E" w14:textId="77777777" w:rsidTr="00FB3F34">
        <w:tc>
          <w:tcPr>
            <w:tcW w:w="2504" w:type="pct"/>
          </w:tcPr>
          <w:p w14:paraId="508138EE" w14:textId="77777777" w:rsidR="00AA1152" w:rsidRPr="00210AC6" w:rsidRDefault="00AA1152" w:rsidP="00AA1152">
            <w:pPr>
              <w:rPr>
                <w:rFonts w:cs="Arial"/>
                <w:b/>
                <w:bCs/>
                <w:szCs w:val="16"/>
              </w:rPr>
            </w:pPr>
            <w:r w:rsidRPr="00210AC6">
              <w:rPr>
                <w:rFonts w:cs="Arial"/>
                <w:b/>
                <w:bCs/>
                <w:szCs w:val="16"/>
              </w:rPr>
              <w:t>Indicator 9: Disproportionate representation of racial and ethnic groups in special education and related services due to inappropriate identification.</w:t>
            </w:r>
          </w:p>
        </w:tc>
        <w:tc>
          <w:tcPr>
            <w:tcW w:w="832" w:type="pct"/>
          </w:tcPr>
          <w:p w14:paraId="0871F09C" w14:textId="625E28D3" w:rsidR="00AA1152" w:rsidRPr="00210AC6" w:rsidRDefault="00AA1152" w:rsidP="00AA1152">
            <w:pPr>
              <w:rPr>
                <w:rFonts w:cs="Arial"/>
                <w:szCs w:val="16"/>
              </w:rPr>
            </w:pPr>
            <w:r w:rsidRPr="00210AC6">
              <w:rPr>
                <w:rFonts w:cs="Arial"/>
                <w:szCs w:val="16"/>
              </w:rPr>
              <w:t>N/A</w:t>
            </w:r>
          </w:p>
        </w:tc>
        <w:tc>
          <w:tcPr>
            <w:tcW w:w="832" w:type="pct"/>
          </w:tcPr>
          <w:p w14:paraId="1628449A" w14:textId="0D758D3E" w:rsidR="00AA1152" w:rsidRPr="00210AC6" w:rsidRDefault="00AA1152" w:rsidP="00AA1152">
            <w:pPr>
              <w:rPr>
                <w:rFonts w:cs="Arial"/>
                <w:szCs w:val="16"/>
              </w:rPr>
            </w:pPr>
            <w:r w:rsidRPr="00210AC6">
              <w:rPr>
                <w:rFonts w:cs="Arial"/>
                <w:szCs w:val="16"/>
              </w:rPr>
              <w:t>N/A</w:t>
            </w:r>
          </w:p>
        </w:tc>
        <w:tc>
          <w:tcPr>
            <w:tcW w:w="832" w:type="pct"/>
          </w:tcPr>
          <w:p w14:paraId="21DC76B4" w14:textId="71B82A2F" w:rsidR="00AA1152" w:rsidRPr="00210AC6" w:rsidRDefault="00AA1152" w:rsidP="00AA1152">
            <w:pPr>
              <w:rPr>
                <w:rFonts w:cs="Arial"/>
                <w:szCs w:val="16"/>
              </w:rPr>
            </w:pPr>
            <w:r w:rsidRPr="00210AC6">
              <w:rPr>
                <w:rFonts w:cs="Arial"/>
                <w:szCs w:val="16"/>
              </w:rPr>
              <w:t>N/A</w:t>
            </w:r>
          </w:p>
        </w:tc>
      </w:tr>
      <w:tr w:rsidR="00AA1152" w:rsidRPr="00210AC6" w14:paraId="03A38C11" w14:textId="77777777" w:rsidTr="00FB3F34">
        <w:tc>
          <w:tcPr>
            <w:tcW w:w="2504" w:type="pct"/>
          </w:tcPr>
          <w:p w14:paraId="4150218F" w14:textId="77777777" w:rsidR="00AA1152" w:rsidRPr="00210AC6" w:rsidRDefault="00AA1152" w:rsidP="00AA1152">
            <w:pPr>
              <w:rPr>
                <w:rFonts w:cs="Arial"/>
                <w:b/>
                <w:bCs/>
                <w:szCs w:val="16"/>
              </w:rPr>
            </w:pPr>
            <w:r w:rsidRPr="00210AC6">
              <w:rPr>
                <w:rFonts w:cs="Arial"/>
                <w:b/>
                <w:bCs/>
                <w:szCs w:val="16"/>
              </w:rPr>
              <w:t>Indicator 10: Disproportionate representation of racial and ethnic groups in specific disability categories due to inappropriate identification.</w:t>
            </w:r>
          </w:p>
        </w:tc>
        <w:tc>
          <w:tcPr>
            <w:tcW w:w="832" w:type="pct"/>
          </w:tcPr>
          <w:p w14:paraId="3A2447F0" w14:textId="2F7DA60E" w:rsidR="00AA1152" w:rsidRPr="00210AC6" w:rsidRDefault="00AA1152" w:rsidP="00AA1152">
            <w:pPr>
              <w:rPr>
                <w:rFonts w:cs="Arial"/>
                <w:szCs w:val="16"/>
              </w:rPr>
            </w:pPr>
            <w:r w:rsidRPr="00210AC6">
              <w:rPr>
                <w:rFonts w:cs="Arial"/>
                <w:szCs w:val="16"/>
              </w:rPr>
              <w:t>N/A</w:t>
            </w:r>
          </w:p>
        </w:tc>
        <w:tc>
          <w:tcPr>
            <w:tcW w:w="832" w:type="pct"/>
          </w:tcPr>
          <w:p w14:paraId="1CE885A0" w14:textId="000A00A6" w:rsidR="00AA1152" w:rsidRPr="00210AC6" w:rsidRDefault="00AA1152" w:rsidP="00AA1152">
            <w:pPr>
              <w:rPr>
                <w:rFonts w:cs="Arial"/>
                <w:szCs w:val="16"/>
              </w:rPr>
            </w:pPr>
            <w:r w:rsidRPr="00210AC6">
              <w:rPr>
                <w:rFonts w:cs="Arial"/>
                <w:szCs w:val="16"/>
              </w:rPr>
              <w:t>N/A</w:t>
            </w:r>
          </w:p>
        </w:tc>
        <w:tc>
          <w:tcPr>
            <w:tcW w:w="832" w:type="pct"/>
          </w:tcPr>
          <w:p w14:paraId="1F5B10E3" w14:textId="1AC79BCD" w:rsidR="00AA1152" w:rsidRPr="00210AC6" w:rsidRDefault="00AA1152" w:rsidP="00AA1152">
            <w:pPr>
              <w:rPr>
                <w:rFonts w:cs="Arial"/>
                <w:szCs w:val="16"/>
              </w:rPr>
            </w:pPr>
            <w:r w:rsidRPr="00210AC6">
              <w:rPr>
                <w:rFonts w:cs="Arial"/>
                <w:szCs w:val="16"/>
              </w:rPr>
              <w:t>N/A</w:t>
            </w:r>
          </w:p>
        </w:tc>
      </w:tr>
      <w:tr w:rsidR="00AA1152" w:rsidRPr="00210AC6" w14:paraId="785C2AF8" w14:textId="77777777" w:rsidTr="00FB3F34">
        <w:tc>
          <w:tcPr>
            <w:tcW w:w="2504" w:type="pct"/>
          </w:tcPr>
          <w:p w14:paraId="3441131C" w14:textId="77777777" w:rsidR="00AA1152" w:rsidRPr="00210AC6" w:rsidRDefault="00AA1152" w:rsidP="00AA1152">
            <w:pPr>
              <w:rPr>
                <w:rFonts w:cs="Arial"/>
                <w:b/>
                <w:bCs/>
                <w:szCs w:val="16"/>
              </w:rPr>
            </w:pPr>
            <w:r w:rsidRPr="00210AC6">
              <w:rPr>
                <w:rFonts w:cs="Arial"/>
                <w:b/>
                <w:bCs/>
                <w:szCs w:val="16"/>
              </w:rPr>
              <w:t>Indicator 11: Timely initial evaluation</w:t>
            </w:r>
          </w:p>
        </w:tc>
        <w:tc>
          <w:tcPr>
            <w:tcW w:w="832" w:type="pct"/>
          </w:tcPr>
          <w:p w14:paraId="3F86F615" w14:textId="0AA0A53C" w:rsidR="00AA1152" w:rsidRPr="00210AC6" w:rsidRDefault="00AA1152" w:rsidP="00AA1152">
            <w:pPr>
              <w:rPr>
                <w:rFonts w:cs="Arial"/>
                <w:szCs w:val="16"/>
              </w:rPr>
            </w:pPr>
            <w:r w:rsidRPr="00210AC6">
              <w:rPr>
                <w:rFonts w:cs="Arial"/>
                <w:szCs w:val="16"/>
              </w:rPr>
              <w:t>96.81%</w:t>
            </w:r>
          </w:p>
        </w:tc>
        <w:tc>
          <w:tcPr>
            <w:tcW w:w="832" w:type="pct"/>
          </w:tcPr>
          <w:p w14:paraId="379B6676" w14:textId="76488CD7" w:rsidR="00AA1152" w:rsidRPr="00210AC6" w:rsidRDefault="00AA1152" w:rsidP="00AA1152">
            <w:pPr>
              <w:rPr>
                <w:rFonts w:cs="Arial"/>
                <w:szCs w:val="16"/>
              </w:rPr>
            </w:pPr>
            <w:r w:rsidRPr="00210AC6">
              <w:rPr>
                <w:rFonts w:cs="Arial"/>
                <w:szCs w:val="16"/>
              </w:rPr>
              <w:t>YES</w:t>
            </w:r>
          </w:p>
        </w:tc>
        <w:tc>
          <w:tcPr>
            <w:tcW w:w="832" w:type="pct"/>
          </w:tcPr>
          <w:p w14:paraId="5FB686BF" w14:textId="58500CD0" w:rsidR="00AA1152" w:rsidRPr="00210AC6" w:rsidRDefault="00AA1152" w:rsidP="00AA1152">
            <w:pPr>
              <w:rPr>
                <w:rFonts w:cs="Arial"/>
                <w:szCs w:val="16"/>
              </w:rPr>
            </w:pPr>
            <w:r w:rsidRPr="00210AC6">
              <w:rPr>
                <w:rFonts w:cs="Arial"/>
                <w:szCs w:val="16"/>
              </w:rPr>
              <w:t>2</w:t>
            </w:r>
          </w:p>
        </w:tc>
      </w:tr>
      <w:tr w:rsidR="00AA1152" w:rsidRPr="00210AC6" w14:paraId="02526753" w14:textId="77777777" w:rsidTr="00FB3F34">
        <w:tc>
          <w:tcPr>
            <w:tcW w:w="2504" w:type="pct"/>
          </w:tcPr>
          <w:p w14:paraId="02E96748" w14:textId="77777777" w:rsidR="00AA1152" w:rsidRPr="00210AC6" w:rsidRDefault="00AA1152" w:rsidP="00AA1152">
            <w:pPr>
              <w:rPr>
                <w:rFonts w:cs="Arial"/>
                <w:b/>
                <w:bCs/>
                <w:szCs w:val="16"/>
              </w:rPr>
            </w:pPr>
            <w:r w:rsidRPr="00210AC6">
              <w:rPr>
                <w:rFonts w:cs="Arial"/>
                <w:b/>
                <w:bCs/>
                <w:szCs w:val="16"/>
              </w:rPr>
              <w:t>Indicator 12: IEP developed and implemented by third birthday</w:t>
            </w:r>
          </w:p>
        </w:tc>
        <w:tc>
          <w:tcPr>
            <w:tcW w:w="832" w:type="pct"/>
          </w:tcPr>
          <w:p w14:paraId="4F2BD9F2" w14:textId="398FC4CF" w:rsidR="00AA1152" w:rsidRPr="00210AC6" w:rsidRDefault="00AA1152" w:rsidP="00AA1152">
            <w:pPr>
              <w:rPr>
                <w:rFonts w:cs="Arial"/>
                <w:szCs w:val="16"/>
              </w:rPr>
            </w:pPr>
            <w:r w:rsidRPr="00210AC6">
              <w:rPr>
                <w:rFonts w:cs="Arial"/>
                <w:szCs w:val="16"/>
              </w:rPr>
              <w:t>96.03%</w:t>
            </w:r>
          </w:p>
        </w:tc>
        <w:tc>
          <w:tcPr>
            <w:tcW w:w="832" w:type="pct"/>
          </w:tcPr>
          <w:p w14:paraId="6054F9DF" w14:textId="6A2554B4" w:rsidR="00AA1152" w:rsidRPr="00210AC6" w:rsidRDefault="00AA1152" w:rsidP="00AA1152">
            <w:pPr>
              <w:rPr>
                <w:rFonts w:cs="Arial"/>
                <w:szCs w:val="16"/>
              </w:rPr>
            </w:pPr>
            <w:r w:rsidRPr="00210AC6">
              <w:rPr>
                <w:rFonts w:cs="Arial"/>
                <w:szCs w:val="16"/>
              </w:rPr>
              <w:t>YES</w:t>
            </w:r>
          </w:p>
        </w:tc>
        <w:tc>
          <w:tcPr>
            <w:tcW w:w="832" w:type="pct"/>
          </w:tcPr>
          <w:p w14:paraId="3702D281" w14:textId="352F6EC2" w:rsidR="00AA1152" w:rsidRPr="00210AC6" w:rsidRDefault="00AA1152" w:rsidP="00AA1152">
            <w:pPr>
              <w:rPr>
                <w:rFonts w:cs="Arial"/>
                <w:szCs w:val="16"/>
              </w:rPr>
            </w:pPr>
            <w:r w:rsidRPr="00210AC6">
              <w:rPr>
                <w:rFonts w:cs="Arial"/>
                <w:szCs w:val="16"/>
              </w:rPr>
              <w:t>2</w:t>
            </w:r>
          </w:p>
        </w:tc>
      </w:tr>
      <w:tr w:rsidR="00AA1152" w:rsidRPr="00210AC6" w14:paraId="74763DC8" w14:textId="77777777" w:rsidTr="00FB3F34">
        <w:tc>
          <w:tcPr>
            <w:tcW w:w="2504" w:type="pct"/>
          </w:tcPr>
          <w:p w14:paraId="2E528111" w14:textId="77777777" w:rsidR="00AA1152" w:rsidRPr="00210AC6" w:rsidRDefault="00AA1152" w:rsidP="00AA1152">
            <w:pPr>
              <w:rPr>
                <w:rFonts w:cs="Arial"/>
                <w:b/>
                <w:bCs/>
                <w:szCs w:val="16"/>
              </w:rPr>
            </w:pPr>
            <w:r w:rsidRPr="00210AC6">
              <w:rPr>
                <w:rFonts w:cs="Arial"/>
                <w:b/>
                <w:bCs/>
                <w:szCs w:val="16"/>
              </w:rPr>
              <w:t>Indicator 13: Secondary transition</w:t>
            </w:r>
          </w:p>
        </w:tc>
        <w:tc>
          <w:tcPr>
            <w:tcW w:w="832" w:type="pct"/>
          </w:tcPr>
          <w:p w14:paraId="2E2E3F92" w14:textId="0CE14D00" w:rsidR="00AA1152" w:rsidRPr="00210AC6" w:rsidRDefault="00AA1152" w:rsidP="00AA1152">
            <w:pPr>
              <w:rPr>
                <w:rFonts w:cs="Arial"/>
                <w:szCs w:val="16"/>
              </w:rPr>
            </w:pPr>
            <w:r w:rsidRPr="00210AC6">
              <w:rPr>
                <w:rFonts w:cs="Arial"/>
                <w:szCs w:val="16"/>
              </w:rPr>
              <w:t>97.62%</w:t>
            </w:r>
          </w:p>
        </w:tc>
        <w:tc>
          <w:tcPr>
            <w:tcW w:w="832" w:type="pct"/>
          </w:tcPr>
          <w:p w14:paraId="3F499F14" w14:textId="09C97ADF" w:rsidR="00AA1152" w:rsidRPr="00210AC6" w:rsidRDefault="00AA1152" w:rsidP="00AA1152">
            <w:pPr>
              <w:rPr>
                <w:rFonts w:cs="Arial"/>
                <w:szCs w:val="16"/>
              </w:rPr>
            </w:pPr>
            <w:r w:rsidRPr="00210AC6">
              <w:rPr>
                <w:rFonts w:cs="Arial"/>
                <w:szCs w:val="16"/>
              </w:rPr>
              <w:t>YES</w:t>
            </w:r>
          </w:p>
        </w:tc>
        <w:tc>
          <w:tcPr>
            <w:tcW w:w="832" w:type="pct"/>
          </w:tcPr>
          <w:p w14:paraId="06689058" w14:textId="117B6780" w:rsidR="00AA1152" w:rsidRPr="00210AC6" w:rsidRDefault="00AA1152" w:rsidP="00AA1152">
            <w:pPr>
              <w:rPr>
                <w:rFonts w:cs="Arial"/>
                <w:szCs w:val="16"/>
              </w:rPr>
            </w:pPr>
            <w:r w:rsidRPr="00210AC6">
              <w:rPr>
                <w:rFonts w:cs="Arial"/>
                <w:szCs w:val="16"/>
              </w:rPr>
              <w:t>2</w:t>
            </w:r>
          </w:p>
        </w:tc>
      </w:tr>
      <w:tr w:rsidR="00AA1152" w:rsidRPr="00210AC6" w14:paraId="5B73C8AC" w14:textId="77777777" w:rsidTr="00AA1152">
        <w:tc>
          <w:tcPr>
            <w:tcW w:w="2504" w:type="pct"/>
          </w:tcPr>
          <w:p w14:paraId="772D1C3C" w14:textId="77777777" w:rsidR="00AA1152" w:rsidRPr="00210AC6" w:rsidRDefault="00AA1152" w:rsidP="00AA1152">
            <w:pPr>
              <w:rPr>
                <w:rFonts w:cs="Arial"/>
                <w:b/>
                <w:bCs/>
                <w:szCs w:val="16"/>
              </w:rPr>
            </w:pPr>
            <w:r w:rsidRPr="00210AC6">
              <w:rPr>
                <w:rFonts w:cs="Arial"/>
                <w:b/>
                <w:bCs/>
                <w:szCs w:val="16"/>
              </w:rPr>
              <w:t>Timely and Accurate State-Reported Data</w:t>
            </w:r>
          </w:p>
        </w:tc>
        <w:tc>
          <w:tcPr>
            <w:tcW w:w="832" w:type="pct"/>
          </w:tcPr>
          <w:p w14:paraId="18A1304C" w14:textId="765F1D9B"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7AC688E1" w14:textId="77777777" w:rsidR="00AA1152" w:rsidRPr="00210AC6" w:rsidRDefault="00AA1152" w:rsidP="00AA1152">
            <w:pPr>
              <w:rPr>
                <w:rFonts w:cs="Arial"/>
                <w:szCs w:val="16"/>
              </w:rPr>
            </w:pPr>
          </w:p>
        </w:tc>
        <w:tc>
          <w:tcPr>
            <w:tcW w:w="832" w:type="pct"/>
          </w:tcPr>
          <w:p w14:paraId="2D7E2590" w14:textId="5F40EEE6" w:rsidR="00AA1152" w:rsidRPr="00210AC6" w:rsidRDefault="00AA1152" w:rsidP="00AA1152">
            <w:pPr>
              <w:rPr>
                <w:rFonts w:cs="Arial"/>
                <w:szCs w:val="16"/>
              </w:rPr>
            </w:pPr>
            <w:r w:rsidRPr="00210AC6">
              <w:rPr>
                <w:rFonts w:cs="Arial"/>
                <w:szCs w:val="16"/>
              </w:rPr>
              <w:t>2</w:t>
            </w:r>
          </w:p>
        </w:tc>
      </w:tr>
      <w:tr w:rsidR="00AA1152" w:rsidRPr="00210AC6" w14:paraId="5B2DC82D" w14:textId="77777777" w:rsidTr="00AA1152">
        <w:tc>
          <w:tcPr>
            <w:tcW w:w="2504" w:type="pct"/>
          </w:tcPr>
          <w:p w14:paraId="03E653A4" w14:textId="77777777" w:rsidR="00AA1152" w:rsidRPr="00210AC6" w:rsidRDefault="00AA1152" w:rsidP="00AA1152">
            <w:pPr>
              <w:rPr>
                <w:rFonts w:cs="Arial"/>
                <w:b/>
                <w:bCs/>
                <w:szCs w:val="16"/>
              </w:rPr>
            </w:pPr>
            <w:r w:rsidRPr="00210AC6">
              <w:rPr>
                <w:rFonts w:cs="Arial"/>
                <w:b/>
                <w:bCs/>
                <w:szCs w:val="16"/>
              </w:rPr>
              <w:t>Timely State Complaint Decisions</w:t>
            </w:r>
          </w:p>
        </w:tc>
        <w:tc>
          <w:tcPr>
            <w:tcW w:w="832" w:type="pct"/>
          </w:tcPr>
          <w:p w14:paraId="3623764C" w14:textId="2150291E" w:rsidR="00AA1152" w:rsidRPr="00210AC6" w:rsidRDefault="00AA1152" w:rsidP="00AA1152">
            <w:pPr>
              <w:rPr>
                <w:rFonts w:cs="Arial"/>
                <w:szCs w:val="16"/>
              </w:rPr>
            </w:pPr>
            <w:r w:rsidRPr="00210AC6">
              <w:rPr>
                <w:rFonts w:cs="Arial"/>
                <w:szCs w:val="16"/>
              </w:rPr>
              <w:t>0.00%</w:t>
            </w:r>
          </w:p>
        </w:tc>
        <w:tc>
          <w:tcPr>
            <w:tcW w:w="832" w:type="pct"/>
            <w:shd w:val="clear" w:color="auto" w:fill="D9D9D9" w:themeFill="background1" w:themeFillShade="D9"/>
          </w:tcPr>
          <w:p w14:paraId="097E1289" w14:textId="77777777" w:rsidR="00AA1152" w:rsidRPr="00210AC6" w:rsidRDefault="00AA1152" w:rsidP="00AA1152">
            <w:pPr>
              <w:rPr>
                <w:rFonts w:cs="Arial"/>
                <w:szCs w:val="16"/>
              </w:rPr>
            </w:pPr>
          </w:p>
        </w:tc>
        <w:tc>
          <w:tcPr>
            <w:tcW w:w="832" w:type="pct"/>
          </w:tcPr>
          <w:p w14:paraId="4499CBD7" w14:textId="4E7EAE4B" w:rsidR="00AA1152" w:rsidRPr="00210AC6" w:rsidRDefault="00AA1152" w:rsidP="00AA1152">
            <w:pPr>
              <w:rPr>
                <w:rFonts w:cs="Arial"/>
                <w:szCs w:val="16"/>
              </w:rPr>
            </w:pPr>
            <w:r w:rsidRPr="00210AC6">
              <w:rPr>
                <w:rFonts w:cs="Arial"/>
                <w:szCs w:val="16"/>
              </w:rPr>
              <w:t>0</w:t>
            </w:r>
          </w:p>
        </w:tc>
      </w:tr>
      <w:tr w:rsidR="00AA1152" w:rsidRPr="00210AC6" w14:paraId="4BFA68EF" w14:textId="77777777" w:rsidTr="00AA1152">
        <w:tc>
          <w:tcPr>
            <w:tcW w:w="2504" w:type="pct"/>
          </w:tcPr>
          <w:p w14:paraId="066554B9" w14:textId="77777777" w:rsidR="00AA1152" w:rsidRPr="00210AC6" w:rsidRDefault="00AA1152" w:rsidP="00AA1152">
            <w:pPr>
              <w:rPr>
                <w:rFonts w:cs="Arial"/>
                <w:b/>
                <w:bCs/>
                <w:szCs w:val="16"/>
              </w:rPr>
            </w:pPr>
            <w:r w:rsidRPr="00210AC6">
              <w:rPr>
                <w:rFonts w:cs="Arial"/>
                <w:b/>
                <w:bCs/>
                <w:szCs w:val="16"/>
              </w:rPr>
              <w:t>Timely Due Process Hearing Decisions</w:t>
            </w:r>
          </w:p>
        </w:tc>
        <w:tc>
          <w:tcPr>
            <w:tcW w:w="832" w:type="pct"/>
          </w:tcPr>
          <w:p w14:paraId="786FDFAC" w14:textId="6F373ECA" w:rsidR="00AA1152" w:rsidRPr="00210AC6" w:rsidRDefault="00AA1152" w:rsidP="00AA1152">
            <w:pPr>
              <w:rPr>
                <w:rFonts w:cs="Arial"/>
                <w:szCs w:val="16"/>
              </w:rPr>
            </w:pPr>
            <w:r w:rsidRPr="00210AC6">
              <w:rPr>
                <w:rFonts w:cs="Arial"/>
                <w:szCs w:val="16"/>
              </w:rPr>
              <w:t>99.33%</w:t>
            </w:r>
          </w:p>
        </w:tc>
        <w:tc>
          <w:tcPr>
            <w:tcW w:w="832" w:type="pct"/>
            <w:shd w:val="clear" w:color="auto" w:fill="D9D9D9" w:themeFill="background1" w:themeFillShade="D9"/>
          </w:tcPr>
          <w:p w14:paraId="76E4B89A" w14:textId="77777777" w:rsidR="00AA1152" w:rsidRPr="00210AC6" w:rsidRDefault="00AA1152" w:rsidP="00AA1152">
            <w:pPr>
              <w:rPr>
                <w:rFonts w:cs="Arial"/>
                <w:szCs w:val="16"/>
              </w:rPr>
            </w:pPr>
          </w:p>
        </w:tc>
        <w:tc>
          <w:tcPr>
            <w:tcW w:w="832" w:type="pct"/>
          </w:tcPr>
          <w:p w14:paraId="3F8AD42C" w14:textId="7F0D6356" w:rsidR="00AA1152" w:rsidRPr="00210AC6" w:rsidRDefault="00AA1152" w:rsidP="00AA1152">
            <w:pPr>
              <w:rPr>
                <w:rFonts w:cs="Arial"/>
                <w:szCs w:val="16"/>
              </w:rPr>
            </w:pPr>
            <w:r w:rsidRPr="00210AC6">
              <w:rPr>
                <w:rFonts w:cs="Arial"/>
                <w:szCs w:val="16"/>
              </w:rPr>
              <w:t>2</w:t>
            </w:r>
          </w:p>
        </w:tc>
      </w:tr>
      <w:tr w:rsidR="00AA1152" w:rsidRPr="00210AC6" w14:paraId="26770970" w14:textId="77777777" w:rsidTr="00AA1152">
        <w:tc>
          <w:tcPr>
            <w:tcW w:w="2504" w:type="pct"/>
          </w:tcPr>
          <w:p w14:paraId="60988791" w14:textId="77777777" w:rsidR="00AA1152" w:rsidRPr="00210AC6" w:rsidRDefault="00AA1152" w:rsidP="00AA1152">
            <w:pPr>
              <w:rPr>
                <w:rFonts w:cs="Arial"/>
                <w:b/>
                <w:bCs/>
                <w:szCs w:val="16"/>
              </w:rPr>
            </w:pPr>
            <w:r w:rsidRPr="00210AC6">
              <w:rPr>
                <w:rFonts w:cs="Arial"/>
                <w:b/>
                <w:bCs/>
                <w:szCs w:val="16"/>
              </w:rPr>
              <w:t>Longstanding Noncompliance</w:t>
            </w:r>
          </w:p>
        </w:tc>
        <w:tc>
          <w:tcPr>
            <w:tcW w:w="832" w:type="pct"/>
            <w:shd w:val="clear" w:color="auto" w:fill="D9D9D9" w:themeFill="background1" w:themeFillShade="D9"/>
          </w:tcPr>
          <w:p w14:paraId="5695B159" w14:textId="77777777" w:rsidR="00AA1152" w:rsidRPr="00210AC6" w:rsidRDefault="00AA1152" w:rsidP="00AA1152">
            <w:pPr>
              <w:rPr>
                <w:rFonts w:cs="Arial"/>
                <w:szCs w:val="16"/>
              </w:rPr>
            </w:pPr>
          </w:p>
        </w:tc>
        <w:tc>
          <w:tcPr>
            <w:tcW w:w="832" w:type="pct"/>
            <w:shd w:val="clear" w:color="auto" w:fill="D9D9D9" w:themeFill="background1" w:themeFillShade="D9"/>
          </w:tcPr>
          <w:p w14:paraId="47C17DD8" w14:textId="77777777" w:rsidR="00AA1152" w:rsidRPr="00210AC6" w:rsidRDefault="00AA1152" w:rsidP="00AA1152">
            <w:pPr>
              <w:rPr>
                <w:rFonts w:cs="Arial"/>
                <w:szCs w:val="16"/>
              </w:rPr>
            </w:pPr>
          </w:p>
        </w:tc>
        <w:tc>
          <w:tcPr>
            <w:tcW w:w="832" w:type="pct"/>
          </w:tcPr>
          <w:p w14:paraId="6505B17E" w14:textId="4908393C" w:rsidR="00AA1152" w:rsidRPr="00210AC6" w:rsidRDefault="00AA1152" w:rsidP="00AA1152">
            <w:pPr>
              <w:rPr>
                <w:rFonts w:cs="Arial"/>
                <w:szCs w:val="16"/>
              </w:rPr>
            </w:pPr>
            <w:r w:rsidRPr="00210AC6">
              <w:rPr>
                <w:rFonts w:cs="Arial"/>
                <w:szCs w:val="16"/>
              </w:rPr>
              <w:t>2</w:t>
            </w:r>
          </w:p>
        </w:tc>
      </w:tr>
      <w:tr w:rsidR="00210AC6" w:rsidRPr="00210AC6" w14:paraId="37FD1A53" w14:textId="77777777" w:rsidTr="00AA1152">
        <w:tc>
          <w:tcPr>
            <w:tcW w:w="2504" w:type="pct"/>
          </w:tcPr>
          <w:p w14:paraId="3FB1DF49" w14:textId="77777777" w:rsidR="00AA1152" w:rsidRPr="00210AC6" w:rsidRDefault="00AA1152" w:rsidP="00FB3CF2">
            <w:pPr>
              <w:ind w:left="720"/>
              <w:rPr>
                <w:rFonts w:cs="Arial"/>
                <w:b/>
                <w:bCs/>
                <w:szCs w:val="16"/>
              </w:rPr>
            </w:pPr>
            <w:r w:rsidRPr="00210AC6">
              <w:rPr>
                <w:rFonts w:cs="Arial"/>
                <w:b/>
                <w:bCs/>
                <w:szCs w:val="16"/>
              </w:rPr>
              <w:t>Specific Conditions</w:t>
            </w:r>
          </w:p>
        </w:tc>
        <w:tc>
          <w:tcPr>
            <w:tcW w:w="832" w:type="pct"/>
          </w:tcPr>
          <w:p w14:paraId="25CFC5F1" w14:textId="52880491"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2EE980E6" w14:textId="77777777" w:rsidR="00AA1152" w:rsidRPr="00210AC6" w:rsidRDefault="00AA1152" w:rsidP="00AA1152">
            <w:pPr>
              <w:rPr>
                <w:rFonts w:cs="Arial"/>
                <w:szCs w:val="16"/>
              </w:rPr>
            </w:pPr>
          </w:p>
        </w:tc>
        <w:tc>
          <w:tcPr>
            <w:tcW w:w="832" w:type="pct"/>
            <w:shd w:val="clear" w:color="auto" w:fill="D9D9D9" w:themeFill="background1" w:themeFillShade="D9"/>
          </w:tcPr>
          <w:p w14:paraId="4F02C2EF" w14:textId="77777777" w:rsidR="00AA1152" w:rsidRPr="00210AC6" w:rsidRDefault="00AA1152" w:rsidP="00AA1152">
            <w:pPr>
              <w:rPr>
                <w:rFonts w:cs="Arial"/>
                <w:szCs w:val="16"/>
              </w:rPr>
            </w:pPr>
          </w:p>
        </w:tc>
      </w:tr>
      <w:tr w:rsidR="00AA1152" w:rsidRPr="00210AC6" w14:paraId="280FAD4D" w14:textId="77777777" w:rsidTr="00AA1152">
        <w:tc>
          <w:tcPr>
            <w:tcW w:w="2504" w:type="pct"/>
          </w:tcPr>
          <w:p w14:paraId="03E7B148" w14:textId="77777777" w:rsidR="00AA1152" w:rsidRPr="00210AC6" w:rsidRDefault="00AA1152" w:rsidP="00FB3CF2">
            <w:pPr>
              <w:ind w:left="720"/>
              <w:rPr>
                <w:rFonts w:cs="Arial"/>
                <w:b/>
                <w:bCs/>
                <w:szCs w:val="16"/>
              </w:rPr>
            </w:pPr>
            <w:r w:rsidRPr="00210AC6">
              <w:rPr>
                <w:rFonts w:cs="Arial"/>
                <w:b/>
                <w:bCs/>
                <w:szCs w:val="16"/>
              </w:rPr>
              <w:t>Uncorrected identified noncompliance</w:t>
            </w:r>
          </w:p>
        </w:tc>
        <w:tc>
          <w:tcPr>
            <w:tcW w:w="832" w:type="pct"/>
          </w:tcPr>
          <w:p w14:paraId="6A88C370" w14:textId="640AB405"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1BBE86F1" w14:textId="77777777" w:rsidR="00AA1152" w:rsidRPr="00210AC6" w:rsidRDefault="00AA1152" w:rsidP="00AA1152">
            <w:pPr>
              <w:rPr>
                <w:rFonts w:cs="Arial"/>
                <w:szCs w:val="16"/>
              </w:rPr>
            </w:pPr>
          </w:p>
        </w:tc>
        <w:tc>
          <w:tcPr>
            <w:tcW w:w="832" w:type="pct"/>
            <w:shd w:val="clear" w:color="auto" w:fill="D9D9D9" w:themeFill="background1" w:themeFillShade="D9"/>
          </w:tcPr>
          <w:p w14:paraId="774B8A90" w14:textId="77777777" w:rsidR="00AA1152" w:rsidRPr="00210AC6" w:rsidRDefault="00AA1152" w:rsidP="00AA1152">
            <w:pPr>
              <w:rPr>
                <w:rFonts w:cs="Arial"/>
                <w:szCs w:val="16"/>
              </w:rPr>
            </w:pPr>
          </w:p>
        </w:tc>
      </w:tr>
    </w:tbl>
    <w:p w14:paraId="72E10240" w14:textId="77777777" w:rsidR="00B42C5F" w:rsidRPr="00210AC6" w:rsidRDefault="00B42C5F" w:rsidP="00BE0EEF">
      <w:pPr>
        <w:rPr>
          <w:rFonts w:cs="Arial"/>
          <w:b/>
          <w:szCs w:val="16"/>
        </w:rPr>
      </w:pPr>
    </w:p>
    <w:p w14:paraId="329F2F2C" w14:textId="77777777" w:rsidR="006A44D8" w:rsidRDefault="006A44D8">
      <w:pPr>
        <w:spacing w:before="0" w:after="200" w:line="276" w:lineRule="auto"/>
        <w:rPr>
          <w:rFonts w:eastAsiaTheme="majorEastAsia" w:cstheme="majorBidi"/>
          <w:b/>
          <w:bCs/>
          <w:sz w:val="20"/>
          <w:szCs w:val="26"/>
        </w:rPr>
      </w:pPr>
      <w:r>
        <w:br w:type="page"/>
      </w:r>
    </w:p>
    <w:p w14:paraId="594193B2" w14:textId="16D7A99F" w:rsidR="00BE0EEF" w:rsidRDefault="00BE0EEF" w:rsidP="00BE0EEF">
      <w:pPr>
        <w:pStyle w:val="Heading2"/>
      </w:pPr>
      <w:r w:rsidRPr="003E43D9">
        <w:lastRenderedPageBreak/>
        <w:t>Data Rubric</w:t>
      </w:r>
    </w:p>
    <w:p w14:paraId="4308545C" w14:textId="77777777" w:rsidR="000C3A99" w:rsidRPr="000C3A99" w:rsidRDefault="000C3A99" w:rsidP="000C3A99">
      <w:pPr>
        <w:rPr>
          <w:b/>
          <w:bCs/>
          <w:sz w:val="20"/>
          <w:szCs w:val="28"/>
        </w:rPr>
      </w:pPr>
      <w:r w:rsidRPr="000C3A99">
        <w:rPr>
          <w:b/>
          <w:bCs/>
          <w:sz w:val="20"/>
          <w:szCs w:val="28"/>
        </w:rPr>
        <w:t>Puerto Rico</w:t>
      </w:r>
    </w:p>
    <w:p w14:paraId="53496DDB" w14:textId="77777777" w:rsidR="000C3A99" w:rsidRPr="000C3A99" w:rsidRDefault="000C3A99" w:rsidP="000C3A99"/>
    <w:p w14:paraId="27E7D5D5" w14:textId="314242AE" w:rsidR="00110BB6" w:rsidRDefault="00110BB6" w:rsidP="00110BB6">
      <w:pPr>
        <w:jc w:val="center"/>
      </w:pPr>
      <w:r>
        <w:t>FFY 2021 APR</w:t>
      </w:r>
      <w:r w:rsidR="00A47134">
        <w:rPr>
          <w:rStyle w:val="FootnoteReference"/>
        </w:rPr>
        <w:footnoteReference w:id="6"/>
      </w:r>
    </w:p>
    <w:tbl>
      <w:tblPr>
        <w:tblStyle w:val="TableGrid1"/>
        <w:tblW w:w="9824" w:type="dxa"/>
        <w:tblLook w:val="04A0" w:firstRow="1" w:lastRow="0" w:firstColumn="1" w:lastColumn="0" w:noHBand="0" w:noVBand="1"/>
        <w:tblCaption w:val="BRUBCFFYINDVRSTAT"/>
      </w:tblPr>
      <w:tblGrid>
        <w:gridCol w:w="1866"/>
        <w:gridCol w:w="5260"/>
        <w:gridCol w:w="2698"/>
      </w:tblGrid>
      <w:tr w:rsidR="00FB3F34" w:rsidRPr="00210AC6" w14:paraId="1EDB9080" w14:textId="77777777" w:rsidTr="00E31D6F">
        <w:trPr>
          <w:trHeight w:val="432"/>
          <w:tblHeader/>
        </w:trPr>
        <w:tc>
          <w:tcPr>
            <w:tcW w:w="1866" w:type="dxa"/>
            <w:hideMark/>
          </w:tcPr>
          <w:p w14:paraId="7CCEA6CA" w14:textId="68305EB8" w:rsidR="00FB3F34" w:rsidRPr="00210AC6" w:rsidRDefault="00371FAA" w:rsidP="006620B0">
            <w:pPr>
              <w:spacing w:before="0" w:after="0"/>
              <w:jc w:val="center"/>
              <w:rPr>
                <w:rFonts w:eastAsia="Times New Roman" w:cs="Arial"/>
                <w:szCs w:val="16"/>
              </w:rPr>
            </w:pPr>
            <w:r>
              <w:tab/>
            </w:r>
          </w:p>
        </w:tc>
        <w:tc>
          <w:tcPr>
            <w:tcW w:w="5260" w:type="dxa"/>
          </w:tcPr>
          <w:p w14:paraId="1EE18FEA" w14:textId="2E861024" w:rsidR="00FB3F34" w:rsidRPr="00210AC6" w:rsidRDefault="00FB3F34" w:rsidP="006620B0">
            <w:pPr>
              <w:spacing w:before="0" w:after="0"/>
              <w:jc w:val="center"/>
              <w:rPr>
                <w:rFonts w:eastAsia="Times New Roman" w:cs="Arial"/>
                <w:szCs w:val="16"/>
              </w:rPr>
            </w:pPr>
            <w:r w:rsidRPr="00210AC6">
              <w:rPr>
                <w:rFonts w:eastAsia="Times New Roman" w:cs="Arial"/>
                <w:b/>
                <w:bCs/>
                <w:szCs w:val="16"/>
              </w:rPr>
              <w:t>Part B Timely and Accurate Data -- SPP/APR Data</w:t>
            </w:r>
          </w:p>
        </w:tc>
        <w:tc>
          <w:tcPr>
            <w:tcW w:w="2698" w:type="dxa"/>
          </w:tcPr>
          <w:p w14:paraId="2C283DE7" w14:textId="471B490F" w:rsidR="00FB3F34" w:rsidRPr="00210AC6" w:rsidRDefault="00FB3F34" w:rsidP="006620B0">
            <w:pPr>
              <w:spacing w:before="0" w:after="0"/>
              <w:jc w:val="center"/>
              <w:rPr>
                <w:rFonts w:eastAsia="Times New Roman" w:cs="Arial"/>
                <w:b/>
                <w:bCs/>
                <w:szCs w:val="16"/>
              </w:rPr>
            </w:pPr>
          </w:p>
        </w:tc>
      </w:tr>
      <w:tr w:rsidR="00BE0EEF" w:rsidRPr="00210AC6" w14:paraId="3A3A0C16" w14:textId="77777777" w:rsidTr="00E31D6F">
        <w:trPr>
          <w:trHeight w:val="432"/>
        </w:trPr>
        <w:tc>
          <w:tcPr>
            <w:tcW w:w="1866" w:type="dxa"/>
            <w:hideMark/>
          </w:tcPr>
          <w:p w14:paraId="68434036"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7033CE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 xml:space="preserve">Valid and </w:t>
            </w:r>
            <w:proofErr w:type="gramStart"/>
            <w:r w:rsidRPr="00210AC6">
              <w:rPr>
                <w:rFonts w:eastAsia="Times New Roman" w:cs="Arial"/>
                <w:b/>
                <w:bCs/>
                <w:szCs w:val="16"/>
              </w:rPr>
              <w:t>Reliable</w:t>
            </w:r>
            <w:proofErr w:type="gramEnd"/>
          </w:p>
        </w:tc>
        <w:tc>
          <w:tcPr>
            <w:tcW w:w="2698" w:type="dxa"/>
            <w:hideMark/>
          </w:tcPr>
          <w:p w14:paraId="5244F363"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7135ED" w:rsidRPr="00210AC6" w14:paraId="67229BAC" w14:textId="77777777" w:rsidTr="00E31D6F">
        <w:trPr>
          <w:trHeight w:val="432"/>
        </w:trPr>
        <w:tc>
          <w:tcPr>
            <w:tcW w:w="1866" w:type="dxa"/>
            <w:hideMark/>
          </w:tcPr>
          <w:p w14:paraId="5FEE69C7"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w:t>
            </w:r>
          </w:p>
        </w:tc>
        <w:tc>
          <w:tcPr>
            <w:tcW w:w="5260" w:type="dxa"/>
            <w:hideMark/>
          </w:tcPr>
          <w:p w14:paraId="585CE390" w14:textId="7E251BE0"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92F735" w14:textId="595A48A0"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3EB60AC4" w14:textId="77777777" w:rsidTr="00E31D6F">
        <w:trPr>
          <w:trHeight w:val="432"/>
        </w:trPr>
        <w:tc>
          <w:tcPr>
            <w:tcW w:w="1866" w:type="dxa"/>
            <w:hideMark/>
          </w:tcPr>
          <w:p w14:paraId="35BAF33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2</w:t>
            </w:r>
          </w:p>
        </w:tc>
        <w:tc>
          <w:tcPr>
            <w:tcW w:w="5260" w:type="dxa"/>
            <w:hideMark/>
          </w:tcPr>
          <w:p w14:paraId="60118E19" w14:textId="7A45D84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1C853E5C" w14:textId="79D75765"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5CF8C38" w14:textId="77777777" w:rsidTr="00E31D6F">
        <w:trPr>
          <w:trHeight w:val="432"/>
        </w:trPr>
        <w:tc>
          <w:tcPr>
            <w:tcW w:w="1866" w:type="dxa"/>
            <w:hideMark/>
          </w:tcPr>
          <w:p w14:paraId="68C7D5A5"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3A</w:t>
            </w:r>
          </w:p>
        </w:tc>
        <w:tc>
          <w:tcPr>
            <w:tcW w:w="5260" w:type="dxa"/>
            <w:hideMark/>
          </w:tcPr>
          <w:p w14:paraId="555C0FFA" w14:textId="1DF093A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DDDF62" w14:textId="2D82E5CE"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B04E7EB" w14:textId="77777777" w:rsidTr="00E31D6F">
        <w:trPr>
          <w:trHeight w:val="432"/>
        </w:trPr>
        <w:tc>
          <w:tcPr>
            <w:tcW w:w="1866" w:type="dxa"/>
            <w:hideMark/>
          </w:tcPr>
          <w:p w14:paraId="2642FD1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3B</w:t>
            </w:r>
          </w:p>
        </w:tc>
        <w:tc>
          <w:tcPr>
            <w:tcW w:w="5260" w:type="dxa"/>
            <w:hideMark/>
          </w:tcPr>
          <w:p w14:paraId="72F500EC" w14:textId="0E1B423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315133" w14:textId="2F329A6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3E4959E" w14:textId="77777777" w:rsidTr="00E31D6F">
        <w:trPr>
          <w:trHeight w:val="432"/>
        </w:trPr>
        <w:tc>
          <w:tcPr>
            <w:tcW w:w="1866" w:type="dxa"/>
            <w:hideMark/>
          </w:tcPr>
          <w:p w14:paraId="16420CC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3C</w:t>
            </w:r>
          </w:p>
        </w:tc>
        <w:tc>
          <w:tcPr>
            <w:tcW w:w="5260" w:type="dxa"/>
            <w:hideMark/>
          </w:tcPr>
          <w:p w14:paraId="7EF0B8B4" w14:textId="2E5673A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3EADB1B" w14:textId="0322801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844CEDC" w14:textId="77777777" w:rsidTr="00E31D6F">
        <w:trPr>
          <w:trHeight w:val="432"/>
        </w:trPr>
        <w:tc>
          <w:tcPr>
            <w:tcW w:w="1866" w:type="dxa"/>
            <w:hideMark/>
          </w:tcPr>
          <w:p w14:paraId="434C9D2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3D</w:t>
            </w:r>
          </w:p>
        </w:tc>
        <w:tc>
          <w:tcPr>
            <w:tcW w:w="5260" w:type="dxa"/>
            <w:hideMark/>
          </w:tcPr>
          <w:p w14:paraId="6D3590F8" w14:textId="33166A7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B0775F3" w14:textId="492F13B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C388C09" w14:textId="77777777" w:rsidTr="00E31D6F">
        <w:trPr>
          <w:trHeight w:val="432"/>
        </w:trPr>
        <w:tc>
          <w:tcPr>
            <w:tcW w:w="1866" w:type="dxa"/>
            <w:hideMark/>
          </w:tcPr>
          <w:p w14:paraId="72C090C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4A</w:t>
            </w:r>
          </w:p>
        </w:tc>
        <w:tc>
          <w:tcPr>
            <w:tcW w:w="5260" w:type="dxa"/>
            <w:hideMark/>
          </w:tcPr>
          <w:p w14:paraId="607E3D37" w14:textId="1D2D59CA"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5FF3F9E" w14:textId="6929A481"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89D00EB" w14:textId="77777777" w:rsidTr="00E31D6F">
        <w:trPr>
          <w:trHeight w:val="432"/>
        </w:trPr>
        <w:tc>
          <w:tcPr>
            <w:tcW w:w="1866" w:type="dxa"/>
            <w:hideMark/>
          </w:tcPr>
          <w:p w14:paraId="7060DD8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4B</w:t>
            </w:r>
          </w:p>
        </w:tc>
        <w:tc>
          <w:tcPr>
            <w:tcW w:w="5260" w:type="dxa"/>
            <w:hideMark/>
          </w:tcPr>
          <w:p w14:paraId="4F1E8C75" w14:textId="28AF9724" w:rsidR="007135ED" w:rsidRPr="00210AC6" w:rsidRDefault="007135ED" w:rsidP="006620B0">
            <w:pPr>
              <w:spacing w:before="0" w:after="0"/>
              <w:jc w:val="center"/>
              <w:rPr>
                <w:rFonts w:eastAsia="Times New Roman" w:cs="Arial"/>
                <w:szCs w:val="16"/>
              </w:rPr>
            </w:pPr>
            <w:r w:rsidRPr="00210AC6">
              <w:rPr>
                <w:rFonts w:cs="Arial"/>
                <w:szCs w:val="16"/>
              </w:rPr>
              <w:t>N/A</w:t>
            </w:r>
          </w:p>
        </w:tc>
        <w:tc>
          <w:tcPr>
            <w:tcW w:w="2698" w:type="dxa"/>
            <w:hideMark/>
          </w:tcPr>
          <w:p w14:paraId="61FF423D" w14:textId="69E7F43F" w:rsidR="007135ED" w:rsidRPr="00210AC6" w:rsidRDefault="007135ED" w:rsidP="006620B0">
            <w:pPr>
              <w:spacing w:before="0" w:after="0"/>
              <w:jc w:val="center"/>
              <w:rPr>
                <w:rFonts w:eastAsia="Times New Roman" w:cs="Arial"/>
                <w:szCs w:val="16"/>
              </w:rPr>
            </w:pPr>
            <w:r w:rsidRPr="00210AC6">
              <w:rPr>
                <w:rFonts w:cs="Arial"/>
                <w:szCs w:val="16"/>
              </w:rPr>
              <w:t>0</w:t>
            </w:r>
          </w:p>
        </w:tc>
      </w:tr>
      <w:tr w:rsidR="007135ED" w:rsidRPr="00210AC6" w14:paraId="7506E39B" w14:textId="77777777" w:rsidTr="00E31D6F">
        <w:trPr>
          <w:trHeight w:val="432"/>
        </w:trPr>
        <w:tc>
          <w:tcPr>
            <w:tcW w:w="1866" w:type="dxa"/>
            <w:hideMark/>
          </w:tcPr>
          <w:p w14:paraId="5A38FA4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5</w:t>
            </w:r>
          </w:p>
        </w:tc>
        <w:tc>
          <w:tcPr>
            <w:tcW w:w="5260" w:type="dxa"/>
            <w:hideMark/>
          </w:tcPr>
          <w:p w14:paraId="56E67DDD" w14:textId="62C7A4C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3775BBA" w14:textId="3962637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377F841" w14:textId="77777777" w:rsidTr="00E31D6F">
        <w:trPr>
          <w:trHeight w:val="432"/>
        </w:trPr>
        <w:tc>
          <w:tcPr>
            <w:tcW w:w="1866" w:type="dxa"/>
            <w:hideMark/>
          </w:tcPr>
          <w:p w14:paraId="2456A6E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6</w:t>
            </w:r>
          </w:p>
        </w:tc>
        <w:tc>
          <w:tcPr>
            <w:tcW w:w="5260" w:type="dxa"/>
            <w:hideMark/>
          </w:tcPr>
          <w:p w14:paraId="2B4C92B4" w14:textId="1001CA6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A4C720" w14:textId="210A767D"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AB6FF3A" w14:textId="77777777" w:rsidTr="00E31D6F">
        <w:trPr>
          <w:trHeight w:val="432"/>
        </w:trPr>
        <w:tc>
          <w:tcPr>
            <w:tcW w:w="1866" w:type="dxa"/>
            <w:hideMark/>
          </w:tcPr>
          <w:p w14:paraId="3C7BC974"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7</w:t>
            </w:r>
          </w:p>
        </w:tc>
        <w:tc>
          <w:tcPr>
            <w:tcW w:w="5260" w:type="dxa"/>
            <w:hideMark/>
          </w:tcPr>
          <w:p w14:paraId="73EC39EF" w14:textId="2AD790D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8777B03" w14:textId="55F47E9C"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779C23E" w14:textId="77777777" w:rsidTr="00E31D6F">
        <w:trPr>
          <w:trHeight w:val="432"/>
        </w:trPr>
        <w:tc>
          <w:tcPr>
            <w:tcW w:w="1866" w:type="dxa"/>
            <w:hideMark/>
          </w:tcPr>
          <w:p w14:paraId="496A257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8</w:t>
            </w:r>
          </w:p>
        </w:tc>
        <w:tc>
          <w:tcPr>
            <w:tcW w:w="5260" w:type="dxa"/>
            <w:hideMark/>
          </w:tcPr>
          <w:p w14:paraId="082B43EF" w14:textId="5ACD387E"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D9E02B" w14:textId="568C62A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AB1D469" w14:textId="77777777" w:rsidTr="00E31D6F">
        <w:trPr>
          <w:trHeight w:val="432"/>
        </w:trPr>
        <w:tc>
          <w:tcPr>
            <w:tcW w:w="1866" w:type="dxa"/>
            <w:hideMark/>
          </w:tcPr>
          <w:p w14:paraId="651D784C"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9</w:t>
            </w:r>
          </w:p>
        </w:tc>
        <w:tc>
          <w:tcPr>
            <w:tcW w:w="5260" w:type="dxa"/>
            <w:hideMark/>
          </w:tcPr>
          <w:p w14:paraId="369CE928" w14:textId="448F558C" w:rsidR="007135ED" w:rsidRPr="00210AC6" w:rsidRDefault="007135ED" w:rsidP="006620B0">
            <w:pPr>
              <w:spacing w:before="0" w:after="0"/>
              <w:jc w:val="center"/>
              <w:rPr>
                <w:rFonts w:eastAsia="Times New Roman" w:cs="Arial"/>
                <w:szCs w:val="16"/>
              </w:rPr>
            </w:pPr>
            <w:r w:rsidRPr="00210AC6">
              <w:rPr>
                <w:rFonts w:cs="Arial"/>
                <w:szCs w:val="16"/>
              </w:rPr>
              <w:t>N/A</w:t>
            </w:r>
          </w:p>
        </w:tc>
        <w:tc>
          <w:tcPr>
            <w:tcW w:w="2698" w:type="dxa"/>
            <w:hideMark/>
          </w:tcPr>
          <w:p w14:paraId="3CA96C70" w14:textId="4C654E07" w:rsidR="007135ED" w:rsidRPr="00210AC6" w:rsidRDefault="007135ED" w:rsidP="006620B0">
            <w:pPr>
              <w:spacing w:before="0" w:after="0"/>
              <w:jc w:val="center"/>
              <w:rPr>
                <w:rFonts w:eastAsia="Times New Roman" w:cs="Arial"/>
                <w:szCs w:val="16"/>
              </w:rPr>
            </w:pPr>
            <w:r w:rsidRPr="00210AC6">
              <w:rPr>
                <w:rFonts w:cs="Arial"/>
                <w:szCs w:val="16"/>
              </w:rPr>
              <w:t>0</w:t>
            </w:r>
          </w:p>
        </w:tc>
      </w:tr>
      <w:tr w:rsidR="007135ED" w:rsidRPr="00210AC6" w14:paraId="69A1B919" w14:textId="77777777" w:rsidTr="00E31D6F">
        <w:trPr>
          <w:trHeight w:val="432"/>
        </w:trPr>
        <w:tc>
          <w:tcPr>
            <w:tcW w:w="1866" w:type="dxa"/>
            <w:hideMark/>
          </w:tcPr>
          <w:p w14:paraId="232EA42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10</w:t>
            </w:r>
          </w:p>
        </w:tc>
        <w:tc>
          <w:tcPr>
            <w:tcW w:w="5260" w:type="dxa"/>
            <w:noWrap/>
            <w:hideMark/>
          </w:tcPr>
          <w:p w14:paraId="4F5D18A1" w14:textId="0D0667C6" w:rsidR="007135ED" w:rsidRPr="00210AC6" w:rsidRDefault="007135ED" w:rsidP="006620B0">
            <w:pPr>
              <w:spacing w:before="0" w:after="0"/>
              <w:jc w:val="center"/>
              <w:rPr>
                <w:rFonts w:eastAsia="Times New Roman" w:cs="Arial"/>
                <w:szCs w:val="16"/>
              </w:rPr>
            </w:pPr>
            <w:r w:rsidRPr="00210AC6">
              <w:rPr>
                <w:rFonts w:cs="Arial"/>
                <w:szCs w:val="16"/>
              </w:rPr>
              <w:t>N/A</w:t>
            </w:r>
          </w:p>
        </w:tc>
        <w:tc>
          <w:tcPr>
            <w:tcW w:w="2698" w:type="dxa"/>
            <w:hideMark/>
          </w:tcPr>
          <w:p w14:paraId="4186C0DD" w14:textId="7A9F886A" w:rsidR="007135ED" w:rsidRPr="00210AC6" w:rsidRDefault="007135ED" w:rsidP="006620B0">
            <w:pPr>
              <w:spacing w:before="0" w:after="0"/>
              <w:jc w:val="center"/>
              <w:rPr>
                <w:rFonts w:eastAsia="Times New Roman" w:cs="Arial"/>
                <w:szCs w:val="16"/>
              </w:rPr>
            </w:pPr>
            <w:r w:rsidRPr="00210AC6">
              <w:rPr>
                <w:rFonts w:cs="Arial"/>
                <w:szCs w:val="16"/>
              </w:rPr>
              <w:t>0</w:t>
            </w:r>
          </w:p>
        </w:tc>
      </w:tr>
      <w:tr w:rsidR="007135ED" w:rsidRPr="00210AC6" w14:paraId="58A1305C" w14:textId="77777777" w:rsidTr="00E31D6F">
        <w:trPr>
          <w:trHeight w:val="432"/>
        </w:trPr>
        <w:tc>
          <w:tcPr>
            <w:tcW w:w="1866" w:type="dxa"/>
            <w:hideMark/>
          </w:tcPr>
          <w:p w14:paraId="7C46D39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11</w:t>
            </w:r>
          </w:p>
        </w:tc>
        <w:tc>
          <w:tcPr>
            <w:tcW w:w="5260" w:type="dxa"/>
            <w:hideMark/>
          </w:tcPr>
          <w:p w14:paraId="44311E94" w14:textId="0EFD9CD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2B6EE703" w14:textId="4141437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0BEC1BD" w14:textId="77777777" w:rsidTr="00E31D6F">
        <w:trPr>
          <w:trHeight w:val="432"/>
        </w:trPr>
        <w:tc>
          <w:tcPr>
            <w:tcW w:w="1866" w:type="dxa"/>
            <w:hideMark/>
          </w:tcPr>
          <w:p w14:paraId="3AC9243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12</w:t>
            </w:r>
          </w:p>
        </w:tc>
        <w:tc>
          <w:tcPr>
            <w:tcW w:w="5260" w:type="dxa"/>
            <w:noWrap/>
            <w:hideMark/>
          </w:tcPr>
          <w:p w14:paraId="517E65C9" w14:textId="22367138"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9139EC4" w14:textId="58B023D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208F430" w14:textId="77777777" w:rsidTr="00E31D6F">
        <w:trPr>
          <w:trHeight w:val="432"/>
        </w:trPr>
        <w:tc>
          <w:tcPr>
            <w:tcW w:w="1866" w:type="dxa"/>
            <w:hideMark/>
          </w:tcPr>
          <w:p w14:paraId="311B1EF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13</w:t>
            </w:r>
          </w:p>
        </w:tc>
        <w:tc>
          <w:tcPr>
            <w:tcW w:w="5260" w:type="dxa"/>
            <w:hideMark/>
          </w:tcPr>
          <w:p w14:paraId="787ECEA1" w14:textId="72BB835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C9DBFB" w14:textId="006A712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5669C6" w14:textId="77777777" w:rsidTr="00E31D6F">
        <w:trPr>
          <w:trHeight w:val="432"/>
        </w:trPr>
        <w:tc>
          <w:tcPr>
            <w:tcW w:w="1866" w:type="dxa"/>
            <w:hideMark/>
          </w:tcPr>
          <w:p w14:paraId="0C8CC4A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14</w:t>
            </w:r>
          </w:p>
        </w:tc>
        <w:tc>
          <w:tcPr>
            <w:tcW w:w="5260" w:type="dxa"/>
            <w:hideMark/>
          </w:tcPr>
          <w:p w14:paraId="0F60439C" w14:textId="6F9A8D8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B0E7975" w14:textId="5A27748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017B468" w14:textId="77777777" w:rsidTr="00E31D6F">
        <w:trPr>
          <w:trHeight w:val="432"/>
        </w:trPr>
        <w:tc>
          <w:tcPr>
            <w:tcW w:w="1866" w:type="dxa"/>
            <w:hideMark/>
          </w:tcPr>
          <w:p w14:paraId="0F24BCE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15</w:t>
            </w:r>
          </w:p>
        </w:tc>
        <w:tc>
          <w:tcPr>
            <w:tcW w:w="5260" w:type="dxa"/>
            <w:hideMark/>
          </w:tcPr>
          <w:p w14:paraId="0F6FBA05" w14:textId="68CE842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C400BF6" w14:textId="5BEBC59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80B321C" w14:textId="77777777" w:rsidTr="00E31D6F">
        <w:trPr>
          <w:trHeight w:val="432"/>
        </w:trPr>
        <w:tc>
          <w:tcPr>
            <w:tcW w:w="1866" w:type="dxa"/>
            <w:hideMark/>
          </w:tcPr>
          <w:p w14:paraId="3870E40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16</w:t>
            </w:r>
          </w:p>
        </w:tc>
        <w:tc>
          <w:tcPr>
            <w:tcW w:w="5260" w:type="dxa"/>
            <w:hideMark/>
          </w:tcPr>
          <w:p w14:paraId="5DE8D01C" w14:textId="2664D1F2"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84ADC5" w14:textId="255F35D2"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96B687B" w14:textId="77777777" w:rsidTr="00E31D6F">
        <w:trPr>
          <w:trHeight w:val="432"/>
        </w:trPr>
        <w:tc>
          <w:tcPr>
            <w:tcW w:w="1866" w:type="dxa"/>
            <w:hideMark/>
          </w:tcPr>
          <w:p w14:paraId="708E4A5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17</w:t>
            </w:r>
          </w:p>
        </w:tc>
        <w:tc>
          <w:tcPr>
            <w:tcW w:w="5260" w:type="dxa"/>
            <w:hideMark/>
          </w:tcPr>
          <w:p w14:paraId="1DC5DFB7" w14:textId="43E1F80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B2444AC" w14:textId="3739D8B3" w:rsidR="007135ED" w:rsidRPr="00210AC6" w:rsidRDefault="007135ED" w:rsidP="006620B0">
            <w:pPr>
              <w:spacing w:before="0" w:after="0"/>
              <w:jc w:val="center"/>
              <w:rPr>
                <w:rFonts w:eastAsia="Times New Roman" w:cs="Arial"/>
                <w:szCs w:val="16"/>
              </w:rPr>
            </w:pPr>
            <w:r w:rsidRPr="00210AC6">
              <w:rPr>
                <w:rFonts w:cs="Arial"/>
                <w:szCs w:val="16"/>
              </w:rPr>
              <w:t>1</w:t>
            </w:r>
          </w:p>
        </w:tc>
      </w:tr>
      <w:tr w:rsidR="0031684C" w:rsidRPr="00210AC6" w14:paraId="1E8447AE" w14:textId="77777777" w:rsidTr="00E31D6F">
        <w:trPr>
          <w:trHeight w:val="432"/>
        </w:trPr>
        <w:tc>
          <w:tcPr>
            <w:tcW w:w="1866" w:type="dxa"/>
            <w:hideMark/>
          </w:tcPr>
          <w:p w14:paraId="38940309" w14:textId="5B5AFDBC" w:rsidR="0031684C" w:rsidRPr="00210AC6" w:rsidRDefault="0031684C" w:rsidP="006620B0">
            <w:pPr>
              <w:spacing w:before="0" w:after="0"/>
              <w:jc w:val="center"/>
              <w:rPr>
                <w:rFonts w:eastAsia="Times New Roman" w:cs="Arial"/>
                <w:szCs w:val="16"/>
              </w:rPr>
            </w:pPr>
          </w:p>
        </w:tc>
        <w:tc>
          <w:tcPr>
            <w:tcW w:w="5260" w:type="dxa"/>
            <w:hideMark/>
          </w:tcPr>
          <w:p w14:paraId="7ABFFFC3" w14:textId="4C46E094" w:rsidR="0031684C" w:rsidRPr="00210AC6" w:rsidRDefault="0031684C" w:rsidP="006620B0">
            <w:pPr>
              <w:spacing w:before="0" w:after="0"/>
              <w:jc w:val="center"/>
              <w:rPr>
                <w:rFonts w:eastAsia="Times New Roman" w:cs="Arial"/>
                <w:b/>
                <w:bCs/>
                <w:szCs w:val="16"/>
              </w:rPr>
            </w:pPr>
            <w:r w:rsidRPr="00210AC6">
              <w:rPr>
                <w:rFonts w:eastAsia="Times New Roman" w:cs="Arial"/>
                <w:b/>
                <w:bCs/>
                <w:szCs w:val="16"/>
              </w:rPr>
              <w:t>Subtotal</w:t>
            </w:r>
          </w:p>
        </w:tc>
        <w:tc>
          <w:tcPr>
            <w:tcW w:w="2698" w:type="dxa"/>
            <w:hideMark/>
          </w:tcPr>
          <w:p w14:paraId="32C3D9B8" w14:textId="670D0C95" w:rsidR="0031684C" w:rsidRPr="00210AC6" w:rsidRDefault="0031684C" w:rsidP="006620B0">
            <w:pPr>
              <w:spacing w:before="0" w:after="0"/>
              <w:jc w:val="center"/>
              <w:rPr>
                <w:rFonts w:eastAsia="Times New Roman" w:cs="Arial"/>
                <w:szCs w:val="16"/>
              </w:rPr>
            </w:pPr>
            <w:r w:rsidRPr="00210AC6">
              <w:rPr>
                <w:rFonts w:cs="Arial"/>
                <w:szCs w:val="16"/>
              </w:rPr>
              <w:t>18</w:t>
            </w:r>
          </w:p>
        </w:tc>
      </w:tr>
      <w:tr w:rsidR="007135ED" w:rsidRPr="00210AC6" w14:paraId="485EA517" w14:textId="77777777" w:rsidTr="00E31D6F">
        <w:trPr>
          <w:trHeight w:val="432"/>
        </w:trPr>
        <w:tc>
          <w:tcPr>
            <w:tcW w:w="1866" w:type="dxa"/>
            <w:hideMark/>
          </w:tcPr>
          <w:p w14:paraId="53BE9DE6" w14:textId="77777777" w:rsidR="007135ED" w:rsidRPr="00210AC6" w:rsidRDefault="007135ED" w:rsidP="003A7B67">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52BC6987" w14:textId="08F58127" w:rsidR="007135ED" w:rsidRPr="00210AC6" w:rsidRDefault="007135ED" w:rsidP="003A7B67">
            <w:pPr>
              <w:spacing w:before="0" w:after="0"/>
              <w:rPr>
                <w:rFonts w:eastAsia="Times New Roman" w:cs="Arial"/>
                <w:b/>
                <w:bCs/>
                <w:szCs w:val="16"/>
              </w:rPr>
            </w:pPr>
            <w:r w:rsidRPr="00210AC6">
              <w:rPr>
                <w:rFonts w:eastAsia="Times New Roman" w:cs="Arial"/>
                <w:b/>
                <w:bCs/>
                <w:szCs w:val="16"/>
              </w:rPr>
              <w:t xml:space="preserve">Timely Submission Points </w:t>
            </w:r>
            <w:r w:rsidRPr="00210AC6">
              <w:rPr>
                <w:rFonts w:eastAsia="Times New Roman" w:cs="Arial"/>
                <w:szCs w:val="16"/>
              </w:rPr>
              <w:t xml:space="preserve">-  If the FFY 2021 APR </w:t>
            </w:r>
            <w:proofErr w:type="gramStart"/>
            <w:r w:rsidRPr="00210AC6">
              <w:rPr>
                <w:rFonts w:eastAsia="Times New Roman" w:cs="Arial"/>
                <w:szCs w:val="16"/>
              </w:rPr>
              <w:t>was submitted</w:t>
            </w:r>
            <w:proofErr w:type="gramEnd"/>
            <w:r w:rsidRPr="00210AC6">
              <w:rPr>
                <w:rFonts w:eastAsia="Times New Roman" w:cs="Arial"/>
                <w:szCs w:val="16"/>
              </w:rPr>
              <w:t xml:space="preserve"> on-time, place the number 5 in the cell on the right.</w:t>
            </w:r>
          </w:p>
        </w:tc>
        <w:tc>
          <w:tcPr>
            <w:tcW w:w="2698" w:type="dxa"/>
            <w:hideMark/>
          </w:tcPr>
          <w:p w14:paraId="21294C3E" w14:textId="25337D8A" w:rsidR="007135ED" w:rsidRPr="00210AC6" w:rsidRDefault="007135ED" w:rsidP="006620B0">
            <w:pPr>
              <w:spacing w:before="0" w:after="0"/>
              <w:jc w:val="center"/>
              <w:rPr>
                <w:rFonts w:eastAsia="Times New Roman" w:cs="Arial"/>
                <w:szCs w:val="16"/>
              </w:rPr>
            </w:pPr>
            <w:r w:rsidRPr="00210AC6">
              <w:rPr>
                <w:rFonts w:cs="Arial"/>
                <w:szCs w:val="16"/>
              </w:rPr>
              <w:t>5</w:t>
            </w:r>
          </w:p>
        </w:tc>
      </w:tr>
      <w:tr w:rsidR="007135ED" w:rsidRPr="00210AC6" w14:paraId="5A856B2E" w14:textId="77777777" w:rsidTr="00E31D6F">
        <w:trPr>
          <w:trHeight w:val="432"/>
        </w:trPr>
        <w:tc>
          <w:tcPr>
            <w:tcW w:w="1866" w:type="dxa"/>
            <w:hideMark/>
          </w:tcPr>
          <w:p w14:paraId="71F03087" w14:textId="77777777" w:rsidR="007135ED" w:rsidRPr="00210AC6" w:rsidRDefault="007135ED" w:rsidP="003A7B67">
            <w:pPr>
              <w:spacing w:before="0" w:after="0"/>
              <w:rPr>
                <w:rFonts w:eastAsia="Times New Roman" w:cs="Arial"/>
                <w:b/>
                <w:bCs/>
                <w:szCs w:val="16"/>
              </w:rPr>
            </w:pPr>
          </w:p>
        </w:tc>
        <w:tc>
          <w:tcPr>
            <w:tcW w:w="5260" w:type="dxa"/>
            <w:hideMark/>
          </w:tcPr>
          <w:p w14:paraId="2682AEB2" w14:textId="3292F875" w:rsidR="007135ED" w:rsidRPr="00210AC6" w:rsidRDefault="007135ED" w:rsidP="003A7B67">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214749">
              <w:rPr>
                <w:rFonts w:eastAsia="Times New Roman" w:cs="Arial"/>
                <w:szCs w:val="16"/>
              </w:rPr>
              <w:t>S</w:t>
            </w:r>
            <w:r w:rsidRPr="00210AC6">
              <w:rPr>
                <w:rFonts w:eastAsia="Times New Roman" w:cs="Arial"/>
                <w:szCs w:val="16"/>
              </w:rPr>
              <w:t>ubtotal and Timely Submission Points) =</w:t>
            </w:r>
          </w:p>
        </w:tc>
        <w:tc>
          <w:tcPr>
            <w:tcW w:w="2698" w:type="dxa"/>
            <w:hideMark/>
          </w:tcPr>
          <w:p w14:paraId="7E749BAE" w14:textId="4363CF1B" w:rsidR="007135ED" w:rsidRPr="00210AC6" w:rsidRDefault="007135ED" w:rsidP="006620B0">
            <w:pPr>
              <w:spacing w:before="0" w:after="0"/>
              <w:jc w:val="center"/>
              <w:rPr>
                <w:rFonts w:eastAsia="Times New Roman" w:cs="Arial"/>
                <w:szCs w:val="16"/>
              </w:rPr>
            </w:pPr>
            <w:r w:rsidRPr="00210AC6">
              <w:rPr>
                <w:rFonts w:cs="Arial"/>
                <w:szCs w:val="16"/>
              </w:rPr>
              <w:t>23</w:t>
            </w:r>
          </w:p>
        </w:tc>
      </w:tr>
    </w:tbl>
    <w:p w14:paraId="4B6D9F0C" w14:textId="295BC79F" w:rsidR="00570930" w:rsidRDefault="00570930" w:rsidP="00BE0EEF">
      <w:pPr>
        <w:rPr>
          <w:rFonts w:cs="Arial"/>
          <w:szCs w:val="16"/>
        </w:rPr>
      </w:pPr>
    </w:p>
    <w:p w14:paraId="4105F8D3" w14:textId="77777777" w:rsidR="00570930" w:rsidRDefault="00570930">
      <w:pPr>
        <w:spacing w:before="0" w:after="200" w:line="276" w:lineRule="auto"/>
        <w:rPr>
          <w:rFonts w:cs="Arial"/>
          <w:szCs w:val="16"/>
        </w:rPr>
      </w:pPr>
      <w:r>
        <w:rPr>
          <w:rFonts w:cs="Arial"/>
          <w:szCs w:val="16"/>
        </w:rPr>
        <w:br w:type="page"/>
      </w:r>
    </w:p>
    <w:p w14:paraId="0BF0A0F6" w14:textId="77777777" w:rsidR="00BE0EEF" w:rsidRPr="00210AC6" w:rsidRDefault="00BE0EEF" w:rsidP="00BE0EEF">
      <w:pPr>
        <w:rPr>
          <w:rFonts w:cs="Arial"/>
          <w:szCs w:val="16"/>
        </w:rPr>
      </w:pPr>
    </w:p>
    <w:tbl>
      <w:tblPr>
        <w:tblStyle w:val="TableGrid1"/>
        <w:tblW w:w="9841" w:type="dxa"/>
        <w:tblLayout w:type="fixed"/>
        <w:tblLook w:val="04A0" w:firstRow="1" w:lastRow="0" w:firstColumn="1" w:lastColumn="0" w:noHBand="0" w:noVBand="1"/>
        <w:tblCaption w:val="BRUBCFFYCOLLSTAT"/>
      </w:tblPr>
      <w:tblGrid>
        <w:gridCol w:w="1968"/>
        <w:gridCol w:w="1968"/>
        <w:gridCol w:w="1968"/>
        <w:gridCol w:w="1968"/>
        <w:gridCol w:w="1969"/>
      </w:tblGrid>
      <w:tr w:rsidR="00B42E51" w:rsidRPr="00210AC6" w14:paraId="66E99F64" w14:textId="77777777" w:rsidTr="00E31D6F">
        <w:trPr>
          <w:trHeight w:val="576"/>
          <w:tblHeader/>
        </w:trPr>
        <w:tc>
          <w:tcPr>
            <w:tcW w:w="1968" w:type="dxa"/>
            <w:noWrap/>
            <w:hideMark/>
          </w:tcPr>
          <w:p w14:paraId="484326CB" w14:textId="5FAEFBC5" w:rsidR="00B42E51" w:rsidRPr="00210AC6" w:rsidRDefault="00B42E51" w:rsidP="006620B0">
            <w:pPr>
              <w:spacing w:before="0" w:after="0"/>
              <w:jc w:val="center"/>
              <w:rPr>
                <w:rFonts w:eastAsia="Times New Roman" w:cs="Arial"/>
                <w:b/>
                <w:bCs/>
                <w:szCs w:val="16"/>
              </w:rPr>
            </w:pPr>
          </w:p>
        </w:tc>
        <w:tc>
          <w:tcPr>
            <w:tcW w:w="1968" w:type="dxa"/>
          </w:tcPr>
          <w:p w14:paraId="5334141C" w14:textId="77777777" w:rsidR="00B42E51" w:rsidRPr="00210AC6" w:rsidRDefault="00B42E51" w:rsidP="006620B0">
            <w:pPr>
              <w:spacing w:before="0" w:after="0"/>
              <w:jc w:val="center"/>
              <w:rPr>
                <w:rFonts w:eastAsia="Times New Roman" w:cs="Arial"/>
                <w:b/>
                <w:bCs/>
                <w:szCs w:val="16"/>
              </w:rPr>
            </w:pPr>
          </w:p>
        </w:tc>
        <w:tc>
          <w:tcPr>
            <w:tcW w:w="1968" w:type="dxa"/>
          </w:tcPr>
          <w:p w14:paraId="0FF45243" w14:textId="2E0FEF71" w:rsidR="00B42E51" w:rsidRPr="00210AC6" w:rsidRDefault="00B42E51" w:rsidP="006620B0">
            <w:pPr>
              <w:spacing w:before="0" w:after="0"/>
              <w:jc w:val="center"/>
              <w:rPr>
                <w:rFonts w:eastAsia="Times New Roman" w:cs="Arial"/>
                <w:b/>
                <w:bCs/>
                <w:szCs w:val="16"/>
              </w:rPr>
            </w:pPr>
            <w:r w:rsidRPr="00210AC6">
              <w:rPr>
                <w:rFonts w:eastAsia="Times New Roman" w:cs="Arial"/>
                <w:b/>
                <w:bCs/>
                <w:szCs w:val="16"/>
              </w:rPr>
              <w:t>618 Data</w:t>
            </w:r>
            <w:r w:rsidR="002F6CB6">
              <w:rPr>
                <w:rStyle w:val="FootnoteReference"/>
                <w:rFonts w:eastAsia="Times New Roman" w:cs="Arial"/>
                <w:b/>
                <w:bCs/>
                <w:szCs w:val="16"/>
              </w:rPr>
              <w:footnoteReference w:id="7"/>
            </w:r>
          </w:p>
        </w:tc>
        <w:tc>
          <w:tcPr>
            <w:tcW w:w="1968" w:type="dxa"/>
          </w:tcPr>
          <w:p w14:paraId="2B0490E2" w14:textId="77777777" w:rsidR="00B42E51" w:rsidRPr="00210AC6" w:rsidRDefault="00B42E51" w:rsidP="006620B0">
            <w:pPr>
              <w:spacing w:before="0" w:after="0"/>
              <w:jc w:val="center"/>
              <w:rPr>
                <w:rFonts w:eastAsia="Times New Roman" w:cs="Arial"/>
                <w:b/>
                <w:bCs/>
                <w:szCs w:val="16"/>
              </w:rPr>
            </w:pPr>
          </w:p>
        </w:tc>
        <w:tc>
          <w:tcPr>
            <w:tcW w:w="1969" w:type="dxa"/>
          </w:tcPr>
          <w:p w14:paraId="477B794F" w14:textId="52DB75CD" w:rsidR="00B42E51" w:rsidRPr="00210AC6" w:rsidRDefault="00B42E51" w:rsidP="006620B0">
            <w:pPr>
              <w:spacing w:before="0" w:after="0"/>
              <w:jc w:val="center"/>
              <w:rPr>
                <w:rFonts w:eastAsia="Times New Roman" w:cs="Arial"/>
                <w:b/>
                <w:bCs/>
                <w:szCs w:val="16"/>
              </w:rPr>
            </w:pPr>
          </w:p>
        </w:tc>
      </w:tr>
      <w:tr w:rsidR="00210AC6" w:rsidRPr="00210AC6" w14:paraId="1B30C60F" w14:textId="77777777" w:rsidTr="00E31D6F">
        <w:trPr>
          <w:trHeight w:val="576"/>
        </w:trPr>
        <w:tc>
          <w:tcPr>
            <w:tcW w:w="1968" w:type="dxa"/>
            <w:hideMark/>
          </w:tcPr>
          <w:p w14:paraId="2B94BB69"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3E67D32"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3C5D96A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6D69FE1A"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16461F70"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934DC4" w:rsidRPr="00210AC6" w14:paraId="732EE18E" w14:textId="77777777" w:rsidTr="00E31D6F">
        <w:trPr>
          <w:trHeight w:val="576"/>
        </w:trPr>
        <w:tc>
          <w:tcPr>
            <w:tcW w:w="1968" w:type="dxa"/>
            <w:hideMark/>
          </w:tcPr>
          <w:p w14:paraId="27C353F2" w14:textId="77777777" w:rsidR="006F0B24" w:rsidRDefault="00934DC4" w:rsidP="006620B0">
            <w:pPr>
              <w:spacing w:before="0" w:after="0"/>
              <w:jc w:val="center"/>
              <w:rPr>
                <w:rFonts w:eastAsia="Times New Roman" w:cs="Arial"/>
                <w:b/>
                <w:bCs/>
                <w:szCs w:val="16"/>
              </w:rPr>
            </w:pPr>
            <w:r w:rsidRPr="00210AC6">
              <w:rPr>
                <w:rFonts w:eastAsia="Times New Roman" w:cs="Arial"/>
                <w:b/>
                <w:bCs/>
                <w:szCs w:val="16"/>
              </w:rPr>
              <w:t>Child Count/</w:t>
            </w:r>
          </w:p>
          <w:p w14:paraId="7C54D2F1" w14:textId="4B527F37" w:rsidR="009926E2" w:rsidRDefault="006F0B24" w:rsidP="006620B0">
            <w:pPr>
              <w:spacing w:before="0" w:after="0"/>
              <w:jc w:val="center"/>
              <w:rPr>
                <w:rFonts w:eastAsia="Times New Roman" w:cs="Arial"/>
                <w:b/>
                <w:bCs/>
                <w:szCs w:val="16"/>
              </w:rPr>
            </w:pPr>
            <w:r w:rsidRPr="00B742B0">
              <w:rPr>
                <w:rFonts w:eastAsia="Times New Roman" w:cs="Arial"/>
                <w:b/>
                <w:bCs/>
                <w:szCs w:val="16"/>
              </w:rPr>
              <w:t>Ed Envs</w:t>
            </w:r>
            <w:r w:rsidR="00934DC4" w:rsidRPr="00210AC6">
              <w:rPr>
                <w:rFonts w:eastAsia="Times New Roman" w:cs="Arial"/>
                <w:b/>
                <w:bCs/>
                <w:szCs w:val="16"/>
              </w:rPr>
              <w:t xml:space="preserve"> </w:t>
            </w:r>
          </w:p>
          <w:p w14:paraId="392AF408" w14:textId="435A5AA9"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Due Date: 4/6/22</w:t>
            </w:r>
          </w:p>
        </w:tc>
        <w:tc>
          <w:tcPr>
            <w:tcW w:w="1968" w:type="dxa"/>
            <w:hideMark/>
          </w:tcPr>
          <w:p w14:paraId="3FE0B4CB" w14:textId="303091E9"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A849A14" w14:textId="6E5106C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3C17ABEF" w14:textId="5D0E9314"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732BD247" w14:textId="5D8F0535"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5D4F6C8" w14:textId="77777777" w:rsidTr="00E31D6F">
        <w:trPr>
          <w:trHeight w:val="576"/>
        </w:trPr>
        <w:tc>
          <w:tcPr>
            <w:tcW w:w="1968" w:type="dxa"/>
            <w:hideMark/>
          </w:tcPr>
          <w:p w14:paraId="688FF6D9" w14:textId="3A12EC22"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Personnel Due Date: 11/2/22</w:t>
            </w:r>
          </w:p>
        </w:tc>
        <w:tc>
          <w:tcPr>
            <w:tcW w:w="1968" w:type="dxa"/>
            <w:hideMark/>
          </w:tcPr>
          <w:p w14:paraId="75FDE32E" w14:textId="4B79AC8A"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80161AF" w14:textId="5A729EB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80D47B8" w14:textId="53025EBE"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1085532F" w14:textId="524E2D44"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4B088669" w14:textId="77777777" w:rsidTr="00E31D6F">
        <w:trPr>
          <w:trHeight w:val="576"/>
        </w:trPr>
        <w:tc>
          <w:tcPr>
            <w:tcW w:w="1968" w:type="dxa"/>
            <w:hideMark/>
          </w:tcPr>
          <w:p w14:paraId="360C4627" w14:textId="02F99DB6"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Exiting Due Date: 11/2/22</w:t>
            </w:r>
          </w:p>
        </w:tc>
        <w:tc>
          <w:tcPr>
            <w:tcW w:w="1968" w:type="dxa"/>
            <w:hideMark/>
          </w:tcPr>
          <w:p w14:paraId="0FEC0470" w14:textId="2CF7216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6C72EDFD" w14:textId="1E759C5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020F0AF" w14:textId="6F5307B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5ABE2118" w14:textId="4699A88C"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74E0C51" w14:textId="77777777" w:rsidTr="00E31D6F">
        <w:trPr>
          <w:trHeight w:val="576"/>
        </w:trPr>
        <w:tc>
          <w:tcPr>
            <w:tcW w:w="1968" w:type="dxa"/>
            <w:hideMark/>
          </w:tcPr>
          <w:p w14:paraId="21194B2E" w14:textId="3D23FBED"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Discipline Due Date: 11/2/22</w:t>
            </w:r>
          </w:p>
        </w:tc>
        <w:tc>
          <w:tcPr>
            <w:tcW w:w="1968" w:type="dxa"/>
            <w:hideMark/>
          </w:tcPr>
          <w:p w14:paraId="6265DFCD" w14:textId="6A7295B1"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7947AF3C" w14:textId="2C130027"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E1A82FD" w14:textId="5429E23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6A1FF6DB" w14:textId="36203379"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143C193C" w14:textId="77777777" w:rsidTr="00E31D6F">
        <w:trPr>
          <w:trHeight w:val="576"/>
        </w:trPr>
        <w:tc>
          <w:tcPr>
            <w:tcW w:w="1968" w:type="dxa"/>
            <w:hideMark/>
          </w:tcPr>
          <w:p w14:paraId="383B7AAF" w14:textId="28847E68"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State Assessment Due Date: 12/21/2022</w:t>
            </w:r>
          </w:p>
        </w:tc>
        <w:tc>
          <w:tcPr>
            <w:tcW w:w="1968" w:type="dxa"/>
            <w:hideMark/>
          </w:tcPr>
          <w:p w14:paraId="5CDE5DB2" w14:textId="26881A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9BD5280" w14:textId="7E58B5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F12D45D" w14:textId="2261B7E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069C1CA" w14:textId="5EF430EB"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4565B1AE" w14:textId="77777777" w:rsidTr="00E31D6F">
        <w:trPr>
          <w:trHeight w:val="576"/>
        </w:trPr>
        <w:tc>
          <w:tcPr>
            <w:tcW w:w="1968" w:type="dxa"/>
            <w:hideMark/>
          </w:tcPr>
          <w:p w14:paraId="60A0C4C6" w14:textId="7DF214F3"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Dispute Resolution Due Date: 11/2/22</w:t>
            </w:r>
          </w:p>
        </w:tc>
        <w:tc>
          <w:tcPr>
            <w:tcW w:w="1968" w:type="dxa"/>
            <w:hideMark/>
          </w:tcPr>
          <w:p w14:paraId="12A9BFB1" w14:textId="52DD7DF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52BA206" w14:textId="30A77AA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5F386E9" w14:textId="08993D3F"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A8B8478" w14:textId="4853CB93"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5866F31F" w14:textId="77777777" w:rsidTr="00E31D6F">
        <w:trPr>
          <w:trHeight w:val="576"/>
        </w:trPr>
        <w:tc>
          <w:tcPr>
            <w:tcW w:w="1968" w:type="dxa"/>
            <w:hideMark/>
          </w:tcPr>
          <w:p w14:paraId="695E41FD"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MOE/CEIS Due Date:  5/4/22</w:t>
            </w:r>
          </w:p>
        </w:tc>
        <w:tc>
          <w:tcPr>
            <w:tcW w:w="1968" w:type="dxa"/>
            <w:hideMark/>
          </w:tcPr>
          <w:p w14:paraId="601688AF" w14:textId="21FA0D66"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B86927D" w14:textId="186FEAC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4AEBB59" w14:textId="24F195DC"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4E561B6D" w14:textId="41132DB6"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3BA4D322" w14:textId="77777777" w:rsidTr="00E31D6F">
        <w:trPr>
          <w:trHeight w:val="576"/>
        </w:trPr>
        <w:tc>
          <w:tcPr>
            <w:tcW w:w="1968" w:type="dxa"/>
            <w:hideMark/>
          </w:tcPr>
          <w:p w14:paraId="595DE473" w14:textId="44DED396" w:rsidR="00934DC4" w:rsidRPr="00210AC6" w:rsidRDefault="00934DC4" w:rsidP="006620B0">
            <w:pPr>
              <w:spacing w:before="0" w:after="0"/>
              <w:jc w:val="center"/>
              <w:rPr>
                <w:rFonts w:eastAsia="Times New Roman" w:cs="Arial"/>
                <w:szCs w:val="16"/>
              </w:rPr>
            </w:pPr>
          </w:p>
        </w:tc>
        <w:tc>
          <w:tcPr>
            <w:tcW w:w="1968" w:type="dxa"/>
          </w:tcPr>
          <w:p w14:paraId="558DD658" w14:textId="33680D9D" w:rsidR="00934DC4" w:rsidRPr="00210AC6" w:rsidRDefault="00934DC4" w:rsidP="006620B0">
            <w:pPr>
              <w:spacing w:before="0" w:after="0"/>
              <w:jc w:val="center"/>
              <w:rPr>
                <w:rFonts w:eastAsia="Times New Roman" w:cs="Arial"/>
                <w:szCs w:val="16"/>
              </w:rPr>
            </w:pPr>
          </w:p>
        </w:tc>
        <w:tc>
          <w:tcPr>
            <w:tcW w:w="1968" w:type="dxa"/>
          </w:tcPr>
          <w:p w14:paraId="0B44652D" w14:textId="39DF1DFF" w:rsidR="00934DC4" w:rsidRPr="00210AC6" w:rsidRDefault="00934DC4" w:rsidP="006620B0">
            <w:pPr>
              <w:spacing w:before="0" w:after="0"/>
              <w:jc w:val="center"/>
              <w:rPr>
                <w:rFonts w:eastAsia="Times New Roman" w:cs="Arial"/>
                <w:szCs w:val="16"/>
              </w:rPr>
            </w:pPr>
          </w:p>
        </w:tc>
        <w:tc>
          <w:tcPr>
            <w:tcW w:w="1968" w:type="dxa"/>
            <w:hideMark/>
          </w:tcPr>
          <w:p w14:paraId="59EA1AE1"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05161809" w14:textId="4066E385" w:rsidR="00934DC4" w:rsidRPr="00210AC6" w:rsidRDefault="00934DC4" w:rsidP="006620B0">
            <w:pPr>
              <w:spacing w:before="0" w:after="0"/>
              <w:jc w:val="center"/>
              <w:rPr>
                <w:rFonts w:eastAsia="Times New Roman" w:cs="Arial"/>
                <w:szCs w:val="16"/>
              </w:rPr>
            </w:pPr>
            <w:r w:rsidRPr="00210AC6">
              <w:rPr>
                <w:rFonts w:cs="Arial"/>
                <w:szCs w:val="16"/>
              </w:rPr>
              <w:t>21</w:t>
            </w:r>
          </w:p>
        </w:tc>
      </w:tr>
      <w:tr w:rsidR="00934DC4" w:rsidRPr="00210AC6" w14:paraId="75034E7A" w14:textId="77777777" w:rsidTr="00E31D6F">
        <w:trPr>
          <w:trHeight w:val="576"/>
        </w:trPr>
        <w:tc>
          <w:tcPr>
            <w:tcW w:w="1968" w:type="dxa"/>
            <w:hideMark/>
          </w:tcPr>
          <w:p w14:paraId="212D4E0B"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618 Score Calculation</w:t>
            </w:r>
          </w:p>
        </w:tc>
        <w:tc>
          <w:tcPr>
            <w:tcW w:w="1968" w:type="dxa"/>
          </w:tcPr>
          <w:p w14:paraId="6217AD4C" w14:textId="77777777" w:rsidR="00934DC4" w:rsidRPr="00210AC6" w:rsidRDefault="00934DC4" w:rsidP="006620B0">
            <w:pPr>
              <w:spacing w:before="0" w:after="0"/>
              <w:jc w:val="center"/>
              <w:rPr>
                <w:rFonts w:eastAsia="Times New Roman" w:cs="Arial"/>
                <w:b/>
                <w:bCs/>
                <w:szCs w:val="16"/>
              </w:rPr>
            </w:pPr>
          </w:p>
        </w:tc>
        <w:tc>
          <w:tcPr>
            <w:tcW w:w="1968" w:type="dxa"/>
          </w:tcPr>
          <w:p w14:paraId="3D448C3A" w14:textId="084D867E" w:rsidR="00934DC4" w:rsidRPr="00210AC6" w:rsidRDefault="00934DC4" w:rsidP="006620B0">
            <w:pPr>
              <w:spacing w:before="0" w:after="0"/>
              <w:jc w:val="center"/>
              <w:rPr>
                <w:rFonts w:eastAsia="Times New Roman" w:cs="Arial"/>
                <w:b/>
                <w:bCs/>
                <w:szCs w:val="16"/>
              </w:rPr>
            </w:pPr>
          </w:p>
        </w:tc>
        <w:tc>
          <w:tcPr>
            <w:tcW w:w="1968" w:type="dxa"/>
            <w:hideMark/>
          </w:tcPr>
          <w:p w14:paraId="09C474DA" w14:textId="3F8E90EF"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(Subtotal X 1.23809524) =</w:t>
            </w:r>
          </w:p>
        </w:tc>
        <w:tc>
          <w:tcPr>
            <w:tcW w:w="1969" w:type="dxa"/>
            <w:noWrap/>
            <w:hideMark/>
          </w:tcPr>
          <w:p w14:paraId="50C37243" w14:textId="39101BED" w:rsidR="00934DC4" w:rsidRPr="00210AC6" w:rsidRDefault="00934DC4" w:rsidP="006620B0">
            <w:pPr>
              <w:spacing w:before="0" w:after="0"/>
              <w:jc w:val="center"/>
              <w:rPr>
                <w:rFonts w:eastAsia="Times New Roman" w:cs="Arial"/>
                <w:szCs w:val="16"/>
              </w:rPr>
            </w:pPr>
            <w:r w:rsidRPr="00210AC6">
              <w:rPr>
                <w:rFonts w:cs="Arial"/>
                <w:szCs w:val="16"/>
              </w:rPr>
              <w:t>26.00</w:t>
            </w:r>
          </w:p>
        </w:tc>
      </w:tr>
    </w:tbl>
    <w:p w14:paraId="19908CB5" w14:textId="6E565737" w:rsidR="00570930" w:rsidRDefault="00570930" w:rsidP="00BE0EEF">
      <w:pPr>
        <w:rPr>
          <w:rFonts w:cs="Arial"/>
          <w:color w:val="000000" w:themeColor="text1"/>
          <w:szCs w:val="16"/>
        </w:rPr>
      </w:pPr>
    </w:p>
    <w:p w14:paraId="015CC089" w14:textId="77777777" w:rsidR="00570930" w:rsidRDefault="00570930">
      <w:pPr>
        <w:spacing w:before="0" w:after="200" w:line="276" w:lineRule="auto"/>
        <w:rPr>
          <w:rFonts w:cs="Arial"/>
          <w:color w:val="000000" w:themeColor="text1"/>
          <w:szCs w:val="16"/>
        </w:rPr>
      </w:pPr>
      <w:r>
        <w:rPr>
          <w:rFonts w:cs="Arial"/>
          <w:color w:val="000000" w:themeColor="text1"/>
          <w:szCs w:val="16"/>
        </w:rPr>
        <w:br w:type="page"/>
      </w:r>
    </w:p>
    <w:p w14:paraId="13C7AD77" w14:textId="77777777" w:rsidR="00BE0EEF" w:rsidRDefault="00BE0EEF" w:rsidP="00BE0EEF">
      <w:pPr>
        <w:rPr>
          <w:rFonts w:cs="Arial"/>
          <w:color w:val="000000" w:themeColor="text1"/>
          <w:szCs w:val="16"/>
        </w:rPr>
      </w:pPr>
    </w:p>
    <w:tbl>
      <w:tblPr>
        <w:tblStyle w:val="TableGrid1"/>
        <w:tblW w:w="9839" w:type="dxa"/>
        <w:tblLook w:val="04A0" w:firstRow="1" w:lastRow="0" w:firstColumn="1" w:lastColumn="0" w:noHBand="0" w:noVBand="1"/>
        <w:tblCaption w:val="BRUBCFFYINDCALC"/>
      </w:tblPr>
      <w:tblGrid>
        <w:gridCol w:w="4919"/>
        <w:gridCol w:w="4920"/>
      </w:tblGrid>
      <w:tr w:rsidR="003521AD" w:rsidRPr="00210AC6" w14:paraId="204BD583" w14:textId="77777777" w:rsidTr="00714F02">
        <w:trPr>
          <w:trHeight w:val="432"/>
          <w:tblHeader/>
        </w:trPr>
        <w:tc>
          <w:tcPr>
            <w:tcW w:w="4919" w:type="dxa"/>
            <w:hideMark/>
          </w:tcPr>
          <w:p w14:paraId="59C2C8B0" w14:textId="6E3F554B" w:rsidR="003521AD" w:rsidRDefault="00E31D6F" w:rsidP="003521AD">
            <w:pPr>
              <w:spacing w:before="0" w:after="0"/>
              <w:jc w:val="center"/>
              <w:rPr>
                <w:rFonts w:eastAsia="Times New Roman" w:cs="Arial"/>
                <w:b/>
                <w:bCs/>
                <w:szCs w:val="16"/>
              </w:rPr>
            </w:pPr>
            <w:r>
              <w:rPr>
                <w:rFonts w:cs="Arial"/>
                <w:color w:val="000000" w:themeColor="text1"/>
                <w:szCs w:val="16"/>
              </w:rPr>
              <w:br w:type="page"/>
            </w:r>
            <w:r w:rsidR="003521AD" w:rsidRPr="00210AC6">
              <w:rPr>
                <w:rFonts w:eastAsia="Times New Roman" w:cs="Arial"/>
                <w:b/>
                <w:bCs/>
                <w:szCs w:val="16"/>
              </w:rPr>
              <w:t>Indicator Calculation</w:t>
            </w:r>
          </w:p>
        </w:tc>
        <w:tc>
          <w:tcPr>
            <w:tcW w:w="4920" w:type="dxa"/>
          </w:tcPr>
          <w:p w14:paraId="5972B30D" w14:textId="2CF704DA" w:rsidR="003521AD" w:rsidRPr="00210AC6" w:rsidRDefault="003521AD" w:rsidP="003521AD">
            <w:pPr>
              <w:spacing w:before="0" w:after="0"/>
              <w:rPr>
                <w:rFonts w:eastAsia="Times New Roman" w:cs="Arial"/>
                <w:b/>
                <w:bCs/>
                <w:szCs w:val="16"/>
              </w:rPr>
            </w:pPr>
          </w:p>
        </w:tc>
      </w:tr>
      <w:tr w:rsidR="00435E51" w:rsidRPr="00210AC6" w14:paraId="2A6102B0" w14:textId="77777777" w:rsidTr="00714F02">
        <w:trPr>
          <w:trHeight w:val="432"/>
        </w:trPr>
        <w:tc>
          <w:tcPr>
            <w:tcW w:w="4919" w:type="dxa"/>
            <w:hideMark/>
          </w:tcPr>
          <w:p w14:paraId="184AC9A0" w14:textId="77777777" w:rsidR="00435E51" w:rsidRPr="00210AC6" w:rsidRDefault="00435E51" w:rsidP="00435E51">
            <w:pPr>
              <w:spacing w:before="0" w:after="0"/>
              <w:rPr>
                <w:rFonts w:eastAsia="Times New Roman" w:cs="Arial"/>
                <w:szCs w:val="16"/>
              </w:rPr>
            </w:pPr>
            <w:r w:rsidRPr="00210AC6">
              <w:rPr>
                <w:rFonts w:eastAsia="Times New Roman" w:cs="Arial"/>
                <w:szCs w:val="16"/>
              </w:rPr>
              <w:t>A. APR Grand Total</w:t>
            </w:r>
          </w:p>
        </w:tc>
        <w:tc>
          <w:tcPr>
            <w:tcW w:w="4920" w:type="dxa"/>
            <w:hideMark/>
          </w:tcPr>
          <w:p w14:paraId="0825BA19" w14:textId="54223086" w:rsidR="00435E51" w:rsidRPr="00210AC6" w:rsidRDefault="00435E51" w:rsidP="00435E51">
            <w:pPr>
              <w:spacing w:before="0" w:after="0"/>
              <w:rPr>
                <w:rFonts w:eastAsia="Times New Roman" w:cs="Arial"/>
                <w:szCs w:val="16"/>
              </w:rPr>
            </w:pPr>
            <w:r w:rsidRPr="00210AC6">
              <w:rPr>
                <w:rFonts w:cs="Arial"/>
                <w:szCs w:val="16"/>
              </w:rPr>
              <w:t>23</w:t>
            </w:r>
          </w:p>
        </w:tc>
      </w:tr>
      <w:tr w:rsidR="00435E51" w:rsidRPr="00210AC6" w14:paraId="190B3554" w14:textId="77777777" w:rsidTr="00714F02">
        <w:trPr>
          <w:trHeight w:val="432"/>
        </w:trPr>
        <w:tc>
          <w:tcPr>
            <w:tcW w:w="4919" w:type="dxa"/>
            <w:hideMark/>
          </w:tcPr>
          <w:p w14:paraId="66B0D6DA" w14:textId="77777777" w:rsidR="00435E51" w:rsidRPr="00210AC6" w:rsidRDefault="00435E51" w:rsidP="00435E51">
            <w:pPr>
              <w:spacing w:before="0" w:after="0"/>
              <w:rPr>
                <w:rFonts w:eastAsia="Times New Roman" w:cs="Arial"/>
                <w:szCs w:val="16"/>
              </w:rPr>
            </w:pPr>
            <w:r w:rsidRPr="00210AC6">
              <w:rPr>
                <w:rFonts w:eastAsia="Times New Roman" w:cs="Arial"/>
                <w:szCs w:val="16"/>
              </w:rPr>
              <w:t>B. 618 Grand Total</w:t>
            </w:r>
          </w:p>
        </w:tc>
        <w:tc>
          <w:tcPr>
            <w:tcW w:w="4920" w:type="dxa"/>
            <w:hideMark/>
          </w:tcPr>
          <w:p w14:paraId="292F5CE3" w14:textId="3D2DF12B" w:rsidR="00435E51" w:rsidRPr="00210AC6" w:rsidRDefault="00435E51" w:rsidP="00435E51">
            <w:pPr>
              <w:spacing w:before="0" w:after="0"/>
              <w:rPr>
                <w:rFonts w:eastAsia="Times New Roman" w:cs="Arial"/>
                <w:szCs w:val="16"/>
              </w:rPr>
            </w:pPr>
            <w:r w:rsidRPr="00435E51">
              <w:t>26.00</w:t>
            </w:r>
          </w:p>
        </w:tc>
      </w:tr>
      <w:tr w:rsidR="00435E51" w:rsidRPr="00210AC6" w14:paraId="7044E659" w14:textId="77777777" w:rsidTr="00714F02">
        <w:trPr>
          <w:trHeight w:val="432"/>
        </w:trPr>
        <w:tc>
          <w:tcPr>
            <w:tcW w:w="4919" w:type="dxa"/>
            <w:hideMark/>
          </w:tcPr>
          <w:p w14:paraId="5E098838" w14:textId="77777777" w:rsidR="00435E51" w:rsidRPr="00210AC6" w:rsidRDefault="00435E51" w:rsidP="00435E51">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2EBBA8BB" w14:textId="582D281B" w:rsidR="00435E51" w:rsidRPr="00210AC6" w:rsidRDefault="00435E51" w:rsidP="00435E51">
            <w:pPr>
              <w:spacing w:before="0" w:after="0"/>
              <w:rPr>
                <w:rFonts w:eastAsia="Times New Roman" w:cs="Arial"/>
                <w:szCs w:val="16"/>
              </w:rPr>
            </w:pPr>
            <w:r w:rsidRPr="00C1283C">
              <w:t>49.00</w:t>
            </w:r>
          </w:p>
        </w:tc>
      </w:tr>
      <w:tr w:rsidR="00435E51" w:rsidRPr="00210AC6" w14:paraId="6E235E7C" w14:textId="77777777" w:rsidTr="00714F02">
        <w:trPr>
          <w:trHeight w:val="432"/>
        </w:trPr>
        <w:tc>
          <w:tcPr>
            <w:tcW w:w="4919" w:type="dxa"/>
            <w:hideMark/>
          </w:tcPr>
          <w:p w14:paraId="1E45CB10" w14:textId="36E72B3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APR Data Table Subtracted from Denominator</w:t>
            </w:r>
          </w:p>
        </w:tc>
        <w:tc>
          <w:tcPr>
            <w:tcW w:w="4920" w:type="dxa"/>
            <w:hideMark/>
          </w:tcPr>
          <w:p w14:paraId="768BD97C" w14:textId="60485CAD" w:rsidR="00435E51" w:rsidRPr="00210AC6" w:rsidRDefault="00435E51" w:rsidP="00435E51">
            <w:pPr>
              <w:spacing w:before="0" w:after="0"/>
              <w:rPr>
                <w:rFonts w:eastAsia="Times New Roman" w:cs="Arial"/>
                <w:szCs w:val="16"/>
              </w:rPr>
            </w:pPr>
            <w:r w:rsidRPr="00C1283C">
              <w:t>3</w:t>
            </w:r>
          </w:p>
        </w:tc>
      </w:tr>
      <w:tr w:rsidR="00435E51" w:rsidRPr="00210AC6" w14:paraId="1162D2AC" w14:textId="77777777" w:rsidTr="00714F02">
        <w:trPr>
          <w:trHeight w:val="432"/>
        </w:trPr>
        <w:tc>
          <w:tcPr>
            <w:tcW w:w="4919" w:type="dxa"/>
            <w:hideMark/>
          </w:tcPr>
          <w:p w14:paraId="5DEC9F60" w14:textId="5D7276D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618 Data Table Subtracted from Denominator</w:t>
            </w:r>
          </w:p>
        </w:tc>
        <w:tc>
          <w:tcPr>
            <w:tcW w:w="4920" w:type="dxa"/>
            <w:hideMark/>
          </w:tcPr>
          <w:p w14:paraId="59AB081B" w14:textId="0EC0F562" w:rsidR="00435E51" w:rsidRPr="00210AC6" w:rsidRDefault="00435E51" w:rsidP="00435E51">
            <w:pPr>
              <w:spacing w:before="0" w:after="0"/>
              <w:rPr>
                <w:rFonts w:eastAsia="Times New Roman" w:cs="Arial"/>
                <w:szCs w:val="16"/>
              </w:rPr>
            </w:pPr>
            <w:r w:rsidRPr="00C1283C">
              <w:t>0.00</w:t>
            </w:r>
          </w:p>
        </w:tc>
      </w:tr>
      <w:tr w:rsidR="00435E51" w:rsidRPr="00210AC6" w14:paraId="028FED6F" w14:textId="77777777" w:rsidTr="00714F02">
        <w:trPr>
          <w:trHeight w:val="432"/>
        </w:trPr>
        <w:tc>
          <w:tcPr>
            <w:tcW w:w="4919" w:type="dxa"/>
            <w:hideMark/>
          </w:tcPr>
          <w:p w14:paraId="1738C251" w14:textId="1F807C1C" w:rsidR="00435E51" w:rsidRPr="00210AC6" w:rsidRDefault="00E31D6F" w:rsidP="00435E51">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778348E2" w14:textId="6564F030" w:rsidR="00435E51" w:rsidRPr="00210AC6" w:rsidRDefault="00435E51" w:rsidP="00435E51">
            <w:pPr>
              <w:spacing w:before="0" w:after="0"/>
              <w:rPr>
                <w:rFonts w:eastAsia="Times New Roman" w:cs="Arial"/>
                <w:szCs w:val="16"/>
              </w:rPr>
            </w:pPr>
            <w:r w:rsidRPr="00C1283C">
              <w:t>49.00</w:t>
            </w:r>
          </w:p>
        </w:tc>
      </w:tr>
      <w:tr w:rsidR="00435E51" w:rsidRPr="00210AC6" w14:paraId="6982C8B2" w14:textId="77777777" w:rsidTr="00714F02">
        <w:trPr>
          <w:trHeight w:val="432"/>
        </w:trPr>
        <w:tc>
          <w:tcPr>
            <w:tcW w:w="4919" w:type="dxa"/>
            <w:hideMark/>
          </w:tcPr>
          <w:p w14:paraId="66945B04" w14:textId="5A297E13" w:rsidR="00435E51" w:rsidRPr="00210AC6" w:rsidRDefault="00435E51" w:rsidP="00435E51">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6474A249" w14:textId="2043387F" w:rsidR="00435E51" w:rsidRPr="00210AC6" w:rsidRDefault="00435E51" w:rsidP="00435E51">
            <w:pPr>
              <w:spacing w:before="0" w:after="0"/>
              <w:rPr>
                <w:rFonts w:eastAsia="Times New Roman" w:cs="Arial"/>
                <w:szCs w:val="16"/>
              </w:rPr>
            </w:pPr>
            <w:r w:rsidRPr="00C1283C">
              <w:t>1.0000</w:t>
            </w:r>
          </w:p>
        </w:tc>
      </w:tr>
      <w:tr w:rsidR="00435E51" w:rsidRPr="00210AC6" w14:paraId="7D8A43BC" w14:textId="77777777" w:rsidTr="00714F02">
        <w:trPr>
          <w:trHeight w:val="432"/>
        </w:trPr>
        <w:tc>
          <w:tcPr>
            <w:tcW w:w="4919" w:type="dxa"/>
            <w:hideMark/>
          </w:tcPr>
          <w:p w14:paraId="595A505F" w14:textId="77777777" w:rsidR="00435E51" w:rsidRPr="00210AC6" w:rsidRDefault="00435E51" w:rsidP="00435E51">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78CA2214" w14:textId="6B3E20AB" w:rsidR="00435E51" w:rsidRPr="00210AC6" w:rsidRDefault="00435E51" w:rsidP="00435E51">
            <w:pPr>
              <w:spacing w:before="0" w:after="0"/>
              <w:rPr>
                <w:rFonts w:eastAsia="Times New Roman" w:cs="Arial"/>
                <w:szCs w:val="16"/>
              </w:rPr>
            </w:pPr>
            <w:r w:rsidRPr="00C1283C">
              <w:t>100.00</w:t>
            </w:r>
          </w:p>
        </w:tc>
      </w:tr>
    </w:tbl>
    <w:p w14:paraId="769E196A" w14:textId="77777777" w:rsidR="001853BF" w:rsidRDefault="001853BF" w:rsidP="00B42C5F">
      <w:pPr>
        <w:rPr>
          <w:rFonts w:eastAsia="Times New Roman" w:cs="Arial"/>
          <w:b/>
          <w:bCs/>
          <w:szCs w:val="16"/>
        </w:rPr>
      </w:pPr>
    </w:p>
    <w:p w14:paraId="5EFBC357" w14:textId="33BA4787" w:rsidR="00F02F41" w:rsidRDefault="001853BF" w:rsidP="00D12506">
      <w:pPr>
        <w:rPr>
          <w:rFonts w:eastAsia="Times New Roman" w:cs="Arial"/>
          <w:b/>
          <w:bCs/>
          <w:szCs w:val="16"/>
        </w:rPr>
      </w:pPr>
      <w:r w:rsidRPr="00210AC6">
        <w:rPr>
          <w:rFonts w:eastAsia="Times New Roman" w:cs="Arial"/>
          <w:b/>
          <w:bCs/>
          <w:szCs w:val="16"/>
        </w:rPr>
        <w:t xml:space="preserve">*Note that any cell marked as N/A in the APR Data Table will decrease the denominator by </w:t>
      </w:r>
      <w:proofErr w:type="gramStart"/>
      <w:r w:rsidRPr="00210AC6">
        <w:rPr>
          <w:rFonts w:eastAsia="Times New Roman" w:cs="Arial"/>
          <w:b/>
          <w:bCs/>
          <w:szCs w:val="16"/>
        </w:rPr>
        <w:t>1</w:t>
      </w:r>
      <w:proofErr w:type="gramEnd"/>
      <w:r w:rsidRPr="00210AC6">
        <w:rPr>
          <w:rFonts w:eastAsia="Times New Roman" w:cs="Arial"/>
          <w:b/>
          <w:bCs/>
          <w:szCs w:val="16"/>
        </w:rPr>
        <w:t>, and any cell marked as N/A in the 618 Data Table will decrease the denominator by 1.23809524.</w:t>
      </w:r>
    </w:p>
    <w:p w14:paraId="78EE533A" w14:textId="403F6F0A" w:rsidR="0078594A" w:rsidRDefault="00D8678D" w:rsidP="00D12506">
      <w:pPr>
        <w:rPr>
          <w:rFonts w:eastAsia="Times New Roman" w:cs="Arial"/>
          <w:b/>
          <w:bCs/>
          <w:szCs w:val="16"/>
        </w:rPr>
      </w:pPr>
      <w:r>
        <w:rPr>
          <w:rFonts w:eastAsia="Times New Roman" w:cs="Arial"/>
          <w:b/>
          <w:bCs/>
          <w:szCs w:val="16"/>
        </w:rPr>
        <w:t>_________________________________________________________________________________________________________________________</w:t>
      </w:r>
    </w:p>
    <w:p w14:paraId="7D8DC835" w14:textId="77777777" w:rsidR="0078594A" w:rsidRDefault="0078594A" w:rsidP="00D12506">
      <w:pPr>
        <w:rPr>
          <w:rFonts w:eastAsia="Times New Roman" w:cs="Arial"/>
          <w:b/>
          <w:bCs/>
          <w:szCs w:val="16"/>
        </w:rPr>
      </w:pPr>
    </w:p>
    <w:p w14:paraId="7BAA8128" w14:textId="77777777" w:rsidR="0078594A" w:rsidRDefault="0078594A" w:rsidP="00D12506">
      <w:pPr>
        <w:rPr>
          <w:rFonts w:eastAsia="Times New Roman" w:cs="Arial"/>
          <w:b/>
          <w:bCs/>
          <w:szCs w:val="16"/>
        </w:rPr>
      </w:pPr>
    </w:p>
    <w:p w14:paraId="1680CB83" w14:textId="77777777" w:rsidR="0078594A" w:rsidRDefault="0078594A" w:rsidP="00D12506"/>
    <w:p w14:paraId="6EA24703" w14:textId="77777777" w:rsidR="00D84A0A" w:rsidRDefault="00D84A0A" w:rsidP="00D84A0A">
      <w:pPr>
        <w:spacing w:before="0" w:after="200" w:line="276" w:lineRule="auto"/>
      </w:pPr>
    </w:p>
    <w:p w14:paraId="130C5698" w14:textId="7694A105" w:rsidR="00D84A0A" w:rsidRPr="003A34C1" w:rsidRDefault="00D84A0A" w:rsidP="00D84A0A">
      <w:pPr>
        <w:spacing w:before="0" w:after="200" w:line="276" w:lineRule="auto"/>
      </w:pPr>
      <w:r>
        <w:br w:type="page"/>
      </w:r>
    </w:p>
    <w:p w14:paraId="37CA7204" w14:textId="77777777" w:rsidR="004777CA" w:rsidRPr="008A41E6" w:rsidRDefault="004777CA" w:rsidP="004777CA">
      <w:pPr>
        <w:rPr>
          <w:b/>
          <w:bCs/>
          <w:sz w:val="20"/>
          <w:szCs w:val="28"/>
        </w:rPr>
      </w:pPr>
      <w:r w:rsidRPr="008A41E6">
        <w:rPr>
          <w:b/>
          <w:bCs/>
          <w:sz w:val="20"/>
          <w:szCs w:val="28"/>
        </w:rPr>
        <w:lastRenderedPageBreak/>
        <w:t>APR and 618 -Timely and Accurate State Reported Data</w:t>
      </w:r>
    </w:p>
    <w:p w14:paraId="6C84D9C5" w14:textId="77777777" w:rsidR="004777CA" w:rsidRDefault="004777CA" w:rsidP="004777CA"/>
    <w:p w14:paraId="3FA33DFF" w14:textId="77777777" w:rsidR="004777CA" w:rsidRPr="008A41E6" w:rsidRDefault="004777CA" w:rsidP="004777CA">
      <w:pPr>
        <w:rPr>
          <w:b/>
          <w:bCs/>
        </w:rPr>
      </w:pPr>
      <w:r w:rsidRPr="008A41E6">
        <w:rPr>
          <w:b/>
          <w:bCs/>
        </w:rPr>
        <w:t>DATE: February 2023 Submission</w:t>
      </w:r>
    </w:p>
    <w:p w14:paraId="748E3AF9" w14:textId="77777777" w:rsidR="004777CA" w:rsidRDefault="004777CA" w:rsidP="004777CA"/>
    <w:p w14:paraId="51D89716" w14:textId="30A47721" w:rsidR="00EF6405" w:rsidRPr="00EF6405" w:rsidRDefault="00EF6405" w:rsidP="004777CA">
      <w:pPr>
        <w:rPr>
          <w:b/>
          <w:bCs/>
        </w:rPr>
      </w:pPr>
      <w:r w:rsidRPr="00EF6405">
        <w:rPr>
          <w:b/>
          <w:bCs/>
        </w:rPr>
        <w:t>SPP/APR Data</w:t>
      </w:r>
    </w:p>
    <w:p w14:paraId="2BC0BE25" w14:textId="77777777" w:rsidR="00EF6405" w:rsidRDefault="00EF6405" w:rsidP="004777CA"/>
    <w:p w14:paraId="0F794C69" w14:textId="77777777" w:rsidR="004777CA" w:rsidRDefault="004777CA" w:rsidP="004777CA">
      <w:r w:rsidRPr="008A41E6">
        <w:rPr>
          <w:b/>
          <w:bCs/>
        </w:rPr>
        <w:t>1) Valid and Reliable Data</w:t>
      </w:r>
      <w:r w:rsidRPr="008A41E6">
        <w:t xml:space="preserve"> - Data provided </w:t>
      </w:r>
      <w:proofErr w:type="gramStart"/>
      <w:r w:rsidRPr="008A41E6">
        <w:t>are</w:t>
      </w:r>
      <w:proofErr w:type="gramEnd"/>
      <w:r w:rsidRPr="008A41E6">
        <w:t xml:space="preserv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3B7505A0" w14:textId="77777777" w:rsidR="004777CA" w:rsidRDefault="004777CA" w:rsidP="004777CA"/>
    <w:p w14:paraId="1365AEC8" w14:textId="77944949" w:rsidR="004777CA" w:rsidRDefault="004777CA" w:rsidP="004777CA">
      <w:r w:rsidRPr="008A41E6">
        <w:rPr>
          <w:b/>
          <w:bCs/>
        </w:rPr>
        <w:t>Part B 618 Data</w:t>
      </w:r>
    </w:p>
    <w:p w14:paraId="3EEEF876" w14:textId="77777777" w:rsidR="004777CA" w:rsidRDefault="004777CA" w:rsidP="004777CA"/>
    <w:p w14:paraId="5BAC76FC" w14:textId="005D8856" w:rsidR="004777CA" w:rsidRPr="004777CA" w:rsidRDefault="004777CA" w:rsidP="004777CA">
      <w:r w:rsidRPr="004777CA">
        <w:rPr>
          <w:b/>
          <w:bCs/>
        </w:rPr>
        <w:t xml:space="preserve">1) Timely </w:t>
      </w:r>
      <w:r w:rsidRPr="004777CA">
        <w:t>–   A State will receive one point if it submits all EDFacts files or the entire EMAPS survey associated with the IDEA Section 618 data collection to ED by the initial due date for that collection (as described the table below)</w:t>
      </w:r>
      <w:proofErr w:type="gramStart"/>
      <w:r w:rsidRPr="004777CA">
        <w:t xml:space="preserve">.  </w:t>
      </w:r>
      <w:proofErr w:type="gramEnd"/>
      <w:r w:rsidRPr="004777CA">
        <w:t xml:space="preserve">  </w:t>
      </w:r>
    </w:p>
    <w:p w14:paraId="1F43F1D5" w14:textId="77777777" w:rsidR="004777CA" w:rsidRDefault="004777CA" w:rsidP="004777CA"/>
    <w:tbl>
      <w:tblPr>
        <w:tblStyle w:val="TableGrid"/>
        <w:tblW w:w="0" w:type="auto"/>
        <w:tblLook w:val="04A0" w:firstRow="1" w:lastRow="0" w:firstColumn="1" w:lastColumn="0" w:noHBand="0" w:noVBand="1"/>
        <w:tblCaption w:val="BRUBCFFYREADME"/>
      </w:tblPr>
      <w:tblGrid>
        <w:gridCol w:w="2605"/>
        <w:gridCol w:w="3617"/>
        <w:gridCol w:w="3618"/>
      </w:tblGrid>
      <w:tr w:rsidR="004777CA" w:rsidRPr="004777CA" w14:paraId="4472B9F9" w14:textId="77777777" w:rsidTr="004777CA">
        <w:trPr>
          <w:trHeight w:val="20"/>
        </w:trPr>
        <w:tc>
          <w:tcPr>
            <w:tcW w:w="2605" w:type="dxa"/>
            <w:hideMark/>
          </w:tcPr>
          <w:p w14:paraId="1648227D" w14:textId="77777777" w:rsidR="004777CA" w:rsidRPr="004777CA" w:rsidRDefault="004777CA" w:rsidP="004777CA">
            <w:pPr>
              <w:rPr>
                <w:b/>
                <w:bCs/>
              </w:rPr>
            </w:pPr>
            <w:r w:rsidRPr="004777CA">
              <w:rPr>
                <w:b/>
                <w:bCs/>
              </w:rPr>
              <w:t>618 Data Collection</w:t>
            </w:r>
          </w:p>
        </w:tc>
        <w:tc>
          <w:tcPr>
            <w:tcW w:w="3617" w:type="dxa"/>
            <w:hideMark/>
          </w:tcPr>
          <w:p w14:paraId="685FDACB" w14:textId="77777777" w:rsidR="004777CA" w:rsidRPr="004777CA" w:rsidRDefault="004777CA">
            <w:pPr>
              <w:rPr>
                <w:b/>
                <w:bCs/>
              </w:rPr>
            </w:pPr>
            <w:r w:rsidRPr="004777CA">
              <w:rPr>
                <w:b/>
                <w:bCs/>
              </w:rPr>
              <w:t>EDFacts Files/ EMAPS Survey</w:t>
            </w:r>
          </w:p>
        </w:tc>
        <w:tc>
          <w:tcPr>
            <w:tcW w:w="3618" w:type="dxa"/>
            <w:hideMark/>
          </w:tcPr>
          <w:p w14:paraId="40597F3A" w14:textId="77777777" w:rsidR="004777CA" w:rsidRPr="004777CA" w:rsidRDefault="004777CA">
            <w:pPr>
              <w:rPr>
                <w:b/>
                <w:bCs/>
              </w:rPr>
            </w:pPr>
            <w:r w:rsidRPr="004777CA">
              <w:rPr>
                <w:b/>
                <w:bCs/>
              </w:rPr>
              <w:t>Due Date</w:t>
            </w:r>
          </w:p>
        </w:tc>
      </w:tr>
      <w:tr w:rsidR="004777CA" w:rsidRPr="004777CA" w14:paraId="5AB489B7" w14:textId="77777777" w:rsidTr="004777CA">
        <w:trPr>
          <w:trHeight w:val="20"/>
        </w:trPr>
        <w:tc>
          <w:tcPr>
            <w:tcW w:w="2605" w:type="dxa"/>
            <w:hideMark/>
          </w:tcPr>
          <w:p w14:paraId="00556080" w14:textId="77777777" w:rsidR="004777CA" w:rsidRPr="004777CA" w:rsidRDefault="004777CA">
            <w:r w:rsidRPr="004777CA">
              <w:t>Part B Child Count and Educational Environments</w:t>
            </w:r>
          </w:p>
        </w:tc>
        <w:tc>
          <w:tcPr>
            <w:tcW w:w="3617" w:type="dxa"/>
            <w:hideMark/>
          </w:tcPr>
          <w:p w14:paraId="6663B636" w14:textId="77777777" w:rsidR="004777CA" w:rsidRPr="004777CA" w:rsidRDefault="004777CA">
            <w:r w:rsidRPr="004777CA">
              <w:t>C002 &amp; C089</w:t>
            </w:r>
          </w:p>
        </w:tc>
        <w:tc>
          <w:tcPr>
            <w:tcW w:w="3618" w:type="dxa"/>
            <w:hideMark/>
          </w:tcPr>
          <w:p w14:paraId="1A5219CD" w14:textId="77777777" w:rsidR="004777CA" w:rsidRPr="004777CA" w:rsidRDefault="004777CA">
            <w:r w:rsidRPr="004777CA">
              <w:t>1</w:t>
            </w:r>
            <w:r w:rsidRPr="004777CA">
              <w:rPr>
                <w:vertAlign w:val="superscript"/>
              </w:rPr>
              <w:t>st</w:t>
            </w:r>
            <w:r w:rsidRPr="004777CA">
              <w:t xml:space="preserve"> Wednesday in April</w:t>
            </w:r>
          </w:p>
        </w:tc>
      </w:tr>
      <w:tr w:rsidR="004777CA" w:rsidRPr="004777CA" w14:paraId="34F5C842" w14:textId="77777777" w:rsidTr="004777CA">
        <w:trPr>
          <w:trHeight w:val="20"/>
        </w:trPr>
        <w:tc>
          <w:tcPr>
            <w:tcW w:w="2605" w:type="dxa"/>
            <w:hideMark/>
          </w:tcPr>
          <w:p w14:paraId="5B140CD1" w14:textId="77777777" w:rsidR="004777CA" w:rsidRPr="004777CA" w:rsidRDefault="004777CA">
            <w:r w:rsidRPr="004777CA">
              <w:t xml:space="preserve">Part B Personnel </w:t>
            </w:r>
          </w:p>
        </w:tc>
        <w:tc>
          <w:tcPr>
            <w:tcW w:w="3617" w:type="dxa"/>
            <w:hideMark/>
          </w:tcPr>
          <w:p w14:paraId="2B3C97E0" w14:textId="77777777" w:rsidR="004777CA" w:rsidRPr="004777CA" w:rsidRDefault="004777CA">
            <w:r w:rsidRPr="004777CA">
              <w:t>C070, C099, C112</w:t>
            </w:r>
          </w:p>
        </w:tc>
        <w:tc>
          <w:tcPr>
            <w:tcW w:w="3618" w:type="dxa"/>
            <w:hideMark/>
          </w:tcPr>
          <w:p w14:paraId="4E9B4012"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A4CEB99" w14:textId="77777777" w:rsidTr="004777CA">
        <w:trPr>
          <w:trHeight w:val="20"/>
        </w:trPr>
        <w:tc>
          <w:tcPr>
            <w:tcW w:w="2605" w:type="dxa"/>
            <w:hideMark/>
          </w:tcPr>
          <w:p w14:paraId="54105E06" w14:textId="77777777" w:rsidR="004777CA" w:rsidRPr="004777CA" w:rsidRDefault="004777CA">
            <w:r w:rsidRPr="004777CA">
              <w:t>Part B Exiting</w:t>
            </w:r>
          </w:p>
        </w:tc>
        <w:tc>
          <w:tcPr>
            <w:tcW w:w="3617" w:type="dxa"/>
            <w:hideMark/>
          </w:tcPr>
          <w:p w14:paraId="12F3E20D" w14:textId="77777777" w:rsidR="004777CA" w:rsidRPr="004777CA" w:rsidRDefault="004777CA">
            <w:r w:rsidRPr="004777CA">
              <w:t>C009</w:t>
            </w:r>
          </w:p>
        </w:tc>
        <w:tc>
          <w:tcPr>
            <w:tcW w:w="3618" w:type="dxa"/>
            <w:hideMark/>
          </w:tcPr>
          <w:p w14:paraId="3133C65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1D5C68C" w14:textId="77777777" w:rsidTr="004777CA">
        <w:trPr>
          <w:trHeight w:val="20"/>
        </w:trPr>
        <w:tc>
          <w:tcPr>
            <w:tcW w:w="2605" w:type="dxa"/>
            <w:hideMark/>
          </w:tcPr>
          <w:p w14:paraId="63F706F3" w14:textId="77777777" w:rsidR="004777CA" w:rsidRPr="004777CA" w:rsidRDefault="004777CA">
            <w:r w:rsidRPr="004777CA">
              <w:t xml:space="preserve">Part B Discipline </w:t>
            </w:r>
          </w:p>
        </w:tc>
        <w:tc>
          <w:tcPr>
            <w:tcW w:w="3617" w:type="dxa"/>
            <w:hideMark/>
          </w:tcPr>
          <w:p w14:paraId="16D2853A" w14:textId="77777777" w:rsidR="004777CA" w:rsidRPr="004777CA" w:rsidRDefault="004777CA">
            <w:r w:rsidRPr="004777CA">
              <w:t>C005, C006, C007, C088, C143, C144</w:t>
            </w:r>
          </w:p>
        </w:tc>
        <w:tc>
          <w:tcPr>
            <w:tcW w:w="3618" w:type="dxa"/>
            <w:hideMark/>
          </w:tcPr>
          <w:p w14:paraId="254DB99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E5FB44E" w14:textId="77777777" w:rsidTr="004777CA">
        <w:trPr>
          <w:trHeight w:val="20"/>
        </w:trPr>
        <w:tc>
          <w:tcPr>
            <w:tcW w:w="2605" w:type="dxa"/>
            <w:hideMark/>
          </w:tcPr>
          <w:p w14:paraId="712EC9E4" w14:textId="77777777" w:rsidR="004777CA" w:rsidRPr="004777CA" w:rsidRDefault="004777CA">
            <w:r w:rsidRPr="004777CA">
              <w:t>Part B Assessment</w:t>
            </w:r>
          </w:p>
        </w:tc>
        <w:tc>
          <w:tcPr>
            <w:tcW w:w="3617" w:type="dxa"/>
            <w:hideMark/>
          </w:tcPr>
          <w:p w14:paraId="2B041249" w14:textId="77777777" w:rsidR="004777CA" w:rsidRPr="004777CA" w:rsidRDefault="004777CA">
            <w:r w:rsidRPr="004777CA">
              <w:t>C175, C178, C185, C188</w:t>
            </w:r>
          </w:p>
        </w:tc>
        <w:tc>
          <w:tcPr>
            <w:tcW w:w="3618" w:type="dxa"/>
            <w:hideMark/>
          </w:tcPr>
          <w:p w14:paraId="563E4812" w14:textId="77777777" w:rsidR="004777CA" w:rsidRPr="004777CA" w:rsidRDefault="004777CA">
            <w:r w:rsidRPr="004777CA">
              <w:t xml:space="preserve">Wednesday in the </w:t>
            </w:r>
            <w:proofErr w:type="gramStart"/>
            <w:r w:rsidRPr="004777CA">
              <w:t>3</w:t>
            </w:r>
            <w:r w:rsidRPr="004777CA">
              <w:rPr>
                <w:vertAlign w:val="superscript"/>
              </w:rPr>
              <w:t>rd</w:t>
            </w:r>
            <w:proofErr w:type="gramEnd"/>
            <w:r w:rsidRPr="004777CA">
              <w:t xml:space="preserve"> week of December (aligned with CSPR data due date)</w:t>
            </w:r>
          </w:p>
        </w:tc>
      </w:tr>
      <w:tr w:rsidR="004777CA" w:rsidRPr="004777CA" w14:paraId="4C08C198" w14:textId="77777777" w:rsidTr="004777CA">
        <w:trPr>
          <w:trHeight w:val="20"/>
        </w:trPr>
        <w:tc>
          <w:tcPr>
            <w:tcW w:w="2605" w:type="dxa"/>
            <w:hideMark/>
          </w:tcPr>
          <w:p w14:paraId="2894DF0B" w14:textId="77777777" w:rsidR="004777CA" w:rsidRPr="004777CA" w:rsidRDefault="004777CA">
            <w:r w:rsidRPr="004777CA">
              <w:t xml:space="preserve">Part B Dispute Resolution </w:t>
            </w:r>
          </w:p>
        </w:tc>
        <w:tc>
          <w:tcPr>
            <w:tcW w:w="3617" w:type="dxa"/>
            <w:hideMark/>
          </w:tcPr>
          <w:p w14:paraId="723D6024" w14:textId="77777777" w:rsidR="004777CA" w:rsidRPr="004777CA" w:rsidRDefault="004777CA">
            <w:r w:rsidRPr="004777CA">
              <w:t>Part B Dispute Resolution Survey in EMAPS</w:t>
            </w:r>
          </w:p>
        </w:tc>
        <w:tc>
          <w:tcPr>
            <w:tcW w:w="3618" w:type="dxa"/>
            <w:hideMark/>
          </w:tcPr>
          <w:p w14:paraId="379E394B"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B69FF00" w14:textId="77777777" w:rsidTr="004777CA">
        <w:trPr>
          <w:trHeight w:val="20"/>
        </w:trPr>
        <w:tc>
          <w:tcPr>
            <w:tcW w:w="2605" w:type="dxa"/>
            <w:hideMark/>
          </w:tcPr>
          <w:p w14:paraId="06F7CBC6" w14:textId="77777777" w:rsidR="004777CA" w:rsidRPr="004777CA" w:rsidRDefault="004777CA">
            <w:r w:rsidRPr="004777CA">
              <w:t>Part B LEA Maintenance of Effort Reduction and Coordinated Early Intervening Services</w:t>
            </w:r>
          </w:p>
        </w:tc>
        <w:tc>
          <w:tcPr>
            <w:tcW w:w="3617" w:type="dxa"/>
            <w:hideMark/>
          </w:tcPr>
          <w:p w14:paraId="6B511F74" w14:textId="77777777" w:rsidR="004777CA" w:rsidRPr="004777CA" w:rsidRDefault="004777CA">
            <w:r w:rsidRPr="004777CA">
              <w:t>Part B MOE Reduction and CEIS Survey in EMAPS</w:t>
            </w:r>
          </w:p>
        </w:tc>
        <w:tc>
          <w:tcPr>
            <w:tcW w:w="3618" w:type="dxa"/>
            <w:hideMark/>
          </w:tcPr>
          <w:p w14:paraId="22308BA5" w14:textId="77777777" w:rsidR="004777CA" w:rsidRPr="004777CA" w:rsidRDefault="004777CA">
            <w:r w:rsidRPr="004777CA">
              <w:t>1</w:t>
            </w:r>
            <w:r w:rsidRPr="004777CA">
              <w:rPr>
                <w:vertAlign w:val="superscript"/>
              </w:rPr>
              <w:t>st</w:t>
            </w:r>
            <w:r w:rsidRPr="004777CA">
              <w:t xml:space="preserve"> Wednesday in May</w:t>
            </w:r>
          </w:p>
        </w:tc>
      </w:tr>
    </w:tbl>
    <w:p w14:paraId="52ACECA5" w14:textId="77777777" w:rsidR="004777CA" w:rsidRDefault="004777CA" w:rsidP="004777CA"/>
    <w:p w14:paraId="4EFF5866" w14:textId="4128FE84" w:rsidR="004777CA" w:rsidRPr="008A41E6" w:rsidRDefault="004777CA" w:rsidP="004777CA">
      <w:pPr>
        <w:rPr>
          <w:b/>
          <w:bCs/>
        </w:rPr>
      </w:pPr>
      <w:r w:rsidRPr="008A41E6">
        <w:rPr>
          <w:b/>
          <w:bCs/>
        </w:rPr>
        <w:t>2) Complete Data</w:t>
      </w:r>
      <w:r w:rsidRPr="008A41E6">
        <w:t xml:space="preserve"> – </w:t>
      </w:r>
      <w:r w:rsidRPr="004777CA">
        <w:t xml:space="preserve">A State will receive one point if it submits data for all files, permitted values, category sets, subtotals, and totals associated with a specific data collection by the initial due date. No data </w:t>
      </w:r>
      <w:proofErr w:type="gramStart"/>
      <w:r w:rsidRPr="004777CA">
        <w:t>is reported</w:t>
      </w:r>
      <w:proofErr w:type="gramEnd"/>
      <w:r w:rsidRPr="004777CA">
        <w:t xml:space="preserve"> as missing. No placeholder data </w:t>
      </w:r>
      <w:proofErr w:type="gramStart"/>
      <w:r w:rsidRPr="004777CA">
        <w:t>is submitted</w:t>
      </w:r>
      <w:proofErr w:type="gramEnd"/>
      <w:r w:rsidRPr="004777CA">
        <w:t>. The data submitted to EDFacts aligns with the metadata survey responses provided by the state in the State Supplemental Survey IDEA (SSS IDEA) and Assessment Metadata survey in EMAPS</w:t>
      </w:r>
      <w:proofErr w:type="gramStart"/>
      <w:r w:rsidRPr="004777CA">
        <w:t xml:space="preserve">.  </w:t>
      </w:r>
      <w:proofErr w:type="gramEnd"/>
      <w:r w:rsidRPr="004777CA">
        <w:t>State-level data include data from all districts or agencies</w:t>
      </w:r>
      <w:r w:rsidRPr="008A41E6">
        <w:t>.</w:t>
      </w:r>
    </w:p>
    <w:p w14:paraId="34EF2576" w14:textId="77777777" w:rsidR="004777CA" w:rsidRDefault="004777CA" w:rsidP="004777CA"/>
    <w:p w14:paraId="557CE2A1" w14:textId="5CB8EF22" w:rsidR="004777CA" w:rsidRPr="008A41E6" w:rsidRDefault="004777CA" w:rsidP="004777CA">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w:t>
      </w:r>
    </w:p>
    <w:p w14:paraId="330F0E42" w14:textId="3DBADBBF" w:rsidR="004777CA" w:rsidRDefault="004777CA">
      <w:pPr>
        <w:spacing w:before="0" w:after="200" w:line="276" w:lineRule="auto"/>
      </w:pPr>
      <w:r>
        <w:br w:type="page"/>
      </w:r>
    </w:p>
    <w:p w14:paraId="66EA6C1B" w14:textId="3AB83F96" w:rsidR="0058254D" w:rsidRDefault="0058254D" w:rsidP="0058254D">
      <w:pPr>
        <w:pStyle w:val="Heading2"/>
      </w:pPr>
      <w:r>
        <w:lastRenderedPageBreak/>
        <w:t>Dispute Resolution</w:t>
      </w:r>
    </w:p>
    <w:p w14:paraId="7CC41532" w14:textId="77777777" w:rsidR="00441C22" w:rsidRDefault="00441C22">
      <w:pPr>
        <w:spacing w:before="0" w:after="200" w:line="276" w:lineRule="auto"/>
      </w:pPr>
    </w:p>
    <w:p w14:paraId="10BA59E7" w14:textId="55AADDFD" w:rsidR="0058254D" w:rsidRDefault="000C3A99">
      <w:pPr>
        <w:spacing w:before="0" w:after="200" w:line="276" w:lineRule="auto"/>
      </w:pPr>
      <w:r>
        <w:object w:dxaOrig="1540" w:dyaOrig="997" w14:anchorId="5785A1A0">
          <v:shape id="_x0000_i1026" type="#_x0000_t75" alt="PR-B-DR-2021-22" style="width:77.25pt;height:50.25pt" o:ole="">
            <v:imagedata r:id="rId12" o:title=""/>
          </v:shape>
          <o:OLEObject Type="Embed" ProgID="Acrobat.Document.DC" ShapeID="_x0000_i1026" DrawAspect="Icon" ObjectID="_1752323002" r:id="rId13"/>
        </w:object>
      </w:r>
      <w:r w:rsidR="0058254D">
        <w:br w:type="page"/>
      </w:r>
    </w:p>
    <w:p w14:paraId="1EB6A9F6" w14:textId="77777777" w:rsidR="00085B13" w:rsidRDefault="00085B13" w:rsidP="00085B13">
      <w:pPr>
        <w:pStyle w:val="Heading2"/>
      </w:pPr>
      <w:r>
        <w:lastRenderedPageBreak/>
        <w:t>How the Department Made Determinations</w:t>
      </w:r>
    </w:p>
    <w:p w14:paraId="0972CDF2" w14:textId="77777777" w:rsidR="00085B13" w:rsidRPr="00D733C3" w:rsidRDefault="00085B13" w:rsidP="00085B13">
      <w:pPr>
        <w:rPr>
          <w:szCs w:val="16"/>
        </w:rPr>
      </w:pPr>
    </w:p>
    <w:p w14:paraId="778689CC" w14:textId="16576A1E" w:rsidR="00DF3F83" w:rsidRPr="00D733C3" w:rsidRDefault="00DF3F83" w:rsidP="00DF3F83">
      <w:pPr>
        <w:rPr>
          <w:rFonts w:cs="Arial"/>
          <w:szCs w:val="16"/>
        </w:rPr>
      </w:pPr>
      <w:r w:rsidRPr="00D733C3">
        <w:rPr>
          <w:rFonts w:cs="Arial"/>
          <w:szCs w:val="16"/>
        </w:rPr>
        <w:t>Below is the location of How the Department Made Determinations (HTDMD) on OSEP’s IDEA Website</w:t>
      </w:r>
      <w:proofErr w:type="gramStart"/>
      <w:r w:rsidRPr="00D733C3">
        <w:rPr>
          <w:rFonts w:cs="Arial"/>
          <w:szCs w:val="16"/>
        </w:rPr>
        <w:t xml:space="preserve">.  </w:t>
      </w:r>
      <w:proofErr w:type="gramEnd"/>
      <w:r w:rsidRPr="00D733C3">
        <w:rPr>
          <w:rFonts w:cs="Arial"/>
          <w:szCs w:val="16"/>
        </w:rPr>
        <w:t xml:space="preserve">How the Department Made Determinations in 2023 will </w:t>
      </w:r>
      <w:proofErr w:type="gramStart"/>
      <w:r w:rsidRPr="00D733C3">
        <w:rPr>
          <w:rFonts w:cs="Arial"/>
          <w:szCs w:val="16"/>
        </w:rPr>
        <w:t>be posted</w:t>
      </w:r>
      <w:proofErr w:type="gramEnd"/>
      <w:r w:rsidRPr="00D733C3">
        <w:rPr>
          <w:rFonts w:cs="Arial"/>
          <w:szCs w:val="16"/>
        </w:rPr>
        <w:t xml:space="preserve"> in June 2023. Copy and paste the link below into a browser to view.</w:t>
      </w:r>
    </w:p>
    <w:p w14:paraId="7F614999" w14:textId="77777777" w:rsidR="00DF3F83" w:rsidRPr="00D733C3" w:rsidRDefault="00DF3F83" w:rsidP="00DF3F83">
      <w:pPr>
        <w:pStyle w:val="BodyText"/>
        <w:spacing w:before="7"/>
        <w:rPr>
          <w:rFonts w:ascii="Arial" w:eastAsia="Calibri" w:hAnsi="Arial" w:cs="Arial"/>
          <w:sz w:val="16"/>
          <w:szCs w:val="16"/>
        </w:rPr>
      </w:pPr>
    </w:p>
    <w:p w14:paraId="05B81CB3" w14:textId="1ABD70E5" w:rsidR="00D84A0A" w:rsidRPr="00D733C3" w:rsidRDefault="007103FF">
      <w:pPr>
        <w:spacing w:before="0" w:after="200" w:line="276" w:lineRule="auto"/>
        <w:rPr>
          <w:rFonts w:cs="Arial"/>
          <w:b/>
          <w:bCs/>
          <w:szCs w:val="16"/>
        </w:rPr>
      </w:pPr>
      <w:hyperlink r:id="rId14" w:history="1">
        <w:r w:rsidR="00DF3F83" w:rsidRPr="00D733C3">
          <w:rPr>
            <w:rStyle w:val="Hyperlink"/>
            <w:szCs w:val="16"/>
          </w:rPr>
          <w:t>https://sites.ed.gov/idea/how-the-department-made-determinations/</w:t>
        </w:r>
      </w:hyperlink>
      <w:bookmarkStart w:id="84" w:name="Introduction"/>
      <w:bookmarkStart w:id="85" w:name="_Hlk124349373"/>
      <w:bookmarkEnd w:id="3"/>
      <w:bookmarkEnd w:id="84"/>
      <w:bookmarkEnd w:id="85"/>
    </w:p>
    <w:sectPr w:rsidR="00D84A0A" w:rsidRPr="00D733C3" w:rsidSect="00D733C3">
      <w:headerReference w:type="default" r:id="rId15"/>
      <w:footerReference w:type="default" r:id="rId16"/>
      <w:pgSz w:w="12240" w:h="15840"/>
      <w:pgMar w:top="720" w:right="720" w:bottom="720" w:left="720" w:header="763" w:footer="431"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3FDE5" w14:textId="77777777" w:rsidR="00D80788" w:rsidRDefault="00D80788" w:rsidP="000802F7">
      <w:pPr>
        <w:spacing w:before="0" w:after="0"/>
      </w:pPr>
      <w:r>
        <w:separator/>
      </w:r>
    </w:p>
  </w:endnote>
  <w:endnote w:type="continuationSeparator" w:id="0">
    <w:p w14:paraId="42C8B182" w14:textId="77777777" w:rsidR="00D80788" w:rsidRDefault="00D80788" w:rsidP="000802F7">
      <w:pPr>
        <w:spacing w:before="0" w:after="0"/>
      </w:pPr>
      <w:r>
        <w:continuationSeparator/>
      </w:r>
    </w:p>
  </w:endnote>
  <w:endnote w:type="continuationNotice" w:id="1">
    <w:p w14:paraId="68B27A1E" w14:textId="77777777" w:rsidR="00D80788" w:rsidRDefault="00D8078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032885"/>
      <w:docPartObj>
        <w:docPartGallery w:val="Page Numbers (Bottom of Page)"/>
        <w:docPartUnique/>
      </w:docPartObj>
    </w:sdtPr>
    <w:sdtEndPr>
      <w:rPr>
        <w:noProof/>
      </w:rPr>
    </w:sdtEndPr>
    <w:sdtContent>
      <w:sdt>
        <w:sdtPr>
          <w:id w:val="1521194661"/>
          <w:docPartObj>
            <w:docPartGallery w:val="Page Numbers (Bottom of Page)"/>
            <w:docPartUnique/>
          </w:docPartObj>
        </w:sdtPr>
        <w:sdtEndPr>
          <w:rPr>
            <w:noProof/>
          </w:rPr>
        </w:sdtEndPr>
        <w:sdtContent>
          <w:p w14:paraId="6320AF27" w14:textId="07F84AA5" w:rsidR="0031327B" w:rsidRDefault="00D733C3" w:rsidP="00D733C3">
            <w:pPr>
              <w:pStyle w:val="Footer"/>
              <w:jc w:val="right"/>
              <w:rPr>
                <w:noProof/>
              </w:rPr>
            </w:pPr>
            <w:r>
              <w:fldChar w:fldCharType="begin"/>
            </w:r>
            <w:r>
              <w:instrText xml:space="preserve"> PAGE   \* MERGEFORMAT </w:instrText>
            </w:r>
            <w:r>
              <w:fldChar w:fldCharType="separate"/>
            </w:r>
            <w:proofErr w:type="gramStart"/>
            <w:r>
              <w:t>3</w:t>
            </w:r>
            <w:proofErr w:type="gramEnd"/>
            <w:r>
              <w:rPr>
                <w:noProof/>
              </w:rPr>
              <w:fldChar w:fldCharType="end"/>
            </w:r>
            <w:r>
              <w:ptab w:relativeTo="margin" w:alignment="right" w:leader="none"/>
            </w:r>
            <w:r>
              <w:t>Part B</w:t>
            </w:r>
          </w:p>
        </w:sdtContent>
      </w:sdt>
    </w:sdtContent>
  </w:sdt>
  <w:p w14:paraId="1BC23CDB" w14:textId="366F33BD" w:rsidR="001D7FB4" w:rsidRDefault="007103F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7125" w14:textId="77777777" w:rsidR="00D80788" w:rsidRDefault="00D80788" w:rsidP="000802F7">
      <w:pPr>
        <w:spacing w:before="0" w:after="0"/>
      </w:pPr>
      <w:r>
        <w:separator/>
      </w:r>
    </w:p>
  </w:footnote>
  <w:footnote w:type="continuationSeparator" w:id="0">
    <w:p w14:paraId="0A99F633" w14:textId="77777777" w:rsidR="00D80788" w:rsidRDefault="00D80788" w:rsidP="000802F7">
      <w:pPr>
        <w:spacing w:before="0" w:after="0"/>
      </w:pPr>
      <w:r>
        <w:continuationSeparator/>
      </w:r>
    </w:p>
  </w:footnote>
  <w:footnote w:type="continuationNotice" w:id="1">
    <w:p w14:paraId="7EF2A229" w14:textId="77777777" w:rsidR="00D80788" w:rsidRDefault="00D80788">
      <w:pPr>
        <w:spacing w:before="0" w:after="0"/>
      </w:pPr>
    </w:p>
  </w:footnote>
  <w:footnote w:id="2">
    <w:p w14:paraId="452F143D" w14:textId="17D8A3ED" w:rsidR="000C3A99" w:rsidRPr="002F68DD" w:rsidRDefault="000C3A99" w:rsidP="000C3A99">
      <w:pPr>
        <w:spacing w:after="0"/>
        <w:rPr>
          <w:rFonts w:cs="Arial"/>
          <w:szCs w:val="16"/>
        </w:rPr>
      </w:pPr>
      <w:r>
        <w:rPr>
          <w:rStyle w:val="FootnoteReference"/>
        </w:rPr>
        <w:footnoteRef/>
      </w:r>
      <w:r>
        <w:t xml:space="preserve"> </w:t>
      </w:r>
      <w:bookmarkStart w:id="5" w:name="_Hlk138799496"/>
      <w:r w:rsidRPr="00891632">
        <w:rPr>
          <w:rFonts w:cs="Arial"/>
          <w:szCs w:val="16"/>
        </w:rPr>
        <w:t>Prior to the FFY 2020 submission, the State used a differ</w:t>
      </w:r>
      <w:r w:rsidRPr="002F68DD">
        <w:rPr>
          <w:rFonts w:cs="Arial"/>
          <w:szCs w:val="16"/>
        </w:rPr>
        <w:t>ent data source to report data under this indicator.</w:t>
      </w:r>
      <w:bookmarkEnd w:id="5"/>
    </w:p>
  </w:footnote>
  <w:footnote w:id="3">
    <w:p w14:paraId="033BF818" w14:textId="6412768E" w:rsidR="002F68DD" w:rsidRDefault="002F68DD">
      <w:pPr>
        <w:pStyle w:val="FootnoteText"/>
      </w:pPr>
      <w:r w:rsidRPr="002F68DD">
        <w:rPr>
          <w:rStyle w:val="FootnoteReference"/>
          <w:sz w:val="16"/>
          <w:szCs w:val="16"/>
        </w:rPr>
        <w:footnoteRef/>
      </w:r>
      <w:r w:rsidRPr="002F68DD">
        <w:rPr>
          <w:sz w:val="16"/>
          <w:szCs w:val="16"/>
        </w:rPr>
        <w:t xml:space="preserve"> </w:t>
      </w:r>
      <w:r w:rsidRPr="002F68DD">
        <w:rPr>
          <w:rFonts w:cs="Arial"/>
          <w:sz w:val="16"/>
          <w:szCs w:val="16"/>
        </w:rPr>
        <w:t>Percentage blurred due to privacy protection.</w:t>
      </w:r>
    </w:p>
  </w:footnote>
  <w:footnote w:id="4">
    <w:p w14:paraId="0FAB7C8D"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6A44D8">
        <w:rPr>
          <w:i/>
          <w:sz w:val="16"/>
          <w:szCs w:val="16"/>
        </w:rPr>
        <w:t>Individuals with Disabilities Education Act</w:t>
      </w:r>
      <w:r w:rsidRPr="006A44D8">
        <w:rPr>
          <w:sz w:val="16"/>
          <w:szCs w:val="16"/>
        </w:rPr>
        <w:t xml:space="preserve"> in 2023: Part B."</w:t>
      </w:r>
    </w:p>
  </w:footnote>
  <w:footnote w:id="5">
    <w:p w14:paraId="69421760"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The complete language for each indicator is located in the Part B SPP/APR Indicator Measurement Table at: </w:t>
      </w:r>
      <w:hyperlink w:history="1"/>
      <w:hyperlink r:id="rId1" w:history="1">
        <w:r w:rsidRPr="006A44D8">
          <w:rPr>
            <w:rStyle w:val="Hyperlink"/>
            <w:sz w:val="16"/>
            <w:szCs w:val="16"/>
          </w:rPr>
          <w:t>https://sites.ed.gov/idea/files/2023_Part-B_SPP-APR_Measurement_Table.pdf</w:t>
        </w:r>
      </w:hyperlink>
      <w:r w:rsidRPr="006A44D8">
        <w:rPr>
          <w:sz w:val="16"/>
          <w:szCs w:val="16"/>
        </w:rPr>
        <w:t xml:space="preserve"> </w:t>
      </w:r>
      <w:hyperlink w:history="1"/>
    </w:p>
  </w:footnote>
  <w:footnote w:id="6">
    <w:p w14:paraId="69EC7855" w14:textId="1293BFE6" w:rsidR="00A47134" w:rsidRDefault="00A47134" w:rsidP="00A47134">
      <w:r>
        <w:rPr>
          <w:rStyle w:val="FootnoteReference"/>
        </w:rPr>
        <w:footnoteRef/>
      </w:r>
      <w:r>
        <w:t xml:space="preserve"> </w:t>
      </w:r>
      <w:r w:rsidR="00E211BF" w:rsidRPr="00606A3B">
        <w:rPr>
          <w:rFonts w:eastAsia="Times New Roman" w:cs="Arial"/>
          <w:szCs w:val="16"/>
        </w:rPr>
        <w:t>In the SPP</w:t>
      </w:r>
      <w:r w:rsidR="001A4886">
        <w:rPr>
          <w:rFonts w:eastAsia="Times New Roman" w:cs="Arial"/>
          <w:szCs w:val="16"/>
        </w:rPr>
        <w:t>/</w:t>
      </w:r>
      <w:r w:rsidR="00E211BF" w:rsidRPr="00606A3B">
        <w:rPr>
          <w:rFonts w:eastAsia="Times New Roman" w:cs="Arial"/>
          <w:szCs w:val="16"/>
        </w:rPr>
        <w:t>APR Data table, where there is an N/A in the Valid and Reliable column, the Total column will display a 0. This is a change from prior years in display only; all calculation</w:t>
      </w:r>
      <w:r w:rsidR="001A4886">
        <w:rPr>
          <w:rFonts w:eastAsia="Times New Roman" w:cs="Arial"/>
          <w:szCs w:val="16"/>
        </w:rPr>
        <w:t xml:space="preserve"> methods</w:t>
      </w:r>
      <w:r w:rsidR="00E211BF" w:rsidRPr="00606A3B">
        <w:rPr>
          <w:rFonts w:eastAsia="Times New Roman" w:cs="Arial"/>
          <w:szCs w:val="16"/>
        </w:rPr>
        <w:t xml:space="preserve"> are unchanged. An N/A does not </w:t>
      </w:r>
      <w:r w:rsidR="001A4886">
        <w:rPr>
          <w:rFonts w:eastAsia="Times New Roman" w:cs="Arial"/>
          <w:szCs w:val="16"/>
        </w:rPr>
        <w:t xml:space="preserve">negatively affect </w:t>
      </w:r>
      <w:r w:rsidR="00E211BF" w:rsidRPr="00606A3B">
        <w:rPr>
          <w:rFonts w:eastAsia="Times New Roman" w:cs="Arial"/>
          <w:szCs w:val="16"/>
        </w:rPr>
        <w:t>a State's score</w:t>
      </w:r>
      <w:r w:rsidR="001A4886">
        <w:rPr>
          <w:rFonts w:eastAsia="Times New Roman" w:cs="Arial"/>
          <w:szCs w:val="16"/>
        </w:rPr>
        <w:t xml:space="preserve">; this is because </w:t>
      </w:r>
      <w:r w:rsidR="00B128EE">
        <w:rPr>
          <w:rFonts w:eastAsia="Times New Roman" w:cs="Arial"/>
          <w:szCs w:val="16"/>
        </w:rPr>
        <w:t>1</w:t>
      </w:r>
      <w:r w:rsidR="00E211BF" w:rsidRPr="00606A3B">
        <w:rPr>
          <w:rFonts w:eastAsia="Times New Roman" w:cs="Arial"/>
          <w:szCs w:val="16"/>
        </w:rPr>
        <w:t xml:space="preserve"> point</w:t>
      </w:r>
      <w:r w:rsidR="00B128EE">
        <w:rPr>
          <w:rFonts w:eastAsia="Times New Roman" w:cs="Arial"/>
          <w:szCs w:val="16"/>
        </w:rPr>
        <w:t xml:space="preserve"> is</w:t>
      </w:r>
      <w:r w:rsidR="00E211BF" w:rsidRPr="00606A3B">
        <w:rPr>
          <w:rFonts w:eastAsia="Times New Roman" w:cs="Arial"/>
          <w:szCs w:val="16"/>
        </w:rPr>
        <w:t xml:space="preserve"> subtracted from the </w:t>
      </w:r>
      <w:r w:rsidR="00B128EE">
        <w:rPr>
          <w:rFonts w:eastAsia="Times New Roman" w:cs="Arial"/>
          <w:szCs w:val="16"/>
        </w:rPr>
        <w:t>Denominator</w:t>
      </w:r>
      <w:r w:rsidR="00E211BF" w:rsidRPr="00606A3B">
        <w:rPr>
          <w:rFonts w:eastAsia="Times New Roman" w:cs="Arial"/>
          <w:szCs w:val="16"/>
        </w:rPr>
        <w:t xml:space="preserve"> in the Indicator Calculation table</w:t>
      </w:r>
      <w:r w:rsidR="00B128EE">
        <w:rPr>
          <w:rFonts w:eastAsia="Times New Roman" w:cs="Arial"/>
          <w:szCs w:val="16"/>
        </w:rPr>
        <w:t xml:space="preserve"> for each cell marked as N/A in the SPP/APR Data table</w:t>
      </w:r>
      <w:r w:rsidR="00E211BF" w:rsidRPr="00606A3B">
        <w:rPr>
          <w:rFonts w:eastAsia="Times New Roman" w:cs="Arial"/>
          <w:szCs w:val="16"/>
        </w:rPr>
        <w:t>.</w:t>
      </w:r>
    </w:p>
  </w:footnote>
  <w:footnote w:id="7">
    <w:p w14:paraId="3461A050" w14:textId="023C8A0B" w:rsidR="002F6CB6" w:rsidRPr="008D0CC6" w:rsidRDefault="002F6CB6">
      <w:pPr>
        <w:pStyle w:val="FootnoteText"/>
        <w:rPr>
          <w:sz w:val="16"/>
          <w:szCs w:val="16"/>
        </w:rPr>
      </w:pPr>
      <w:r w:rsidRPr="008D0CC6">
        <w:rPr>
          <w:rStyle w:val="FootnoteReference"/>
          <w:sz w:val="16"/>
          <w:szCs w:val="16"/>
        </w:rPr>
        <w:footnoteRef/>
      </w:r>
      <w:r w:rsidRPr="008D0CC6">
        <w:rPr>
          <w:sz w:val="16"/>
          <w:szCs w:val="16"/>
        </w:rPr>
        <w:t xml:space="preserve"> </w:t>
      </w:r>
      <w:r w:rsidR="008D0CC6" w:rsidRPr="008D0CC6">
        <w:rPr>
          <w:color w:val="000000" w:themeColor="text1"/>
          <w:sz w:val="16"/>
          <w:szCs w:val="16"/>
        </w:rPr>
        <w:t>In the 618 Data table, when calculating the value in the Total column, any N/As in the Timely, Complete Data, or Passed Edit Checks columns are treated as a ‘0’. An N/A does not negatively affect a State's score; this is because 1.23809524 points is subtracted from the Denominator in the Indicator Calculation table for each cell marked as N/A in the 618 Data 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827F" w14:textId="1332B1B2" w:rsidR="001D7FB4" w:rsidRDefault="007103FF">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19.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A50F6C"/>
    <w:multiLevelType w:val="hybridMultilevel"/>
    <w:tmpl w:val="CA5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F3472"/>
    <w:multiLevelType w:val="hybridMultilevel"/>
    <w:tmpl w:val="5290C0FE"/>
    <w:lvl w:ilvl="0" w:tplc="55762074">
      <w:start w:val="1"/>
      <w:numFmt w:val="decimal"/>
      <w:lvlText w:val="%1."/>
      <w:lvlJc w:val="left"/>
      <w:pPr>
        <w:ind w:left="860" w:hanging="361"/>
      </w:pPr>
      <w:rPr>
        <w:rFonts w:ascii="Carlito" w:eastAsia="Carlito" w:hAnsi="Carlito" w:cs="Carlito" w:hint="default"/>
        <w:w w:val="99"/>
        <w:sz w:val="22"/>
        <w:szCs w:val="22"/>
        <w:lang w:val="en-US" w:eastAsia="en-US" w:bidi="ar-SA"/>
      </w:rPr>
    </w:lvl>
    <w:lvl w:ilvl="1" w:tplc="514EAF34">
      <w:start w:val="1"/>
      <w:numFmt w:val="upperLetter"/>
      <w:lvlText w:val="%2."/>
      <w:lvlJc w:val="left"/>
      <w:pPr>
        <w:ind w:left="860" w:hanging="361"/>
      </w:pPr>
      <w:rPr>
        <w:rFonts w:ascii="Carlito" w:eastAsia="Carlito" w:hAnsi="Carlito" w:cs="Carlito" w:hint="default"/>
        <w:w w:val="99"/>
        <w:sz w:val="22"/>
        <w:szCs w:val="22"/>
        <w:lang w:val="en-US" w:eastAsia="en-US" w:bidi="ar-SA"/>
      </w:rPr>
    </w:lvl>
    <w:lvl w:ilvl="2" w:tplc="F8240EC6">
      <w:numFmt w:val="bullet"/>
      <w:lvlText w:val="•"/>
      <w:lvlJc w:val="left"/>
      <w:pPr>
        <w:ind w:left="2656" w:hanging="361"/>
      </w:pPr>
      <w:rPr>
        <w:lang w:val="en-US" w:eastAsia="en-US" w:bidi="ar-SA"/>
      </w:rPr>
    </w:lvl>
    <w:lvl w:ilvl="3" w:tplc="1FCE6D00">
      <w:numFmt w:val="bullet"/>
      <w:lvlText w:val="•"/>
      <w:lvlJc w:val="left"/>
      <w:pPr>
        <w:ind w:left="3554" w:hanging="361"/>
      </w:pPr>
      <w:rPr>
        <w:lang w:val="en-US" w:eastAsia="en-US" w:bidi="ar-SA"/>
      </w:rPr>
    </w:lvl>
    <w:lvl w:ilvl="4" w:tplc="233E8912">
      <w:numFmt w:val="bullet"/>
      <w:lvlText w:val="•"/>
      <w:lvlJc w:val="left"/>
      <w:pPr>
        <w:ind w:left="4452" w:hanging="361"/>
      </w:pPr>
      <w:rPr>
        <w:lang w:val="en-US" w:eastAsia="en-US" w:bidi="ar-SA"/>
      </w:rPr>
    </w:lvl>
    <w:lvl w:ilvl="5" w:tplc="D8AE35CC">
      <w:numFmt w:val="bullet"/>
      <w:lvlText w:val="•"/>
      <w:lvlJc w:val="left"/>
      <w:pPr>
        <w:ind w:left="5350" w:hanging="361"/>
      </w:pPr>
      <w:rPr>
        <w:lang w:val="en-US" w:eastAsia="en-US" w:bidi="ar-SA"/>
      </w:rPr>
    </w:lvl>
    <w:lvl w:ilvl="6" w:tplc="54B86F70">
      <w:numFmt w:val="bullet"/>
      <w:lvlText w:val="•"/>
      <w:lvlJc w:val="left"/>
      <w:pPr>
        <w:ind w:left="6248" w:hanging="361"/>
      </w:pPr>
      <w:rPr>
        <w:lang w:val="en-US" w:eastAsia="en-US" w:bidi="ar-SA"/>
      </w:rPr>
    </w:lvl>
    <w:lvl w:ilvl="7" w:tplc="A5925B48">
      <w:numFmt w:val="bullet"/>
      <w:lvlText w:val="•"/>
      <w:lvlJc w:val="left"/>
      <w:pPr>
        <w:ind w:left="7146" w:hanging="361"/>
      </w:pPr>
      <w:rPr>
        <w:lang w:val="en-US" w:eastAsia="en-US" w:bidi="ar-SA"/>
      </w:rPr>
    </w:lvl>
    <w:lvl w:ilvl="8" w:tplc="55BEABBE">
      <w:numFmt w:val="bullet"/>
      <w:lvlText w:val="•"/>
      <w:lvlJc w:val="left"/>
      <w:pPr>
        <w:ind w:left="8044" w:hanging="361"/>
      </w:pPr>
      <w:rPr>
        <w:lang w:val="en-US" w:eastAsia="en-US" w:bidi="ar-SA"/>
      </w:rPr>
    </w:lvl>
  </w:abstractNum>
  <w:abstractNum w:abstractNumId="3"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D3DFE"/>
    <w:multiLevelType w:val="hybridMultilevel"/>
    <w:tmpl w:val="DDFED6E0"/>
    <w:lvl w:ilvl="0" w:tplc="F2B480D0">
      <w:numFmt w:val="bullet"/>
      <w:lvlText w:val=""/>
      <w:lvlJc w:val="left"/>
      <w:pPr>
        <w:ind w:left="499" w:hanging="360"/>
      </w:pPr>
      <w:rPr>
        <w:rFonts w:ascii="Symbol" w:eastAsia="Symbol" w:hAnsi="Symbol" w:cs="Symbol" w:hint="default"/>
        <w:w w:val="99"/>
        <w:sz w:val="22"/>
        <w:szCs w:val="22"/>
        <w:lang w:val="en-US" w:eastAsia="en-US" w:bidi="ar-SA"/>
      </w:rPr>
    </w:lvl>
    <w:lvl w:ilvl="1" w:tplc="39C23E4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7988CC3E">
      <w:numFmt w:val="bullet"/>
      <w:lvlText w:val="•"/>
      <w:lvlJc w:val="left"/>
      <w:pPr>
        <w:ind w:left="2497" w:hanging="360"/>
      </w:pPr>
      <w:rPr>
        <w:lang w:val="en-US" w:eastAsia="en-US" w:bidi="ar-SA"/>
      </w:rPr>
    </w:lvl>
    <w:lvl w:ilvl="3" w:tplc="157C9A1E">
      <w:numFmt w:val="bullet"/>
      <w:lvlText w:val="•"/>
      <w:lvlJc w:val="left"/>
      <w:pPr>
        <w:ind w:left="3415" w:hanging="360"/>
      </w:pPr>
      <w:rPr>
        <w:lang w:val="en-US" w:eastAsia="en-US" w:bidi="ar-SA"/>
      </w:rPr>
    </w:lvl>
    <w:lvl w:ilvl="4" w:tplc="EE6E9182">
      <w:numFmt w:val="bullet"/>
      <w:lvlText w:val="•"/>
      <w:lvlJc w:val="left"/>
      <w:pPr>
        <w:ind w:left="4333" w:hanging="360"/>
      </w:pPr>
      <w:rPr>
        <w:lang w:val="en-US" w:eastAsia="en-US" w:bidi="ar-SA"/>
      </w:rPr>
    </w:lvl>
    <w:lvl w:ilvl="5" w:tplc="95382E14">
      <w:numFmt w:val="bullet"/>
      <w:lvlText w:val="•"/>
      <w:lvlJc w:val="left"/>
      <w:pPr>
        <w:ind w:left="5251" w:hanging="360"/>
      </w:pPr>
      <w:rPr>
        <w:lang w:val="en-US" w:eastAsia="en-US" w:bidi="ar-SA"/>
      </w:rPr>
    </w:lvl>
    <w:lvl w:ilvl="6" w:tplc="FA040B58">
      <w:numFmt w:val="bullet"/>
      <w:lvlText w:val="•"/>
      <w:lvlJc w:val="left"/>
      <w:pPr>
        <w:ind w:left="6168" w:hanging="360"/>
      </w:pPr>
      <w:rPr>
        <w:lang w:val="en-US" w:eastAsia="en-US" w:bidi="ar-SA"/>
      </w:rPr>
    </w:lvl>
    <w:lvl w:ilvl="7" w:tplc="9DFA0308">
      <w:numFmt w:val="bullet"/>
      <w:lvlText w:val="•"/>
      <w:lvlJc w:val="left"/>
      <w:pPr>
        <w:ind w:left="7086" w:hanging="360"/>
      </w:pPr>
      <w:rPr>
        <w:lang w:val="en-US" w:eastAsia="en-US" w:bidi="ar-SA"/>
      </w:rPr>
    </w:lvl>
    <w:lvl w:ilvl="8" w:tplc="918632DA">
      <w:numFmt w:val="bullet"/>
      <w:lvlText w:val="•"/>
      <w:lvlJc w:val="left"/>
      <w:pPr>
        <w:ind w:left="8004" w:hanging="360"/>
      </w:pPr>
      <w:rPr>
        <w:lang w:val="en-US" w:eastAsia="en-US" w:bidi="ar-SA"/>
      </w:rPr>
    </w:lvl>
  </w:abstractNum>
  <w:abstractNum w:abstractNumId="5" w15:restartNumberingAfterBreak="0">
    <w:nsid w:val="0B044BCE"/>
    <w:multiLevelType w:val="hybridMultilevel"/>
    <w:tmpl w:val="BB88F2CE"/>
    <w:lvl w:ilvl="0" w:tplc="4FDC1474">
      <w:numFmt w:val="bullet"/>
      <w:lvlText w:val=""/>
      <w:lvlJc w:val="left"/>
      <w:pPr>
        <w:ind w:left="860" w:hanging="361"/>
      </w:pPr>
      <w:rPr>
        <w:rFonts w:ascii="Symbol" w:eastAsia="Symbol" w:hAnsi="Symbol" w:cs="Symbol" w:hint="default"/>
        <w:w w:val="100"/>
        <w:sz w:val="22"/>
        <w:szCs w:val="22"/>
        <w:lang w:val="en-US" w:eastAsia="en-US" w:bidi="ar-SA"/>
      </w:rPr>
    </w:lvl>
    <w:lvl w:ilvl="1" w:tplc="F6D6F56C">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D278D728">
      <w:numFmt w:val="bullet"/>
      <w:lvlText w:val="•"/>
      <w:lvlJc w:val="left"/>
      <w:pPr>
        <w:ind w:left="2497" w:hanging="361"/>
      </w:pPr>
      <w:rPr>
        <w:rFonts w:hint="default"/>
        <w:lang w:val="en-US" w:eastAsia="en-US" w:bidi="ar-SA"/>
      </w:rPr>
    </w:lvl>
    <w:lvl w:ilvl="3" w:tplc="C6E03824">
      <w:numFmt w:val="bullet"/>
      <w:lvlText w:val="•"/>
      <w:lvlJc w:val="left"/>
      <w:pPr>
        <w:ind w:left="3415" w:hanging="361"/>
      </w:pPr>
      <w:rPr>
        <w:rFonts w:hint="default"/>
        <w:lang w:val="en-US" w:eastAsia="en-US" w:bidi="ar-SA"/>
      </w:rPr>
    </w:lvl>
    <w:lvl w:ilvl="4" w:tplc="145E9780">
      <w:numFmt w:val="bullet"/>
      <w:lvlText w:val="•"/>
      <w:lvlJc w:val="left"/>
      <w:pPr>
        <w:ind w:left="4333" w:hanging="361"/>
      </w:pPr>
      <w:rPr>
        <w:rFonts w:hint="default"/>
        <w:lang w:val="en-US" w:eastAsia="en-US" w:bidi="ar-SA"/>
      </w:rPr>
    </w:lvl>
    <w:lvl w:ilvl="5" w:tplc="B63E0F6A">
      <w:numFmt w:val="bullet"/>
      <w:lvlText w:val="•"/>
      <w:lvlJc w:val="left"/>
      <w:pPr>
        <w:ind w:left="5251" w:hanging="361"/>
      </w:pPr>
      <w:rPr>
        <w:rFonts w:hint="default"/>
        <w:lang w:val="en-US" w:eastAsia="en-US" w:bidi="ar-SA"/>
      </w:rPr>
    </w:lvl>
    <w:lvl w:ilvl="6" w:tplc="D7383934">
      <w:numFmt w:val="bullet"/>
      <w:lvlText w:val="•"/>
      <w:lvlJc w:val="left"/>
      <w:pPr>
        <w:ind w:left="6168" w:hanging="361"/>
      </w:pPr>
      <w:rPr>
        <w:rFonts w:hint="default"/>
        <w:lang w:val="en-US" w:eastAsia="en-US" w:bidi="ar-SA"/>
      </w:rPr>
    </w:lvl>
    <w:lvl w:ilvl="7" w:tplc="09B4A024">
      <w:numFmt w:val="bullet"/>
      <w:lvlText w:val="•"/>
      <w:lvlJc w:val="left"/>
      <w:pPr>
        <w:ind w:left="7086" w:hanging="361"/>
      </w:pPr>
      <w:rPr>
        <w:rFonts w:hint="default"/>
        <w:lang w:val="en-US" w:eastAsia="en-US" w:bidi="ar-SA"/>
      </w:rPr>
    </w:lvl>
    <w:lvl w:ilvl="8" w:tplc="FBB2A392">
      <w:numFmt w:val="bullet"/>
      <w:lvlText w:val="•"/>
      <w:lvlJc w:val="left"/>
      <w:pPr>
        <w:ind w:left="8004" w:hanging="361"/>
      </w:pPr>
      <w:rPr>
        <w:rFonts w:hint="default"/>
        <w:lang w:val="en-US" w:eastAsia="en-US" w:bidi="ar-SA"/>
      </w:rPr>
    </w:lvl>
  </w:abstractNum>
  <w:abstractNum w:abstractNumId="6" w15:restartNumberingAfterBreak="0">
    <w:nsid w:val="0BEC0439"/>
    <w:multiLevelType w:val="hybridMultilevel"/>
    <w:tmpl w:val="7334ED46"/>
    <w:lvl w:ilvl="0" w:tplc="3C90AAF8">
      <w:numFmt w:val="bullet"/>
      <w:lvlText w:val=""/>
      <w:lvlJc w:val="left"/>
      <w:pPr>
        <w:ind w:left="859" w:hanging="360"/>
      </w:pPr>
      <w:rPr>
        <w:rFonts w:ascii="Symbol" w:eastAsia="Symbol" w:hAnsi="Symbol" w:cs="Symbol" w:hint="default"/>
        <w:w w:val="99"/>
        <w:sz w:val="22"/>
        <w:szCs w:val="22"/>
        <w:lang w:val="en-US" w:eastAsia="en-US" w:bidi="ar-SA"/>
      </w:rPr>
    </w:lvl>
    <w:lvl w:ilvl="1" w:tplc="78B8A010">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EF4CC438">
      <w:numFmt w:val="bullet"/>
      <w:lvlText w:val="•"/>
      <w:lvlJc w:val="left"/>
      <w:pPr>
        <w:ind w:left="2497" w:hanging="360"/>
      </w:pPr>
      <w:rPr>
        <w:rFonts w:hint="default"/>
        <w:lang w:val="en-US" w:eastAsia="en-US" w:bidi="ar-SA"/>
      </w:rPr>
    </w:lvl>
    <w:lvl w:ilvl="3" w:tplc="39B2EA60">
      <w:numFmt w:val="bullet"/>
      <w:lvlText w:val="•"/>
      <w:lvlJc w:val="left"/>
      <w:pPr>
        <w:ind w:left="3415" w:hanging="360"/>
      </w:pPr>
      <w:rPr>
        <w:rFonts w:hint="default"/>
        <w:lang w:val="en-US" w:eastAsia="en-US" w:bidi="ar-SA"/>
      </w:rPr>
    </w:lvl>
    <w:lvl w:ilvl="4" w:tplc="112E53A6">
      <w:numFmt w:val="bullet"/>
      <w:lvlText w:val="•"/>
      <w:lvlJc w:val="left"/>
      <w:pPr>
        <w:ind w:left="4333" w:hanging="360"/>
      </w:pPr>
      <w:rPr>
        <w:rFonts w:hint="default"/>
        <w:lang w:val="en-US" w:eastAsia="en-US" w:bidi="ar-SA"/>
      </w:rPr>
    </w:lvl>
    <w:lvl w:ilvl="5" w:tplc="8D022A3C">
      <w:numFmt w:val="bullet"/>
      <w:lvlText w:val="•"/>
      <w:lvlJc w:val="left"/>
      <w:pPr>
        <w:ind w:left="5251" w:hanging="360"/>
      </w:pPr>
      <w:rPr>
        <w:rFonts w:hint="default"/>
        <w:lang w:val="en-US" w:eastAsia="en-US" w:bidi="ar-SA"/>
      </w:rPr>
    </w:lvl>
    <w:lvl w:ilvl="6" w:tplc="C95A155E">
      <w:numFmt w:val="bullet"/>
      <w:lvlText w:val="•"/>
      <w:lvlJc w:val="left"/>
      <w:pPr>
        <w:ind w:left="6168" w:hanging="360"/>
      </w:pPr>
      <w:rPr>
        <w:rFonts w:hint="default"/>
        <w:lang w:val="en-US" w:eastAsia="en-US" w:bidi="ar-SA"/>
      </w:rPr>
    </w:lvl>
    <w:lvl w:ilvl="7" w:tplc="0456CE5C">
      <w:numFmt w:val="bullet"/>
      <w:lvlText w:val="•"/>
      <w:lvlJc w:val="left"/>
      <w:pPr>
        <w:ind w:left="7086" w:hanging="360"/>
      </w:pPr>
      <w:rPr>
        <w:rFonts w:hint="default"/>
        <w:lang w:val="en-US" w:eastAsia="en-US" w:bidi="ar-SA"/>
      </w:rPr>
    </w:lvl>
    <w:lvl w:ilvl="8" w:tplc="4574FE88">
      <w:numFmt w:val="bullet"/>
      <w:lvlText w:val="•"/>
      <w:lvlJc w:val="left"/>
      <w:pPr>
        <w:ind w:left="8004" w:hanging="360"/>
      </w:pPr>
      <w:rPr>
        <w:rFonts w:hint="default"/>
        <w:lang w:val="en-US" w:eastAsia="en-US" w:bidi="ar-SA"/>
      </w:rPr>
    </w:lvl>
  </w:abstractNum>
  <w:abstractNum w:abstractNumId="7" w15:restartNumberingAfterBreak="0">
    <w:nsid w:val="0CEF5964"/>
    <w:multiLevelType w:val="hybridMultilevel"/>
    <w:tmpl w:val="2A9267FE"/>
    <w:lvl w:ilvl="0" w:tplc="58288740">
      <w:start w:val="20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C351A"/>
    <w:multiLevelType w:val="hybridMultilevel"/>
    <w:tmpl w:val="D6C27D6E"/>
    <w:lvl w:ilvl="0" w:tplc="635C29EC">
      <w:numFmt w:val="bullet"/>
      <w:lvlText w:val=""/>
      <w:lvlJc w:val="left"/>
      <w:pPr>
        <w:ind w:left="499" w:hanging="361"/>
      </w:pPr>
      <w:rPr>
        <w:rFonts w:ascii="Symbol" w:eastAsia="Symbol" w:hAnsi="Symbol" w:cs="Symbol" w:hint="default"/>
        <w:w w:val="100"/>
        <w:sz w:val="22"/>
        <w:szCs w:val="22"/>
        <w:lang w:val="en-US" w:eastAsia="en-US" w:bidi="ar-SA"/>
      </w:rPr>
    </w:lvl>
    <w:lvl w:ilvl="1" w:tplc="B9BAA71A">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0CDA82C6">
      <w:numFmt w:val="bullet"/>
      <w:lvlText w:val="•"/>
      <w:lvlJc w:val="left"/>
      <w:pPr>
        <w:ind w:left="2497" w:hanging="361"/>
      </w:pPr>
      <w:rPr>
        <w:rFonts w:hint="default"/>
        <w:lang w:val="en-US" w:eastAsia="en-US" w:bidi="ar-SA"/>
      </w:rPr>
    </w:lvl>
    <w:lvl w:ilvl="3" w:tplc="6DF61572">
      <w:numFmt w:val="bullet"/>
      <w:lvlText w:val="•"/>
      <w:lvlJc w:val="left"/>
      <w:pPr>
        <w:ind w:left="3415" w:hanging="361"/>
      </w:pPr>
      <w:rPr>
        <w:rFonts w:hint="default"/>
        <w:lang w:val="en-US" w:eastAsia="en-US" w:bidi="ar-SA"/>
      </w:rPr>
    </w:lvl>
    <w:lvl w:ilvl="4" w:tplc="252A2D00">
      <w:numFmt w:val="bullet"/>
      <w:lvlText w:val="•"/>
      <w:lvlJc w:val="left"/>
      <w:pPr>
        <w:ind w:left="4333" w:hanging="361"/>
      </w:pPr>
      <w:rPr>
        <w:rFonts w:hint="default"/>
        <w:lang w:val="en-US" w:eastAsia="en-US" w:bidi="ar-SA"/>
      </w:rPr>
    </w:lvl>
    <w:lvl w:ilvl="5" w:tplc="D06E9DEA">
      <w:numFmt w:val="bullet"/>
      <w:lvlText w:val="•"/>
      <w:lvlJc w:val="left"/>
      <w:pPr>
        <w:ind w:left="5251" w:hanging="361"/>
      </w:pPr>
      <w:rPr>
        <w:rFonts w:hint="default"/>
        <w:lang w:val="en-US" w:eastAsia="en-US" w:bidi="ar-SA"/>
      </w:rPr>
    </w:lvl>
    <w:lvl w:ilvl="6" w:tplc="B1D24916">
      <w:numFmt w:val="bullet"/>
      <w:lvlText w:val="•"/>
      <w:lvlJc w:val="left"/>
      <w:pPr>
        <w:ind w:left="6168" w:hanging="361"/>
      </w:pPr>
      <w:rPr>
        <w:rFonts w:hint="default"/>
        <w:lang w:val="en-US" w:eastAsia="en-US" w:bidi="ar-SA"/>
      </w:rPr>
    </w:lvl>
    <w:lvl w:ilvl="7" w:tplc="5AD62662">
      <w:numFmt w:val="bullet"/>
      <w:lvlText w:val="•"/>
      <w:lvlJc w:val="left"/>
      <w:pPr>
        <w:ind w:left="7086" w:hanging="361"/>
      </w:pPr>
      <w:rPr>
        <w:rFonts w:hint="default"/>
        <w:lang w:val="en-US" w:eastAsia="en-US" w:bidi="ar-SA"/>
      </w:rPr>
    </w:lvl>
    <w:lvl w:ilvl="8" w:tplc="E6E0B090">
      <w:numFmt w:val="bullet"/>
      <w:lvlText w:val="•"/>
      <w:lvlJc w:val="left"/>
      <w:pPr>
        <w:ind w:left="8004" w:hanging="361"/>
      </w:pPr>
      <w:rPr>
        <w:rFonts w:hint="default"/>
        <w:lang w:val="en-US" w:eastAsia="en-US" w:bidi="ar-SA"/>
      </w:rPr>
    </w:lvl>
  </w:abstractNum>
  <w:abstractNum w:abstractNumId="9"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D2E1335"/>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A7B59"/>
    <w:multiLevelType w:val="hybridMultilevel"/>
    <w:tmpl w:val="B670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D63E3"/>
    <w:multiLevelType w:val="hybridMultilevel"/>
    <w:tmpl w:val="9EF24676"/>
    <w:lvl w:ilvl="0" w:tplc="7526AB70">
      <w:start w:val="1"/>
      <w:numFmt w:val="upperLetter"/>
      <w:lvlText w:val="%1."/>
      <w:lvlJc w:val="left"/>
      <w:pPr>
        <w:ind w:left="533" w:hanging="394"/>
      </w:pPr>
      <w:rPr>
        <w:b/>
        <w:bCs/>
        <w:spacing w:val="0"/>
        <w:w w:val="99"/>
        <w:lang w:val="en-US" w:eastAsia="en-US" w:bidi="ar-SA"/>
      </w:rPr>
    </w:lvl>
    <w:lvl w:ilvl="1" w:tplc="91C0033A">
      <w:start w:val="1"/>
      <w:numFmt w:val="decimal"/>
      <w:lvlText w:val="%2."/>
      <w:lvlJc w:val="left"/>
      <w:pPr>
        <w:ind w:left="859" w:hanging="361"/>
      </w:pPr>
      <w:rPr>
        <w:rFonts w:ascii="Carlito" w:eastAsia="Carlito" w:hAnsi="Carlito" w:cs="Carlito" w:hint="default"/>
        <w:w w:val="99"/>
        <w:sz w:val="22"/>
        <w:szCs w:val="22"/>
        <w:lang w:val="en-US" w:eastAsia="en-US" w:bidi="ar-SA"/>
      </w:rPr>
    </w:lvl>
    <w:lvl w:ilvl="2" w:tplc="4B5EDCC0">
      <w:start w:val="1"/>
      <w:numFmt w:val="lowerLetter"/>
      <w:lvlText w:val="%3."/>
      <w:lvlJc w:val="left"/>
      <w:pPr>
        <w:ind w:left="1579" w:hanging="360"/>
      </w:pPr>
      <w:rPr>
        <w:rFonts w:ascii="Carlito" w:eastAsia="Carlito" w:hAnsi="Carlito" w:cs="Carlito" w:hint="default"/>
        <w:w w:val="99"/>
        <w:sz w:val="22"/>
        <w:szCs w:val="22"/>
        <w:lang w:val="en-US" w:eastAsia="en-US" w:bidi="ar-SA"/>
      </w:rPr>
    </w:lvl>
    <w:lvl w:ilvl="3" w:tplc="4F0282DA">
      <w:numFmt w:val="bullet"/>
      <w:lvlText w:val="•"/>
      <w:lvlJc w:val="left"/>
      <w:pPr>
        <w:ind w:left="2612" w:hanging="360"/>
      </w:pPr>
      <w:rPr>
        <w:lang w:val="en-US" w:eastAsia="en-US" w:bidi="ar-SA"/>
      </w:rPr>
    </w:lvl>
    <w:lvl w:ilvl="4" w:tplc="69FA0BD8">
      <w:numFmt w:val="bullet"/>
      <w:lvlText w:val="•"/>
      <w:lvlJc w:val="left"/>
      <w:pPr>
        <w:ind w:left="3645" w:hanging="360"/>
      </w:pPr>
      <w:rPr>
        <w:lang w:val="en-US" w:eastAsia="en-US" w:bidi="ar-SA"/>
      </w:rPr>
    </w:lvl>
    <w:lvl w:ilvl="5" w:tplc="DB5E5F14">
      <w:numFmt w:val="bullet"/>
      <w:lvlText w:val="•"/>
      <w:lvlJc w:val="left"/>
      <w:pPr>
        <w:ind w:left="4677" w:hanging="360"/>
      </w:pPr>
      <w:rPr>
        <w:lang w:val="en-US" w:eastAsia="en-US" w:bidi="ar-SA"/>
      </w:rPr>
    </w:lvl>
    <w:lvl w:ilvl="6" w:tplc="E856B4E2">
      <w:numFmt w:val="bullet"/>
      <w:lvlText w:val="•"/>
      <w:lvlJc w:val="left"/>
      <w:pPr>
        <w:ind w:left="5710" w:hanging="360"/>
      </w:pPr>
      <w:rPr>
        <w:lang w:val="en-US" w:eastAsia="en-US" w:bidi="ar-SA"/>
      </w:rPr>
    </w:lvl>
    <w:lvl w:ilvl="7" w:tplc="F4A649F0">
      <w:numFmt w:val="bullet"/>
      <w:lvlText w:val="•"/>
      <w:lvlJc w:val="left"/>
      <w:pPr>
        <w:ind w:left="6742" w:hanging="360"/>
      </w:pPr>
      <w:rPr>
        <w:lang w:val="en-US" w:eastAsia="en-US" w:bidi="ar-SA"/>
      </w:rPr>
    </w:lvl>
    <w:lvl w:ilvl="8" w:tplc="FF5ACA50">
      <w:numFmt w:val="bullet"/>
      <w:lvlText w:val="•"/>
      <w:lvlJc w:val="left"/>
      <w:pPr>
        <w:ind w:left="7775" w:hanging="360"/>
      </w:pPr>
      <w:rPr>
        <w:lang w:val="en-US" w:eastAsia="en-US" w:bidi="ar-SA"/>
      </w:rPr>
    </w:lvl>
  </w:abstractNum>
  <w:abstractNum w:abstractNumId="15"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8F9123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BCF3704"/>
    <w:multiLevelType w:val="multilevel"/>
    <w:tmpl w:val="93EC58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CD44695"/>
    <w:multiLevelType w:val="hybridMultilevel"/>
    <w:tmpl w:val="29645F12"/>
    <w:lvl w:ilvl="0" w:tplc="C44E5CE4">
      <w:start w:val="1"/>
      <w:numFmt w:val="upperLetter"/>
      <w:lvlText w:val="%1."/>
      <w:lvlJc w:val="left"/>
      <w:pPr>
        <w:ind w:left="396" w:hanging="396"/>
      </w:pPr>
      <w:rPr>
        <w:rFonts w:hint="default"/>
        <w:b/>
        <w:bCs/>
        <w:spacing w:val="0"/>
        <w:w w:val="100"/>
        <w:u w:val="thick" w:color="8DB3E1"/>
        <w:lang w:val="en-US" w:eastAsia="en-US" w:bidi="ar-SA"/>
      </w:rPr>
    </w:lvl>
    <w:lvl w:ilvl="1" w:tplc="F6E44378">
      <w:start w:val="1"/>
      <w:numFmt w:val="decimal"/>
      <w:lvlText w:val="%2."/>
      <w:lvlJc w:val="left"/>
      <w:pPr>
        <w:ind w:left="720" w:hanging="361"/>
      </w:pPr>
      <w:rPr>
        <w:rFonts w:ascii="Calibri" w:eastAsia="Calibri" w:hAnsi="Calibri" w:cs="Calibri" w:hint="default"/>
        <w:w w:val="100"/>
        <w:sz w:val="22"/>
        <w:szCs w:val="22"/>
        <w:lang w:val="en-US" w:eastAsia="en-US" w:bidi="ar-SA"/>
      </w:rPr>
    </w:lvl>
    <w:lvl w:ilvl="2" w:tplc="C6DEA85E">
      <w:start w:val="1"/>
      <w:numFmt w:val="lowerLetter"/>
      <w:lvlText w:val="%3."/>
      <w:lvlJc w:val="left"/>
      <w:pPr>
        <w:ind w:left="1440" w:hanging="360"/>
      </w:pPr>
      <w:rPr>
        <w:rFonts w:ascii="Calibri" w:eastAsia="Calibri" w:hAnsi="Calibri" w:cs="Calibri" w:hint="default"/>
        <w:spacing w:val="-1"/>
        <w:w w:val="100"/>
        <w:sz w:val="22"/>
        <w:szCs w:val="22"/>
        <w:lang w:val="en-US" w:eastAsia="en-US" w:bidi="ar-SA"/>
      </w:rPr>
    </w:lvl>
    <w:lvl w:ilvl="3" w:tplc="8ACAFBEC">
      <w:numFmt w:val="bullet"/>
      <w:lvlText w:val="•"/>
      <w:lvlJc w:val="left"/>
      <w:pPr>
        <w:ind w:left="2472" w:hanging="360"/>
      </w:pPr>
      <w:rPr>
        <w:rFonts w:hint="default"/>
        <w:lang w:val="en-US" w:eastAsia="en-US" w:bidi="ar-SA"/>
      </w:rPr>
    </w:lvl>
    <w:lvl w:ilvl="4" w:tplc="148C8D60">
      <w:numFmt w:val="bullet"/>
      <w:lvlText w:val="•"/>
      <w:lvlJc w:val="left"/>
      <w:pPr>
        <w:ind w:left="3505" w:hanging="360"/>
      </w:pPr>
      <w:rPr>
        <w:rFonts w:hint="default"/>
        <w:lang w:val="en-US" w:eastAsia="en-US" w:bidi="ar-SA"/>
      </w:rPr>
    </w:lvl>
    <w:lvl w:ilvl="5" w:tplc="3BC2DDC4">
      <w:numFmt w:val="bullet"/>
      <w:lvlText w:val="•"/>
      <w:lvlJc w:val="left"/>
      <w:pPr>
        <w:ind w:left="4537" w:hanging="360"/>
      </w:pPr>
      <w:rPr>
        <w:rFonts w:hint="default"/>
        <w:lang w:val="en-US" w:eastAsia="en-US" w:bidi="ar-SA"/>
      </w:rPr>
    </w:lvl>
    <w:lvl w:ilvl="6" w:tplc="49DE61CA">
      <w:numFmt w:val="bullet"/>
      <w:lvlText w:val="•"/>
      <w:lvlJc w:val="left"/>
      <w:pPr>
        <w:ind w:left="5570" w:hanging="360"/>
      </w:pPr>
      <w:rPr>
        <w:rFonts w:hint="default"/>
        <w:lang w:val="en-US" w:eastAsia="en-US" w:bidi="ar-SA"/>
      </w:rPr>
    </w:lvl>
    <w:lvl w:ilvl="7" w:tplc="1A988D48">
      <w:numFmt w:val="bullet"/>
      <w:lvlText w:val="•"/>
      <w:lvlJc w:val="left"/>
      <w:pPr>
        <w:ind w:left="6602" w:hanging="360"/>
      </w:pPr>
      <w:rPr>
        <w:rFonts w:hint="default"/>
        <w:lang w:val="en-US" w:eastAsia="en-US" w:bidi="ar-SA"/>
      </w:rPr>
    </w:lvl>
    <w:lvl w:ilvl="8" w:tplc="87182062">
      <w:numFmt w:val="bullet"/>
      <w:lvlText w:val="•"/>
      <w:lvlJc w:val="left"/>
      <w:pPr>
        <w:ind w:left="7635" w:hanging="360"/>
      </w:pPr>
      <w:rPr>
        <w:rFonts w:hint="default"/>
        <w:lang w:val="en-US" w:eastAsia="en-US" w:bidi="ar-SA"/>
      </w:rPr>
    </w:lvl>
  </w:abstractNum>
  <w:abstractNum w:abstractNumId="22"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113B8"/>
    <w:multiLevelType w:val="multilevel"/>
    <w:tmpl w:val="EE5E2F2A"/>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E3239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F33383"/>
    <w:multiLevelType w:val="hybridMultilevel"/>
    <w:tmpl w:val="AA7AB7BA"/>
    <w:lvl w:ilvl="0" w:tplc="FF866FC8">
      <w:start w:val="1"/>
      <w:numFmt w:val="upperLetter"/>
      <w:lvlText w:val="%1."/>
      <w:lvlJc w:val="left"/>
      <w:pPr>
        <w:ind w:left="6334" w:hanging="394"/>
      </w:pPr>
      <w:rPr>
        <w:rFonts w:hint="default"/>
        <w:b/>
        <w:bCs/>
        <w:spacing w:val="0"/>
        <w:w w:val="100"/>
        <w:lang w:val="en-US" w:eastAsia="en-US" w:bidi="ar-SA"/>
      </w:rPr>
    </w:lvl>
    <w:lvl w:ilvl="1" w:tplc="EE5E3D98">
      <w:start w:val="1"/>
      <w:numFmt w:val="decimal"/>
      <w:lvlText w:val="%2."/>
      <w:lvlJc w:val="left"/>
      <w:pPr>
        <w:ind w:left="859" w:hanging="361"/>
      </w:pPr>
      <w:rPr>
        <w:rFonts w:ascii="Calibri" w:eastAsia="Calibri" w:hAnsi="Calibri" w:cs="Calibri" w:hint="default"/>
        <w:w w:val="99"/>
        <w:sz w:val="22"/>
        <w:szCs w:val="22"/>
        <w:lang w:val="en-US" w:eastAsia="en-US" w:bidi="ar-SA"/>
      </w:rPr>
    </w:lvl>
    <w:lvl w:ilvl="2" w:tplc="509CE212">
      <w:start w:val="1"/>
      <w:numFmt w:val="lowerLetter"/>
      <w:lvlText w:val="%3."/>
      <w:lvlJc w:val="left"/>
      <w:pPr>
        <w:ind w:left="1579" w:hanging="360"/>
      </w:pPr>
      <w:rPr>
        <w:rFonts w:ascii="Calibri" w:eastAsia="Calibri" w:hAnsi="Calibri" w:cs="Calibri" w:hint="default"/>
        <w:w w:val="99"/>
        <w:sz w:val="22"/>
        <w:szCs w:val="22"/>
        <w:lang w:val="en-US" w:eastAsia="en-US" w:bidi="ar-SA"/>
      </w:rPr>
    </w:lvl>
    <w:lvl w:ilvl="3" w:tplc="731EE7A2">
      <w:numFmt w:val="bullet"/>
      <w:lvlText w:val="•"/>
      <w:lvlJc w:val="left"/>
      <w:pPr>
        <w:ind w:left="2612" w:hanging="360"/>
      </w:pPr>
      <w:rPr>
        <w:rFonts w:hint="default"/>
        <w:lang w:val="en-US" w:eastAsia="en-US" w:bidi="ar-SA"/>
      </w:rPr>
    </w:lvl>
    <w:lvl w:ilvl="4" w:tplc="F10E61C2">
      <w:numFmt w:val="bullet"/>
      <w:lvlText w:val="•"/>
      <w:lvlJc w:val="left"/>
      <w:pPr>
        <w:ind w:left="3645" w:hanging="360"/>
      </w:pPr>
      <w:rPr>
        <w:rFonts w:hint="default"/>
        <w:lang w:val="en-US" w:eastAsia="en-US" w:bidi="ar-SA"/>
      </w:rPr>
    </w:lvl>
    <w:lvl w:ilvl="5" w:tplc="D19E483A">
      <w:numFmt w:val="bullet"/>
      <w:lvlText w:val="•"/>
      <w:lvlJc w:val="left"/>
      <w:pPr>
        <w:ind w:left="4677" w:hanging="360"/>
      </w:pPr>
      <w:rPr>
        <w:rFonts w:hint="default"/>
        <w:lang w:val="en-US" w:eastAsia="en-US" w:bidi="ar-SA"/>
      </w:rPr>
    </w:lvl>
    <w:lvl w:ilvl="6" w:tplc="26BC49AE">
      <w:numFmt w:val="bullet"/>
      <w:lvlText w:val="•"/>
      <w:lvlJc w:val="left"/>
      <w:pPr>
        <w:ind w:left="5710" w:hanging="360"/>
      </w:pPr>
      <w:rPr>
        <w:rFonts w:hint="default"/>
        <w:lang w:val="en-US" w:eastAsia="en-US" w:bidi="ar-SA"/>
      </w:rPr>
    </w:lvl>
    <w:lvl w:ilvl="7" w:tplc="036A7A34">
      <w:numFmt w:val="bullet"/>
      <w:lvlText w:val="•"/>
      <w:lvlJc w:val="left"/>
      <w:pPr>
        <w:ind w:left="6742" w:hanging="360"/>
      </w:pPr>
      <w:rPr>
        <w:rFonts w:hint="default"/>
        <w:lang w:val="en-US" w:eastAsia="en-US" w:bidi="ar-SA"/>
      </w:rPr>
    </w:lvl>
    <w:lvl w:ilvl="8" w:tplc="BA2482A6">
      <w:numFmt w:val="bullet"/>
      <w:lvlText w:val="•"/>
      <w:lvlJc w:val="left"/>
      <w:pPr>
        <w:ind w:left="7775" w:hanging="360"/>
      </w:pPr>
      <w:rPr>
        <w:rFonts w:hint="default"/>
        <w:lang w:val="en-US" w:eastAsia="en-US" w:bidi="ar-SA"/>
      </w:rPr>
    </w:lvl>
  </w:abstractNum>
  <w:abstractNum w:abstractNumId="27" w15:restartNumberingAfterBreak="0">
    <w:nsid w:val="59A85AED"/>
    <w:multiLevelType w:val="hybridMultilevel"/>
    <w:tmpl w:val="E1AE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33857"/>
    <w:multiLevelType w:val="hybridMultilevel"/>
    <w:tmpl w:val="82743DA0"/>
    <w:lvl w:ilvl="0" w:tplc="7FE4F5A6">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954AB752">
      <w:start w:val="1"/>
      <w:numFmt w:val="upperLetter"/>
      <w:lvlText w:val="%2."/>
      <w:lvlJc w:val="left"/>
      <w:pPr>
        <w:ind w:left="860" w:hanging="360"/>
      </w:pPr>
      <w:rPr>
        <w:rFonts w:ascii="Arial" w:eastAsia="Calibri" w:hAnsi="Arial" w:cs="Arial" w:hint="default"/>
        <w:spacing w:val="-1"/>
        <w:w w:val="100"/>
        <w:sz w:val="18"/>
        <w:szCs w:val="18"/>
        <w:lang w:val="en-US" w:eastAsia="en-US" w:bidi="ar-SA"/>
      </w:rPr>
    </w:lvl>
    <w:lvl w:ilvl="2" w:tplc="54CA4BF6">
      <w:numFmt w:val="bullet"/>
      <w:lvlText w:val="•"/>
      <w:lvlJc w:val="left"/>
      <w:pPr>
        <w:ind w:left="2656" w:hanging="360"/>
      </w:pPr>
      <w:rPr>
        <w:rFonts w:hint="default"/>
        <w:lang w:val="en-US" w:eastAsia="en-US" w:bidi="ar-SA"/>
      </w:rPr>
    </w:lvl>
    <w:lvl w:ilvl="3" w:tplc="88A0DB74">
      <w:numFmt w:val="bullet"/>
      <w:lvlText w:val="•"/>
      <w:lvlJc w:val="left"/>
      <w:pPr>
        <w:ind w:left="3554" w:hanging="360"/>
      </w:pPr>
      <w:rPr>
        <w:rFonts w:hint="default"/>
        <w:lang w:val="en-US" w:eastAsia="en-US" w:bidi="ar-SA"/>
      </w:rPr>
    </w:lvl>
    <w:lvl w:ilvl="4" w:tplc="90CC68A8">
      <w:numFmt w:val="bullet"/>
      <w:lvlText w:val="•"/>
      <w:lvlJc w:val="left"/>
      <w:pPr>
        <w:ind w:left="4452" w:hanging="360"/>
      </w:pPr>
      <w:rPr>
        <w:rFonts w:hint="default"/>
        <w:lang w:val="en-US" w:eastAsia="en-US" w:bidi="ar-SA"/>
      </w:rPr>
    </w:lvl>
    <w:lvl w:ilvl="5" w:tplc="51F466D0">
      <w:numFmt w:val="bullet"/>
      <w:lvlText w:val="•"/>
      <w:lvlJc w:val="left"/>
      <w:pPr>
        <w:ind w:left="5350" w:hanging="360"/>
      </w:pPr>
      <w:rPr>
        <w:rFonts w:hint="default"/>
        <w:lang w:val="en-US" w:eastAsia="en-US" w:bidi="ar-SA"/>
      </w:rPr>
    </w:lvl>
    <w:lvl w:ilvl="6" w:tplc="C5723108">
      <w:numFmt w:val="bullet"/>
      <w:lvlText w:val="•"/>
      <w:lvlJc w:val="left"/>
      <w:pPr>
        <w:ind w:left="6248" w:hanging="360"/>
      </w:pPr>
      <w:rPr>
        <w:rFonts w:hint="default"/>
        <w:lang w:val="en-US" w:eastAsia="en-US" w:bidi="ar-SA"/>
      </w:rPr>
    </w:lvl>
    <w:lvl w:ilvl="7" w:tplc="8ED867B8">
      <w:numFmt w:val="bullet"/>
      <w:lvlText w:val="•"/>
      <w:lvlJc w:val="left"/>
      <w:pPr>
        <w:ind w:left="7146" w:hanging="360"/>
      </w:pPr>
      <w:rPr>
        <w:rFonts w:hint="default"/>
        <w:lang w:val="en-US" w:eastAsia="en-US" w:bidi="ar-SA"/>
      </w:rPr>
    </w:lvl>
    <w:lvl w:ilvl="8" w:tplc="5FA24DCC">
      <w:numFmt w:val="bullet"/>
      <w:lvlText w:val="•"/>
      <w:lvlJc w:val="left"/>
      <w:pPr>
        <w:ind w:left="8044" w:hanging="360"/>
      </w:pPr>
      <w:rPr>
        <w:rFonts w:hint="default"/>
        <w:lang w:val="en-US" w:eastAsia="en-US" w:bidi="ar-SA"/>
      </w:rPr>
    </w:lvl>
  </w:abstractNum>
  <w:abstractNum w:abstractNumId="31" w15:restartNumberingAfterBreak="0">
    <w:nsid w:val="60B97688"/>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1720CB8"/>
    <w:multiLevelType w:val="hybridMultilevel"/>
    <w:tmpl w:val="53D0D426"/>
    <w:lvl w:ilvl="0" w:tplc="5F9A0240">
      <w:start w:val="1"/>
      <w:numFmt w:val="decimal"/>
      <w:lvlText w:val="%1."/>
      <w:lvlJc w:val="left"/>
      <w:pPr>
        <w:ind w:left="860" w:hanging="361"/>
      </w:pPr>
      <w:rPr>
        <w:rFonts w:ascii="Calibri" w:eastAsia="Calibri" w:hAnsi="Calibri" w:cs="Calibri" w:hint="default"/>
        <w:w w:val="99"/>
        <w:sz w:val="22"/>
        <w:szCs w:val="22"/>
        <w:lang w:val="en-US" w:eastAsia="en-US" w:bidi="ar-SA"/>
      </w:rPr>
    </w:lvl>
    <w:lvl w:ilvl="1" w:tplc="89608756">
      <w:start w:val="1"/>
      <w:numFmt w:val="upperLetter"/>
      <w:lvlText w:val="%2."/>
      <w:lvlJc w:val="left"/>
      <w:pPr>
        <w:ind w:left="860" w:hanging="361"/>
      </w:pPr>
      <w:rPr>
        <w:rFonts w:ascii="Calibri" w:eastAsia="Calibri" w:hAnsi="Calibri" w:cs="Calibri" w:hint="default"/>
        <w:w w:val="99"/>
        <w:sz w:val="22"/>
        <w:szCs w:val="22"/>
        <w:lang w:val="en-US" w:eastAsia="en-US" w:bidi="ar-SA"/>
      </w:rPr>
    </w:lvl>
    <w:lvl w:ilvl="2" w:tplc="8620EC3C">
      <w:numFmt w:val="bullet"/>
      <w:lvlText w:val="•"/>
      <w:lvlJc w:val="left"/>
      <w:pPr>
        <w:ind w:left="2656" w:hanging="361"/>
      </w:pPr>
      <w:rPr>
        <w:rFonts w:hint="default"/>
        <w:lang w:val="en-US" w:eastAsia="en-US" w:bidi="ar-SA"/>
      </w:rPr>
    </w:lvl>
    <w:lvl w:ilvl="3" w:tplc="3856BFF0">
      <w:numFmt w:val="bullet"/>
      <w:lvlText w:val="•"/>
      <w:lvlJc w:val="left"/>
      <w:pPr>
        <w:ind w:left="3554" w:hanging="361"/>
      </w:pPr>
      <w:rPr>
        <w:rFonts w:hint="default"/>
        <w:lang w:val="en-US" w:eastAsia="en-US" w:bidi="ar-SA"/>
      </w:rPr>
    </w:lvl>
    <w:lvl w:ilvl="4" w:tplc="FCF4AB62">
      <w:numFmt w:val="bullet"/>
      <w:lvlText w:val="•"/>
      <w:lvlJc w:val="left"/>
      <w:pPr>
        <w:ind w:left="4452" w:hanging="361"/>
      </w:pPr>
      <w:rPr>
        <w:rFonts w:hint="default"/>
        <w:lang w:val="en-US" w:eastAsia="en-US" w:bidi="ar-SA"/>
      </w:rPr>
    </w:lvl>
    <w:lvl w:ilvl="5" w:tplc="47D2D63E">
      <w:numFmt w:val="bullet"/>
      <w:lvlText w:val="•"/>
      <w:lvlJc w:val="left"/>
      <w:pPr>
        <w:ind w:left="5350" w:hanging="361"/>
      </w:pPr>
      <w:rPr>
        <w:rFonts w:hint="default"/>
        <w:lang w:val="en-US" w:eastAsia="en-US" w:bidi="ar-SA"/>
      </w:rPr>
    </w:lvl>
    <w:lvl w:ilvl="6" w:tplc="9E62B584">
      <w:numFmt w:val="bullet"/>
      <w:lvlText w:val="•"/>
      <w:lvlJc w:val="left"/>
      <w:pPr>
        <w:ind w:left="6248" w:hanging="361"/>
      </w:pPr>
      <w:rPr>
        <w:rFonts w:hint="default"/>
        <w:lang w:val="en-US" w:eastAsia="en-US" w:bidi="ar-SA"/>
      </w:rPr>
    </w:lvl>
    <w:lvl w:ilvl="7" w:tplc="1BBEAFC6">
      <w:numFmt w:val="bullet"/>
      <w:lvlText w:val="•"/>
      <w:lvlJc w:val="left"/>
      <w:pPr>
        <w:ind w:left="7146" w:hanging="361"/>
      </w:pPr>
      <w:rPr>
        <w:rFonts w:hint="default"/>
        <w:lang w:val="en-US" w:eastAsia="en-US" w:bidi="ar-SA"/>
      </w:rPr>
    </w:lvl>
    <w:lvl w:ilvl="8" w:tplc="BB08AB76">
      <w:numFmt w:val="bullet"/>
      <w:lvlText w:val="•"/>
      <w:lvlJc w:val="left"/>
      <w:pPr>
        <w:ind w:left="8044" w:hanging="361"/>
      </w:pPr>
      <w:rPr>
        <w:rFonts w:hint="default"/>
        <w:lang w:val="en-US" w:eastAsia="en-US" w:bidi="ar-SA"/>
      </w:rPr>
    </w:lvl>
  </w:abstractNum>
  <w:abstractNum w:abstractNumId="33"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B4B98"/>
    <w:multiLevelType w:val="hybridMultilevel"/>
    <w:tmpl w:val="7FCE9924"/>
    <w:lvl w:ilvl="0" w:tplc="76D40472">
      <w:numFmt w:val="bullet"/>
      <w:lvlText w:val=""/>
      <w:lvlJc w:val="left"/>
      <w:pPr>
        <w:ind w:left="499" w:hanging="360"/>
      </w:pPr>
      <w:rPr>
        <w:rFonts w:ascii="Symbol" w:eastAsia="Symbol" w:hAnsi="Symbol" w:cs="Symbol" w:hint="default"/>
        <w:w w:val="99"/>
        <w:sz w:val="22"/>
        <w:szCs w:val="22"/>
        <w:lang w:val="en-US" w:eastAsia="en-US" w:bidi="ar-SA"/>
      </w:rPr>
    </w:lvl>
    <w:lvl w:ilvl="1" w:tplc="095A2E0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E6525A18">
      <w:numFmt w:val="bullet"/>
      <w:lvlText w:val="•"/>
      <w:lvlJc w:val="left"/>
      <w:pPr>
        <w:ind w:left="2497" w:hanging="360"/>
      </w:pPr>
      <w:rPr>
        <w:rFonts w:hint="default"/>
        <w:lang w:val="en-US" w:eastAsia="en-US" w:bidi="ar-SA"/>
      </w:rPr>
    </w:lvl>
    <w:lvl w:ilvl="3" w:tplc="CC7AF98E">
      <w:numFmt w:val="bullet"/>
      <w:lvlText w:val="•"/>
      <w:lvlJc w:val="left"/>
      <w:pPr>
        <w:ind w:left="3415" w:hanging="360"/>
      </w:pPr>
      <w:rPr>
        <w:rFonts w:hint="default"/>
        <w:lang w:val="en-US" w:eastAsia="en-US" w:bidi="ar-SA"/>
      </w:rPr>
    </w:lvl>
    <w:lvl w:ilvl="4" w:tplc="870EC9D2">
      <w:numFmt w:val="bullet"/>
      <w:lvlText w:val="•"/>
      <w:lvlJc w:val="left"/>
      <w:pPr>
        <w:ind w:left="4333" w:hanging="360"/>
      </w:pPr>
      <w:rPr>
        <w:rFonts w:hint="default"/>
        <w:lang w:val="en-US" w:eastAsia="en-US" w:bidi="ar-SA"/>
      </w:rPr>
    </w:lvl>
    <w:lvl w:ilvl="5" w:tplc="2488D746">
      <w:numFmt w:val="bullet"/>
      <w:lvlText w:val="•"/>
      <w:lvlJc w:val="left"/>
      <w:pPr>
        <w:ind w:left="5251" w:hanging="360"/>
      </w:pPr>
      <w:rPr>
        <w:rFonts w:hint="default"/>
        <w:lang w:val="en-US" w:eastAsia="en-US" w:bidi="ar-SA"/>
      </w:rPr>
    </w:lvl>
    <w:lvl w:ilvl="6" w:tplc="4C4689B6">
      <w:numFmt w:val="bullet"/>
      <w:lvlText w:val="•"/>
      <w:lvlJc w:val="left"/>
      <w:pPr>
        <w:ind w:left="6168" w:hanging="360"/>
      </w:pPr>
      <w:rPr>
        <w:rFonts w:hint="default"/>
        <w:lang w:val="en-US" w:eastAsia="en-US" w:bidi="ar-SA"/>
      </w:rPr>
    </w:lvl>
    <w:lvl w:ilvl="7" w:tplc="909E73E8">
      <w:numFmt w:val="bullet"/>
      <w:lvlText w:val="•"/>
      <w:lvlJc w:val="left"/>
      <w:pPr>
        <w:ind w:left="7086" w:hanging="360"/>
      </w:pPr>
      <w:rPr>
        <w:rFonts w:hint="default"/>
        <w:lang w:val="en-US" w:eastAsia="en-US" w:bidi="ar-SA"/>
      </w:rPr>
    </w:lvl>
    <w:lvl w:ilvl="8" w:tplc="0DFC01FE">
      <w:numFmt w:val="bullet"/>
      <w:lvlText w:val="•"/>
      <w:lvlJc w:val="left"/>
      <w:pPr>
        <w:ind w:left="8004" w:hanging="360"/>
      </w:pPr>
      <w:rPr>
        <w:rFonts w:hint="default"/>
        <w:lang w:val="en-US" w:eastAsia="en-US" w:bidi="ar-SA"/>
      </w:rPr>
    </w:lvl>
  </w:abstractNum>
  <w:abstractNum w:abstractNumId="35"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71132"/>
    <w:multiLevelType w:val="hybridMultilevel"/>
    <w:tmpl w:val="3CFE3A48"/>
    <w:lvl w:ilvl="0" w:tplc="4712037A">
      <w:start w:val="1"/>
      <w:numFmt w:val="decimal"/>
      <w:lvlText w:val="(%1)"/>
      <w:lvlJc w:val="left"/>
      <w:pPr>
        <w:ind w:left="859" w:hanging="361"/>
      </w:pPr>
      <w:rPr>
        <w:rFonts w:hint="default"/>
        <w:color w:val="auto"/>
        <w:w w:val="100"/>
        <w:sz w:val="18"/>
        <w:szCs w:val="18"/>
        <w:lang w:val="en-US" w:eastAsia="en-US" w:bidi="ar-SA"/>
      </w:rPr>
    </w:lvl>
    <w:lvl w:ilvl="1" w:tplc="FFFFFFFF">
      <w:start w:val="1"/>
      <w:numFmt w:val="upperLetter"/>
      <w:lvlText w:val="%2."/>
      <w:lvlJc w:val="left"/>
      <w:pPr>
        <w:ind w:left="860" w:hanging="360"/>
      </w:pPr>
      <w:rPr>
        <w:rFonts w:ascii="Calibri" w:eastAsia="Calibri" w:hAnsi="Calibri" w:cs="Calibri" w:hint="default"/>
        <w:spacing w:val="-1"/>
        <w:w w:val="100"/>
        <w:sz w:val="22"/>
        <w:szCs w:val="22"/>
        <w:lang w:val="en-US" w:eastAsia="en-US" w:bidi="ar-SA"/>
      </w:rPr>
    </w:lvl>
    <w:lvl w:ilvl="2" w:tplc="FFFFFFFF">
      <w:numFmt w:val="bullet"/>
      <w:lvlText w:val="•"/>
      <w:lvlJc w:val="left"/>
      <w:pPr>
        <w:ind w:left="2656" w:hanging="360"/>
      </w:pPr>
      <w:rPr>
        <w:rFonts w:hint="default"/>
        <w:lang w:val="en-US" w:eastAsia="en-US" w:bidi="ar-SA"/>
      </w:rPr>
    </w:lvl>
    <w:lvl w:ilvl="3" w:tplc="FFFFFFFF">
      <w:numFmt w:val="bullet"/>
      <w:lvlText w:val="•"/>
      <w:lvlJc w:val="left"/>
      <w:pPr>
        <w:ind w:left="3554" w:hanging="360"/>
      </w:pPr>
      <w:rPr>
        <w:rFonts w:hint="default"/>
        <w:lang w:val="en-US" w:eastAsia="en-US" w:bidi="ar-SA"/>
      </w:rPr>
    </w:lvl>
    <w:lvl w:ilvl="4" w:tplc="FFFFFFFF">
      <w:numFmt w:val="bullet"/>
      <w:lvlText w:val="•"/>
      <w:lvlJc w:val="left"/>
      <w:pPr>
        <w:ind w:left="4452" w:hanging="360"/>
      </w:pPr>
      <w:rPr>
        <w:rFonts w:hint="default"/>
        <w:lang w:val="en-US" w:eastAsia="en-US" w:bidi="ar-SA"/>
      </w:rPr>
    </w:lvl>
    <w:lvl w:ilvl="5" w:tplc="FFFFFFFF">
      <w:numFmt w:val="bullet"/>
      <w:lvlText w:val="•"/>
      <w:lvlJc w:val="left"/>
      <w:pPr>
        <w:ind w:left="5350" w:hanging="360"/>
      </w:pPr>
      <w:rPr>
        <w:rFonts w:hint="default"/>
        <w:lang w:val="en-US" w:eastAsia="en-US" w:bidi="ar-SA"/>
      </w:rPr>
    </w:lvl>
    <w:lvl w:ilvl="6" w:tplc="FFFFFFFF">
      <w:numFmt w:val="bullet"/>
      <w:lvlText w:val="•"/>
      <w:lvlJc w:val="left"/>
      <w:pPr>
        <w:ind w:left="6248" w:hanging="360"/>
      </w:pPr>
      <w:rPr>
        <w:rFonts w:hint="default"/>
        <w:lang w:val="en-US" w:eastAsia="en-US" w:bidi="ar-SA"/>
      </w:rPr>
    </w:lvl>
    <w:lvl w:ilvl="7" w:tplc="FFFFFFFF">
      <w:numFmt w:val="bullet"/>
      <w:lvlText w:val="•"/>
      <w:lvlJc w:val="left"/>
      <w:pPr>
        <w:ind w:left="7146" w:hanging="360"/>
      </w:pPr>
      <w:rPr>
        <w:rFonts w:hint="default"/>
        <w:lang w:val="en-US" w:eastAsia="en-US" w:bidi="ar-SA"/>
      </w:rPr>
    </w:lvl>
    <w:lvl w:ilvl="8" w:tplc="FFFFFFFF">
      <w:numFmt w:val="bullet"/>
      <w:lvlText w:val="•"/>
      <w:lvlJc w:val="left"/>
      <w:pPr>
        <w:ind w:left="8044" w:hanging="360"/>
      </w:pPr>
      <w:rPr>
        <w:rFonts w:hint="default"/>
        <w:lang w:val="en-US" w:eastAsia="en-US" w:bidi="ar-SA"/>
      </w:rPr>
    </w:lvl>
  </w:abstractNum>
  <w:abstractNum w:abstractNumId="39" w15:restartNumberingAfterBreak="0">
    <w:nsid w:val="741406C8"/>
    <w:multiLevelType w:val="hybridMultilevel"/>
    <w:tmpl w:val="CD528004"/>
    <w:lvl w:ilvl="0" w:tplc="952AF746">
      <w:numFmt w:val="bullet"/>
      <w:lvlText w:val=""/>
      <w:lvlJc w:val="left"/>
      <w:pPr>
        <w:ind w:left="859" w:hanging="360"/>
      </w:pPr>
      <w:rPr>
        <w:rFonts w:ascii="Symbol" w:eastAsia="Symbol" w:hAnsi="Symbol" w:cs="Symbol" w:hint="default"/>
        <w:w w:val="99"/>
        <w:sz w:val="22"/>
        <w:szCs w:val="22"/>
        <w:lang w:val="en-US" w:eastAsia="en-US" w:bidi="ar-SA"/>
      </w:rPr>
    </w:lvl>
    <w:lvl w:ilvl="1" w:tplc="C1B60E1A">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3646A906">
      <w:numFmt w:val="bullet"/>
      <w:lvlText w:val="•"/>
      <w:lvlJc w:val="left"/>
      <w:pPr>
        <w:ind w:left="2497" w:hanging="360"/>
      </w:pPr>
      <w:rPr>
        <w:lang w:val="en-US" w:eastAsia="en-US" w:bidi="ar-SA"/>
      </w:rPr>
    </w:lvl>
    <w:lvl w:ilvl="3" w:tplc="E46ECFC6">
      <w:numFmt w:val="bullet"/>
      <w:lvlText w:val="•"/>
      <w:lvlJc w:val="left"/>
      <w:pPr>
        <w:ind w:left="3415" w:hanging="360"/>
      </w:pPr>
      <w:rPr>
        <w:lang w:val="en-US" w:eastAsia="en-US" w:bidi="ar-SA"/>
      </w:rPr>
    </w:lvl>
    <w:lvl w:ilvl="4" w:tplc="5FAE12BE">
      <w:numFmt w:val="bullet"/>
      <w:lvlText w:val="•"/>
      <w:lvlJc w:val="left"/>
      <w:pPr>
        <w:ind w:left="4333" w:hanging="360"/>
      </w:pPr>
      <w:rPr>
        <w:lang w:val="en-US" w:eastAsia="en-US" w:bidi="ar-SA"/>
      </w:rPr>
    </w:lvl>
    <w:lvl w:ilvl="5" w:tplc="574A31BE">
      <w:numFmt w:val="bullet"/>
      <w:lvlText w:val="•"/>
      <w:lvlJc w:val="left"/>
      <w:pPr>
        <w:ind w:left="5251" w:hanging="360"/>
      </w:pPr>
      <w:rPr>
        <w:lang w:val="en-US" w:eastAsia="en-US" w:bidi="ar-SA"/>
      </w:rPr>
    </w:lvl>
    <w:lvl w:ilvl="6" w:tplc="C010D5B6">
      <w:numFmt w:val="bullet"/>
      <w:lvlText w:val="•"/>
      <w:lvlJc w:val="left"/>
      <w:pPr>
        <w:ind w:left="6168" w:hanging="360"/>
      </w:pPr>
      <w:rPr>
        <w:lang w:val="en-US" w:eastAsia="en-US" w:bidi="ar-SA"/>
      </w:rPr>
    </w:lvl>
    <w:lvl w:ilvl="7" w:tplc="462424D8">
      <w:numFmt w:val="bullet"/>
      <w:lvlText w:val="•"/>
      <w:lvlJc w:val="left"/>
      <w:pPr>
        <w:ind w:left="7086" w:hanging="360"/>
      </w:pPr>
      <w:rPr>
        <w:lang w:val="en-US" w:eastAsia="en-US" w:bidi="ar-SA"/>
      </w:rPr>
    </w:lvl>
    <w:lvl w:ilvl="8" w:tplc="C53C2262">
      <w:numFmt w:val="bullet"/>
      <w:lvlText w:val="•"/>
      <w:lvlJc w:val="left"/>
      <w:pPr>
        <w:ind w:left="8004" w:hanging="360"/>
      </w:pPr>
      <w:rPr>
        <w:lang w:val="en-US" w:eastAsia="en-US" w:bidi="ar-SA"/>
      </w:rPr>
    </w:lvl>
  </w:abstractNum>
  <w:abstractNum w:abstractNumId="40"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53835698">
    <w:abstractNumId w:val="37"/>
  </w:num>
  <w:num w:numId="2" w16cid:durableId="1592162888">
    <w:abstractNumId w:val="19"/>
  </w:num>
  <w:num w:numId="3" w16cid:durableId="1701589992">
    <w:abstractNumId w:val="35"/>
  </w:num>
  <w:num w:numId="4" w16cid:durableId="250937431">
    <w:abstractNumId w:val="40"/>
  </w:num>
  <w:num w:numId="5" w16cid:durableId="167253145">
    <w:abstractNumId w:val="8"/>
  </w:num>
  <w:num w:numId="6" w16cid:durableId="2006201697">
    <w:abstractNumId w:val="5"/>
  </w:num>
  <w:num w:numId="7" w16cid:durableId="382296475">
    <w:abstractNumId w:val="21"/>
  </w:num>
  <w:num w:numId="8" w16cid:durableId="1374648888">
    <w:abstractNumId w:val="30"/>
  </w:num>
  <w:num w:numId="9" w16cid:durableId="953099610">
    <w:abstractNumId w:val="7"/>
  </w:num>
  <w:num w:numId="10" w16cid:durableId="1731414418">
    <w:abstractNumId w:val="0"/>
  </w:num>
  <w:num w:numId="11" w16cid:durableId="560554170">
    <w:abstractNumId w:val="28"/>
  </w:num>
  <w:num w:numId="12" w16cid:durableId="41372163">
    <w:abstractNumId w:val="15"/>
  </w:num>
  <w:num w:numId="13" w16cid:durableId="157355621">
    <w:abstractNumId w:val="18"/>
  </w:num>
  <w:num w:numId="14" w16cid:durableId="1889219522">
    <w:abstractNumId w:val="20"/>
  </w:num>
  <w:num w:numId="15" w16cid:durableId="1779526320">
    <w:abstractNumId w:val="23"/>
  </w:num>
  <w:num w:numId="16" w16cid:durableId="706180342">
    <w:abstractNumId w:val="29"/>
  </w:num>
  <w:num w:numId="17" w16cid:durableId="1333486079">
    <w:abstractNumId w:val="33"/>
  </w:num>
  <w:num w:numId="18" w16cid:durableId="1035277033">
    <w:abstractNumId w:val="17"/>
  </w:num>
  <w:num w:numId="19" w16cid:durableId="464666320">
    <w:abstractNumId w:val="25"/>
  </w:num>
  <w:num w:numId="20" w16cid:durableId="1881355967">
    <w:abstractNumId w:val="22"/>
  </w:num>
  <w:num w:numId="21" w16cid:durableId="1813669967">
    <w:abstractNumId w:val="36"/>
  </w:num>
  <w:num w:numId="22" w16cid:durableId="2082942633">
    <w:abstractNumId w:val="3"/>
  </w:num>
  <w:num w:numId="23" w16cid:durableId="1115949561">
    <w:abstractNumId w:val="12"/>
  </w:num>
  <w:num w:numId="24" w16cid:durableId="1378624996">
    <w:abstractNumId w:val="1"/>
  </w:num>
  <w:num w:numId="25" w16cid:durableId="1497960628">
    <w:abstractNumId w:val="13"/>
  </w:num>
  <w:num w:numId="26" w16cid:durableId="1929998272">
    <w:abstractNumId w:val="27"/>
  </w:num>
  <w:num w:numId="27" w16cid:durableId="1631935123">
    <w:abstractNumId w:val="24"/>
  </w:num>
  <w:num w:numId="28" w16cid:durableId="2106997387">
    <w:abstractNumId w:val="16"/>
  </w:num>
  <w:num w:numId="29" w16cid:durableId="867454467">
    <w:abstractNumId w:val="9"/>
  </w:num>
  <w:num w:numId="30" w16cid:durableId="374163767">
    <w:abstractNumId w:val="31"/>
  </w:num>
  <w:num w:numId="31" w16cid:durableId="2049532">
    <w:abstractNumId w:val="10"/>
  </w:num>
  <w:num w:numId="32" w16cid:durableId="269555981">
    <w:abstractNumId w:val="11"/>
  </w:num>
  <w:num w:numId="33" w16cid:durableId="1883054939">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4" w16cid:durableId="258828675">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16cid:durableId="250894975">
    <w:abstractNumId w:val="39"/>
  </w:num>
  <w:num w:numId="36" w16cid:durableId="307903304">
    <w:abstractNumId w:val="4"/>
  </w:num>
  <w:num w:numId="37" w16cid:durableId="1946451433">
    <w:abstractNumId w:val="34"/>
  </w:num>
  <w:num w:numId="38" w16cid:durableId="932393885">
    <w:abstractNumId w:val="6"/>
  </w:num>
  <w:num w:numId="39" w16cid:durableId="1475367179">
    <w:abstractNumId w:val="26"/>
  </w:num>
  <w:num w:numId="40" w16cid:durableId="1441219592">
    <w:abstractNumId w:val="32"/>
  </w:num>
  <w:num w:numId="41" w16cid:durableId="1331786823">
    <w:abstractNumId w:val="38"/>
  </w:num>
  <w:num w:numId="42" w16cid:durableId="2094545499">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16E"/>
    <w:rsid w:val="000013E5"/>
    <w:rsid w:val="0000146B"/>
    <w:rsid w:val="00001EAE"/>
    <w:rsid w:val="00002320"/>
    <w:rsid w:val="0000272B"/>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17D15"/>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1AB"/>
    <w:rsid w:val="0005247A"/>
    <w:rsid w:val="000526F6"/>
    <w:rsid w:val="00052E15"/>
    <w:rsid w:val="000532EB"/>
    <w:rsid w:val="00053391"/>
    <w:rsid w:val="000533D7"/>
    <w:rsid w:val="00053795"/>
    <w:rsid w:val="00053DFE"/>
    <w:rsid w:val="0005400D"/>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51E"/>
    <w:rsid w:val="000618B4"/>
    <w:rsid w:val="00061AB2"/>
    <w:rsid w:val="00061DF1"/>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3BD7"/>
    <w:rsid w:val="00074237"/>
    <w:rsid w:val="000743D6"/>
    <w:rsid w:val="00074B33"/>
    <w:rsid w:val="000762B0"/>
    <w:rsid w:val="000778C9"/>
    <w:rsid w:val="000802F7"/>
    <w:rsid w:val="000806CC"/>
    <w:rsid w:val="00080D36"/>
    <w:rsid w:val="00080EBD"/>
    <w:rsid w:val="00082667"/>
    <w:rsid w:val="000829BF"/>
    <w:rsid w:val="0008392B"/>
    <w:rsid w:val="00083B68"/>
    <w:rsid w:val="0008402E"/>
    <w:rsid w:val="0008434A"/>
    <w:rsid w:val="000845C1"/>
    <w:rsid w:val="000847AD"/>
    <w:rsid w:val="00084FF1"/>
    <w:rsid w:val="000850E1"/>
    <w:rsid w:val="00085111"/>
    <w:rsid w:val="0008540D"/>
    <w:rsid w:val="00085B13"/>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3ACB"/>
    <w:rsid w:val="00094739"/>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9F7"/>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819"/>
    <w:rsid w:val="000B29F8"/>
    <w:rsid w:val="000B2A70"/>
    <w:rsid w:val="000B2C26"/>
    <w:rsid w:val="000B2DCB"/>
    <w:rsid w:val="000B3578"/>
    <w:rsid w:val="000B3A11"/>
    <w:rsid w:val="000B3D92"/>
    <w:rsid w:val="000B4405"/>
    <w:rsid w:val="000B4AA4"/>
    <w:rsid w:val="000B547A"/>
    <w:rsid w:val="000B56BA"/>
    <w:rsid w:val="000B5823"/>
    <w:rsid w:val="000B60CA"/>
    <w:rsid w:val="000B64CB"/>
    <w:rsid w:val="000B7132"/>
    <w:rsid w:val="000B7462"/>
    <w:rsid w:val="000C0565"/>
    <w:rsid w:val="000C0900"/>
    <w:rsid w:val="000C1754"/>
    <w:rsid w:val="000C1C56"/>
    <w:rsid w:val="000C2448"/>
    <w:rsid w:val="000C24C2"/>
    <w:rsid w:val="000C2AED"/>
    <w:rsid w:val="000C3180"/>
    <w:rsid w:val="000C3421"/>
    <w:rsid w:val="000C3A20"/>
    <w:rsid w:val="000C3A99"/>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3ACC"/>
    <w:rsid w:val="000E4061"/>
    <w:rsid w:val="000E4594"/>
    <w:rsid w:val="000E4B9A"/>
    <w:rsid w:val="000E4EE2"/>
    <w:rsid w:val="000E56FA"/>
    <w:rsid w:val="000E5AAB"/>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8BC"/>
    <w:rsid w:val="000F4C46"/>
    <w:rsid w:val="000F4E22"/>
    <w:rsid w:val="000F4F37"/>
    <w:rsid w:val="000F66B8"/>
    <w:rsid w:val="000F670E"/>
    <w:rsid w:val="000F7196"/>
    <w:rsid w:val="000F7399"/>
    <w:rsid w:val="000F76DD"/>
    <w:rsid w:val="000F7A89"/>
    <w:rsid w:val="000F7C7C"/>
    <w:rsid w:val="000F7CF3"/>
    <w:rsid w:val="001011BB"/>
    <w:rsid w:val="0010168C"/>
    <w:rsid w:val="0010170F"/>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328"/>
    <w:rsid w:val="0011074D"/>
    <w:rsid w:val="00110BB6"/>
    <w:rsid w:val="001111BE"/>
    <w:rsid w:val="0011161A"/>
    <w:rsid w:val="001126C3"/>
    <w:rsid w:val="00112F4D"/>
    <w:rsid w:val="00113CE9"/>
    <w:rsid w:val="001142DE"/>
    <w:rsid w:val="0011547F"/>
    <w:rsid w:val="001156D2"/>
    <w:rsid w:val="00115CDA"/>
    <w:rsid w:val="00116D0B"/>
    <w:rsid w:val="00116E25"/>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2A"/>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6082"/>
    <w:rsid w:val="00176779"/>
    <w:rsid w:val="001773E7"/>
    <w:rsid w:val="00177BC6"/>
    <w:rsid w:val="00177E7A"/>
    <w:rsid w:val="00177EC7"/>
    <w:rsid w:val="001806EA"/>
    <w:rsid w:val="00181070"/>
    <w:rsid w:val="001829C9"/>
    <w:rsid w:val="00182B26"/>
    <w:rsid w:val="001831D2"/>
    <w:rsid w:val="001835EE"/>
    <w:rsid w:val="00183E9B"/>
    <w:rsid w:val="001843C6"/>
    <w:rsid w:val="00184911"/>
    <w:rsid w:val="001853BF"/>
    <w:rsid w:val="00185BA9"/>
    <w:rsid w:val="00186309"/>
    <w:rsid w:val="0018657A"/>
    <w:rsid w:val="00186964"/>
    <w:rsid w:val="001875AF"/>
    <w:rsid w:val="00190104"/>
    <w:rsid w:val="00191350"/>
    <w:rsid w:val="0019260C"/>
    <w:rsid w:val="00193321"/>
    <w:rsid w:val="00194AD8"/>
    <w:rsid w:val="001955AC"/>
    <w:rsid w:val="001965F5"/>
    <w:rsid w:val="0019671E"/>
    <w:rsid w:val="00196B54"/>
    <w:rsid w:val="00196BEB"/>
    <w:rsid w:val="00196CE6"/>
    <w:rsid w:val="00196F4B"/>
    <w:rsid w:val="001A0637"/>
    <w:rsid w:val="001A0C28"/>
    <w:rsid w:val="001A189D"/>
    <w:rsid w:val="001A1ABA"/>
    <w:rsid w:val="001A2657"/>
    <w:rsid w:val="001A2D6A"/>
    <w:rsid w:val="001A342F"/>
    <w:rsid w:val="001A3539"/>
    <w:rsid w:val="001A3BEB"/>
    <w:rsid w:val="001A4886"/>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5CAF"/>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1B4B"/>
    <w:rsid w:val="00202A6D"/>
    <w:rsid w:val="002043C7"/>
    <w:rsid w:val="0020456D"/>
    <w:rsid w:val="002049CF"/>
    <w:rsid w:val="00204FB9"/>
    <w:rsid w:val="00205239"/>
    <w:rsid w:val="0020552B"/>
    <w:rsid w:val="00205E6B"/>
    <w:rsid w:val="00206890"/>
    <w:rsid w:val="00206A65"/>
    <w:rsid w:val="00207D31"/>
    <w:rsid w:val="00210AC6"/>
    <w:rsid w:val="00210D18"/>
    <w:rsid w:val="00210F75"/>
    <w:rsid w:val="0021110D"/>
    <w:rsid w:val="00211617"/>
    <w:rsid w:val="00211DCE"/>
    <w:rsid w:val="00212954"/>
    <w:rsid w:val="00212E92"/>
    <w:rsid w:val="00214263"/>
    <w:rsid w:val="00214749"/>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3975"/>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1CB"/>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E9"/>
    <w:rsid w:val="00285DF4"/>
    <w:rsid w:val="00285F70"/>
    <w:rsid w:val="002860EA"/>
    <w:rsid w:val="0028638B"/>
    <w:rsid w:val="00286999"/>
    <w:rsid w:val="00286AE2"/>
    <w:rsid w:val="00286BDF"/>
    <w:rsid w:val="00287DAC"/>
    <w:rsid w:val="00287E73"/>
    <w:rsid w:val="002908CD"/>
    <w:rsid w:val="0029150F"/>
    <w:rsid w:val="002916E6"/>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591"/>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2499"/>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0D74"/>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CFB"/>
    <w:rsid w:val="002F1D27"/>
    <w:rsid w:val="002F2379"/>
    <w:rsid w:val="002F3163"/>
    <w:rsid w:val="002F364A"/>
    <w:rsid w:val="002F44F9"/>
    <w:rsid w:val="002F5568"/>
    <w:rsid w:val="002F5F54"/>
    <w:rsid w:val="002F68DD"/>
    <w:rsid w:val="002F6CA7"/>
    <w:rsid w:val="002F6CB6"/>
    <w:rsid w:val="002F7D07"/>
    <w:rsid w:val="00300258"/>
    <w:rsid w:val="003005A6"/>
    <w:rsid w:val="003008E2"/>
    <w:rsid w:val="00300CF4"/>
    <w:rsid w:val="00301FD0"/>
    <w:rsid w:val="00302CA6"/>
    <w:rsid w:val="00302CD0"/>
    <w:rsid w:val="003031B5"/>
    <w:rsid w:val="0030359D"/>
    <w:rsid w:val="0030500A"/>
    <w:rsid w:val="00305357"/>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732"/>
    <w:rsid w:val="00312C1A"/>
    <w:rsid w:val="0031316A"/>
    <w:rsid w:val="0031327B"/>
    <w:rsid w:val="003132AE"/>
    <w:rsid w:val="003133B4"/>
    <w:rsid w:val="003136FD"/>
    <w:rsid w:val="003138F9"/>
    <w:rsid w:val="0031445F"/>
    <w:rsid w:val="00314A86"/>
    <w:rsid w:val="00315173"/>
    <w:rsid w:val="00315747"/>
    <w:rsid w:val="00315E88"/>
    <w:rsid w:val="00316138"/>
    <w:rsid w:val="0031684C"/>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08B8"/>
    <w:rsid w:val="00331137"/>
    <w:rsid w:val="00331CBC"/>
    <w:rsid w:val="00332054"/>
    <w:rsid w:val="003321D1"/>
    <w:rsid w:val="00332397"/>
    <w:rsid w:val="0033239B"/>
    <w:rsid w:val="00332E23"/>
    <w:rsid w:val="00333FD4"/>
    <w:rsid w:val="0033429D"/>
    <w:rsid w:val="00334953"/>
    <w:rsid w:val="00334EAB"/>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1AD"/>
    <w:rsid w:val="003522C0"/>
    <w:rsid w:val="00352769"/>
    <w:rsid w:val="00352E68"/>
    <w:rsid w:val="003532E2"/>
    <w:rsid w:val="00353EB1"/>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1FAA"/>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049"/>
    <w:rsid w:val="00385214"/>
    <w:rsid w:val="003856C4"/>
    <w:rsid w:val="003864B1"/>
    <w:rsid w:val="00386623"/>
    <w:rsid w:val="00387F2F"/>
    <w:rsid w:val="003900C7"/>
    <w:rsid w:val="003902D5"/>
    <w:rsid w:val="00390746"/>
    <w:rsid w:val="00390CF9"/>
    <w:rsid w:val="00391C58"/>
    <w:rsid w:val="00391C9B"/>
    <w:rsid w:val="00392198"/>
    <w:rsid w:val="003929E1"/>
    <w:rsid w:val="00392D78"/>
    <w:rsid w:val="00393264"/>
    <w:rsid w:val="00395064"/>
    <w:rsid w:val="0039534D"/>
    <w:rsid w:val="003953C1"/>
    <w:rsid w:val="00395B6C"/>
    <w:rsid w:val="00395F8F"/>
    <w:rsid w:val="003968A6"/>
    <w:rsid w:val="00396BA3"/>
    <w:rsid w:val="0039793B"/>
    <w:rsid w:val="003A07F8"/>
    <w:rsid w:val="003A1055"/>
    <w:rsid w:val="003A10AE"/>
    <w:rsid w:val="003A2176"/>
    <w:rsid w:val="003A2612"/>
    <w:rsid w:val="003A32A9"/>
    <w:rsid w:val="003A32DA"/>
    <w:rsid w:val="003A34C1"/>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B67"/>
    <w:rsid w:val="003A7D48"/>
    <w:rsid w:val="003B08A2"/>
    <w:rsid w:val="003B0BF4"/>
    <w:rsid w:val="003B0C91"/>
    <w:rsid w:val="003B0F8E"/>
    <w:rsid w:val="003B1111"/>
    <w:rsid w:val="003B1933"/>
    <w:rsid w:val="003B2B5E"/>
    <w:rsid w:val="003B30B3"/>
    <w:rsid w:val="003B3666"/>
    <w:rsid w:val="003B3E5C"/>
    <w:rsid w:val="003B41C7"/>
    <w:rsid w:val="003B496A"/>
    <w:rsid w:val="003B4CAA"/>
    <w:rsid w:val="003B5C91"/>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50C"/>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D06"/>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51D"/>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B50"/>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684"/>
    <w:rsid w:val="00415802"/>
    <w:rsid w:val="004158DD"/>
    <w:rsid w:val="00415998"/>
    <w:rsid w:val="00415C11"/>
    <w:rsid w:val="00415FE9"/>
    <w:rsid w:val="0041625C"/>
    <w:rsid w:val="00416463"/>
    <w:rsid w:val="004165DC"/>
    <w:rsid w:val="00416B0F"/>
    <w:rsid w:val="00416FE7"/>
    <w:rsid w:val="0041712E"/>
    <w:rsid w:val="004201D8"/>
    <w:rsid w:val="0042068B"/>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0E26"/>
    <w:rsid w:val="00431920"/>
    <w:rsid w:val="00431DA5"/>
    <w:rsid w:val="00432187"/>
    <w:rsid w:val="004337B0"/>
    <w:rsid w:val="00433A7A"/>
    <w:rsid w:val="00433E14"/>
    <w:rsid w:val="00433F76"/>
    <w:rsid w:val="00433FB5"/>
    <w:rsid w:val="0043415F"/>
    <w:rsid w:val="00434298"/>
    <w:rsid w:val="004348BB"/>
    <w:rsid w:val="00434915"/>
    <w:rsid w:val="0043553A"/>
    <w:rsid w:val="00435568"/>
    <w:rsid w:val="00435E51"/>
    <w:rsid w:val="0043678A"/>
    <w:rsid w:val="004369B2"/>
    <w:rsid w:val="00437204"/>
    <w:rsid w:val="00437C25"/>
    <w:rsid w:val="00440955"/>
    <w:rsid w:val="00440EFA"/>
    <w:rsid w:val="004410A6"/>
    <w:rsid w:val="00441578"/>
    <w:rsid w:val="00441C22"/>
    <w:rsid w:val="00441FB4"/>
    <w:rsid w:val="004422B4"/>
    <w:rsid w:val="0044260C"/>
    <w:rsid w:val="004427EB"/>
    <w:rsid w:val="00442906"/>
    <w:rsid w:val="00442B92"/>
    <w:rsid w:val="00442D9C"/>
    <w:rsid w:val="00443376"/>
    <w:rsid w:val="00443406"/>
    <w:rsid w:val="004435DE"/>
    <w:rsid w:val="00444A9D"/>
    <w:rsid w:val="00445640"/>
    <w:rsid w:val="00445B98"/>
    <w:rsid w:val="00445DF0"/>
    <w:rsid w:val="004462E1"/>
    <w:rsid w:val="00446423"/>
    <w:rsid w:val="00446689"/>
    <w:rsid w:val="00447067"/>
    <w:rsid w:val="0044716A"/>
    <w:rsid w:val="00450059"/>
    <w:rsid w:val="004502CD"/>
    <w:rsid w:val="004505AF"/>
    <w:rsid w:val="00450DE8"/>
    <w:rsid w:val="00450F98"/>
    <w:rsid w:val="004515C2"/>
    <w:rsid w:val="004518AF"/>
    <w:rsid w:val="00451D7E"/>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3BA"/>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13F"/>
    <w:rsid w:val="0047379E"/>
    <w:rsid w:val="00474848"/>
    <w:rsid w:val="00474DB4"/>
    <w:rsid w:val="00475E2D"/>
    <w:rsid w:val="0047630E"/>
    <w:rsid w:val="00476460"/>
    <w:rsid w:val="004765BA"/>
    <w:rsid w:val="00476EA2"/>
    <w:rsid w:val="0047749E"/>
    <w:rsid w:val="004777CA"/>
    <w:rsid w:val="0048004B"/>
    <w:rsid w:val="00480083"/>
    <w:rsid w:val="00480185"/>
    <w:rsid w:val="004801D4"/>
    <w:rsid w:val="00480944"/>
    <w:rsid w:val="00480A1F"/>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339"/>
    <w:rsid w:val="00492994"/>
    <w:rsid w:val="004939D7"/>
    <w:rsid w:val="004944F8"/>
    <w:rsid w:val="00494CD6"/>
    <w:rsid w:val="004955D2"/>
    <w:rsid w:val="00495BB6"/>
    <w:rsid w:val="00496EF6"/>
    <w:rsid w:val="00496FEA"/>
    <w:rsid w:val="0049743B"/>
    <w:rsid w:val="00497579"/>
    <w:rsid w:val="00497C4D"/>
    <w:rsid w:val="00497DE4"/>
    <w:rsid w:val="004A074D"/>
    <w:rsid w:val="004A13F5"/>
    <w:rsid w:val="004A15B3"/>
    <w:rsid w:val="004A1709"/>
    <w:rsid w:val="004A1894"/>
    <w:rsid w:val="004A22EC"/>
    <w:rsid w:val="004A3038"/>
    <w:rsid w:val="004A336A"/>
    <w:rsid w:val="004A33CD"/>
    <w:rsid w:val="004A38B9"/>
    <w:rsid w:val="004A3F07"/>
    <w:rsid w:val="004A463F"/>
    <w:rsid w:val="004A4803"/>
    <w:rsid w:val="004A4E9A"/>
    <w:rsid w:val="004A6352"/>
    <w:rsid w:val="004A74D2"/>
    <w:rsid w:val="004B0B07"/>
    <w:rsid w:val="004B0B1D"/>
    <w:rsid w:val="004B0DD6"/>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0EE"/>
    <w:rsid w:val="004C070C"/>
    <w:rsid w:val="004C1866"/>
    <w:rsid w:val="004C2776"/>
    <w:rsid w:val="004C2C08"/>
    <w:rsid w:val="004C33EB"/>
    <w:rsid w:val="004C36E3"/>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48"/>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99F"/>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929"/>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09"/>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9FD"/>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25"/>
    <w:rsid w:val="00523F73"/>
    <w:rsid w:val="005246CC"/>
    <w:rsid w:val="00525505"/>
    <w:rsid w:val="00525A27"/>
    <w:rsid w:val="00525B5D"/>
    <w:rsid w:val="0052615D"/>
    <w:rsid w:val="00526A64"/>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0D3"/>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0C"/>
    <w:rsid w:val="0056363D"/>
    <w:rsid w:val="005643BD"/>
    <w:rsid w:val="00564BFF"/>
    <w:rsid w:val="00564D95"/>
    <w:rsid w:val="0056509A"/>
    <w:rsid w:val="005658C5"/>
    <w:rsid w:val="00565970"/>
    <w:rsid w:val="005660E2"/>
    <w:rsid w:val="0056613A"/>
    <w:rsid w:val="0056654D"/>
    <w:rsid w:val="00566725"/>
    <w:rsid w:val="00566C03"/>
    <w:rsid w:val="005677D4"/>
    <w:rsid w:val="00570930"/>
    <w:rsid w:val="00570C07"/>
    <w:rsid w:val="00571344"/>
    <w:rsid w:val="00571A0D"/>
    <w:rsid w:val="00571EAB"/>
    <w:rsid w:val="0057259D"/>
    <w:rsid w:val="005727D4"/>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54D"/>
    <w:rsid w:val="00582880"/>
    <w:rsid w:val="00582C08"/>
    <w:rsid w:val="00582C70"/>
    <w:rsid w:val="0058315D"/>
    <w:rsid w:val="00583185"/>
    <w:rsid w:val="0058374D"/>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B6"/>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0F96"/>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05A2"/>
    <w:rsid w:val="005E0706"/>
    <w:rsid w:val="005E1087"/>
    <w:rsid w:val="005E127B"/>
    <w:rsid w:val="005E2440"/>
    <w:rsid w:val="005E34E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6328"/>
    <w:rsid w:val="005F7457"/>
    <w:rsid w:val="005F7CB9"/>
    <w:rsid w:val="00600C5D"/>
    <w:rsid w:val="00600E15"/>
    <w:rsid w:val="006016F5"/>
    <w:rsid w:val="00601806"/>
    <w:rsid w:val="00602A2C"/>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882"/>
    <w:rsid w:val="00625DA1"/>
    <w:rsid w:val="00625E3A"/>
    <w:rsid w:val="00626739"/>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023"/>
    <w:rsid w:val="00641149"/>
    <w:rsid w:val="0064117D"/>
    <w:rsid w:val="006414D9"/>
    <w:rsid w:val="00641893"/>
    <w:rsid w:val="00641AC8"/>
    <w:rsid w:val="00641F99"/>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78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B0"/>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3813"/>
    <w:rsid w:val="00674187"/>
    <w:rsid w:val="006746B1"/>
    <w:rsid w:val="006748D9"/>
    <w:rsid w:val="00674A5C"/>
    <w:rsid w:val="0067614F"/>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3B84"/>
    <w:rsid w:val="006A417F"/>
    <w:rsid w:val="006A44D8"/>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0A52"/>
    <w:rsid w:val="006D117B"/>
    <w:rsid w:val="006D16E4"/>
    <w:rsid w:val="006D1A2B"/>
    <w:rsid w:val="006D20B0"/>
    <w:rsid w:val="006D21A8"/>
    <w:rsid w:val="006D3BD7"/>
    <w:rsid w:val="006D437F"/>
    <w:rsid w:val="006D44DC"/>
    <w:rsid w:val="006D4F8F"/>
    <w:rsid w:val="006D5982"/>
    <w:rsid w:val="006D5A8B"/>
    <w:rsid w:val="006D5C56"/>
    <w:rsid w:val="006D5DC4"/>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3F"/>
    <w:rsid w:val="006E5AE4"/>
    <w:rsid w:val="006E60EA"/>
    <w:rsid w:val="006E6280"/>
    <w:rsid w:val="006F0B24"/>
    <w:rsid w:val="006F0FFF"/>
    <w:rsid w:val="006F1DE4"/>
    <w:rsid w:val="006F2250"/>
    <w:rsid w:val="006F2592"/>
    <w:rsid w:val="006F2A7D"/>
    <w:rsid w:val="006F3531"/>
    <w:rsid w:val="006F391E"/>
    <w:rsid w:val="006F3C93"/>
    <w:rsid w:val="006F4307"/>
    <w:rsid w:val="006F4BF7"/>
    <w:rsid w:val="006F5957"/>
    <w:rsid w:val="006F6351"/>
    <w:rsid w:val="006F6B8F"/>
    <w:rsid w:val="0070083E"/>
    <w:rsid w:val="00700E96"/>
    <w:rsid w:val="00700FD9"/>
    <w:rsid w:val="00701B5B"/>
    <w:rsid w:val="00702A40"/>
    <w:rsid w:val="00702CFF"/>
    <w:rsid w:val="00703FA0"/>
    <w:rsid w:val="00704B70"/>
    <w:rsid w:val="00704C17"/>
    <w:rsid w:val="00704E6A"/>
    <w:rsid w:val="007057AB"/>
    <w:rsid w:val="007059B2"/>
    <w:rsid w:val="007072DC"/>
    <w:rsid w:val="00707AF3"/>
    <w:rsid w:val="00707D22"/>
    <w:rsid w:val="0071007C"/>
    <w:rsid w:val="0071022D"/>
    <w:rsid w:val="007103FF"/>
    <w:rsid w:val="007104B6"/>
    <w:rsid w:val="00710CAA"/>
    <w:rsid w:val="00711473"/>
    <w:rsid w:val="007122B2"/>
    <w:rsid w:val="00712877"/>
    <w:rsid w:val="007134D3"/>
    <w:rsid w:val="007135ED"/>
    <w:rsid w:val="0071385D"/>
    <w:rsid w:val="00713B92"/>
    <w:rsid w:val="007146BE"/>
    <w:rsid w:val="00714F02"/>
    <w:rsid w:val="00715CA8"/>
    <w:rsid w:val="00715E1E"/>
    <w:rsid w:val="007164C1"/>
    <w:rsid w:val="00716EB9"/>
    <w:rsid w:val="00717580"/>
    <w:rsid w:val="00717710"/>
    <w:rsid w:val="00720099"/>
    <w:rsid w:val="007200FD"/>
    <w:rsid w:val="0072060C"/>
    <w:rsid w:val="00720AC8"/>
    <w:rsid w:val="00721FDA"/>
    <w:rsid w:val="007227E3"/>
    <w:rsid w:val="007239EC"/>
    <w:rsid w:val="00723A08"/>
    <w:rsid w:val="007243CE"/>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0CBC"/>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26F"/>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9D7"/>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53E"/>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594A"/>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9A7"/>
    <w:rsid w:val="007A5B01"/>
    <w:rsid w:val="007A5B63"/>
    <w:rsid w:val="007A5BA6"/>
    <w:rsid w:val="007A5EC1"/>
    <w:rsid w:val="007A62B9"/>
    <w:rsid w:val="007A6310"/>
    <w:rsid w:val="007A644D"/>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736"/>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C7E17"/>
    <w:rsid w:val="007D01BC"/>
    <w:rsid w:val="007D100A"/>
    <w:rsid w:val="007D1137"/>
    <w:rsid w:val="007D116C"/>
    <w:rsid w:val="007D12EA"/>
    <w:rsid w:val="007D156B"/>
    <w:rsid w:val="007D168C"/>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791"/>
    <w:rsid w:val="007E1833"/>
    <w:rsid w:val="007E2779"/>
    <w:rsid w:val="007E3073"/>
    <w:rsid w:val="007E3B19"/>
    <w:rsid w:val="007E4314"/>
    <w:rsid w:val="007E4572"/>
    <w:rsid w:val="007E4BE9"/>
    <w:rsid w:val="007E4BF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4A9"/>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5F54"/>
    <w:rsid w:val="00806AE6"/>
    <w:rsid w:val="00806C75"/>
    <w:rsid w:val="008078DE"/>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751"/>
    <w:rsid w:val="00820AD0"/>
    <w:rsid w:val="0082130B"/>
    <w:rsid w:val="00821BA2"/>
    <w:rsid w:val="008221C1"/>
    <w:rsid w:val="008227D4"/>
    <w:rsid w:val="00823232"/>
    <w:rsid w:val="00823A32"/>
    <w:rsid w:val="00823B4C"/>
    <w:rsid w:val="0082411F"/>
    <w:rsid w:val="00824D00"/>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8DC"/>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1F98"/>
    <w:rsid w:val="008521F9"/>
    <w:rsid w:val="00852263"/>
    <w:rsid w:val="00852D5E"/>
    <w:rsid w:val="0085317B"/>
    <w:rsid w:val="0085328E"/>
    <w:rsid w:val="00853F0A"/>
    <w:rsid w:val="0085462C"/>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86A"/>
    <w:rsid w:val="008719C4"/>
    <w:rsid w:val="0087345D"/>
    <w:rsid w:val="00873713"/>
    <w:rsid w:val="00874387"/>
    <w:rsid w:val="0087456C"/>
    <w:rsid w:val="00875068"/>
    <w:rsid w:val="008751D3"/>
    <w:rsid w:val="008756B3"/>
    <w:rsid w:val="00876394"/>
    <w:rsid w:val="008765AB"/>
    <w:rsid w:val="00876657"/>
    <w:rsid w:val="00876C35"/>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30B"/>
    <w:rsid w:val="00893497"/>
    <w:rsid w:val="008942E7"/>
    <w:rsid w:val="00894709"/>
    <w:rsid w:val="00894F9B"/>
    <w:rsid w:val="00895550"/>
    <w:rsid w:val="00895AA2"/>
    <w:rsid w:val="00897094"/>
    <w:rsid w:val="00897286"/>
    <w:rsid w:val="00897563"/>
    <w:rsid w:val="00897815"/>
    <w:rsid w:val="008A0549"/>
    <w:rsid w:val="008A0F62"/>
    <w:rsid w:val="008A2090"/>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48E"/>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0CC6"/>
    <w:rsid w:val="008D194B"/>
    <w:rsid w:val="008D1AC8"/>
    <w:rsid w:val="008D1F5C"/>
    <w:rsid w:val="008D24E3"/>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1C6D"/>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40E"/>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381B"/>
    <w:rsid w:val="009340E3"/>
    <w:rsid w:val="0093456C"/>
    <w:rsid w:val="009349AB"/>
    <w:rsid w:val="00934DC4"/>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3081"/>
    <w:rsid w:val="0095471A"/>
    <w:rsid w:val="00954EDD"/>
    <w:rsid w:val="009550A6"/>
    <w:rsid w:val="0095537B"/>
    <w:rsid w:val="009553C6"/>
    <w:rsid w:val="00955FDB"/>
    <w:rsid w:val="0095611C"/>
    <w:rsid w:val="00956236"/>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C1B"/>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87BD2"/>
    <w:rsid w:val="009901EF"/>
    <w:rsid w:val="009906FC"/>
    <w:rsid w:val="0099146F"/>
    <w:rsid w:val="00991685"/>
    <w:rsid w:val="009926E2"/>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3AB"/>
    <w:rsid w:val="009976D0"/>
    <w:rsid w:val="00997807"/>
    <w:rsid w:val="00997B72"/>
    <w:rsid w:val="00997FCA"/>
    <w:rsid w:val="009A02AB"/>
    <w:rsid w:val="009A1058"/>
    <w:rsid w:val="009A15FD"/>
    <w:rsid w:val="009A16E4"/>
    <w:rsid w:val="009A221D"/>
    <w:rsid w:val="009A2965"/>
    <w:rsid w:val="009A331A"/>
    <w:rsid w:val="009A378E"/>
    <w:rsid w:val="009A41A0"/>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257"/>
    <w:rsid w:val="009B4FDA"/>
    <w:rsid w:val="009B5A0F"/>
    <w:rsid w:val="009B5D3A"/>
    <w:rsid w:val="009B6143"/>
    <w:rsid w:val="009B6586"/>
    <w:rsid w:val="009B6C2A"/>
    <w:rsid w:val="009B739A"/>
    <w:rsid w:val="009B76C5"/>
    <w:rsid w:val="009B78C5"/>
    <w:rsid w:val="009B7EAA"/>
    <w:rsid w:val="009C0E2A"/>
    <w:rsid w:val="009C1AEB"/>
    <w:rsid w:val="009C2B83"/>
    <w:rsid w:val="009C394A"/>
    <w:rsid w:val="009C3CCF"/>
    <w:rsid w:val="009C4E7A"/>
    <w:rsid w:val="009C5632"/>
    <w:rsid w:val="009C5AE7"/>
    <w:rsid w:val="009C5D81"/>
    <w:rsid w:val="009C60CE"/>
    <w:rsid w:val="009C613A"/>
    <w:rsid w:val="009C6495"/>
    <w:rsid w:val="009C65E9"/>
    <w:rsid w:val="009C66EA"/>
    <w:rsid w:val="009C74BD"/>
    <w:rsid w:val="009C74D2"/>
    <w:rsid w:val="009C7F16"/>
    <w:rsid w:val="009D0D68"/>
    <w:rsid w:val="009D0E53"/>
    <w:rsid w:val="009D1412"/>
    <w:rsid w:val="009D2511"/>
    <w:rsid w:val="009D292D"/>
    <w:rsid w:val="009D2AD3"/>
    <w:rsid w:val="009D378C"/>
    <w:rsid w:val="009D3860"/>
    <w:rsid w:val="009D3F56"/>
    <w:rsid w:val="009D4123"/>
    <w:rsid w:val="009D44B9"/>
    <w:rsid w:val="009D5850"/>
    <w:rsid w:val="009D58C7"/>
    <w:rsid w:val="009D67BD"/>
    <w:rsid w:val="009D70F6"/>
    <w:rsid w:val="009D72C2"/>
    <w:rsid w:val="009D7F96"/>
    <w:rsid w:val="009D7F9E"/>
    <w:rsid w:val="009E026B"/>
    <w:rsid w:val="009E097D"/>
    <w:rsid w:val="009E0C01"/>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B1E"/>
    <w:rsid w:val="009F6D6C"/>
    <w:rsid w:val="009F6E02"/>
    <w:rsid w:val="009F764E"/>
    <w:rsid w:val="009F79A2"/>
    <w:rsid w:val="00A003EF"/>
    <w:rsid w:val="00A006FE"/>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125"/>
    <w:rsid w:val="00A117F6"/>
    <w:rsid w:val="00A11BD4"/>
    <w:rsid w:val="00A11CDC"/>
    <w:rsid w:val="00A12592"/>
    <w:rsid w:val="00A12797"/>
    <w:rsid w:val="00A12915"/>
    <w:rsid w:val="00A12B68"/>
    <w:rsid w:val="00A12F48"/>
    <w:rsid w:val="00A134AA"/>
    <w:rsid w:val="00A13555"/>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134"/>
    <w:rsid w:val="00A479A0"/>
    <w:rsid w:val="00A47C7A"/>
    <w:rsid w:val="00A5046C"/>
    <w:rsid w:val="00A51737"/>
    <w:rsid w:val="00A51AE0"/>
    <w:rsid w:val="00A51FF7"/>
    <w:rsid w:val="00A526BE"/>
    <w:rsid w:val="00A5296C"/>
    <w:rsid w:val="00A52ABB"/>
    <w:rsid w:val="00A52D97"/>
    <w:rsid w:val="00A533A0"/>
    <w:rsid w:val="00A540E9"/>
    <w:rsid w:val="00A5422F"/>
    <w:rsid w:val="00A54544"/>
    <w:rsid w:val="00A55DCE"/>
    <w:rsid w:val="00A5601C"/>
    <w:rsid w:val="00A561FA"/>
    <w:rsid w:val="00A5643E"/>
    <w:rsid w:val="00A564E2"/>
    <w:rsid w:val="00A56893"/>
    <w:rsid w:val="00A56F73"/>
    <w:rsid w:val="00A5723B"/>
    <w:rsid w:val="00A57F1B"/>
    <w:rsid w:val="00A6034E"/>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4CC1"/>
    <w:rsid w:val="00A7519F"/>
    <w:rsid w:val="00A76EDE"/>
    <w:rsid w:val="00A770C1"/>
    <w:rsid w:val="00A770F6"/>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97A84"/>
    <w:rsid w:val="00AA010F"/>
    <w:rsid w:val="00AA04BD"/>
    <w:rsid w:val="00AA0A55"/>
    <w:rsid w:val="00AA0D04"/>
    <w:rsid w:val="00AA0DB3"/>
    <w:rsid w:val="00AA1152"/>
    <w:rsid w:val="00AA1D7A"/>
    <w:rsid w:val="00AA23BD"/>
    <w:rsid w:val="00AA265C"/>
    <w:rsid w:val="00AA2BB8"/>
    <w:rsid w:val="00AA3109"/>
    <w:rsid w:val="00AA3787"/>
    <w:rsid w:val="00AA378C"/>
    <w:rsid w:val="00AA3A28"/>
    <w:rsid w:val="00AA3A41"/>
    <w:rsid w:val="00AA46D2"/>
    <w:rsid w:val="00AA4DAF"/>
    <w:rsid w:val="00AA4F85"/>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185D"/>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B29"/>
    <w:rsid w:val="00AD1F69"/>
    <w:rsid w:val="00AD2361"/>
    <w:rsid w:val="00AD282D"/>
    <w:rsid w:val="00AD2C8C"/>
    <w:rsid w:val="00AD2F85"/>
    <w:rsid w:val="00AD3ABC"/>
    <w:rsid w:val="00AD3C71"/>
    <w:rsid w:val="00AD4883"/>
    <w:rsid w:val="00AD5583"/>
    <w:rsid w:val="00AD631B"/>
    <w:rsid w:val="00AD6891"/>
    <w:rsid w:val="00AD6DA0"/>
    <w:rsid w:val="00AD7470"/>
    <w:rsid w:val="00AD75EE"/>
    <w:rsid w:val="00AE01D5"/>
    <w:rsid w:val="00AE0C10"/>
    <w:rsid w:val="00AE129E"/>
    <w:rsid w:val="00AE1917"/>
    <w:rsid w:val="00AE1972"/>
    <w:rsid w:val="00AE1DB6"/>
    <w:rsid w:val="00AE232C"/>
    <w:rsid w:val="00AE237C"/>
    <w:rsid w:val="00AE25E2"/>
    <w:rsid w:val="00AE2880"/>
    <w:rsid w:val="00AE3220"/>
    <w:rsid w:val="00AE46E7"/>
    <w:rsid w:val="00AE4DAB"/>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2BD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28EE"/>
    <w:rsid w:val="00B139EE"/>
    <w:rsid w:val="00B14008"/>
    <w:rsid w:val="00B14519"/>
    <w:rsid w:val="00B14746"/>
    <w:rsid w:val="00B1488E"/>
    <w:rsid w:val="00B14E9C"/>
    <w:rsid w:val="00B14FA1"/>
    <w:rsid w:val="00B15367"/>
    <w:rsid w:val="00B15707"/>
    <w:rsid w:val="00B15FA1"/>
    <w:rsid w:val="00B16422"/>
    <w:rsid w:val="00B1652C"/>
    <w:rsid w:val="00B16562"/>
    <w:rsid w:val="00B16A26"/>
    <w:rsid w:val="00B17288"/>
    <w:rsid w:val="00B20541"/>
    <w:rsid w:val="00B20856"/>
    <w:rsid w:val="00B20988"/>
    <w:rsid w:val="00B20D5E"/>
    <w:rsid w:val="00B21404"/>
    <w:rsid w:val="00B21923"/>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2C5F"/>
    <w:rsid w:val="00B42E51"/>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4A8"/>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2B0"/>
    <w:rsid w:val="00B74D9F"/>
    <w:rsid w:val="00B75CC1"/>
    <w:rsid w:val="00B7653B"/>
    <w:rsid w:val="00B7679B"/>
    <w:rsid w:val="00B76E91"/>
    <w:rsid w:val="00B771D7"/>
    <w:rsid w:val="00B801B2"/>
    <w:rsid w:val="00B8225C"/>
    <w:rsid w:val="00B8277D"/>
    <w:rsid w:val="00B82897"/>
    <w:rsid w:val="00B82D3F"/>
    <w:rsid w:val="00B831A9"/>
    <w:rsid w:val="00B83857"/>
    <w:rsid w:val="00B84348"/>
    <w:rsid w:val="00B847D9"/>
    <w:rsid w:val="00B84B06"/>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3E12"/>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469C"/>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9E7"/>
    <w:rsid w:val="00BD3B5B"/>
    <w:rsid w:val="00BD516D"/>
    <w:rsid w:val="00BD528E"/>
    <w:rsid w:val="00BD5633"/>
    <w:rsid w:val="00BD6926"/>
    <w:rsid w:val="00BD7229"/>
    <w:rsid w:val="00BD7718"/>
    <w:rsid w:val="00BE002A"/>
    <w:rsid w:val="00BE00F4"/>
    <w:rsid w:val="00BE028C"/>
    <w:rsid w:val="00BE0EEF"/>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33F"/>
    <w:rsid w:val="00C17A08"/>
    <w:rsid w:val="00C17A3B"/>
    <w:rsid w:val="00C17DB1"/>
    <w:rsid w:val="00C203BC"/>
    <w:rsid w:val="00C20C52"/>
    <w:rsid w:val="00C20F76"/>
    <w:rsid w:val="00C21BFD"/>
    <w:rsid w:val="00C227BD"/>
    <w:rsid w:val="00C22B92"/>
    <w:rsid w:val="00C2395D"/>
    <w:rsid w:val="00C239D6"/>
    <w:rsid w:val="00C246CA"/>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18C"/>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0B8"/>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6EE8"/>
    <w:rsid w:val="00C5703A"/>
    <w:rsid w:val="00C570AA"/>
    <w:rsid w:val="00C570D2"/>
    <w:rsid w:val="00C57490"/>
    <w:rsid w:val="00C5757B"/>
    <w:rsid w:val="00C579FF"/>
    <w:rsid w:val="00C613F4"/>
    <w:rsid w:val="00C61B83"/>
    <w:rsid w:val="00C61C2E"/>
    <w:rsid w:val="00C62665"/>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568"/>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666"/>
    <w:rsid w:val="00C80869"/>
    <w:rsid w:val="00C80CA6"/>
    <w:rsid w:val="00C814C0"/>
    <w:rsid w:val="00C81DA9"/>
    <w:rsid w:val="00C81FBD"/>
    <w:rsid w:val="00C82076"/>
    <w:rsid w:val="00C82955"/>
    <w:rsid w:val="00C83443"/>
    <w:rsid w:val="00C836AB"/>
    <w:rsid w:val="00C83769"/>
    <w:rsid w:val="00C84957"/>
    <w:rsid w:val="00C86149"/>
    <w:rsid w:val="00C86164"/>
    <w:rsid w:val="00C863C4"/>
    <w:rsid w:val="00C87801"/>
    <w:rsid w:val="00C87B9E"/>
    <w:rsid w:val="00C90152"/>
    <w:rsid w:val="00C910BC"/>
    <w:rsid w:val="00C91B94"/>
    <w:rsid w:val="00C91F30"/>
    <w:rsid w:val="00C9207A"/>
    <w:rsid w:val="00C92EE4"/>
    <w:rsid w:val="00C93BC7"/>
    <w:rsid w:val="00C94146"/>
    <w:rsid w:val="00C947E2"/>
    <w:rsid w:val="00C9488E"/>
    <w:rsid w:val="00C94EBD"/>
    <w:rsid w:val="00C94F56"/>
    <w:rsid w:val="00C95094"/>
    <w:rsid w:val="00C9549F"/>
    <w:rsid w:val="00C958EA"/>
    <w:rsid w:val="00C95C84"/>
    <w:rsid w:val="00C95D2E"/>
    <w:rsid w:val="00C960B4"/>
    <w:rsid w:val="00C96236"/>
    <w:rsid w:val="00C96339"/>
    <w:rsid w:val="00C96D4C"/>
    <w:rsid w:val="00C96D95"/>
    <w:rsid w:val="00C96E5D"/>
    <w:rsid w:val="00C96EFF"/>
    <w:rsid w:val="00C973D4"/>
    <w:rsid w:val="00CA0009"/>
    <w:rsid w:val="00CA0148"/>
    <w:rsid w:val="00CA0EFE"/>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6B0F"/>
    <w:rsid w:val="00CA7F35"/>
    <w:rsid w:val="00CB0A72"/>
    <w:rsid w:val="00CB0E6B"/>
    <w:rsid w:val="00CB13C6"/>
    <w:rsid w:val="00CB1813"/>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061"/>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103B"/>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42"/>
    <w:rsid w:val="00D03ABE"/>
    <w:rsid w:val="00D03B1F"/>
    <w:rsid w:val="00D04044"/>
    <w:rsid w:val="00D04150"/>
    <w:rsid w:val="00D0432D"/>
    <w:rsid w:val="00D0481B"/>
    <w:rsid w:val="00D048BC"/>
    <w:rsid w:val="00D04B1F"/>
    <w:rsid w:val="00D05754"/>
    <w:rsid w:val="00D05A64"/>
    <w:rsid w:val="00D06420"/>
    <w:rsid w:val="00D067E6"/>
    <w:rsid w:val="00D068BA"/>
    <w:rsid w:val="00D0701F"/>
    <w:rsid w:val="00D0754F"/>
    <w:rsid w:val="00D0796B"/>
    <w:rsid w:val="00D07A59"/>
    <w:rsid w:val="00D07B24"/>
    <w:rsid w:val="00D07E18"/>
    <w:rsid w:val="00D113C6"/>
    <w:rsid w:val="00D11478"/>
    <w:rsid w:val="00D11730"/>
    <w:rsid w:val="00D11A66"/>
    <w:rsid w:val="00D11AB4"/>
    <w:rsid w:val="00D124AA"/>
    <w:rsid w:val="00D12506"/>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5C1B"/>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3BC8"/>
    <w:rsid w:val="00D6417A"/>
    <w:rsid w:val="00D64954"/>
    <w:rsid w:val="00D6512E"/>
    <w:rsid w:val="00D65D0A"/>
    <w:rsid w:val="00D6602F"/>
    <w:rsid w:val="00D6658E"/>
    <w:rsid w:val="00D66C6D"/>
    <w:rsid w:val="00D6748C"/>
    <w:rsid w:val="00D708DA"/>
    <w:rsid w:val="00D70BA4"/>
    <w:rsid w:val="00D718AE"/>
    <w:rsid w:val="00D719BF"/>
    <w:rsid w:val="00D72031"/>
    <w:rsid w:val="00D7220A"/>
    <w:rsid w:val="00D72986"/>
    <w:rsid w:val="00D733C3"/>
    <w:rsid w:val="00D74080"/>
    <w:rsid w:val="00D740F0"/>
    <w:rsid w:val="00D74CAD"/>
    <w:rsid w:val="00D751F6"/>
    <w:rsid w:val="00D752A3"/>
    <w:rsid w:val="00D75351"/>
    <w:rsid w:val="00D75CFE"/>
    <w:rsid w:val="00D76A05"/>
    <w:rsid w:val="00D76EC9"/>
    <w:rsid w:val="00D77305"/>
    <w:rsid w:val="00D775C5"/>
    <w:rsid w:val="00D77DD2"/>
    <w:rsid w:val="00D80788"/>
    <w:rsid w:val="00D80AB4"/>
    <w:rsid w:val="00D81639"/>
    <w:rsid w:val="00D82204"/>
    <w:rsid w:val="00D825E5"/>
    <w:rsid w:val="00D827BA"/>
    <w:rsid w:val="00D82883"/>
    <w:rsid w:val="00D82CD4"/>
    <w:rsid w:val="00D82CF3"/>
    <w:rsid w:val="00D8338E"/>
    <w:rsid w:val="00D83829"/>
    <w:rsid w:val="00D8388A"/>
    <w:rsid w:val="00D83B2D"/>
    <w:rsid w:val="00D84540"/>
    <w:rsid w:val="00D84A0A"/>
    <w:rsid w:val="00D84F8A"/>
    <w:rsid w:val="00D853AE"/>
    <w:rsid w:val="00D85879"/>
    <w:rsid w:val="00D85F7F"/>
    <w:rsid w:val="00D8608C"/>
    <w:rsid w:val="00D8678D"/>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41B"/>
    <w:rsid w:val="00DA561D"/>
    <w:rsid w:val="00DA5BC6"/>
    <w:rsid w:val="00DA5E82"/>
    <w:rsid w:val="00DA65FF"/>
    <w:rsid w:val="00DA71BF"/>
    <w:rsid w:val="00DA79C9"/>
    <w:rsid w:val="00DA7FAE"/>
    <w:rsid w:val="00DB05D9"/>
    <w:rsid w:val="00DB0A73"/>
    <w:rsid w:val="00DB1150"/>
    <w:rsid w:val="00DB129D"/>
    <w:rsid w:val="00DB1363"/>
    <w:rsid w:val="00DB1776"/>
    <w:rsid w:val="00DB19F9"/>
    <w:rsid w:val="00DB20BC"/>
    <w:rsid w:val="00DB2393"/>
    <w:rsid w:val="00DB2B16"/>
    <w:rsid w:val="00DB2E4E"/>
    <w:rsid w:val="00DB3324"/>
    <w:rsid w:val="00DB3B9E"/>
    <w:rsid w:val="00DB3EC5"/>
    <w:rsid w:val="00DB457F"/>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2A9F"/>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0FC6"/>
    <w:rsid w:val="00DE189A"/>
    <w:rsid w:val="00DE1E11"/>
    <w:rsid w:val="00DE26B3"/>
    <w:rsid w:val="00DE2E22"/>
    <w:rsid w:val="00DE39DE"/>
    <w:rsid w:val="00DE3B9C"/>
    <w:rsid w:val="00DE45A5"/>
    <w:rsid w:val="00DE45AB"/>
    <w:rsid w:val="00DE4615"/>
    <w:rsid w:val="00DE4B04"/>
    <w:rsid w:val="00DE5045"/>
    <w:rsid w:val="00DE50D6"/>
    <w:rsid w:val="00DE5141"/>
    <w:rsid w:val="00DE58A0"/>
    <w:rsid w:val="00DE58DB"/>
    <w:rsid w:val="00DE5B71"/>
    <w:rsid w:val="00DE6F62"/>
    <w:rsid w:val="00DE73FB"/>
    <w:rsid w:val="00DF14E7"/>
    <w:rsid w:val="00DF14F8"/>
    <w:rsid w:val="00DF1529"/>
    <w:rsid w:val="00DF2103"/>
    <w:rsid w:val="00DF232D"/>
    <w:rsid w:val="00DF29F7"/>
    <w:rsid w:val="00DF2D3A"/>
    <w:rsid w:val="00DF30F0"/>
    <w:rsid w:val="00DF34E4"/>
    <w:rsid w:val="00DF3F83"/>
    <w:rsid w:val="00DF4C35"/>
    <w:rsid w:val="00DF570E"/>
    <w:rsid w:val="00DF5951"/>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30D"/>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1BF"/>
    <w:rsid w:val="00E21412"/>
    <w:rsid w:val="00E21598"/>
    <w:rsid w:val="00E22104"/>
    <w:rsid w:val="00E22454"/>
    <w:rsid w:val="00E22486"/>
    <w:rsid w:val="00E22739"/>
    <w:rsid w:val="00E227F0"/>
    <w:rsid w:val="00E22993"/>
    <w:rsid w:val="00E229A0"/>
    <w:rsid w:val="00E230CB"/>
    <w:rsid w:val="00E236E4"/>
    <w:rsid w:val="00E23E25"/>
    <w:rsid w:val="00E23F69"/>
    <w:rsid w:val="00E244B9"/>
    <w:rsid w:val="00E2469C"/>
    <w:rsid w:val="00E24CF9"/>
    <w:rsid w:val="00E24FDD"/>
    <w:rsid w:val="00E25159"/>
    <w:rsid w:val="00E253F1"/>
    <w:rsid w:val="00E25577"/>
    <w:rsid w:val="00E2583D"/>
    <w:rsid w:val="00E258AA"/>
    <w:rsid w:val="00E25AC1"/>
    <w:rsid w:val="00E26040"/>
    <w:rsid w:val="00E26466"/>
    <w:rsid w:val="00E27116"/>
    <w:rsid w:val="00E27408"/>
    <w:rsid w:val="00E27FCF"/>
    <w:rsid w:val="00E3160B"/>
    <w:rsid w:val="00E31D6F"/>
    <w:rsid w:val="00E31E0B"/>
    <w:rsid w:val="00E31E29"/>
    <w:rsid w:val="00E32882"/>
    <w:rsid w:val="00E32B9B"/>
    <w:rsid w:val="00E3369B"/>
    <w:rsid w:val="00E34AB7"/>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4AAB"/>
    <w:rsid w:val="00E75248"/>
    <w:rsid w:val="00E759E6"/>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3A29"/>
    <w:rsid w:val="00EB4DCB"/>
    <w:rsid w:val="00EB5120"/>
    <w:rsid w:val="00EB5483"/>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D7F00"/>
    <w:rsid w:val="00EE0028"/>
    <w:rsid w:val="00EE0221"/>
    <w:rsid w:val="00EE03CC"/>
    <w:rsid w:val="00EE051F"/>
    <w:rsid w:val="00EE05B7"/>
    <w:rsid w:val="00EE0C65"/>
    <w:rsid w:val="00EE1282"/>
    <w:rsid w:val="00EE1817"/>
    <w:rsid w:val="00EE1BB8"/>
    <w:rsid w:val="00EE1DD1"/>
    <w:rsid w:val="00EE1FC9"/>
    <w:rsid w:val="00EE2245"/>
    <w:rsid w:val="00EE25F9"/>
    <w:rsid w:val="00EE29AF"/>
    <w:rsid w:val="00EE3463"/>
    <w:rsid w:val="00EE37EE"/>
    <w:rsid w:val="00EE39A4"/>
    <w:rsid w:val="00EE4B59"/>
    <w:rsid w:val="00EE50A8"/>
    <w:rsid w:val="00EE53B9"/>
    <w:rsid w:val="00EE6372"/>
    <w:rsid w:val="00EE7829"/>
    <w:rsid w:val="00EF0279"/>
    <w:rsid w:val="00EF0629"/>
    <w:rsid w:val="00EF09DF"/>
    <w:rsid w:val="00EF0D49"/>
    <w:rsid w:val="00EF1594"/>
    <w:rsid w:val="00EF1C23"/>
    <w:rsid w:val="00EF269C"/>
    <w:rsid w:val="00EF3463"/>
    <w:rsid w:val="00EF36A1"/>
    <w:rsid w:val="00EF389F"/>
    <w:rsid w:val="00EF40A9"/>
    <w:rsid w:val="00EF4251"/>
    <w:rsid w:val="00EF4A6B"/>
    <w:rsid w:val="00EF4CAF"/>
    <w:rsid w:val="00EF4E00"/>
    <w:rsid w:val="00EF540A"/>
    <w:rsid w:val="00EF6405"/>
    <w:rsid w:val="00EF719E"/>
    <w:rsid w:val="00EF76FE"/>
    <w:rsid w:val="00F0064D"/>
    <w:rsid w:val="00F006BC"/>
    <w:rsid w:val="00F0087F"/>
    <w:rsid w:val="00F00C37"/>
    <w:rsid w:val="00F00C86"/>
    <w:rsid w:val="00F01005"/>
    <w:rsid w:val="00F0119D"/>
    <w:rsid w:val="00F020B0"/>
    <w:rsid w:val="00F02F41"/>
    <w:rsid w:val="00F03088"/>
    <w:rsid w:val="00F0433A"/>
    <w:rsid w:val="00F044BF"/>
    <w:rsid w:val="00F04643"/>
    <w:rsid w:val="00F0577A"/>
    <w:rsid w:val="00F0619B"/>
    <w:rsid w:val="00F06B73"/>
    <w:rsid w:val="00F06EF8"/>
    <w:rsid w:val="00F07728"/>
    <w:rsid w:val="00F10A73"/>
    <w:rsid w:val="00F11145"/>
    <w:rsid w:val="00F11700"/>
    <w:rsid w:val="00F118CF"/>
    <w:rsid w:val="00F11F45"/>
    <w:rsid w:val="00F120EC"/>
    <w:rsid w:val="00F12496"/>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2C4F"/>
    <w:rsid w:val="00F23BFE"/>
    <w:rsid w:val="00F2456C"/>
    <w:rsid w:val="00F24C95"/>
    <w:rsid w:val="00F25138"/>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B76"/>
    <w:rsid w:val="00F46CC4"/>
    <w:rsid w:val="00F46F21"/>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3A7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3C9"/>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3CF2"/>
    <w:rsid w:val="00FB3F3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650"/>
    <w:rsid w:val="00FC5979"/>
    <w:rsid w:val="00FC74CA"/>
    <w:rsid w:val="00FC75A5"/>
    <w:rsid w:val="00FC769C"/>
    <w:rsid w:val="00FC7D76"/>
    <w:rsid w:val="00FC7E3A"/>
    <w:rsid w:val="00FD03DA"/>
    <w:rsid w:val="00FD059E"/>
    <w:rsid w:val="00FD0CE4"/>
    <w:rsid w:val="00FD17E9"/>
    <w:rsid w:val="00FD2AC4"/>
    <w:rsid w:val="00FD4802"/>
    <w:rsid w:val="00FD4A6F"/>
    <w:rsid w:val="00FD4B29"/>
    <w:rsid w:val="00FD4FDD"/>
    <w:rsid w:val="00FD5357"/>
    <w:rsid w:val="00FD5602"/>
    <w:rsid w:val="00FD5C75"/>
    <w:rsid w:val="00FD6C9B"/>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371FAA"/>
    <w:pPr>
      <w:keepNext/>
      <w:keepLines/>
      <w:spacing w:before="240" w:after="0"/>
      <w:outlineLvl w:val="2"/>
    </w:pPr>
    <w:rPr>
      <w:rFonts w:eastAsiaTheme="majorEastAsia" w:cstheme="majorBidi"/>
      <w:b/>
      <w:bCs/>
      <w:sz w:val="20"/>
    </w:rPr>
  </w:style>
  <w:style w:type="paragraph" w:styleId="Heading4">
    <w:name w:val="heading 4"/>
    <w:basedOn w:val="Normal"/>
    <w:next w:val="Normal"/>
    <w:link w:val="Heading4Char"/>
    <w:uiPriority w:val="9"/>
    <w:unhideWhenUsed/>
    <w:qFormat/>
    <w:rsid w:val="00371FAA"/>
    <w:pPr>
      <w:keepNext/>
      <w:keepLines/>
      <w:spacing w:before="40" w:after="0"/>
      <w:outlineLvl w:val="3"/>
    </w:pPr>
    <w:rPr>
      <w:rFonts w:eastAsiaTheme="majorEastAsia" w:cstheme="majorBidi"/>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371FAA"/>
    <w:rPr>
      <w:rFonts w:ascii="Arial" w:eastAsiaTheme="majorEastAsia" w:hAnsi="Arial" w:cstheme="majorBidi"/>
      <w:b/>
      <w:bCs/>
      <w:sz w:val="20"/>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371FAA"/>
    <w:rPr>
      <w:rFonts w:ascii="Arial" w:eastAsiaTheme="majorEastAsia" w:hAnsi="Arial" w:cstheme="majorBidi"/>
      <w:b/>
      <w:iCs/>
      <w:sz w:val="20"/>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 w:type="table" w:customStyle="1" w:styleId="TableGrid1">
    <w:name w:val="Table Grid1"/>
    <w:basedOn w:val="TableNormal"/>
    <w:next w:val="TableGrid"/>
    <w:uiPriority w:val="59"/>
    <w:rsid w:val="000B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E0EEF"/>
    <w:rPr>
      <w:i/>
      <w:iCs/>
    </w:rPr>
  </w:style>
  <w:style w:type="paragraph" w:customStyle="1" w:styleId="msonormal0">
    <w:name w:val="msonormal"/>
    <w:basedOn w:val="Normal"/>
    <w:rsid w:val="00BE0EEF"/>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BE0EEF"/>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BE0EEF"/>
    <w:rPr>
      <w:rFonts w:ascii="Carlito" w:eastAsia="Carlito" w:hAnsi="Carlito" w:cs="Carlito"/>
    </w:rPr>
  </w:style>
  <w:style w:type="paragraph" w:customStyle="1" w:styleId="TableParagraph">
    <w:name w:val="Table Paragraph"/>
    <w:basedOn w:val="Normal"/>
    <w:uiPriority w:val="1"/>
    <w:qFormat/>
    <w:rsid w:val="00BE0EEF"/>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BE0EEF"/>
    <w:rPr>
      <w:color w:val="800080"/>
      <w:u w:val="single"/>
    </w:rPr>
  </w:style>
  <w:style w:type="table" w:styleId="LightGrid-Accent1">
    <w:name w:val="Light Grid Accent 1"/>
    <w:basedOn w:val="TableNormal"/>
    <w:uiPriority w:val="62"/>
    <w:rsid w:val="00BE0E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BE0EE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BE0E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480A1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EndnoteText">
    <w:name w:val="endnote text"/>
    <w:basedOn w:val="Normal"/>
    <w:link w:val="EndnoteTextChar"/>
    <w:uiPriority w:val="99"/>
    <w:semiHidden/>
    <w:unhideWhenUsed/>
    <w:rsid w:val="00A47134"/>
    <w:pPr>
      <w:spacing w:before="0" w:after="0"/>
    </w:pPr>
    <w:rPr>
      <w:sz w:val="20"/>
      <w:szCs w:val="20"/>
    </w:rPr>
  </w:style>
  <w:style w:type="character" w:customStyle="1" w:styleId="EndnoteTextChar">
    <w:name w:val="Endnote Text Char"/>
    <w:basedOn w:val="DefaultParagraphFont"/>
    <w:link w:val="EndnoteText"/>
    <w:uiPriority w:val="99"/>
    <w:semiHidden/>
    <w:rsid w:val="00A47134"/>
    <w:rPr>
      <w:rFonts w:ascii="Arial" w:hAnsi="Arial"/>
      <w:sz w:val="20"/>
      <w:szCs w:val="20"/>
    </w:rPr>
  </w:style>
  <w:style w:type="character" w:styleId="EndnoteReference">
    <w:name w:val="endnote reference"/>
    <w:basedOn w:val="DefaultParagraphFont"/>
    <w:uiPriority w:val="99"/>
    <w:semiHidden/>
    <w:unhideWhenUsed/>
    <w:rsid w:val="00A47134"/>
    <w:rPr>
      <w:vertAlign w:val="superscript"/>
    </w:rPr>
  </w:style>
  <w:style w:type="character" w:styleId="UnresolvedMention">
    <w:name w:val="Unresolved Mention"/>
    <w:basedOn w:val="DefaultParagraphFont"/>
    <w:uiPriority w:val="99"/>
    <w:semiHidden/>
    <w:unhideWhenUsed/>
    <w:rsid w:val="00501909"/>
    <w:rPr>
      <w:color w:val="605E5C"/>
      <w:shd w:val="clear" w:color="auto" w:fill="E1DFDD"/>
    </w:rPr>
  </w:style>
  <w:style w:type="character" w:customStyle="1" w:styleId="ui-provider">
    <w:name w:val="ui-provider"/>
    <w:basedOn w:val="DefaultParagraphFont"/>
    <w:rsid w:val="006F0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80713603">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89579102">
      <w:bodyDiv w:val="1"/>
      <w:marLeft w:val="0"/>
      <w:marRight w:val="0"/>
      <w:marTop w:val="0"/>
      <w:marBottom w:val="0"/>
      <w:divBdr>
        <w:top w:val="none" w:sz="0" w:space="0" w:color="auto"/>
        <w:left w:val="none" w:sz="0" w:space="0" w:color="auto"/>
        <w:bottom w:val="none" w:sz="0" w:space="0" w:color="auto"/>
        <w:right w:val="none" w:sz="0" w:space="0" w:color="auto"/>
      </w:divBdr>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770859703">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57171809">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 w:id="213105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B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6" ma:contentTypeDescription="Create a new document." ma:contentTypeScope="" ma:versionID="f79bf6c7ec558b40f9c2665a11ca7c6f">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b6d4dfb1e3b4469584887ddd1204737"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538AB-2C7E-4C80-BB2A-F9FD8AEA58B1}"/>
</file>

<file path=customXml/itemProps2.xml><?xml version="1.0" encoding="utf-8"?>
<ds:datastoreItem xmlns:ds="http://schemas.openxmlformats.org/officeDocument/2006/customXml" ds:itemID="{E34A9DCB-E3D8-4048-BDD4-1F7881EB959B}">
  <ds:schemaRefs>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purl.org/dc/dcmitype/"/>
    <ds:schemaRef ds:uri="http://schemas.microsoft.com/sharepoint/v3"/>
    <ds:schemaRef ds:uri="292db1e8-b3d0-4356-8ef3-2a6d7ed77883"/>
    <ds:schemaRef ds:uri="http://www.w3.org/XML/1998/namespace"/>
    <ds:schemaRef ds:uri="http://schemas.openxmlformats.org/package/2006/metadata/core-properties"/>
    <ds:schemaRef ds:uri="4f36bac4-6705-4a36-974b-7c07450fedf2"/>
    <ds:schemaRef ds:uri="http://purl.org/dc/terms/"/>
  </ds:schemaRefs>
</ds:datastoreItem>
</file>

<file path=customXml/itemProps3.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4.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docMetadata/LabelInfo.xml><?xml version="1.0" encoding="utf-8"?>
<clbl:labelList xmlns:clbl="http://schemas.microsoft.com/office/2020/mipLabelMetadata">
  <clbl:label id="{4ad35bab-6e18-4b1b-82b4-d81f4f36a97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5</TotalTime>
  <Pages>81</Pages>
  <Words>46204</Words>
  <Characters>263366</Characters>
  <Application>Microsoft Office Word</Application>
  <DocSecurity>0</DocSecurity>
  <Lines>2194</Lines>
  <Paragraphs>617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Rachel Coleman</cp:lastModifiedBy>
  <cp:revision>5</cp:revision>
  <cp:lastPrinted>2014-08-19T16:56:00Z</cp:lastPrinted>
  <dcterms:created xsi:type="dcterms:W3CDTF">2023-06-28T23:25:00Z</dcterms:created>
  <dcterms:modified xsi:type="dcterms:W3CDTF">2023-07-31T20:36:00Z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d1961a7b-789a-475e-aff2-ded90ef3b8b9</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41383400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B/Part B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y fmtid="{D5CDD505-2E9C-101B-9397-08002B2CF9AE}" pid="18" name="MSIP_Label_4ad35bab-6e18-4b1b-82b4-d81f4f36a979_Enabled">
    <vt:lpwstr>true</vt:lpwstr>
  </property>
  <property fmtid="{D5CDD505-2E9C-101B-9397-08002B2CF9AE}" pid="19" name="MSIP_Label_4ad35bab-6e18-4b1b-82b4-d81f4f36a979_SetDate">
    <vt:lpwstr>2023-03-14T00:12:18Z</vt:lpwstr>
  </property>
  <property fmtid="{D5CDD505-2E9C-101B-9397-08002B2CF9AE}" pid="20" name="MSIP_Label_4ad35bab-6e18-4b1b-82b4-d81f4f36a979_Method">
    <vt:lpwstr>Standard</vt:lpwstr>
  </property>
  <property fmtid="{D5CDD505-2E9C-101B-9397-08002B2CF9AE}" pid="21" name="MSIP_Label_4ad35bab-6e18-4b1b-82b4-d81f4f36a979_Name">
    <vt:lpwstr>Public</vt:lpwstr>
  </property>
  <property fmtid="{D5CDD505-2E9C-101B-9397-08002B2CF9AE}" pid="22" name="MSIP_Label_4ad35bab-6e18-4b1b-82b4-d81f4f36a979_SiteId">
    <vt:lpwstr>7a41925e-f697-4f7c-bec3-0470887ac752</vt:lpwstr>
  </property>
  <property fmtid="{D5CDD505-2E9C-101B-9397-08002B2CF9AE}" pid="23" name="MSIP_Label_4ad35bab-6e18-4b1b-82b4-d81f4f36a979_ActionId">
    <vt:lpwstr>212e3d3a-8d9d-47e5-ba89-5887e937e98c</vt:lpwstr>
  </property>
  <property fmtid="{D5CDD505-2E9C-101B-9397-08002B2CF9AE}" pid="24" name="MSIP_Label_4ad35bab-6e18-4b1b-82b4-d81f4f36a979_ContentBits">
    <vt:lpwstr>0</vt:lpwstr>
  </property>
</Properties>
</file>