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Pennsylvania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3A4D77" w:rsidP="003A4D77">
      <w:pPr>
        <w:rPr>
          <w:color w:val="000000" w:themeColor="text1"/>
        </w:rPr>
      </w:pP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Pennsylvania’s oversight and general supervision of local programs occurs on an ongoing basis. Each Infant/Toddler Early Intervention program participates in a verification visit every four years. There are seven areas reviewed during the verification visit that cover the components of the Early Intervention program. In each of the seven areas, there are required indicators that address compliance and program management. Verification visits include the following activities: data reviews, review of policies, individual child record reviews and observations of service delivery. Verification teams are utilized during these onsite visits and include state Bureau of Early Intervention Services and Family Supports (BEISFS) staff, Early Intervention Technical Assistance (EITA) staff, and peer reviewers. The utilization of verification teams allows BEISFS to increase or decrease the number of staff conducting verification visits based on the performance level of the local Early Intervention program and contributes to inter-rater reliability. Following the verification visits, local programs develop Quality Enhancement Plans that focus on the correction of noncompliance, as well as activities to enhance program quality to improve outcomes for children and families and to improve inclusive practices. BEISFS staff continue to validate that all areas of noncompliance identified during the verification visits are corrected within a year. Additional onsite visits from BEISFS staff may occur at the discretion of BEISFS if, during the verification cycle, there is a significant decrease in program performance or if individual or systemic concerns arise. </w:t>
      </w:r>
      <w:r w:rsidRPr="00ED172B">
        <w:rPr>
          <w:color w:val="000000" w:themeColor="text1"/>
          <w:szCs w:val="16"/>
        </w:rPr>
        <w:br/>
      </w:r>
      <w:r w:rsidRPr="00ED172B">
        <w:rPr>
          <w:color w:val="000000" w:themeColor="text1"/>
          <w:szCs w:val="16"/>
        </w:rPr>
        <w:br/>
        <w:t xml:space="preserve">The BEISFS determination process uses data from the APR/SPP indicators, annual family survey, complaints, and the statewide PELICAN-EI information system. The annual determination process provides a rating of meets requirements, needs assistance, needs intervention or needs substantial intervention across three areas: Strengthening Partnerships, Shared Leadership, and Systemic Implementation of Evidence-Based Practices. Based on the determination results, local Early Intervention programs update their QEP to reflect improvement activities. The determination is also used to identify and provide differentiated levels of support to local programs. This allows BEISFS to use resources in a more effective and efficient manner and have the greatest impact on program practices. Additional on-site visits from BEISFS staff may occur at the discretion of BEISFS if, during the verification cycle, there is a significant decrease in program performance or if individual or systemic concerns arise. </w:t>
      </w:r>
      <w:r w:rsidRPr="00ED172B">
        <w:rPr>
          <w:color w:val="000000" w:themeColor="text1"/>
          <w:szCs w:val="16"/>
        </w:rPr>
        <w:br/>
      </w:r>
      <w:r w:rsidRPr="00ED172B">
        <w:rPr>
          <w:color w:val="000000" w:themeColor="text1"/>
          <w:szCs w:val="16"/>
        </w:rPr>
        <w:br/>
        <w:t xml:space="preserve">Pennsylvania uses a comprehensive data management system that enables the review of individual child data as well as statewide data. The data management system supports referral information, service coordination activities, planning information, financial management, quality measures and other reporting needs for the BEISFS. This information system generates documents (Evaluation and Plan Documents), and the information contained in these documents is used to create reports to manage the program. Rigorous analysis of the data by staff on a monthly, quarterly and annual basis allows BEISFS to ensure data-driven decision making for quality improvement. </w:t>
      </w:r>
      <w:r w:rsidRPr="00ED172B">
        <w:rPr>
          <w:color w:val="000000" w:themeColor="text1"/>
          <w:szCs w:val="16"/>
        </w:rPr>
        <w:br/>
      </w:r>
      <w:r w:rsidRPr="00ED172B">
        <w:rPr>
          <w:color w:val="000000" w:themeColor="text1"/>
          <w:szCs w:val="16"/>
        </w:rPr>
        <w:br/>
        <w:t xml:space="preserve">Pennsylvania ensures that a complaint management process is implemented. BEISFS staff reviews data from complaint investigations, mediations and due process hearings to improve the EI system. Trends are analyzed, training needs are </w:t>
      </w:r>
      <w:proofErr w:type="gramStart"/>
      <w:r w:rsidRPr="00ED172B">
        <w:rPr>
          <w:color w:val="000000" w:themeColor="text1"/>
          <w:szCs w:val="16"/>
        </w:rPr>
        <w:t>identified</w:t>
      </w:r>
      <w:proofErr w:type="gramEnd"/>
      <w:r w:rsidRPr="00ED172B">
        <w:rPr>
          <w:color w:val="000000" w:themeColor="text1"/>
          <w:szCs w:val="16"/>
        </w:rPr>
        <w:t xml:space="preserve"> and improvement strategies are implemented. </w:t>
      </w:r>
      <w:r w:rsidRPr="00ED172B">
        <w:rPr>
          <w:color w:val="000000" w:themeColor="text1"/>
          <w:szCs w:val="16"/>
        </w:rPr>
        <w:br/>
      </w:r>
      <w:r w:rsidRPr="00ED172B">
        <w:rPr>
          <w:color w:val="000000" w:themeColor="text1"/>
          <w:szCs w:val="16"/>
        </w:rPr>
        <w:br/>
        <w:t>Each Infant/Toddler Early Intervention program is assigned a BEISFS advisor. The advisors serve as primary contacts to Infant/Toddler Early Intervention programs and are responsible for addressing budget issues, compliance issues, complaint issues, policy and procedural requirements and overall program performance. As a result of this involvement with local programs, each BEISFS advisor has ongoing contact with each of his/her local programs. These contacts occur throughout the year during verification visits, validation visits, training and technical assistance visits, complaint investigations, biannual leadership meetings and monthly local regional meetings. This attention to local programs: 1) allows all BEISFS staff, advisors and statewide management staff to be aware of program concerns and issues; 2) provides BEISFS with the ability to fulfill requirements for a comprehensive and effective general supervision system that identifies and addresses issues of noncompliance; 3) ensures the correction of noncompliance within one year; and 4) allows for the implementation of improvement strategies and enforcement strategies in a timely manner.</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Early Intervention Technical Assistance (EITA) system provides statewide training and technical assistance on behalf of BEISFS and the Pennsylvania Departments of Human Services and Education. The primary recipients of EITA training and technical assistance are the local Infant/Toddler and Preschool Early Intervention programs that provide supports and services to children with developmental disabilities and their families. EITA is part of </w:t>
      </w:r>
      <w:proofErr w:type="spellStart"/>
      <w:r w:rsidRPr="00ED172B">
        <w:rPr>
          <w:color w:val="000000" w:themeColor="text1"/>
          <w:szCs w:val="16"/>
        </w:rPr>
        <w:t>PaTTAN</w:t>
      </w:r>
      <w:proofErr w:type="spellEnd"/>
      <w:r w:rsidRPr="00ED172B">
        <w:rPr>
          <w:color w:val="000000" w:themeColor="text1"/>
          <w:szCs w:val="16"/>
        </w:rPr>
        <w:t xml:space="preserve">, which provides training and technical assistance for programs serving school-age children and their families. EITA provides both statewide and regional training initiatives that are developed through the analysis of statewide data, including program verification visits and determination results, state and federal requirements, relevant research related to evidence-based early intervention practices, and planning with state department staff. Statewide professional development trainings are provided across the Commonwealth when it is necessary to ensure a consistent message from the BEISFS. Family members are welcomed participants and trainers in professional development activities. Examples of current statewide training initiatives </w:t>
      </w:r>
      <w:proofErr w:type="gramStart"/>
      <w:r w:rsidRPr="00ED172B">
        <w:rPr>
          <w:color w:val="000000" w:themeColor="text1"/>
          <w:szCs w:val="16"/>
        </w:rPr>
        <w:t>include:</w:t>
      </w:r>
      <w:proofErr w:type="gramEnd"/>
      <w:r w:rsidRPr="00ED172B">
        <w:rPr>
          <w:color w:val="000000" w:themeColor="text1"/>
          <w:szCs w:val="16"/>
        </w:rPr>
        <w:t xml:space="preserve"> Early Intervention Service Delivery: Coaching Across Settings, Embedded Instruction, and Positive Behavior Intervention and Supports.  </w:t>
      </w:r>
      <w:r w:rsidRPr="00ED172B">
        <w:rPr>
          <w:color w:val="000000" w:themeColor="text1"/>
          <w:szCs w:val="16"/>
        </w:rPr>
        <w:br/>
      </w:r>
      <w:r w:rsidRPr="00ED172B">
        <w:rPr>
          <w:color w:val="000000" w:themeColor="text1"/>
          <w:szCs w:val="16"/>
        </w:rPr>
        <w:br/>
        <w:t xml:space="preserve">EITA also </w:t>
      </w:r>
      <w:proofErr w:type="gramStart"/>
      <w:r w:rsidRPr="00ED172B">
        <w:rPr>
          <w:color w:val="000000" w:themeColor="text1"/>
          <w:szCs w:val="16"/>
        </w:rPr>
        <w:t>provides assistance</w:t>
      </w:r>
      <w:proofErr w:type="gramEnd"/>
      <w:r w:rsidRPr="00ED172B">
        <w:rPr>
          <w:color w:val="000000" w:themeColor="text1"/>
          <w:szCs w:val="16"/>
        </w:rPr>
        <w:t xml:space="preserve"> in the development of Quality Enhancement Plans (QEPs) developed annually with each Infant/Toddler and Preschool Early Intervention program. The QEP is based on findings from verification visits, the determination process, BEISFS priorities, relevant research, and locally identified needs. The QEP is an ongoing process that is the result of conversations, data collection and review, research and clear identification of outcomes. The QEP focuses on specific programmatic changes or outcomes and includes information on how change will be measured. QEPs focus on providing technical assistance and building local capacity through repeated contacts with the same persons/programs to assist with program-wide change. The plan is a flexible document that is updated at least annually, or as additional information or needs arise. </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lastRenderedPageBreak/>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Pennsylvania’s professional development system focuses on a model that ensures high-quality Early Intervention services that are provided by skilled, highly qualified early intervention staff. The four core functions used by EITA to support BEISFS’s management of the Early Intervention system include: </w:t>
      </w:r>
      <w:r w:rsidRPr="00ED172B">
        <w:rPr>
          <w:color w:val="000000" w:themeColor="text1"/>
          <w:szCs w:val="16"/>
        </w:rPr>
        <w:br/>
        <w:t>1.</w:t>
      </w:r>
      <w:r w:rsidRPr="00ED172B">
        <w:rPr>
          <w:color w:val="000000" w:themeColor="text1"/>
          <w:szCs w:val="16"/>
        </w:rPr>
        <w:tab/>
        <w:t xml:space="preserve">Verification Support - providing support to the BEISFS’s verification process to ensure high-quality EI services; participation in Infant Toddler and Preschool EI verification teams; training and technical assistance support to local programs based on verification needs and QEPs; and targeted, intensive support to select programs based on the results of the verification process or program management data analysis. </w:t>
      </w:r>
      <w:r w:rsidRPr="00ED172B">
        <w:rPr>
          <w:color w:val="000000" w:themeColor="text1"/>
          <w:szCs w:val="16"/>
        </w:rPr>
        <w:br/>
        <w:t xml:space="preserve">2. Policy Support - </w:t>
      </w:r>
      <w:proofErr w:type="gramStart"/>
      <w:r w:rsidRPr="00ED172B">
        <w:rPr>
          <w:color w:val="000000" w:themeColor="text1"/>
          <w:szCs w:val="16"/>
        </w:rPr>
        <w:t>providing assistance to</w:t>
      </w:r>
      <w:proofErr w:type="gramEnd"/>
      <w:r w:rsidRPr="00ED172B">
        <w:rPr>
          <w:color w:val="000000" w:themeColor="text1"/>
          <w:szCs w:val="16"/>
        </w:rPr>
        <w:t xml:space="preserve"> the BEISFS in development of policies to ensure high-quality EI services and assisting local programs in translating EI policies into practice. This is accomplished through technical assistance in developing BEISFS policy documents &amp; reports; development of statewide leadership activities; and policy-related research and materials development.</w:t>
      </w:r>
      <w:r w:rsidRPr="00ED172B">
        <w:rPr>
          <w:color w:val="000000" w:themeColor="text1"/>
          <w:szCs w:val="16"/>
        </w:rPr>
        <w:br/>
        <w:t>3. Professional development support in EI core competencies - providing professional development to ensure that all EI staff have the basic competencies needed to provide high-quality EI services to children and families. This is accomplished through statewide and local workshops; online learning modules and webinars; and materials development and dissemination.</w:t>
      </w:r>
      <w:r w:rsidRPr="00ED172B">
        <w:rPr>
          <w:color w:val="000000" w:themeColor="text1"/>
          <w:szCs w:val="16"/>
        </w:rPr>
        <w:br/>
        <w:t>4.</w:t>
      </w:r>
      <w:r w:rsidRPr="00ED172B">
        <w:rPr>
          <w:color w:val="000000" w:themeColor="text1"/>
          <w:szCs w:val="16"/>
        </w:rPr>
        <w:tab/>
        <w:t xml:space="preserve">Professional development support for EI evidence-based practices: providing professional development activities to EI staff based on innovative evidence-based practices, designed to enhance existing high-quality EI services. This is accomplished through: statewide and local training; online learning modules and webinars; and materials development and dissemination.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Pennsylvania’s Early Intervention system has two primary stakeholder groups, one with a birth-5-year-old focus, the State Interagency Coordinating Council (SICC), and one with a 3–21-year-old focus, the Special Education Advisory Panel (SEAP). Using these two groups allows BEISFS to gather statewide stakeholder input across all ages and across all geographic regions. The Committee for Stakeholder Engagement (CSE), a workgroup of the SICC, focuses on the review of data and specifically impacts the coordination of the state's birth-5 EI system.  A total of 17 family members participated across the three stakeholder groups (SICC, CSE and SEAP). </w:t>
      </w:r>
      <w:r w:rsidRPr="00ED172B">
        <w:rPr>
          <w:color w:val="000000" w:themeColor="text1"/>
          <w:szCs w:val="16"/>
        </w:rPr>
        <w:br/>
      </w:r>
      <w:r w:rsidRPr="00ED172B">
        <w:rPr>
          <w:color w:val="000000" w:themeColor="text1"/>
          <w:szCs w:val="16"/>
        </w:rPr>
        <w:br/>
        <w:t xml:space="preserve">Membership in the SICC and CSE is composed of parents (as co-chairs), local program administrators, EI service delivery agencies, Department of Health, legislators, Children’s Health Insurance Program (CHIP), American Academy of Pediatrics, higher education, and a representative of Pennsylvania’s Education for Children and Youth Experiencing Homelessness Program. CSE also includes a representative of The PEAL Center, a Parent Training and Information Center, and the director of Parent to Parent of Pennsylvania and Family Engagement Initiatives.  </w:t>
      </w:r>
      <w:r w:rsidRPr="00ED172B">
        <w:rPr>
          <w:color w:val="000000" w:themeColor="text1"/>
          <w:szCs w:val="16"/>
        </w:rPr>
        <w:br/>
      </w:r>
      <w:r w:rsidRPr="00ED172B">
        <w:rPr>
          <w:color w:val="000000" w:themeColor="text1"/>
          <w:szCs w:val="16"/>
        </w:rPr>
        <w:br/>
        <w:t xml:space="preserve">BEISFS and EITA met with SEAP, SICC, and CSE to review the annual APR data, including a review of historic data, current year data, targets, and activities implemented during the fiscal year.  SEAP, SICC and CSE made recommendations for changes or additional activities as needed.  This information was used by BEISFS to update its SPP/APR.  The meetings with the SICC and CSE were held on December 1, 2022.  The meeting with SEAP was held on September 23, 2022.  </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17</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In FY 2021, Pennsylvania’s Early Intervention program used existing stakeholder meetings as an opportunity to engage stakeholders in setting targets, analyzing data, developing improvement strategies, and evaluating progress.  Meetings were held throughout FY 2021 as a proactive opportunity to review APR data, results of implementation of improvement strategies and to review progress.  Additional stakeholder meetings were held at the close of FY 2021, once all the APR data for the entire year had been gathered and analyzed.  Meeting agendas included both informational updates on data and improvement activities and opportunities for family members to provide input.  </w:t>
      </w:r>
      <w:r w:rsidRPr="00ED172B">
        <w:rPr>
          <w:color w:val="000000" w:themeColor="text1"/>
          <w:szCs w:val="16"/>
        </w:rPr>
        <w:br/>
      </w:r>
      <w:r w:rsidRPr="00ED172B">
        <w:rPr>
          <w:color w:val="000000" w:themeColor="text1"/>
          <w:szCs w:val="16"/>
        </w:rPr>
        <w:br/>
        <w:t xml:space="preserve">Proactive APR data review meetings were held on: </w:t>
      </w:r>
      <w:r w:rsidRPr="00ED172B">
        <w:rPr>
          <w:color w:val="000000" w:themeColor="text1"/>
          <w:szCs w:val="16"/>
        </w:rPr>
        <w:br/>
        <w:t>- SICC Meetings – October 21, 2021, December 2, 2021, and February 3, 2022</w:t>
      </w:r>
      <w:r w:rsidRPr="00ED172B">
        <w:rPr>
          <w:color w:val="000000" w:themeColor="text1"/>
          <w:szCs w:val="16"/>
        </w:rPr>
        <w:br/>
        <w:t>- CSE Meetings – April 1, 2022 and June 3, 2022</w:t>
      </w:r>
      <w:r w:rsidRPr="00ED172B">
        <w:rPr>
          <w:color w:val="000000" w:themeColor="text1"/>
          <w:szCs w:val="16"/>
        </w:rPr>
        <w:br/>
        <w:t>- SEAP Meetings – September 16, 2021, December 1, 2021, January 13, 2022, and April 14, 2022</w:t>
      </w:r>
      <w:r w:rsidRPr="00ED172B">
        <w:rPr>
          <w:color w:val="000000" w:themeColor="text1"/>
          <w:szCs w:val="16"/>
        </w:rPr>
        <w:br/>
      </w:r>
      <w:r w:rsidRPr="00ED172B">
        <w:rPr>
          <w:color w:val="000000" w:themeColor="text1"/>
          <w:szCs w:val="16"/>
        </w:rPr>
        <w:br/>
        <w:t xml:space="preserve">Finalized APR Data review meetings were held on: </w:t>
      </w:r>
      <w:r w:rsidRPr="00ED172B">
        <w:rPr>
          <w:color w:val="000000" w:themeColor="text1"/>
          <w:szCs w:val="16"/>
        </w:rPr>
        <w:br/>
        <w:t>- SICC Meetings –December 1, 2022</w:t>
      </w:r>
      <w:r w:rsidRPr="00ED172B">
        <w:rPr>
          <w:color w:val="000000" w:themeColor="text1"/>
          <w:szCs w:val="16"/>
        </w:rPr>
        <w:br/>
        <w:t>- CSE Meetings - December 1, 2022</w:t>
      </w:r>
      <w:r w:rsidRPr="00ED172B">
        <w:rPr>
          <w:color w:val="000000" w:themeColor="text1"/>
          <w:szCs w:val="16"/>
        </w:rPr>
        <w:br/>
        <w:t>-</w:t>
      </w:r>
      <w:r w:rsidRPr="00ED172B">
        <w:rPr>
          <w:color w:val="000000" w:themeColor="text1"/>
          <w:szCs w:val="16"/>
        </w:rPr>
        <w:tab/>
        <w:t xml:space="preserve">SEAP Meetings – September 29, 2022 and January 18, 2023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Statewide and local training activities are the primary method used to increase the capacity of diverse groups of parents to support the development of APR improvement activities.  Statewide training events include Early Intervention Service Delivery: Coaching Across Settings (Part C SSIP Initiative), SICC/LICC Policy Family Forum, SICC Meet and Greet, and Competence and Confidence:  Partners in Policy Making (C2P2) trainings and meetings.  These activities included updates on APR improvement activities, reviews of APR data, and provided feedback to BEISFS.  Local Early Intervention programs and Local Interagency Coordinating Councils also offered training to families in their programs on topics related to APR Indicators.  For example, local Early Intervention programs provided updates/training on social emotional development, the transition process, and Coaching Across Settings.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In addition to the meetings described in the Parent Members Engagement section above, meetings were held with stakeholder groups that included Early Intervention administrators, Early Intervention providers, and early childhood agencies.  These groups included the Early Intervention Providers </w:t>
      </w:r>
      <w:r w:rsidRPr="00ED172B">
        <w:rPr>
          <w:color w:val="000000" w:themeColor="text1"/>
          <w:szCs w:val="16"/>
        </w:rPr>
        <w:lastRenderedPageBreak/>
        <w:t xml:space="preserve">Association and the Pennsylvania Association of Intermediate Units, Early Learning Resource Centers, and the County Commissioners Association of Pennsylvania.  Over 5 meetings were held with these groups in FY 2021-22 that included opportunities for input to APR data and improvement activities. </w:t>
      </w:r>
      <w:r w:rsidRPr="00ED172B">
        <w:rPr>
          <w:color w:val="000000" w:themeColor="text1"/>
          <w:szCs w:val="16"/>
        </w:rPr>
        <w:br/>
      </w:r>
      <w:r w:rsidRPr="00ED172B">
        <w:rPr>
          <w:color w:val="000000" w:themeColor="text1"/>
          <w:szCs w:val="16"/>
        </w:rPr>
        <w:br/>
        <w:t xml:space="preserve">Throughout FFY 2021, BEISFS held bi-monthly meetings with the leaders of the local Infant/Toddler and Preschool Early Intervention programs.  Leaders received updates on data analysis of APR indicators and were asked to provide input on improvement strategies.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As stakeholder events were completed, meeting agendas, slides summarizing APR data and feedback summaries were posted to shared meeting spaces. For example, materials from APR discussions at the SICC were posted to the Early Intervention Technical Assistance Portal at http://www.eita-pa.org/state-interagency-coordinating-council/ prior to the meeting.  Minutes from the SICC, summarizing APR discussions, were posted within 14 days of the meeting date.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Pennsylvania will continue to comply with all federal requirements for annual reporting to the public. Data from the SPP/APR are available on a statewide level and for each Infant/Toddler Early Intervention program. </w:t>
      </w:r>
      <w:r w:rsidRPr="00ED172B">
        <w:rPr>
          <w:color w:val="000000" w:themeColor="text1"/>
          <w:szCs w:val="16"/>
        </w:rPr>
        <w:br/>
      </w:r>
      <w:r w:rsidRPr="00ED172B">
        <w:rPr>
          <w:color w:val="000000" w:themeColor="text1"/>
          <w:szCs w:val="16"/>
        </w:rPr>
        <w:br/>
        <w:t xml:space="preserve">An announcement will be made about the availability of the updated SPP/APR on the Pennsylvania Early Childhood Education NEWS listserv, an email listserv that reaches Early Childhood/Early Intervention advocates across the state. </w:t>
      </w:r>
      <w:r w:rsidRPr="00ED172B">
        <w:rPr>
          <w:color w:val="000000" w:themeColor="text1"/>
          <w:szCs w:val="16"/>
        </w:rPr>
        <w:br/>
      </w:r>
      <w:r w:rsidRPr="00ED172B">
        <w:rPr>
          <w:color w:val="000000" w:themeColor="text1"/>
          <w:szCs w:val="16"/>
        </w:rPr>
        <w:br/>
        <w:t xml:space="preserve">The BEISFS, in conjunction with the Pennsylvania State Data Center, developed a web-based dashboard that is used to disseminate updated SPP/APR data on OSEP indicators to the general public. The dashboard currently includes FFY 2005 through FFY 2020 data for each Infant/Toddler Early Intervention program and will be updated to include the FFY 2021 data after submission of the SPP/APR, but no later than 120 days from submission of the SPP/APR. Information can be found at the website: </w:t>
      </w:r>
      <w:proofErr w:type="gramStart"/>
      <w:r w:rsidRPr="00ED172B">
        <w:rPr>
          <w:color w:val="000000" w:themeColor="text1"/>
          <w:szCs w:val="16"/>
        </w:rPr>
        <w:t>https://penndata.hbg.psu.edu/PublicReporting/EarlyIntervention/tabid/2534/Default.aspx .</w:t>
      </w:r>
      <w:proofErr w:type="gramEnd"/>
      <w:r w:rsidRPr="00ED172B">
        <w:rPr>
          <w:color w:val="000000" w:themeColor="text1"/>
          <w:szCs w:val="16"/>
        </w:rPr>
        <w:t xml:space="preserve"> To find data on Indicator 5 (Child Find-Birth to One) and Indicator 6 (Child Find- Birth to Three), click on “Link to Statewide Demographic /Exiting/Dispute Data” at the bottom of the dashboard page. Due to website design, the cursor should be placed directly over or slightly below the link title. </w:t>
      </w:r>
      <w:r w:rsidRPr="00ED172B">
        <w:rPr>
          <w:color w:val="000000" w:themeColor="text1"/>
          <w:szCs w:val="16"/>
        </w:rPr>
        <w:br/>
      </w:r>
      <w:r w:rsidRPr="00ED172B">
        <w:rPr>
          <w:color w:val="000000" w:themeColor="text1"/>
          <w:szCs w:val="16"/>
        </w:rPr>
        <w:br/>
        <w:t>The dashboard also includes a complete copy of Pennsylvania's SPP/APR on each Infant/Toddler Early Intervention program page.</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r w:rsidRPr="00ED172B">
        <w:rPr>
          <w:color w:val="000000" w:themeColor="text1"/>
        </w:rPr>
        <w:br/>
      </w:r>
      <w:r w:rsidRPr="00ED172B">
        <w:rPr>
          <w:color w:val="000000" w:themeColor="text1"/>
        </w:rPr>
        <w:br/>
        <w:t>While the State has publicly reported on the FFY 2020 (July 1, 2020-June 30, 2021) performance of each EIS program or provider located in the State on the targets in the State's performance plan as required by sections 616(b)(2)(C)(ii)(I) and 642 of the IDEA, those reports do not contain the required information. Specifically, Indicator 5 (Child Find-Birth to One) and Indicator 6 (Child Find- Birth to Three) FFY 2020 data and performance compared to the State targets are missing.</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 xml:space="preserve">While the State has publicly reported on the FFY 2020 (July 1, 2020-June 30, 2021) performance of each EIS program or provider located in the State on the targets in the State's performance plan as required by sections 616(b)(2)(C)(ii)(I) and 642 of IDEA, those reports did not, as specified in the OSEP Response, contain </w:t>
      </w:r>
      <w:proofErr w:type="gramStart"/>
      <w:r w:rsidRPr="00ED172B">
        <w:rPr>
          <w:color w:val="000000" w:themeColor="text1"/>
        </w:rPr>
        <w:t>all of</w:t>
      </w:r>
      <w:proofErr w:type="gramEnd"/>
      <w:r w:rsidRPr="00ED172B">
        <w:rPr>
          <w:color w:val="000000" w:themeColor="text1"/>
        </w:rPr>
        <w:t xml:space="preserve"> the required information. With its FFY 2022 SPP/APR, the State must provide a Web link demonstrating that the State has fully reported to the public on the performance of each early intervention service program or provider located in the State on the targets in the SPP/APR for FFY 2020. In addition, the State must report with its FFY 2022 SPP/APR, how and where the State reported to the public on the FFY 2021 performance of each early intervention service program or provider located in the State on the targets in the SPP/APR.</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78.00%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94.39%</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92.04%</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91.49%</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93.78%</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97.45%</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33,897</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36,335</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97.45%</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94.83%</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In FFY 2021, Pennsylvania did not meet targets for Indicator 1, timely delivery of Early Intervention services. The FFY 2021 data showed that 2,351 infants and toddlers had services that were not delivered within 14 calendar days from the completed IFSP.</w:t>
      </w:r>
      <w:r w:rsidRPr="00ED172B">
        <w:rPr>
          <w:color w:val="000000" w:themeColor="text1"/>
        </w:rPr>
        <w:br/>
      </w:r>
      <w:r w:rsidRPr="00ED172B">
        <w:rPr>
          <w:color w:val="000000" w:themeColor="text1"/>
        </w:rPr>
        <w:br/>
        <w:t>The data from FY 2021 shows a 2.62% decrease in on-time delivery of Infant/Toddler Early Intervention services from the previous year. In FY 2021, 33,897 infants and toddlers received their Early Intervention services on time. Seven programs accounted for 78.64% of the instances of late delivery of services.  Twenty of the 48 Infant/Toddler Early Intervention programs had between 1 -10 instances of a late service on an IFSP. Nine programs had no instances of a late service.</w:t>
      </w:r>
      <w:r w:rsidRPr="00ED172B">
        <w:rPr>
          <w:color w:val="000000" w:themeColor="text1"/>
        </w:rPr>
        <w:br/>
      </w:r>
      <w:r w:rsidRPr="00ED172B">
        <w:rPr>
          <w:color w:val="000000" w:themeColor="text1"/>
        </w:rPr>
        <w:br/>
        <w:t xml:space="preserve">Programs with late delivery of services were not limited to a specific region of the state or to the size of the Early Intervention program. Reasons for delays were primarily attributed to lack of staff to provide needed services and administrative delays. Weather emergencies and scheduling concerns at the service provider level also contributed to delays. </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561</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Exceptional family circumstances that lead to delays included hospitalization of the child, illness for the child or family, or change in family schedule.  </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Pennsylvania state regulations define implementation of the IFSP services as timely when the service occurs no later than 14 calendar days from the date that the IFSP is completed. This definition supports Pennsylvania's commitment to timely services for children and their families.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July 1, 2021 – June 30, 2022</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This data reflects infants and toddlers from all geographic regions, all 48 Infant/Toddler Early Intervention programs and all infant/toddlers who had an IFSP in the reporting year. Pennsylvania continues to maintain a very high standard for local Infant/Toddler Early Intervention programs regarding timeliness of service delivery. In Pennsylvania, Early Intervention services shall be initiated as soon as possible after the IFSP is completed and </w:t>
      </w:r>
      <w:proofErr w:type="spellStart"/>
      <w:r w:rsidRPr="00ED172B">
        <w:rPr>
          <w:color w:val="000000" w:themeColor="text1"/>
        </w:rPr>
        <w:t>parents</w:t>
      </w:r>
      <w:proofErr w:type="spellEnd"/>
      <w:r w:rsidRPr="00ED172B">
        <w:rPr>
          <w:color w:val="000000" w:themeColor="text1"/>
        </w:rPr>
        <w:t xml:space="preserve"> consent to services, but no later than 14 calendar days from the date the IFSP is completed, unless a later date is recommended by the team, including the family. </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40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40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In order to verify that the local Early Intervention programs with identified instances of noncompliance are correctly implementing the regulatory requirements for the provision of timely IFSP services, BEISFS Advisors reviewed a sample of child records from those EI programs. The records were reviewed either through the PELICAN-EI data system or onsite child record review. BEISFS Advisors reviewed the start date of IFSP services and any reason for a delay in meeting this timeline in order to determine that the local EI program is now correctly implementing the regulatory requirement for timely services. </w:t>
      </w:r>
      <w:r w:rsidRPr="00ED172B">
        <w:rPr>
          <w:color w:val="000000" w:themeColor="text1"/>
        </w:rPr>
        <w:br/>
        <w:t>In addition to a review of child records, local Early Intervention programs submitted QEPs, which were approved by BEISFS, to address correction of all areas of noncompliance. Implementation of the QEP was validated within one year of issuance of the findings report. BEISFS Advisors reviewed documentation of completion of any QEP activities as part of the validation of correction of systemic noncompliance. Documentation included reviewing updated local policies and procedures, documentation of staff training on new procedures, or observations of service delivery as appropriate. BEISFS has verified that all local Early Intervention programs who had identified noncompliance in FFY 2020 are correctly implementing regulatory requirements related to the timely delivery of IFSP services, consistent with OSEP Memorandum 09-02, dated October 17, 2008.</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 xml:space="preserve">For each individual case of noncompliance, BEISFS Advisors reviewed the record of the identified child, either through the PELICAN-EI data system or onsite record review, to verify that the child received the services listed on his/her IFSP, although late. BEISFS has verified that all local Early </w:t>
      </w:r>
      <w:r w:rsidRPr="00ED172B">
        <w:rPr>
          <w:color w:val="000000" w:themeColor="text1"/>
        </w:rPr>
        <w:lastRenderedPageBreak/>
        <w:t>Intervention programs with individual cases of noncompliance identified in FFY 2020 have begun services for each child as identified on the IFSP, unless the child is no longer within the jurisdiction of the Early Intervention program.</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All instances of noncompliance in FFY 2020 have been corrected within timelines.</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99.00%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99.19%</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99.87%</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99.91%</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99.91%</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99.97%</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95.00%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95.00%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95.00%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95.00%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95.00%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Pennsylvania’s Early Intervention system has two primary stakeholder groups, one with a birth-5-year-old focus, the State Interagency Coordinating Council (SICC), and one with a 3–21-year-old focus, the Special Education Advisory Panel (SEAP). Using these two groups allows BEISFS to gather statewide stakeholder input across all ages and across all geographic regions. The Committee for Stakeholder Engagement (CSE), a workgroup of the SICC, focuses on the review of data and specifically impacts the coordination of the state's birth-5 EI system.  A total of 17 family members participated across the three stakeholder groups (SICC, CSE and SEAP). </w:t>
      </w:r>
      <w:r w:rsidRPr="00ED172B">
        <w:rPr>
          <w:color w:val="000000" w:themeColor="text1"/>
        </w:rPr>
        <w:br/>
      </w:r>
      <w:r w:rsidRPr="00ED172B">
        <w:rPr>
          <w:color w:val="000000" w:themeColor="text1"/>
        </w:rPr>
        <w:br/>
        <w:t xml:space="preserve">Membership in the SICC and CSE is composed of parents (as co-chairs), local program administrators, EI service delivery agencies, Department of Health, legislators, Children’s Health Insurance Program (CHIP), American Academy of Pediatrics, higher education, and a representative of Pennsylvania’s Education for Children and Youth Experiencing Homelessness Program. CSE also includes a representative of The PEAL Center, a Parent Training and Information Center, and the director of Parent to Parent of Pennsylvania and Family Engagement Initiatives.  </w:t>
      </w:r>
      <w:r w:rsidRPr="00ED172B">
        <w:rPr>
          <w:color w:val="000000" w:themeColor="text1"/>
        </w:rPr>
        <w:br/>
      </w:r>
      <w:r w:rsidRPr="00ED172B">
        <w:rPr>
          <w:color w:val="000000" w:themeColor="text1"/>
        </w:rPr>
        <w:br/>
        <w:t xml:space="preserve">BEISFS and EITA met with SEAP, SICC, and CSE to review the annual APR data, including a review of historic data, current year data, targets, and activities implemented during the fiscal year.  SEAP, SICC and CSE made recommendations for changes or additional activities as needed.  This information was used by BEISFS to update its SPP/APR.  The meetings with the SICC and CSE were held on December 1, 2022.  The meeting with SEAP was held on September 23, 2022.  </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22,497</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22,511</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22,497</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22,511</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99.97%</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99.94%</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Pennsylvania’s Early Intervention system has two primary stakeholder groups, one with a birth-5-year-old focus, the State Interagency Coordinating Council (SICC), and one with a 3–21-year-old focus, the Special Education Advisory Panel (SEAP). Using these two groups allows BEISFS to gather statewide stakeholder input across all ages and across all geographic regions. The Committee for Stakeholder Engagement (CSE), a workgroup of the SICC, focuses on the review of data and specifically impacts the coordination of the state's birth-5 EI system.  A total of 17 family members participated across the three stakeholder groups (SICC, CSE and SEAP). </w:t>
      </w:r>
      <w:r w:rsidRPr="00ED172B">
        <w:rPr>
          <w:color w:val="000000" w:themeColor="text1"/>
        </w:rPr>
        <w:br/>
      </w:r>
      <w:r w:rsidRPr="00ED172B">
        <w:rPr>
          <w:color w:val="000000" w:themeColor="text1"/>
        </w:rPr>
        <w:br/>
        <w:t xml:space="preserve">Membership in the SICC and CSE is composed of parents (as co-chairs), local program administrators, EI service delivery agencies, Department of Health, legislators, Children’s Health Insurance Program (CHIP), American Academy of Pediatrics, higher education, and a representative of Pennsylvania’s Education for Children and Youth Experiencing Homelessness Program. CSE also includes a representative of The PEAL Center, a Parent Training and Information Center, and the director of Parent to Parent of Pennsylvania and Family Engagement Initiatives.  </w:t>
      </w:r>
      <w:r w:rsidRPr="00ED172B">
        <w:rPr>
          <w:color w:val="000000" w:themeColor="text1"/>
        </w:rPr>
        <w:br/>
      </w:r>
      <w:r w:rsidRPr="00ED172B">
        <w:rPr>
          <w:color w:val="000000" w:themeColor="text1"/>
        </w:rPr>
        <w:br/>
        <w:t xml:space="preserve">BEISFS and EITA met with SEAP, SICC, and CSE to review the annual APR data, including a review of historic data, current year data, targets, and activities implemented during the fiscal year.  SEAP, SICC and CSE made recommendations for changes or additional activities as needed.  This information was used by BEISFS to update its SPP/APR.  The meetings with the SICC and CSE were held on December 1, 2022.  The meeting with SEAP was held on September 23, 2022.  </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73.13%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73.13%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74.13%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74.13%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66.83%</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66.83%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68.29%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68.42%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67.85%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68.19%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66.83%</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66.80%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67.80%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68.80%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68.80%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56.40%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56.40%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58.62%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58.64%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58.45%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57.39%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56.40%</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80.51%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80.51%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81.51%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81.51%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73.56%</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73.56%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75.61%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76.25%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75.14%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73.56%</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53.67%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53.67%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54.67%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54.67%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46.17%</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46.17%</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50.31%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49.93%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49.28%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48.05%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46.17%</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80.56%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80.56%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81.56%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81.56%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74.81%</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74.81%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75.64%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75.76%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74.92%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74.54%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74.81%</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60.73%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60.73%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61.73%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61.73%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54.51%</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54.51%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57.57%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58.28%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57.14%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55.68%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54.51%</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67.00%</w:t>
            </w:r>
          </w:p>
        </w:tc>
        <w:tc>
          <w:tcPr>
            <w:tcW w:w="918" w:type="pct"/>
          </w:tcPr>
          <w:p w14:paraId="7A62957C" w14:textId="59554121" w:rsidR="009E2382" w:rsidRPr="00ED172B" w:rsidRDefault="009E2382" w:rsidP="002242B8">
            <w:pPr>
              <w:jc w:val="center"/>
              <w:rPr>
                <w:color w:val="000000" w:themeColor="text1"/>
              </w:rPr>
            </w:pPr>
            <w:r>
              <w:rPr>
                <w:color w:val="000000" w:themeColor="text1"/>
              </w:rPr>
              <w:t>67.00%</w:t>
            </w:r>
          </w:p>
        </w:tc>
        <w:tc>
          <w:tcPr>
            <w:tcW w:w="918" w:type="pct"/>
          </w:tcPr>
          <w:p w14:paraId="330DB307" w14:textId="4DD70DCA" w:rsidR="009E2382" w:rsidRPr="00ED172B" w:rsidRDefault="009E2382" w:rsidP="002242B8">
            <w:pPr>
              <w:jc w:val="center"/>
              <w:rPr>
                <w:color w:val="000000" w:themeColor="text1"/>
              </w:rPr>
            </w:pPr>
            <w:r>
              <w:rPr>
                <w:color w:val="000000" w:themeColor="text1"/>
              </w:rPr>
              <w:t>67.00%</w:t>
            </w:r>
          </w:p>
        </w:tc>
        <w:tc>
          <w:tcPr>
            <w:tcW w:w="917" w:type="pct"/>
          </w:tcPr>
          <w:p w14:paraId="1E535134" w14:textId="174673D1" w:rsidR="009E2382" w:rsidRPr="00ED172B" w:rsidRDefault="009E2382" w:rsidP="002242B8">
            <w:pPr>
              <w:jc w:val="center"/>
              <w:rPr>
                <w:color w:val="000000" w:themeColor="text1"/>
              </w:rPr>
            </w:pPr>
            <w:r>
              <w:rPr>
                <w:color w:val="000000" w:themeColor="text1"/>
              </w:rPr>
              <w:t>67.50%</w:t>
            </w:r>
          </w:p>
        </w:tc>
        <w:tc>
          <w:tcPr>
            <w:tcW w:w="916" w:type="pct"/>
          </w:tcPr>
          <w:p w14:paraId="7D5EFC26" w14:textId="3AFE59A1" w:rsidR="009E2382" w:rsidRPr="00ED172B" w:rsidRDefault="009E2382" w:rsidP="002242B8">
            <w:pPr>
              <w:jc w:val="center"/>
              <w:rPr>
                <w:color w:val="000000" w:themeColor="text1"/>
              </w:rPr>
            </w:pPr>
            <w:r>
              <w:rPr>
                <w:color w:val="000000" w:themeColor="text1"/>
              </w:rPr>
              <w:t>68.00%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56.50%</w:t>
            </w:r>
          </w:p>
        </w:tc>
        <w:tc>
          <w:tcPr>
            <w:tcW w:w="918" w:type="pct"/>
          </w:tcPr>
          <w:p w14:paraId="1DD5AC15" w14:textId="552D0AAC" w:rsidR="009E2382" w:rsidRPr="00ED172B" w:rsidRDefault="009E2382" w:rsidP="002242B8">
            <w:pPr>
              <w:jc w:val="center"/>
              <w:rPr>
                <w:color w:val="000000" w:themeColor="text1"/>
              </w:rPr>
            </w:pPr>
            <w:r>
              <w:rPr>
                <w:color w:val="000000" w:themeColor="text1"/>
              </w:rPr>
              <w:t>56.50%</w:t>
            </w:r>
          </w:p>
        </w:tc>
        <w:tc>
          <w:tcPr>
            <w:tcW w:w="918" w:type="pct"/>
          </w:tcPr>
          <w:p w14:paraId="29377148" w14:textId="76F6C6ED" w:rsidR="009E2382" w:rsidRPr="00ED172B" w:rsidRDefault="009E2382" w:rsidP="002242B8">
            <w:pPr>
              <w:jc w:val="center"/>
              <w:rPr>
                <w:color w:val="000000" w:themeColor="text1"/>
              </w:rPr>
            </w:pPr>
            <w:r>
              <w:rPr>
                <w:color w:val="000000" w:themeColor="text1"/>
              </w:rPr>
              <w:t>56.50%</w:t>
            </w:r>
          </w:p>
        </w:tc>
        <w:tc>
          <w:tcPr>
            <w:tcW w:w="917" w:type="pct"/>
          </w:tcPr>
          <w:p w14:paraId="3F8E8EE0" w14:textId="1AB30A36" w:rsidR="009E2382" w:rsidRPr="00ED172B" w:rsidRDefault="009E2382" w:rsidP="002242B8">
            <w:pPr>
              <w:jc w:val="center"/>
              <w:rPr>
                <w:color w:val="000000" w:themeColor="text1"/>
              </w:rPr>
            </w:pPr>
            <w:r>
              <w:rPr>
                <w:color w:val="000000" w:themeColor="text1"/>
              </w:rPr>
              <w:t>57.00%</w:t>
            </w:r>
          </w:p>
        </w:tc>
        <w:tc>
          <w:tcPr>
            <w:tcW w:w="916" w:type="pct"/>
          </w:tcPr>
          <w:p w14:paraId="5B0C0E7A" w14:textId="73E7E860" w:rsidR="009E2382" w:rsidRPr="00ED172B" w:rsidRDefault="009E2382" w:rsidP="002242B8">
            <w:pPr>
              <w:jc w:val="center"/>
              <w:rPr>
                <w:color w:val="000000" w:themeColor="text1"/>
              </w:rPr>
            </w:pPr>
            <w:r>
              <w:rPr>
                <w:color w:val="000000" w:themeColor="text1"/>
              </w:rPr>
              <w:t>57.50%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74.00%</w:t>
            </w:r>
          </w:p>
        </w:tc>
        <w:tc>
          <w:tcPr>
            <w:tcW w:w="918" w:type="pct"/>
          </w:tcPr>
          <w:p w14:paraId="7EDAF97B" w14:textId="4B219601" w:rsidR="009E2382" w:rsidRPr="00ED172B" w:rsidRDefault="009E2382" w:rsidP="002242B8">
            <w:pPr>
              <w:jc w:val="center"/>
              <w:rPr>
                <w:color w:val="000000" w:themeColor="text1"/>
              </w:rPr>
            </w:pPr>
            <w:r>
              <w:rPr>
                <w:color w:val="000000" w:themeColor="text1"/>
              </w:rPr>
              <w:t>74.00%</w:t>
            </w:r>
          </w:p>
        </w:tc>
        <w:tc>
          <w:tcPr>
            <w:tcW w:w="918" w:type="pct"/>
          </w:tcPr>
          <w:p w14:paraId="31A1D7D3" w14:textId="003191E1" w:rsidR="009E2382" w:rsidRPr="00ED172B" w:rsidRDefault="009E2382" w:rsidP="002242B8">
            <w:pPr>
              <w:jc w:val="center"/>
              <w:rPr>
                <w:color w:val="000000" w:themeColor="text1"/>
              </w:rPr>
            </w:pPr>
            <w:r>
              <w:rPr>
                <w:color w:val="000000" w:themeColor="text1"/>
              </w:rPr>
              <w:t>74.00%</w:t>
            </w:r>
          </w:p>
        </w:tc>
        <w:tc>
          <w:tcPr>
            <w:tcW w:w="917" w:type="pct"/>
          </w:tcPr>
          <w:p w14:paraId="493915A7" w14:textId="24756F38" w:rsidR="009E2382" w:rsidRPr="00ED172B" w:rsidRDefault="009E2382" w:rsidP="002242B8">
            <w:pPr>
              <w:jc w:val="center"/>
              <w:rPr>
                <w:color w:val="000000" w:themeColor="text1"/>
              </w:rPr>
            </w:pPr>
            <w:r>
              <w:rPr>
                <w:color w:val="000000" w:themeColor="text1"/>
              </w:rPr>
              <w:t>74.50%</w:t>
            </w:r>
          </w:p>
        </w:tc>
        <w:tc>
          <w:tcPr>
            <w:tcW w:w="916" w:type="pct"/>
          </w:tcPr>
          <w:p w14:paraId="2E008F25" w14:textId="53C173A2" w:rsidR="009E2382" w:rsidRPr="00ED172B" w:rsidRDefault="009E2382" w:rsidP="002242B8">
            <w:pPr>
              <w:jc w:val="center"/>
              <w:rPr>
                <w:color w:val="000000" w:themeColor="text1"/>
              </w:rPr>
            </w:pPr>
            <w:r>
              <w:rPr>
                <w:color w:val="000000" w:themeColor="text1"/>
              </w:rPr>
              <w:t>75.00%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46.50%</w:t>
            </w:r>
          </w:p>
        </w:tc>
        <w:tc>
          <w:tcPr>
            <w:tcW w:w="918" w:type="pct"/>
          </w:tcPr>
          <w:p w14:paraId="5980DE18" w14:textId="10CD7859" w:rsidR="009E2382" w:rsidRPr="00ED172B" w:rsidRDefault="009E2382" w:rsidP="002242B8">
            <w:pPr>
              <w:jc w:val="center"/>
              <w:rPr>
                <w:color w:val="000000" w:themeColor="text1"/>
              </w:rPr>
            </w:pPr>
            <w:r>
              <w:rPr>
                <w:color w:val="000000" w:themeColor="text1"/>
              </w:rPr>
              <w:t>46.50%</w:t>
            </w:r>
          </w:p>
        </w:tc>
        <w:tc>
          <w:tcPr>
            <w:tcW w:w="918" w:type="pct"/>
          </w:tcPr>
          <w:p w14:paraId="3FD51CD4" w14:textId="4E5875CE" w:rsidR="009E2382" w:rsidRPr="00ED172B" w:rsidRDefault="009E2382" w:rsidP="002242B8">
            <w:pPr>
              <w:jc w:val="center"/>
              <w:rPr>
                <w:color w:val="000000" w:themeColor="text1"/>
              </w:rPr>
            </w:pPr>
            <w:r>
              <w:rPr>
                <w:color w:val="000000" w:themeColor="text1"/>
              </w:rPr>
              <w:t>46.50%</w:t>
            </w:r>
          </w:p>
        </w:tc>
        <w:tc>
          <w:tcPr>
            <w:tcW w:w="917" w:type="pct"/>
          </w:tcPr>
          <w:p w14:paraId="3A7274FD" w14:textId="38B9FCB4" w:rsidR="009E2382" w:rsidRPr="00ED172B" w:rsidRDefault="009E2382" w:rsidP="002242B8">
            <w:pPr>
              <w:jc w:val="center"/>
              <w:rPr>
                <w:color w:val="000000" w:themeColor="text1"/>
              </w:rPr>
            </w:pPr>
            <w:r>
              <w:rPr>
                <w:color w:val="000000" w:themeColor="text1"/>
              </w:rPr>
              <w:t>47.00%</w:t>
            </w:r>
          </w:p>
        </w:tc>
        <w:tc>
          <w:tcPr>
            <w:tcW w:w="916" w:type="pct"/>
          </w:tcPr>
          <w:p w14:paraId="53FEE354" w14:textId="77777777" w:rsidR="009E2382" w:rsidRPr="00ED172B" w:rsidRDefault="009E2382" w:rsidP="002242B8">
            <w:pPr>
              <w:jc w:val="center"/>
              <w:rPr>
                <w:color w:val="000000" w:themeColor="text1"/>
              </w:rPr>
            </w:pPr>
            <w:r>
              <w:rPr>
                <w:color w:val="000000" w:themeColor="text1"/>
              </w:rPr>
              <w:t>47.50%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75.00%</w:t>
            </w:r>
          </w:p>
        </w:tc>
        <w:tc>
          <w:tcPr>
            <w:tcW w:w="918" w:type="pct"/>
          </w:tcPr>
          <w:p w14:paraId="3564984B" w14:textId="08842718" w:rsidR="009E2382" w:rsidRPr="00ED172B" w:rsidRDefault="009E2382" w:rsidP="0012497F">
            <w:pPr>
              <w:jc w:val="center"/>
              <w:rPr>
                <w:color w:val="000000" w:themeColor="text1"/>
              </w:rPr>
            </w:pPr>
            <w:r>
              <w:rPr>
                <w:color w:val="000000" w:themeColor="text1"/>
              </w:rPr>
              <w:t>75.00%</w:t>
            </w:r>
          </w:p>
        </w:tc>
        <w:tc>
          <w:tcPr>
            <w:tcW w:w="918" w:type="pct"/>
          </w:tcPr>
          <w:p w14:paraId="6F334EB5" w14:textId="748BD28E" w:rsidR="009E2382" w:rsidRPr="00ED172B" w:rsidRDefault="009E2382" w:rsidP="0012497F">
            <w:pPr>
              <w:jc w:val="center"/>
              <w:rPr>
                <w:color w:val="000000" w:themeColor="text1"/>
              </w:rPr>
            </w:pPr>
            <w:r>
              <w:rPr>
                <w:color w:val="000000" w:themeColor="text1"/>
              </w:rPr>
              <w:t>75.00%</w:t>
            </w:r>
          </w:p>
        </w:tc>
        <w:tc>
          <w:tcPr>
            <w:tcW w:w="917" w:type="pct"/>
          </w:tcPr>
          <w:p w14:paraId="13A1DF6C" w14:textId="36831C30" w:rsidR="009E2382" w:rsidRPr="00ED172B" w:rsidRDefault="009E2382" w:rsidP="0012497F">
            <w:pPr>
              <w:jc w:val="center"/>
              <w:rPr>
                <w:color w:val="000000" w:themeColor="text1"/>
              </w:rPr>
            </w:pPr>
            <w:r>
              <w:rPr>
                <w:color w:val="000000" w:themeColor="text1"/>
              </w:rPr>
              <w:t>75.50%</w:t>
            </w:r>
          </w:p>
        </w:tc>
        <w:tc>
          <w:tcPr>
            <w:tcW w:w="916" w:type="pct"/>
          </w:tcPr>
          <w:p w14:paraId="4404EA0E" w14:textId="45986E0D" w:rsidR="009E2382" w:rsidRPr="00ED172B" w:rsidRDefault="009E2382" w:rsidP="0012497F">
            <w:pPr>
              <w:jc w:val="center"/>
              <w:rPr>
                <w:color w:val="000000" w:themeColor="text1"/>
              </w:rPr>
            </w:pPr>
            <w:r>
              <w:rPr>
                <w:color w:val="000000" w:themeColor="text1"/>
              </w:rPr>
              <w:t>76.00%</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55.00%</w:t>
            </w:r>
          </w:p>
        </w:tc>
        <w:tc>
          <w:tcPr>
            <w:tcW w:w="918" w:type="pct"/>
          </w:tcPr>
          <w:p w14:paraId="58EBEEB4" w14:textId="68AFCCA1" w:rsidR="009E2382" w:rsidRPr="00ED172B" w:rsidRDefault="009E2382" w:rsidP="0012497F">
            <w:pPr>
              <w:jc w:val="center"/>
              <w:rPr>
                <w:color w:val="000000" w:themeColor="text1"/>
              </w:rPr>
            </w:pPr>
            <w:r>
              <w:rPr>
                <w:color w:val="000000" w:themeColor="text1"/>
              </w:rPr>
              <w:t>55.00%</w:t>
            </w:r>
          </w:p>
        </w:tc>
        <w:tc>
          <w:tcPr>
            <w:tcW w:w="918" w:type="pct"/>
          </w:tcPr>
          <w:p w14:paraId="6E31560A" w14:textId="75F80FC4" w:rsidR="009E2382" w:rsidRPr="00ED172B" w:rsidRDefault="009E2382" w:rsidP="0012497F">
            <w:pPr>
              <w:jc w:val="center"/>
              <w:rPr>
                <w:color w:val="000000" w:themeColor="text1"/>
              </w:rPr>
            </w:pPr>
            <w:r>
              <w:rPr>
                <w:color w:val="000000" w:themeColor="text1"/>
              </w:rPr>
              <w:t>55.00%</w:t>
            </w:r>
          </w:p>
        </w:tc>
        <w:tc>
          <w:tcPr>
            <w:tcW w:w="917" w:type="pct"/>
          </w:tcPr>
          <w:p w14:paraId="42F0DDB0" w14:textId="671196CD" w:rsidR="009E2382" w:rsidRPr="00ED172B" w:rsidRDefault="009E2382" w:rsidP="0012497F">
            <w:pPr>
              <w:jc w:val="center"/>
              <w:rPr>
                <w:color w:val="000000" w:themeColor="text1"/>
              </w:rPr>
            </w:pPr>
            <w:r>
              <w:rPr>
                <w:color w:val="000000" w:themeColor="text1"/>
              </w:rPr>
              <w:t>55.50%</w:t>
            </w:r>
          </w:p>
        </w:tc>
        <w:tc>
          <w:tcPr>
            <w:tcW w:w="916" w:type="pct"/>
          </w:tcPr>
          <w:p w14:paraId="2D756F12" w14:textId="626F7751" w:rsidR="009E2382" w:rsidRPr="00ED172B" w:rsidRDefault="009E2382" w:rsidP="0012497F">
            <w:pPr>
              <w:jc w:val="center"/>
              <w:rPr>
                <w:color w:val="000000" w:themeColor="text1"/>
              </w:rPr>
            </w:pPr>
            <w:r>
              <w:rPr>
                <w:color w:val="000000" w:themeColor="text1"/>
              </w:rPr>
              <w:t>56.00%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12,976</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lastRenderedPageBreak/>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68</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0.52%</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3,160</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24.38%</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2,495</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19.25%</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3,522</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27.18%</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3,714</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28.66%</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6,017</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9,245</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66.83%</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67.00%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65.08%</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7,236</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12,959</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56.40%</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56.50%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55.84%</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 xml:space="preserve">In FFY 2021, Pennsylvania did not meet targets for Indicator 3, outcome A1 Positive Social-Emotional Skills for children who substantially increased their rate of growth by the time they turned 3 years of age or exited the program.  </w:t>
      </w:r>
      <w:r w:rsidRPr="00ED172B">
        <w:rPr>
          <w:color w:val="000000" w:themeColor="text1"/>
        </w:rPr>
        <w:br/>
      </w:r>
      <w:r w:rsidRPr="00ED172B">
        <w:rPr>
          <w:color w:val="000000" w:themeColor="text1"/>
        </w:rPr>
        <w:br/>
        <w:t xml:space="preserve">The FFY 2021 data showed that 12,976 pairs of data were used in the analysis of Indicator 3.  The ECO A1 scores ranged from 33.33% to 84.21%.  Seven local Early Intervention programs were over 10% below Pennsylvania’s statewide average for A1.  No pattern was noted for the geographic areas of the state for the low performing programs.  There does not appear to be any data anomalies in the A-E Progress Categories.  Analysis suggests that the COVID pandemic is having an impact on this indicator.  </w:t>
      </w:r>
      <w:r w:rsidRPr="00ED172B">
        <w:rPr>
          <w:color w:val="000000" w:themeColor="text1"/>
        </w:rPr>
        <w:br/>
      </w:r>
      <w:r w:rsidRPr="00ED172B">
        <w:rPr>
          <w:color w:val="000000" w:themeColor="text1"/>
        </w:rPr>
        <w:br/>
        <w:t xml:space="preserve">As part of Pennsylvania’s Determination process, the lowest 10% of the local Early Intervention programs (N=5) were required to document and implement improvement activities on their QEP.  </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57</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0.44%</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3,021</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23.28%</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3,780</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29.13%</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4,221</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32.53%</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1,897</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14.62%</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8,001</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11,079</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73.56%</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74.00%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72.22%</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 xml:space="preserve">B2. The percent of infants and toddlers who were functioning </w:t>
            </w:r>
            <w:r w:rsidRPr="00ED172B">
              <w:rPr>
                <w:color w:val="000000" w:themeColor="text1"/>
                <w:szCs w:val="16"/>
              </w:rPr>
              <w:lastRenderedPageBreak/>
              <w:t>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lastRenderedPageBreak/>
              <w:t>6,118</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12,976</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46.17%</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46.50%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47.15%</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t xml:space="preserve">In FFY 2021, Pennsylvania did not meet targets for Indicator 3, outcome B1 Positive Social-Emotional Skills for children who substantially increased their rate of growth by the time they turned 3 years of age or exited the program.  </w:t>
      </w:r>
      <w:r w:rsidRPr="00ED172B">
        <w:rPr>
          <w:color w:val="000000" w:themeColor="text1"/>
        </w:rPr>
        <w:br/>
      </w:r>
      <w:r w:rsidRPr="00ED172B">
        <w:rPr>
          <w:color w:val="000000" w:themeColor="text1"/>
        </w:rPr>
        <w:br/>
        <w:t xml:space="preserve">The FFY 2021 data showed that 12,976 pairs of data were used in the analysis of Indicator 3.  The ECO B1 scores ranged from 60.00% to 87.80%.  Five local Early Intervention programs were over 10% below Pennsylvania’s statewide average for B1.  No pattern was noted for the geographic areas of the state for the low performing programs.  There does not appear to be any data anomalies in the A-E Progress Categories.  Analysis suggests that the COVID pandemic is having an impact on this indicator.  </w:t>
      </w:r>
      <w:r w:rsidRPr="00ED172B">
        <w:rPr>
          <w:color w:val="000000" w:themeColor="text1"/>
        </w:rPr>
        <w:br/>
      </w:r>
      <w:r w:rsidRPr="00ED172B">
        <w:rPr>
          <w:color w:val="000000" w:themeColor="text1"/>
        </w:rPr>
        <w:br/>
        <w:t xml:space="preserve">As part of Pennsylvania’s Determination process, the lowest 10% of the local Early Intervention programs (N=5) were required to document and implement improvement activities on their QEP.  </w:t>
      </w:r>
    </w:p>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53</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0.41%</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2,864</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22.07%</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2,904</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22.38%</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4,736</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36.50%</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2,418</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18.64%</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7,640</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10,557</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74.81%</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75.00%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72.37%</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7,154</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12,975</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54.51%</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55.00%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55.14%</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 xml:space="preserve">In FFY 2021, Pennsylvania did not meet targets for Indicator 3, outcome C1 Positive Social-Emotional Skills for children who substantially increased their rate of growth by the time they turned 3 years of age or exited the program.  </w:t>
      </w:r>
      <w:r w:rsidRPr="00ED172B">
        <w:rPr>
          <w:color w:val="000000" w:themeColor="text1"/>
        </w:rPr>
        <w:br/>
      </w:r>
      <w:r w:rsidRPr="00ED172B">
        <w:rPr>
          <w:color w:val="000000" w:themeColor="text1"/>
        </w:rPr>
        <w:br/>
        <w:t xml:space="preserve">The FFY 2021 data showed that 12,976 pairs of data were used in the analysis of Indicator 3.  The ECO C1 scores ranged from 22.22% to 87.37%.  Two local Early Intervention programs were over 10% below Pennsylvania’s statewide average for C1.  No pattern was noted for the geographic areas of the state for the low performing programs.  There does not appear to be any data anomalies in the A-E Progress Categories.  Analysis suggests that the COVID pandemic is having an impact on this indicator.  </w:t>
      </w:r>
      <w:r w:rsidRPr="00ED172B">
        <w:rPr>
          <w:color w:val="000000" w:themeColor="text1"/>
        </w:rPr>
        <w:br/>
      </w:r>
      <w:r w:rsidRPr="00ED172B">
        <w:rPr>
          <w:color w:val="000000" w:themeColor="text1"/>
        </w:rPr>
        <w:br/>
        <w:t xml:space="preserve">As part of Pennsylvania’s Determination process, the lowest 10% of the local Early Intervention programs (N=5) were required to document and implement improvement activities on their QEP.  </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20,639</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5,870</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lastRenderedPageBreak/>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Pennsylvania’s Part B/619 and Part C Early Intervention programs use the same instruments, policies and procedures for gathering the child outcome data used for indicators B7 and C3.  For both PA Early Intervention programs, “comparable to same-aged peers” is defined as a score of 6 or 7 on the COS rating scale.  </w:t>
      </w:r>
      <w:r w:rsidRPr="00ED172B">
        <w:rPr>
          <w:rFonts w:cs="Arial"/>
          <w:color w:val="000000" w:themeColor="text1"/>
          <w:szCs w:val="16"/>
        </w:rPr>
        <w:br/>
      </w:r>
      <w:r w:rsidRPr="00ED172B">
        <w:rPr>
          <w:rFonts w:cs="Arial"/>
          <w:color w:val="000000" w:themeColor="text1"/>
          <w:szCs w:val="16"/>
        </w:rPr>
        <w:br/>
        <w:t xml:space="preserve">For both entry and exit data collection, one member of the IFSP team is designated to collect and enter the child outcome data. This designated member is also charged with involving the family in the child outcome data collection process and in reviewing all data collection and ratings with the family. All local Early Intervention programs must select an authentic assessment tool from an approved list to use for gathering child development information. The information from the authentic assessment tools is used to generate the COS rating. </w:t>
      </w:r>
      <w:r w:rsidRPr="00ED172B">
        <w:rPr>
          <w:rFonts w:cs="Arial"/>
          <w:color w:val="000000" w:themeColor="text1"/>
          <w:szCs w:val="16"/>
        </w:rPr>
        <w:br/>
      </w:r>
      <w:r w:rsidRPr="00ED172B">
        <w:rPr>
          <w:rFonts w:cs="Arial"/>
          <w:color w:val="000000" w:themeColor="text1"/>
          <w:szCs w:val="16"/>
        </w:rPr>
        <w:br/>
        <w:t xml:space="preserve">All child outcome COS ratings are entered into the PELICAN-EI data system. PELICAN-EI converts the 1 – 7 ratings into progress categories and summary statements. It has built-in data checks to ensure quality data entry. PELICAN-EI allows for reporting at both the state and local levels. </w:t>
      </w:r>
      <w:r w:rsidRPr="00ED172B">
        <w:rPr>
          <w:rFonts w:cs="Arial"/>
          <w:color w:val="000000" w:themeColor="text1"/>
          <w:szCs w:val="16"/>
        </w:rPr>
        <w:br/>
      </w:r>
      <w:r w:rsidRPr="00ED172B">
        <w:rPr>
          <w:rFonts w:cs="Arial"/>
          <w:color w:val="000000" w:themeColor="text1"/>
          <w:szCs w:val="16"/>
        </w:rPr>
        <w:br/>
        <w:t xml:space="preserve">For entry data collection, the designated member of the IFSP team has 60 days from the child’s initial IFSP date to complete the child outcome process and enter the COS rating into PELICAN-EI. The child outcome process includes: 1) completing the approved authentic assessment tool, 2) using the data from the authentic assessment tool and the publisher’s Instrument Crosswalk to understand the child’s skills in each of the three indicators, and 3) obtaining a 1 – 7 rating of the child’s skills in each of the three indicators using the Decision Tree for Summary Rating Discussions. </w:t>
      </w:r>
      <w:r w:rsidRPr="00ED172B">
        <w:rPr>
          <w:rFonts w:cs="Arial"/>
          <w:color w:val="000000" w:themeColor="text1"/>
          <w:szCs w:val="16"/>
        </w:rPr>
        <w:br/>
      </w:r>
      <w:r w:rsidRPr="00ED172B">
        <w:rPr>
          <w:rFonts w:cs="Arial"/>
          <w:color w:val="000000" w:themeColor="text1"/>
          <w:szCs w:val="16"/>
        </w:rPr>
        <w:br/>
        <w:t xml:space="preserve">For exit data collection, the process described above is used to make the COS rating. The designated member of the IFSP team has 60 days from the child’s anticipated exit from the Early Intervention program to gather and enter the data into the PELICAN-EI system. Exit data is only gathered on children who have received 6 consecutive months of Early Intervention services prior to their exit, with the starting point of services being the IFSP date. </w:t>
      </w:r>
      <w:r w:rsidRPr="00ED172B">
        <w:rPr>
          <w:rFonts w:cs="Arial"/>
          <w:color w:val="000000" w:themeColor="text1"/>
          <w:szCs w:val="16"/>
        </w:rPr>
        <w:br/>
      </w:r>
      <w:r w:rsidRPr="00ED172B">
        <w:rPr>
          <w:rFonts w:cs="Arial"/>
          <w:color w:val="000000" w:themeColor="text1"/>
          <w:szCs w:val="16"/>
        </w:rPr>
        <w:br/>
        <w:t xml:space="preserve">Additional policies and procedures can be found at: </w:t>
      </w:r>
      <w:proofErr w:type="gramStart"/>
      <w:r w:rsidRPr="00ED172B">
        <w:rPr>
          <w:rFonts w:cs="Arial"/>
          <w:color w:val="000000" w:themeColor="text1"/>
          <w:szCs w:val="16"/>
        </w:rPr>
        <w:t>http://www.eita-pa.org/early-childhood-outcomes/</w:t>
      </w:r>
      <w:proofErr w:type="gramEnd"/>
      <w:r w:rsidRPr="00ED172B">
        <w:rPr>
          <w:rFonts w:cs="Arial"/>
          <w:color w:val="000000" w:themeColor="text1"/>
          <w:szCs w:val="16"/>
        </w:rPr>
        <w:t xml:space="preserve"> </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Pennsylvania presented 12,976 data points representing the number of Infants and Toddlers with IFSPs who were assessed. </w:t>
      </w:r>
      <w:r w:rsidRPr="00ED172B">
        <w:rPr>
          <w:rFonts w:cs="Arial"/>
          <w:color w:val="000000" w:themeColor="text1"/>
          <w:szCs w:val="16"/>
        </w:rPr>
        <w:br/>
      </w:r>
      <w:r w:rsidRPr="00ED172B">
        <w:rPr>
          <w:rFonts w:cs="Arial"/>
          <w:color w:val="000000" w:themeColor="text1"/>
          <w:szCs w:val="16"/>
        </w:rPr>
        <w:br/>
        <w:t>In FFY 2021, these 12,976 infants and toddlers represented those with IFSPs who received Early Intervention services for at least 6 months before exiting the Part C program were assessed and had at least one valid rating across the three child outcomes. Data on the three child outcomes is gathered independently and can result in different denominators in the data calculations. Pennsylvania continues to provide state training and guidance documents with instructions on how to collect accurate and complete ratings.</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In reporting the percent of infants and toddlers who were functioning within age expectations in each outcome area by the time they turned three years of age or exited the program, the State reported 12,959 as the denominator in outcome A, 12,976 as the denominator in outcome B, and 12,975 as the denominator in outcome C. Additionally, the State reported 12,976 infants and toddlers with IFSP were assessed. The State explained this discrepancy.</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5C14C2" w:rsidP="005C14C2">
      <w:pPr>
        <w:rPr>
          <w:color w:val="000000" w:themeColor="text1"/>
        </w:rPr>
      </w:pPr>
      <w:r w:rsidRPr="00ED172B">
        <w:rPr>
          <w:color w:val="000000" w:themeColor="text1"/>
        </w:rPr>
        <w:t>In the FFY 2022 SPP/APR submission, the State must explain any discrepancies between the FFY 2022 total number assessed and the FFY 2022 denominators in its calculation of the percent of infants and toddlers who were functioning within age expectations in each outcome area by the time they turned three years of age or exited the program.</w:t>
      </w: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87.08%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94.50%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67.00%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90.34%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89.12%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87.08%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96.36%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94.92%</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94.12%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95.99%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94.12%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97.03%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96.77%</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94.17%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78.00%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95.93%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95.85%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94.17%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99.51%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99.16%</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95.00%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95.50%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95.50%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96.00%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96.00%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97.00%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97.00%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97.00%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97.00%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97.00%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97.00%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97.00%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97.00%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97.00%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97.00%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Pennsylvania’s Early Intervention system has two primary stakeholder groups, one with a birth-5-year-old focus, the State Interagency Coordinating Council (SICC), and one with a 3–21-year-old focus, the Special Education Advisory Panel (SEAP). Using these two groups allows BEISFS to gather statewide stakeholder input across all ages and across all geographic regions. The Committee for Stakeholder Engagement (CSE), a workgroup of the SICC, focuses on the review of data and specifically impacts the coordination of the state's birth-5 EI system.  A total of 17 family members participated across the three stakeholder groups (SICC, CSE and SEAP). </w:t>
      </w:r>
      <w:r w:rsidRPr="00ED172B">
        <w:rPr>
          <w:color w:val="000000" w:themeColor="text1"/>
        </w:rPr>
        <w:br/>
      </w:r>
      <w:r w:rsidRPr="00ED172B">
        <w:rPr>
          <w:color w:val="000000" w:themeColor="text1"/>
        </w:rPr>
        <w:br/>
        <w:t xml:space="preserve">Membership in the SICC and CSE is composed of parents (as co-chairs), local program administrators, EI service delivery agencies, Department of Health, legislators, Children’s Health Insurance Program (CHIP), American Academy of Pediatrics, higher education, and a representative of Pennsylvania’s Education for Children and Youth Experiencing Homelessness Program. CSE also includes a representative of The PEAL Center, a Parent Training and Information Center, and the director of Parent to Parent of Pennsylvania and Family Engagement Initiatives.  </w:t>
      </w:r>
      <w:r w:rsidRPr="00ED172B">
        <w:rPr>
          <w:color w:val="000000" w:themeColor="text1"/>
        </w:rPr>
        <w:br/>
      </w:r>
      <w:r w:rsidRPr="00ED172B">
        <w:rPr>
          <w:color w:val="000000" w:themeColor="text1"/>
        </w:rPr>
        <w:br/>
        <w:t xml:space="preserve">BEISFS and EITA met with SEAP, SICC, and CSE to review the annual APR data, including a review of historic data, current year data, targets, and activities implemented during the fiscal year.  SEAP, SICC and CSE made recommendations for changes or additional activities as needed.  This information was used by BEISFS to update its SPP/APR.  The meetings with the SICC and CSE were held on December 1, 2022.  The meeting with SEAP was held on September 23, 2022.  </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23,841</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7,608</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31.91%</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6,382</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6,715</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6,421</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6,648</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7,269</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7,359</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94.92%</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95.00%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95.04%</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96.77%</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97.00%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96.59%</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99.16%</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97.00%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98.78%</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31.79%</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31.91%</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For the third year, local Early Intervention programs are responsible for dissemination of survey materials to families in their program. The programs are supported with dissemination materials including a printable postcard/flyer and information to use in social media postings. Training webinars are held annually to provide local Early Intervention programs with strategies to use to increase return rates. This strategy, increasing the responsibility of local Early Intervention programs in disseminating the family survey, has reversed a declining return rate and resulted in an increase of returned surveys. An increase in the racial representativeness of the surveys has also been noted. </w:t>
      </w:r>
      <w:r w:rsidRPr="00ED172B">
        <w:rPr>
          <w:rFonts w:cs="Arial"/>
          <w:color w:val="000000" w:themeColor="text1"/>
          <w:szCs w:val="16"/>
        </w:rPr>
        <w:br/>
      </w:r>
      <w:r w:rsidRPr="00ED172B">
        <w:rPr>
          <w:rFonts w:cs="Arial"/>
          <w:color w:val="000000" w:themeColor="text1"/>
          <w:szCs w:val="16"/>
        </w:rPr>
        <w:br/>
        <w:t>To ensure that families who respond to the survey are representative of the demographics of infants, toddlers, and families enrolled in the Part C program, Pennsylvania monitors the respondent demographics throughout the survey time period. Monthly reports of returned survey demographics are provided to local Early Intervention programs. This data allows local Early Intervention programs to monitor survey returns in their area and provide targeted support to families who have not yet returned surveys.</w:t>
      </w:r>
      <w:r w:rsidRPr="00ED172B">
        <w:rPr>
          <w:rFonts w:cs="Arial"/>
          <w:color w:val="000000" w:themeColor="text1"/>
          <w:szCs w:val="16"/>
        </w:rPr>
        <w:br/>
        <w:t xml:space="preserve">All survey materials, including the online survey itself, are available in both English and Spanish. Assistance with additional language interpretation/translations are available through the CONNECT Information Line. </w:t>
      </w:r>
      <w:r w:rsidRPr="00ED172B">
        <w:rPr>
          <w:rFonts w:cs="Arial"/>
          <w:color w:val="000000" w:themeColor="text1"/>
          <w:szCs w:val="16"/>
        </w:rPr>
        <w:br/>
      </w:r>
      <w:r w:rsidRPr="00ED172B">
        <w:rPr>
          <w:rFonts w:cs="Arial"/>
          <w:color w:val="000000" w:themeColor="text1"/>
          <w:szCs w:val="16"/>
        </w:rPr>
        <w:br/>
        <w:t xml:space="preserve">Pennsylvania’s local program Determination process includes data from the annual family survey, including the three C4 questions, the Preschool Early Intervention B8 question, several other state-specific survey questions, and the survey return rate.  Local Early Intervention programs are held accountable for their performance on these items through the Determination process.  This accountability has also played a role in increasing survey return rates.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On a monthly basis during the survey time period, BEISFS analyzed demographic data on returned surveys. Demographics included: geographic region, gender, race, and ethnicity. Analysis of geographic region also allows for generating response rates for each Early Intervention program. The survey data analysis was provided to local Early Intervention programs on a monthly basis to assist them in targeting efforts to increase response rates and representativeness of returned surveys.</w:t>
      </w:r>
      <w:r w:rsidRPr="00ED172B">
        <w:rPr>
          <w:rFonts w:cs="Arial"/>
          <w:color w:val="000000" w:themeColor="text1"/>
          <w:szCs w:val="16"/>
        </w:rPr>
        <w:br/>
      </w:r>
      <w:r w:rsidRPr="00ED172B">
        <w:rPr>
          <w:rFonts w:cs="Arial"/>
          <w:color w:val="000000" w:themeColor="text1"/>
          <w:szCs w:val="16"/>
        </w:rPr>
        <w:br/>
        <w:t xml:space="preserve">To prevent nonresponse bias, Pennsylvania incorporated the following strategies into the family survey design and dissemination process to increase responses: </w:t>
      </w:r>
      <w:r w:rsidRPr="00ED172B">
        <w:rPr>
          <w:rFonts w:cs="Arial"/>
          <w:color w:val="000000" w:themeColor="text1"/>
          <w:szCs w:val="16"/>
        </w:rPr>
        <w:br/>
        <w:t>•</w:t>
      </w:r>
      <w:r w:rsidRPr="00ED172B">
        <w:rPr>
          <w:rFonts w:cs="Arial"/>
          <w:color w:val="000000" w:themeColor="text1"/>
          <w:szCs w:val="16"/>
        </w:rPr>
        <w:tab/>
        <w:t xml:space="preserve">The survey could be taken on multiple types of devices including iPhones, computers, tablets, and paper. </w:t>
      </w:r>
      <w:r w:rsidRPr="00ED172B">
        <w:rPr>
          <w:rFonts w:cs="Arial"/>
          <w:color w:val="000000" w:themeColor="text1"/>
          <w:szCs w:val="16"/>
        </w:rPr>
        <w:br/>
        <w:t>•</w:t>
      </w:r>
      <w:r w:rsidRPr="00ED172B">
        <w:rPr>
          <w:rFonts w:cs="Arial"/>
          <w:color w:val="000000" w:themeColor="text1"/>
          <w:szCs w:val="16"/>
        </w:rPr>
        <w:tab/>
        <w:t xml:space="preserve">The survey included an introduction that explained the process of the survey and how the data would be used. </w:t>
      </w:r>
      <w:r w:rsidRPr="00ED172B">
        <w:rPr>
          <w:rFonts w:cs="Arial"/>
          <w:color w:val="000000" w:themeColor="text1"/>
          <w:szCs w:val="16"/>
        </w:rPr>
        <w:br/>
        <w:t>•</w:t>
      </w:r>
      <w:r w:rsidRPr="00ED172B">
        <w:rPr>
          <w:rFonts w:cs="Arial"/>
          <w:color w:val="000000" w:themeColor="text1"/>
          <w:szCs w:val="16"/>
        </w:rPr>
        <w:tab/>
        <w:t xml:space="preserve">The survey was anonymous. </w:t>
      </w:r>
      <w:r w:rsidRPr="00ED172B">
        <w:rPr>
          <w:rFonts w:cs="Arial"/>
          <w:color w:val="000000" w:themeColor="text1"/>
          <w:szCs w:val="16"/>
        </w:rPr>
        <w:br/>
        <w:t>•</w:t>
      </w:r>
      <w:r w:rsidRPr="00ED172B">
        <w:rPr>
          <w:rFonts w:cs="Arial"/>
          <w:color w:val="000000" w:themeColor="text1"/>
          <w:szCs w:val="16"/>
        </w:rPr>
        <w:tab/>
        <w:t xml:space="preserve">Survey questions could be skipped if not applicable to the family’s situation. </w:t>
      </w:r>
      <w:r w:rsidRPr="00ED172B">
        <w:rPr>
          <w:rFonts w:cs="Arial"/>
          <w:color w:val="000000" w:themeColor="text1"/>
          <w:szCs w:val="16"/>
        </w:rPr>
        <w:br/>
        <w:t>•</w:t>
      </w:r>
      <w:r w:rsidRPr="00ED172B">
        <w:rPr>
          <w:rFonts w:cs="Arial"/>
          <w:color w:val="000000" w:themeColor="text1"/>
          <w:szCs w:val="16"/>
        </w:rPr>
        <w:tab/>
        <w:t xml:space="preserve">The three questions that are used to measure Indicator C4 were in the first five questions on the survey to prevent nonresponse due to survey fatigue. </w:t>
      </w:r>
      <w:r w:rsidRPr="00ED172B">
        <w:rPr>
          <w:rFonts w:cs="Arial"/>
          <w:color w:val="000000" w:themeColor="text1"/>
          <w:szCs w:val="16"/>
        </w:rPr>
        <w:br/>
        <w:t>•</w:t>
      </w:r>
      <w:r w:rsidRPr="00ED172B">
        <w:rPr>
          <w:rFonts w:cs="Arial"/>
          <w:color w:val="000000" w:themeColor="text1"/>
          <w:szCs w:val="16"/>
        </w:rPr>
        <w:tab/>
        <w:t xml:space="preserve">If the family did not complete the survey in a single period, they could complete the survey at another time without having to repeat questions. </w:t>
      </w:r>
      <w:r w:rsidRPr="00ED172B">
        <w:rPr>
          <w:rFonts w:cs="Arial"/>
          <w:color w:val="000000" w:themeColor="text1"/>
          <w:szCs w:val="16"/>
        </w:rPr>
        <w:br/>
        <w:t>•</w:t>
      </w:r>
      <w:r w:rsidRPr="00ED172B">
        <w:rPr>
          <w:rFonts w:cs="Arial"/>
          <w:color w:val="000000" w:themeColor="text1"/>
          <w:szCs w:val="16"/>
        </w:rPr>
        <w:tab/>
        <w:t xml:space="preserve">The survey was conducted over a 5-month period to ensure an adequate opportunity for families to respond. </w:t>
      </w:r>
      <w:r w:rsidRPr="00ED172B">
        <w:rPr>
          <w:rFonts w:cs="Arial"/>
          <w:color w:val="000000" w:themeColor="text1"/>
          <w:szCs w:val="16"/>
        </w:rPr>
        <w:br/>
        <w:t>•</w:t>
      </w:r>
      <w:r w:rsidRPr="00ED172B">
        <w:rPr>
          <w:rFonts w:cs="Arial"/>
          <w:color w:val="000000" w:themeColor="text1"/>
          <w:szCs w:val="16"/>
        </w:rPr>
        <w:tab/>
        <w:t xml:space="preserve">Local Early Intervention programs were responsible for disseminating the survey to families in their programs. EI programs provided incentives and reminders to families. </w:t>
      </w:r>
      <w:r w:rsidRPr="00ED172B">
        <w:rPr>
          <w:rFonts w:cs="Arial"/>
          <w:color w:val="000000" w:themeColor="text1"/>
          <w:szCs w:val="16"/>
        </w:rPr>
        <w:br/>
        <w:t>•</w:t>
      </w:r>
      <w:r w:rsidRPr="00ED172B">
        <w:rPr>
          <w:rFonts w:cs="Arial"/>
          <w:color w:val="000000" w:themeColor="text1"/>
          <w:szCs w:val="16"/>
        </w:rPr>
        <w:tab/>
        <w:t xml:space="preserve">BEISFS monitored the survey return rates for each EI program and incorporated return rate targets into the annual determination process. </w:t>
      </w:r>
      <w:r w:rsidRPr="00ED172B">
        <w:rPr>
          <w:rFonts w:cs="Arial"/>
          <w:color w:val="000000" w:themeColor="text1"/>
          <w:szCs w:val="16"/>
        </w:rPr>
        <w:br/>
      </w:r>
      <w:r w:rsidRPr="00ED172B">
        <w:rPr>
          <w:rFonts w:cs="Arial"/>
          <w:color w:val="000000" w:themeColor="text1"/>
          <w:szCs w:val="16"/>
        </w:rPr>
        <w:br/>
        <w:t xml:space="preserve">Nonresponse bias is analyzed on an annual basis and additional strategies are incorporated into the survey design and dissemination process as needed.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On a monthly basis during the survey time period, BEISFS analyzed demographic data on returned surveys.  Demographics included:  geographic region, gender, race, and ethnicity.   The survey data analysis was provided to local Early Intervention programs to assist them in targeting efforts to increase response rates and representativeness of returned surveys. </w:t>
      </w:r>
      <w:r w:rsidRPr="00ED172B">
        <w:rPr>
          <w:rFonts w:cs="Arial"/>
          <w:color w:val="000000" w:themeColor="text1"/>
          <w:szCs w:val="16"/>
        </w:rPr>
        <w:br/>
      </w:r>
      <w:r w:rsidRPr="00ED172B">
        <w:rPr>
          <w:rFonts w:cs="Arial"/>
          <w:color w:val="000000" w:themeColor="text1"/>
          <w:szCs w:val="16"/>
        </w:rPr>
        <w:br/>
        <w:t xml:space="preserve">Using the +/- 5% tolerance level established by the Response Calculator developed by the National Post School Outcome Center (NPSO), Pennsylvania analyzed seven race categories to determine the racial representativeness of the survey data.  All other race/ethnicity categories were within tolerance levels. </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Pennsylvania compares the race categories of returned surveys with the race of infants and toddlers in the Early Intervention program.  Data is analyzed both at the local Early Intervention program and at the state levels.  A +/- 5% tolerance level, as established by the Response Calculator developed by the National Post School Outcome Center (NPSO), is used to determine the racial representativeness of the returned surveys.  In FY 2021, Pennsylvania chose to use a +/- 5% metric for determining representativeness.  In previous years, Pennsylvania’s Part C program has used +/- 3% as </w:t>
      </w:r>
      <w:r w:rsidRPr="00ED172B">
        <w:rPr>
          <w:rFonts w:cs="Arial"/>
          <w:color w:val="000000" w:themeColor="text1"/>
          <w:szCs w:val="16"/>
        </w:rPr>
        <w:lastRenderedPageBreak/>
        <w:t xml:space="preserve">its metric.  The metric for the Preschool Part B indicator B8 had been set for +/-5%.  The Family Survey used for this indicator is sent to family members of Part C and Part B Preschool children.  Setting both the Part C and Part B Preschool metric to +/- 5% allows for consistency in analysis of the representativeness of the survey.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Infant/Toddler Early Intervention Programs (Bureau of Early Intervention Services and Family Supports)</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Table 1 </w:t>
      </w:r>
      <w:r w:rsidRPr="00ED172B">
        <w:rPr>
          <w:rFonts w:cs="Arial"/>
          <w:color w:val="000000" w:themeColor="text1"/>
          <w:szCs w:val="16"/>
        </w:rPr>
        <w:br/>
        <w:t xml:space="preserve"> </w:t>
      </w:r>
      <w:r w:rsidRPr="00ED172B">
        <w:rPr>
          <w:rFonts w:cs="Arial"/>
          <w:color w:val="000000" w:themeColor="text1"/>
          <w:szCs w:val="16"/>
        </w:rPr>
        <w:tab/>
        <w:t xml:space="preserve"> </w:t>
      </w:r>
      <w:r w:rsidRPr="00ED172B">
        <w:rPr>
          <w:rFonts w:cs="Arial"/>
          <w:color w:val="000000" w:themeColor="text1"/>
          <w:szCs w:val="16"/>
        </w:rPr>
        <w:tab/>
        <w:t>Race/Ethnicity of Infants and Toddlers Represented by Parent Respondents</w:t>
      </w:r>
      <w:r w:rsidRPr="00ED172B">
        <w:rPr>
          <w:rFonts w:cs="Arial"/>
          <w:color w:val="000000" w:themeColor="text1"/>
          <w:szCs w:val="16"/>
        </w:rPr>
        <w:br/>
      </w:r>
      <w:r w:rsidRPr="00ED172B">
        <w:rPr>
          <w:rFonts w:cs="Arial"/>
          <w:color w:val="000000" w:themeColor="text1"/>
          <w:szCs w:val="16"/>
        </w:rPr>
        <w:br/>
        <w:t xml:space="preserve"> </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Total Respondent Group</w:t>
      </w:r>
      <w:r w:rsidRPr="00ED172B">
        <w:rPr>
          <w:rFonts w:cs="Arial"/>
          <w:color w:val="000000" w:themeColor="text1"/>
          <w:szCs w:val="16"/>
        </w:rPr>
        <w:tab/>
        <w:t>State Race/Ethnicity Population</w:t>
      </w:r>
      <w:r w:rsidRPr="00ED172B">
        <w:rPr>
          <w:rFonts w:cs="Arial"/>
          <w:color w:val="000000" w:themeColor="text1"/>
          <w:szCs w:val="16"/>
        </w:rPr>
        <w:br/>
        <w:t xml:space="preserve"> </w:t>
      </w:r>
      <w:r w:rsidRPr="00ED172B">
        <w:rPr>
          <w:rFonts w:cs="Arial"/>
          <w:color w:val="000000" w:themeColor="text1"/>
          <w:szCs w:val="16"/>
        </w:rPr>
        <w:br/>
        <w:t xml:space="preserve"> Race/Ethnicity </w:t>
      </w:r>
      <w:r w:rsidRPr="00ED172B">
        <w:rPr>
          <w:rFonts w:cs="Arial"/>
          <w:color w:val="000000" w:themeColor="text1"/>
          <w:szCs w:val="16"/>
        </w:rPr>
        <w:tab/>
        <w:t xml:space="preserve"> </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Percent </w:t>
      </w:r>
      <w:r w:rsidRPr="00ED172B">
        <w:rPr>
          <w:rFonts w:cs="Arial"/>
          <w:color w:val="000000" w:themeColor="text1"/>
          <w:szCs w:val="16"/>
        </w:rPr>
        <w:tab/>
      </w:r>
      <w:r w:rsidRPr="00ED172B">
        <w:rPr>
          <w:rFonts w:cs="Arial"/>
          <w:color w:val="000000" w:themeColor="text1"/>
          <w:szCs w:val="16"/>
        </w:rPr>
        <w:tab/>
        <w:t xml:space="preserve"> </w:t>
      </w:r>
      <w:r w:rsidRPr="00ED172B">
        <w:rPr>
          <w:rFonts w:cs="Arial"/>
          <w:color w:val="000000" w:themeColor="text1"/>
          <w:szCs w:val="16"/>
        </w:rPr>
        <w:tab/>
      </w:r>
      <w:proofErr w:type="spellStart"/>
      <w:r w:rsidRPr="00ED172B">
        <w:rPr>
          <w:rFonts w:cs="Arial"/>
          <w:color w:val="000000" w:themeColor="text1"/>
          <w:szCs w:val="16"/>
        </w:rPr>
        <w:t>Percent</w:t>
      </w:r>
      <w:proofErr w:type="spellEnd"/>
      <w:r w:rsidRPr="00ED172B">
        <w:rPr>
          <w:rFonts w:cs="Arial"/>
          <w:color w:val="000000" w:themeColor="text1"/>
          <w:szCs w:val="16"/>
        </w:rPr>
        <w:tab/>
      </w:r>
      <w:r w:rsidRPr="00ED172B">
        <w:rPr>
          <w:rFonts w:cs="Arial"/>
          <w:color w:val="000000" w:themeColor="text1"/>
          <w:szCs w:val="16"/>
        </w:rPr>
        <w:br/>
      </w:r>
      <w:r w:rsidRPr="00ED172B">
        <w:rPr>
          <w:rFonts w:cs="Arial"/>
          <w:color w:val="000000" w:themeColor="text1"/>
          <w:szCs w:val="16"/>
        </w:rPr>
        <w:br/>
        <w:t xml:space="preserve"> American Indian/Alaska Native </w:t>
      </w:r>
      <w:r w:rsidRPr="00ED172B">
        <w:rPr>
          <w:rFonts w:cs="Arial"/>
          <w:color w:val="000000" w:themeColor="text1"/>
          <w:szCs w:val="16"/>
        </w:rPr>
        <w:tab/>
        <w:t xml:space="preserve"> </w:t>
      </w:r>
      <w:r w:rsidRPr="00ED172B">
        <w:rPr>
          <w:rFonts w:cs="Arial"/>
          <w:color w:val="000000" w:themeColor="text1"/>
          <w:szCs w:val="16"/>
        </w:rPr>
        <w:tab/>
        <w:t>&lt;1.0%</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&lt;1.0%</w:t>
      </w:r>
      <w:r w:rsidRPr="00ED172B">
        <w:rPr>
          <w:rFonts w:cs="Arial"/>
          <w:color w:val="000000" w:themeColor="text1"/>
          <w:szCs w:val="16"/>
        </w:rPr>
        <w:br/>
        <w:t xml:space="preserve"> Asian</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3.09%</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3.92%</w:t>
      </w:r>
      <w:r w:rsidRPr="00ED172B">
        <w:rPr>
          <w:rFonts w:cs="Arial"/>
          <w:color w:val="000000" w:themeColor="text1"/>
          <w:szCs w:val="16"/>
        </w:rPr>
        <w:br/>
        <w:t xml:space="preserve"> Black or African American</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13.65%</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12.34%</w:t>
      </w:r>
      <w:r w:rsidRPr="00ED172B">
        <w:rPr>
          <w:rFonts w:cs="Arial"/>
          <w:color w:val="000000" w:themeColor="text1"/>
          <w:szCs w:val="16"/>
        </w:rPr>
        <w:br/>
        <w:t xml:space="preserve"> Hispanic</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14.41%</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17.49%</w:t>
      </w:r>
      <w:r w:rsidRPr="00ED172B">
        <w:rPr>
          <w:rFonts w:cs="Arial"/>
          <w:color w:val="000000" w:themeColor="text1"/>
          <w:szCs w:val="16"/>
        </w:rPr>
        <w:br/>
        <w:t xml:space="preserve"> Multiracial</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8.88%</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6.66%</w:t>
      </w:r>
      <w:r w:rsidRPr="00ED172B">
        <w:rPr>
          <w:rFonts w:cs="Arial"/>
          <w:color w:val="000000" w:themeColor="text1"/>
          <w:szCs w:val="16"/>
        </w:rPr>
        <w:br/>
        <w:t xml:space="preserve"> Native Hawaiian/Other Pacific Islander</w:t>
      </w:r>
      <w:r w:rsidRPr="00ED172B">
        <w:rPr>
          <w:rFonts w:cs="Arial"/>
          <w:color w:val="000000" w:themeColor="text1"/>
          <w:szCs w:val="16"/>
        </w:rPr>
        <w:tab/>
      </w:r>
      <w:r w:rsidRPr="00ED172B">
        <w:rPr>
          <w:rFonts w:cs="Arial"/>
          <w:color w:val="000000" w:themeColor="text1"/>
          <w:szCs w:val="16"/>
        </w:rPr>
        <w:tab/>
        <w:t>&lt;1.0%</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&lt;1.0%</w:t>
      </w:r>
      <w:r w:rsidRPr="00ED172B">
        <w:rPr>
          <w:rFonts w:cs="Arial"/>
          <w:color w:val="000000" w:themeColor="text1"/>
          <w:szCs w:val="16"/>
        </w:rPr>
        <w:br/>
        <w:t xml:space="preserve"> White</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59.73%</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59.19%</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the State must report whether its FFY 2021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 xml:space="preserve">Pennsylvania’s data, as shown in Table 1, describes the race and ethnicity of the families responding to the survey and shows that it is representative of the population.  </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1.60%</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2.20%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2.20%</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2.20%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2.70%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2.00%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2.50%</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2.64%</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2.70%</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2.79%</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2.03%</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2.20%</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2.40%</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2.60%</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3.10%</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3.20%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Pennsylvania’s Early Intervention system has two primary stakeholder groups, one with a birth-5-year-old focus, the State Interagency Coordinating Council (SICC), and one with a 3–21-year-old focus, the Special Education Advisory Panel (SEAP). Using these two groups allows BEISFS to gather statewide stakeholder input across all ages and across all geographic regions. The Committee for Stakeholder Engagement (CSE), a workgroup of the SICC, focuses on the review of data and specifically impacts the coordination of the state's birth-5 EI system.  A total of 17 family members participated across the three stakeholder groups (SICC, CSE and SEAP). </w:t>
      </w:r>
      <w:r w:rsidRPr="00ED172B">
        <w:rPr>
          <w:color w:val="000000" w:themeColor="text1"/>
        </w:rPr>
        <w:br/>
      </w:r>
      <w:r w:rsidRPr="00ED172B">
        <w:rPr>
          <w:color w:val="000000" w:themeColor="text1"/>
        </w:rPr>
        <w:br/>
        <w:t xml:space="preserve">Membership in the SICC and CSE is composed of parents (as co-chairs), local program administrators, EI service delivery agencies, Department of Health, legislators, Children’s Health Insurance Program (CHIP), American Academy of Pediatrics, higher education, and a representative of Pennsylvania’s Education for Children and Youth Experiencing Homelessness Program. CSE also includes a representative of The PEAL Center, a Parent Training and Information Center, and the director of Parent to Parent of Pennsylvania and Family Engagement Initiatives.  </w:t>
      </w:r>
      <w:r w:rsidRPr="00ED172B">
        <w:rPr>
          <w:color w:val="000000" w:themeColor="text1"/>
        </w:rPr>
        <w:br/>
      </w:r>
      <w:r w:rsidRPr="00ED172B">
        <w:rPr>
          <w:color w:val="000000" w:themeColor="text1"/>
        </w:rPr>
        <w:br/>
        <w:t xml:space="preserve">BEISFS and EITA met with SEAP, SICC, and CSE to review the annual APR data, including a review of historic data, current year data, targets, and activities implemented during the fiscal year.  SEAP, SICC and CSE made recommendations for changes or additional activities as needed.  This information was used by BEISFS to update its SPP/APR.  The meetings with the SICC and CSE were held on December 1, 2022.  The meeting with SEAP was held on September 23, 2022.  </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3,302</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127,582</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lastRenderedPageBreak/>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3,302</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127,582</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2.03%</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2.20%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2.59%</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3.30%</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4.41%</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4.50%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4.50%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5.35%</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4.80%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4.86%</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5.00%</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5.35%</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5.79%</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4.85%</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5.00%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5.20%</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5.40%</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6.00%</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6.10%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Pennsylvania’s Early Intervention system has two primary stakeholder groups, one with a birth-5-year-old focus, the State Interagency Coordinating Council (SICC), and one with a 3–21-year-old focus, the Special Education Advisory Panel (SEAP). Using these two groups allows BEISFS to gather statewide stakeholder input across all ages and across all geographic regions. The Committee for Stakeholder Engagement (CSE), a workgroup of the SICC, focuses on the review of data and specifically impacts the coordination of the state's birth-5 EI system.  A total of 17 family members participated across the three stakeholder groups (SICC, CSE and SEAP). </w:t>
      </w:r>
      <w:r w:rsidRPr="00ED172B">
        <w:rPr>
          <w:color w:val="000000" w:themeColor="text1"/>
        </w:rPr>
        <w:br/>
      </w:r>
      <w:r w:rsidRPr="00ED172B">
        <w:rPr>
          <w:color w:val="000000" w:themeColor="text1"/>
        </w:rPr>
        <w:br/>
        <w:t xml:space="preserve">Membership in the SICC and CSE is composed of parents (as co-chairs), local program administrators, EI service delivery agencies, Department of Health, legislators, Children’s Health Insurance Program (CHIP), American Academy of Pediatrics, higher education, and a representative of Pennsylvania’s Education for Children and Youth Experiencing Homelessness Program. CSE also includes a representative of The PEAL Center, a Parent Training and Information Center, and the director of Parent to Parent of Pennsylvania and Family Engagement Initiatives.  </w:t>
      </w:r>
      <w:r w:rsidRPr="00ED172B">
        <w:rPr>
          <w:color w:val="000000" w:themeColor="text1"/>
        </w:rPr>
        <w:br/>
      </w:r>
      <w:r w:rsidRPr="00ED172B">
        <w:rPr>
          <w:color w:val="000000" w:themeColor="text1"/>
        </w:rPr>
        <w:br/>
        <w:t xml:space="preserve">BEISFS and EITA met with SEAP, SICC, and CSE to review the annual APR data, including a review of historic data, current year data, targets, and activities implemented during the fiscal year.  SEAP, SICC and CSE made recommendations for changes or additional activities as needed.  This information was used by BEISFS to update its SPP/APR.  The meetings with the SICC and CSE were held on December 1, 2022.  The meeting with SEAP was held on September 23, 2022.  </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22,511</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399,126</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22,511</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399,126</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4.85%</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5.00%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5.64%</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lastRenderedPageBreak/>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92.00%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98.86%</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97.51%</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98.58%</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97.68%</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99.58%</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19,551</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24,435</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99.58%</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98.60%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4,541</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lastRenderedPageBreak/>
        <w:t xml:space="preserve">In FY 2021, Pennsylvania did not meet targets for Indicator C7, although no slippage was noted. </w:t>
      </w:r>
      <w:r w:rsidRPr="00ED172B">
        <w:rPr>
          <w:color w:val="000000" w:themeColor="text1"/>
          <w:szCs w:val="16"/>
        </w:rPr>
        <w:br/>
      </w:r>
      <w:r w:rsidRPr="00ED172B">
        <w:rPr>
          <w:color w:val="000000" w:themeColor="text1"/>
          <w:szCs w:val="16"/>
        </w:rPr>
        <w:br/>
        <w:t xml:space="preserve">Seven out of the 22 EI programs in noncompliance accounted for 265 out of 343 (81.3%) of the late timelines. Fifteen of the 22 EI programs in </w:t>
      </w:r>
      <w:proofErr w:type="gramStart"/>
      <w:r w:rsidRPr="00ED172B">
        <w:rPr>
          <w:color w:val="000000" w:themeColor="text1"/>
          <w:szCs w:val="16"/>
        </w:rPr>
        <w:t>noncompliance  had</w:t>
      </w:r>
      <w:proofErr w:type="gramEnd"/>
      <w:r w:rsidRPr="00ED172B">
        <w:rPr>
          <w:color w:val="000000" w:themeColor="text1"/>
          <w:szCs w:val="16"/>
        </w:rPr>
        <w:t xml:space="preserve"> 9 or less instances of delayed timelines. Delays were attributed to shortages of EI staff, scheduling issues, and weather emergencies.</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July 1, 2021 – June 30, 2022</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This data reflects infants and toddlers from all geographic regions, all 48 Infant/Toddler Early Intervention programs and all infants and toddlers who had an initial evaluation, assessment and initial IFSP meeting in the reporting year.</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22</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22</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In order to verify that the local Early Intervention programs with identified instances of noncompliance were correctly implementing the regulatory requirements for the 45-day timeline for the provision of initial evaluation, assessment and IFSP, BEISFS Advisors reviewed a sample of child records from that EI program. The records were reviewed either through the PELICAN-EI data system or onsite child record review. BEISFS Advisors reviewed the referral date, the evaluation date, and the IFSP date, and any reason for a delay in meeting this timeline in order to determine that the local EI program was correctly implementing the regulatory requirement for the 45-day timeline. In addition to the reviewed child records, local Early Intervention programs submitted a Quality Enhancement Plan (QEP), which was approved by BEISFS, to address correction of all areas of noncompliance. Implementation of the QEP was validated within one year of issuance of the findings report. BEISFS Advisors reviewed documentation of completion of any QEP activities as part of the validation of correction of systemic noncompliance. Documentation included reviewing updated local policies and procedures, documentation of staff training on new procedures, or observations of service delivery as appropriate. BEISFS has verified that all local Early Intervention programs who had identified noncompliance in FFY 2020 are correctly implementing regulatory requirements related to meeting the 45-day timeline for initial evaluations, assessments, and IFSPs, consistent with OSEP Memorandum 09-02, dated October 17, 2008.</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For each individual case of noncompliance, BEISFS Advisors reviewed the record of the identified child, either through the PELICAN-EI data system or onsite record review, and verified that the child received an initial evaluation, assessment, and IFSP if eligible, although late. BEISFS verified that all local Early Intervention programs with individual cases of noncompliance identified in FFY 2020 were provided initial evaluations, assessments, and IFSPs if eligible, unless the child is no longer within the jurisdiction of the Early Intervention program.</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 xml:space="preserve">All instances of noncompliance in FFY 2020 have been corrected within timelines.  </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lastRenderedPageBreak/>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81.00%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98.69%</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98.01%</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97.72%</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97.88%</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98.60%</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10,362</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10,868</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98.60%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98.38%</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330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xml:space="preserve">In FFY 2021, Pennsylvania did not meet targets for Indicator C8a, timely transition planning, although no slippage was noted. </w:t>
      </w:r>
      <w:r w:rsidRPr="00ED172B">
        <w:rPr>
          <w:color w:val="000000" w:themeColor="text1"/>
          <w:szCs w:val="16"/>
        </w:rPr>
        <w:br/>
      </w:r>
      <w:r w:rsidRPr="00ED172B">
        <w:rPr>
          <w:color w:val="000000" w:themeColor="text1"/>
          <w:szCs w:val="16"/>
        </w:rPr>
        <w:br/>
        <w:t>Five EI programs are responsible for 71% of the delayed transition planning. Twenty-one EI programs had five or fewer delayed transition plans, and 22 programs had zero delayed transition plans. Programs with late transition plans were not limited to a specific region of the state.</w:t>
      </w:r>
      <w:r w:rsidRPr="00ED172B">
        <w:rPr>
          <w:color w:val="000000" w:themeColor="text1"/>
          <w:szCs w:val="16"/>
        </w:rPr>
        <w:br/>
      </w:r>
      <w:r w:rsidRPr="00ED172B">
        <w:rPr>
          <w:color w:val="000000" w:themeColor="text1"/>
          <w:szCs w:val="16"/>
        </w:rPr>
        <w:br/>
        <w:t xml:space="preserve">Delays were primarily attributed to staff shortages, scheduling issues, administrative delays, reported higher rates of cancelled or no-show appointments due to COVID-19 concerns, and weather emergencies. Transition planning was also impacted by staff shortages and scheduling issues. </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 xml:space="preserve">July 1, </w:t>
      </w:r>
      <w:proofErr w:type="gramStart"/>
      <w:r w:rsidRPr="00ED172B">
        <w:rPr>
          <w:color w:val="000000" w:themeColor="text1"/>
        </w:rPr>
        <w:t>2021</w:t>
      </w:r>
      <w:proofErr w:type="gramEnd"/>
      <w:r w:rsidRPr="00ED172B">
        <w:rPr>
          <w:color w:val="000000" w:themeColor="text1"/>
        </w:rPr>
        <w:t xml:space="preserve"> to June 30, 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The data reflects infants and toddlers from all geographic regions, 48 infant/toddler early intervention programs and all infant/toddlers who transitioned from the infant/toddler early intervention program.  </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24</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24</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 xml:space="preserve">In order to verify that the local Early Intervention programs with identified instances of noncompliance are correctly implementing the regulatory requirements for the provision of timely transition plans, BEISFS Advisors reviewed a sample of child records from that EI program. The records were reviewed either through the PELICAN-EI data system or onsite child record review. BEISFS Advisors reviewed the date of the transition plan and any reason for a delay in meeting this timeline in order to determine that the local EI program is now correctly implementing the regulatory requirement for timely transition plans. </w:t>
      </w:r>
      <w:r w:rsidRPr="00ED172B">
        <w:rPr>
          <w:color w:val="000000" w:themeColor="text1"/>
        </w:rPr>
        <w:br/>
      </w:r>
      <w:r w:rsidRPr="00ED172B">
        <w:rPr>
          <w:color w:val="000000" w:themeColor="text1"/>
        </w:rPr>
        <w:br/>
        <w:t xml:space="preserve">In addition to a review of child records, local Early Intervention programs submitted a QEP, which is approved by BEISFS, to address correction of all areas of noncompliance. Implementation of the QEPs was validated within one year of issuance of the findings report. BEISFS Advisors reviewed documentation of completion of any QEP activities as part of the validation of correction of systemic noncompliance. Documentation included reviewing updated local policies and procedures, documentation of staff training on new procedures, or observations of service delivery as appropriate. </w:t>
      </w:r>
      <w:r w:rsidRPr="00ED172B">
        <w:rPr>
          <w:color w:val="000000" w:themeColor="text1"/>
        </w:rPr>
        <w:br/>
      </w:r>
      <w:r w:rsidRPr="00ED172B">
        <w:rPr>
          <w:color w:val="000000" w:themeColor="text1"/>
        </w:rPr>
        <w:br/>
        <w:t>BEISFS has verified that all local Early Intervention programs who had identified noncompliance in FFY 2020 are correctly implementing regulatory requirements related to the timely development of transition plans, consistent with OSEP Memorandum 09-02, dated October 17, 2008.</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For each individual case of noncompliance, BEISFS Advisors reviewed the record of the identified child, either through the PELICAN-EI data system or onsite record review, to verify that the child received a transition plan, although late. BEISFS has verified that all local Early Intervention programs with individual cases of noncompliance identified in FFY 2020 have developed transition plans, unless the child is no longer within the jurisdiction of the Early Intervention program.</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All instances of noncompliance in FFY 2020 have been corrected within timelines.</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97.00%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10,868</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10,868</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Data was collected for this indicator for Infant/Toddler Early Intervention through a statewide data collection for the period of July 1, </w:t>
      </w:r>
      <w:proofErr w:type="gramStart"/>
      <w:r w:rsidRPr="00ED172B">
        <w:rPr>
          <w:color w:val="000000" w:themeColor="text1"/>
          <w:szCs w:val="16"/>
        </w:rPr>
        <w:t>2020</w:t>
      </w:r>
      <w:proofErr w:type="gramEnd"/>
      <w:r w:rsidRPr="00ED172B">
        <w:rPr>
          <w:color w:val="000000" w:themeColor="text1"/>
          <w:szCs w:val="16"/>
        </w:rPr>
        <w:t xml:space="preserve"> through June 30, 2021. In Pennsylvania, the eligibility criteria for both Part C and Part B preschool programs are similar. For this reason, all children within Pennsylvania's Part C program are considered potentially eligible for Part B preschool programs.</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July 1, 2021 – June 30, 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The data reflects infants and toddlers from all geographic regions, 48 infant/toddler early intervention programs and all infant/toddlers who transitioned from the infant/toddler early intervention program.</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lastRenderedPageBreak/>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83.00%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98.45%</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98.24%</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97.99%</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96.36%</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98.84%</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8,901</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10,868</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98.84%</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97.84%</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376</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1,364</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In FFY 2021, Pennsylvania did not meet targets for Indicator C8c, timely transition meeting, although no slippage was noted. Further analysis of the child outcome data, both with state-level and local data, was conducted to determine the cause for the slippage.</w:t>
      </w:r>
      <w:r w:rsidRPr="00ED172B">
        <w:rPr>
          <w:color w:val="000000" w:themeColor="text1"/>
          <w:szCs w:val="16"/>
        </w:rPr>
        <w:br/>
      </w:r>
      <w:r w:rsidRPr="00ED172B">
        <w:rPr>
          <w:color w:val="000000" w:themeColor="text1"/>
          <w:szCs w:val="16"/>
        </w:rPr>
        <w:br/>
        <w:t>Five out of the 27 EI programs in noncompliance were responsible for 63% of the delayed transition meetings. Delays were primarily attributed to staff shortages, scheduling issues, administrative delays, and weather emergencies.</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July 1, 2021 – June 30, 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The data reflects infants and toddlers from all geographic regions, 48 infant/toddler early intervention programs and all infant/toddlers who transitioned from the infant/toddler early intervention program.</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27</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27</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In order to verify that the local Early Intervention programs with identified instances of noncompliance were correctly implementing the regulatory requirements for the provision of timely transition conferences, BEISFS Advisors reviewed a sample of child records from that EI program. The records were reviewed either through the PELICAN-EI data system or onsite child record review. BEISFS Advisors reviewed the date of the transition conference and any reason for a delay in meeting this timeline in order to determine that the local EI program was correctly implementing the regulatory requirement for timely transition conferences. In addition to a review of child records, local Early Intervention programs submitted a QEP, which was approved by BEISFS, to address correction of all areas of noncompliance. Implementation of the QEP was validated within one year of issuance of the findings report. BEISFS Advisors reviewed documentation of completion of any QEP activities as part of the validation of correction of systemic noncompliance. Documentation included reviewing updated local policies and procedures, documentation of staff training on new procedures, or observations of service delivery as appropriate. BEISFS has verified that all local Early Intervention programs who had identified noncompliance in FFY 2020 are correctly implementing regulatory requirements related to timely transition conferences, consistent with OSEP Memorandum 09-02, dated October 17, 2008.</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lastRenderedPageBreak/>
        <w:t>For each individual case of noncompliance, BEISFS Advisors reviewed the record of the identified child, either through the PELICAN-EI data system or onsite record review, and verified that the child received a transition conference, although late. BEISFS has verified that all local Early Intervention programs with individual cases of noncompliance identified in FFY 2020 held transition conferences, unless the child was no longer within the jurisdiction of the Early Intervention program.</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All instances of noncompliance in FFY 2020 have been corrected within timelines.</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This indicator is not applicable since Pennsylvania has adopted Part C due process procedures under section 639 of the IDEA.</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5" w:name="_Hlk109646703"/>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6" w:name="_Toc382731916"/>
      <w:bookmarkStart w:id="57"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5"/>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Pennsylvania’s Early Intervention system has two primary stakeholder groups, one with a birth-5-year-old focus, the State Interagency Coordinating Council (SICC), and one with a 3–21-year-old focus, the Special Education Advisory Panel (SEAP). Using these two groups allows BEISFS to gather statewide stakeholder input across all ages and across all geographic regions. The Committee for Stakeholder Engagement (CSE), a workgroup of the SICC, focuses on the review of data and specifically impacts the coordination of the state's birth-5 EI system.  A total of 17 family members participated across the three stakeholder groups (SICC, CSE and SEAP). </w:t>
      </w:r>
      <w:r w:rsidRPr="00ED172B">
        <w:rPr>
          <w:color w:val="000000" w:themeColor="text1"/>
        </w:rPr>
        <w:br/>
      </w:r>
      <w:r w:rsidRPr="00ED172B">
        <w:rPr>
          <w:color w:val="000000" w:themeColor="text1"/>
        </w:rPr>
        <w:br/>
        <w:t xml:space="preserve">Membership in the SICC and CSE is composed of parents (as co-chairs), local program administrators, EI service delivery agencies, Department of Health, legislators, Children’s Health Insurance Program (CHIP), American Academy of Pediatrics, higher education, and a representative of Pennsylvania’s Education for Children and Youth Experiencing Homelessness Program. CSE also includes a representative of The PEAL Center, a Parent Training and Information Center, and the director of Parent to Parent of Pennsylvania and Family Engagement Initiatives.  </w:t>
      </w:r>
      <w:r w:rsidRPr="00ED172B">
        <w:rPr>
          <w:color w:val="000000" w:themeColor="text1"/>
        </w:rPr>
        <w:br/>
      </w:r>
      <w:r w:rsidRPr="00ED172B">
        <w:rPr>
          <w:color w:val="000000" w:themeColor="text1"/>
        </w:rPr>
        <w:br/>
        <w:t xml:space="preserve">BEISFS and EITA met with SEAP, SICC, and CSE to review the annual APR data, including a review of historic data, current year data, targets, and activities implemented during the fiscal year.  SEAP, SICC and CSE made recommendations for changes or additional activities as needed.  This information was used by BEISFS to update its SPP/APR.  The meetings with the SICC and CSE were held on December 1, 2022.  The meeting with SEAP was held on September 23, 2022.  </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100.00%</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r w:rsidRPr="00ED172B">
              <w:rPr>
                <w:color w:val="000000" w:themeColor="text1"/>
              </w:rPr>
              <w:t>0.00%</w:t>
            </w:r>
          </w:p>
        </w:tc>
        <w:tc>
          <w:tcPr>
            <w:tcW w:w="944" w:type="pct"/>
          </w:tcPr>
          <w:p w14:paraId="1309820B" w14:textId="7FA1AFB9" w:rsidR="009E2382" w:rsidRPr="00ED172B" w:rsidRDefault="009E2382" w:rsidP="00C375EA">
            <w:pPr>
              <w:jc w:val="center"/>
              <w:rPr>
                <w:color w:val="000000" w:themeColor="text1"/>
              </w:rPr>
            </w:pPr>
            <w:r>
              <w:rPr>
                <w:rFonts w:cs="Arial"/>
                <w:color w:val="000000" w:themeColor="text1"/>
                <w:szCs w:val="16"/>
              </w:rPr>
              <w:t>0.00%</w:t>
            </w:r>
          </w:p>
        </w:tc>
        <w:tc>
          <w:tcPr>
            <w:tcW w:w="944" w:type="pct"/>
          </w:tcPr>
          <w:p w14:paraId="6ECE8CF3" w14:textId="055095F9" w:rsidR="009E2382" w:rsidRPr="00ED172B" w:rsidRDefault="009E2382" w:rsidP="00C375EA">
            <w:pPr>
              <w:jc w:val="center"/>
              <w:rPr>
                <w:color w:val="000000" w:themeColor="text1"/>
              </w:rPr>
            </w:pPr>
            <w:r w:rsidRPr="005F5F3C">
              <w:rPr>
                <w:rFonts w:cs="Arial"/>
                <w:color w:val="000000" w:themeColor="text1"/>
                <w:szCs w:val="16"/>
              </w:rPr>
              <w:t>0.00%</w:t>
            </w:r>
          </w:p>
        </w:tc>
        <w:tc>
          <w:tcPr>
            <w:tcW w:w="944" w:type="pct"/>
          </w:tcPr>
          <w:p w14:paraId="050245E2" w14:textId="1B636362" w:rsidR="009E2382" w:rsidRPr="00ED172B" w:rsidRDefault="009E2382" w:rsidP="00C375EA">
            <w:pPr>
              <w:jc w:val="center"/>
              <w:rPr>
                <w:color w:val="000000" w:themeColor="text1"/>
              </w:rPr>
            </w:pPr>
            <w:r w:rsidRPr="005F5F3C">
              <w:rPr>
                <w:rFonts w:cs="Arial"/>
                <w:color w:val="000000" w:themeColor="text1"/>
                <w:szCs w:val="16"/>
              </w:rPr>
              <w:t>0.00%</w:t>
            </w:r>
          </w:p>
        </w:tc>
        <w:tc>
          <w:tcPr>
            <w:tcW w:w="944" w:type="pct"/>
          </w:tcPr>
          <w:p w14:paraId="433FAF77" w14:textId="7DB1946D" w:rsidR="009E2382" w:rsidRPr="00ED172B" w:rsidRDefault="009E2382" w:rsidP="00C375EA">
            <w:pPr>
              <w:jc w:val="center"/>
              <w:rPr>
                <w:color w:val="000000" w:themeColor="text1"/>
              </w:rPr>
            </w:pPr>
            <w:r w:rsidRPr="005F5F3C">
              <w:rPr>
                <w:rFonts w:cs="Arial"/>
                <w:color w:val="000000" w:themeColor="text1"/>
                <w:szCs w:val="16"/>
              </w:rPr>
              <w:t>0.00%</w:t>
            </w: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20806" w:rsidP="00320806">
            <w:pPr>
              <w:jc w:val="center"/>
              <w:rPr>
                <w:color w:val="000000" w:themeColor="text1"/>
              </w:rPr>
            </w:pPr>
            <w:r w:rsidRPr="00ED172B">
              <w:rPr>
                <w:color w:val="000000" w:themeColor="text1"/>
              </w:rPr>
              <w:t>0.00%</w:t>
            </w: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6"/>
    <w:bookmarkEnd w:id="57"/>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8" w:name="_Hlk79570511"/>
      <w:r w:rsidRPr="00A40EE1">
        <w:t xml:space="preserve">10 - </w:t>
      </w:r>
      <w:r w:rsidR="00DC0682" w:rsidRPr="00A40EE1">
        <w:t>Prior FFY Required Actions</w:t>
      </w:r>
      <w:bookmarkEnd w:id="58"/>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lastRenderedPageBreak/>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9" w:name="_Hlk109646734"/>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1"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1"/>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59"/>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Families of Infants, toddlers and preschoolers with IFSP/IEPs will have the confidence and capacity to help their children develop the skills needed to succeed in home, community, early childhood, and school settings.</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2"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2"/>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3" w:name="_Hlk109646832"/>
      <w:r w:rsidRPr="00A5616C">
        <w:rPr>
          <w:b/>
          <w:bCs/>
        </w:rPr>
        <w:t>Is the State’s theory of action new or revised since the previous submission? (yes/no)</w:t>
      </w:r>
    </w:p>
    <w:bookmarkEnd w:id="63"/>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https://tiu11.padlet.org/manketell1/SSIP</w:t>
      </w:r>
    </w:p>
    <w:p w14:paraId="7076EF11" w14:textId="77777777" w:rsidR="006A3544" w:rsidRDefault="006A3544" w:rsidP="008517CB">
      <w:pPr>
        <w:rPr>
          <w:b/>
          <w:bCs/>
        </w:rPr>
      </w:pPr>
    </w:p>
    <w:p w14:paraId="106F39B4" w14:textId="77777777" w:rsidR="00A3455E" w:rsidRDefault="00A3455E" w:rsidP="00A3455E">
      <w:pPr>
        <w:pStyle w:val="Subhed"/>
      </w:pPr>
      <w:bookmarkStart w:id="64"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4"/>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2020</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81.17%</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81.50%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82.00%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82.00%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82.50%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83.00%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 Part C and Part B/619 families who SA or VSA with survey item</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 Part C and Part B/629 families who responded to survey item</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11,832</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14,643</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81.17%</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81.50%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80.80%</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 xml:space="preserve">The data source of Pennsylvania’s </w:t>
      </w:r>
      <w:proofErr w:type="spellStart"/>
      <w:r w:rsidRPr="00ED172B">
        <w:rPr>
          <w:color w:val="000000" w:themeColor="text1"/>
        </w:rPr>
        <w:t>SiMR</w:t>
      </w:r>
      <w:proofErr w:type="spellEnd"/>
      <w:r w:rsidRPr="00ED172B">
        <w:rPr>
          <w:color w:val="000000" w:themeColor="text1"/>
        </w:rPr>
        <w:t xml:space="preserve"> is the annual Early Intervention Family Survey that is sent to families of infants, toddlers, and preschoolers in the Early Intervention program.  The survey item used to measure progress on the </w:t>
      </w:r>
      <w:proofErr w:type="spellStart"/>
      <w:r w:rsidRPr="00ED172B">
        <w:rPr>
          <w:color w:val="000000" w:themeColor="text1"/>
        </w:rPr>
        <w:t>SiMR</w:t>
      </w:r>
      <w:proofErr w:type="spellEnd"/>
      <w:r w:rsidRPr="00ED172B">
        <w:rPr>
          <w:color w:val="000000" w:themeColor="text1"/>
        </w:rPr>
        <w:t xml:space="preserve"> is “Early Intervention staff worked with my family to develop ideas and strategies to help my child learn”.  </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Percent = [(# of respondent families participating in Part C and Part B 619 who strongly agree or very strongly agree with the statement “Early Intervention staff worked with my family to develop ideas and strategies to help my child learn”) divided by the respondent families in Part C and Part B 619)] times 100.  </w:t>
      </w:r>
    </w:p>
    <w:p w14:paraId="76D8647E" w14:textId="78CCE65B" w:rsidR="00270F92" w:rsidRDefault="00270F92" w:rsidP="00741E58"/>
    <w:p w14:paraId="3CC869D1" w14:textId="77777777" w:rsidR="00177098" w:rsidRDefault="006D5F86" w:rsidP="006D5F86">
      <w:pPr>
        <w:rPr>
          <w:rFonts w:cs="Arial"/>
          <w:b/>
          <w:bCs/>
        </w:rPr>
      </w:pPr>
      <w:bookmarkStart w:id="65"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5"/>
    <w:p w14:paraId="6A765DFA" w14:textId="1921A02D" w:rsidR="00831891" w:rsidRPr="000123EB" w:rsidRDefault="00831891" w:rsidP="00831891">
      <w:pPr>
        <w:rPr>
          <w:color w:val="000000" w:themeColor="text1"/>
        </w:rPr>
      </w:pPr>
      <w:r w:rsidRPr="00ED172B">
        <w:rPr>
          <w:color w:val="000000" w:themeColor="text1"/>
        </w:rPr>
        <w:lastRenderedPageBreak/>
        <w:t>YES</w:t>
      </w:r>
    </w:p>
    <w:p w14:paraId="67AE1CE1" w14:textId="4AACCFD3" w:rsidR="006D5F86" w:rsidRDefault="007F0DC5" w:rsidP="00741E58">
      <w:pPr>
        <w:rPr>
          <w:rFonts w:cs="Arial"/>
          <w:b/>
          <w:bCs/>
        </w:rPr>
      </w:pPr>
      <w:bookmarkStart w:id="66" w:name="_Hlk109646931"/>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66"/>
    <w:p w14:paraId="20083E9E" w14:textId="002A0498" w:rsidR="006F322B" w:rsidRDefault="006F322B" w:rsidP="006F322B">
      <w:pPr>
        <w:rPr>
          <w:color w:val="000000" w:themeColor="text1"/>
        </w:rPr>
      </w:pPr>
      <w:r w:rsidRPr="00ED172B">
        <w:rPr>
          <w:color w:val="000000" w:themeColor="text1"/>
        </w:rPr>
        <w:t xml:space="preserve">Pennsylvania has collected progress data as described in the SSIP evaluation plan.  </w:t>
      </w:r>
      <w:r w:rsidRPr="00ED172B">
        <w:rPr>
          <w:color w:val="000000" w:themeColor="text1"/>
        </w:rPr>
        <w:br/>
      </w:r>
      <w:r w:rsidRPr="00ED172B">
        <w:rPr>
          <w:color w:val="000000" w:themeColor="text1"/>
        </w:rPr>
        <w:br/>
        <w:t xml:space="preserve">Examples of progress data </w:t>
      </w:r>
      <w:proofErr w:type="gramStart"/>
      <w:r w:rsidRPr="00ED172B">
        <w:rPr>
          <w:color w:val="000000" w:themeColor="text1"/>
        </w:rPr>
        <w:t>include:</w:t>
      </w:r>
      <w:proofErr w:type="gramEnd"/>
      <w:r w:rsidRPr="00ED172B">
        <w:rPr>
          <w:color w:val="000000" w:themeColor="text1"/>
        </w:rPr>
        <w:t xml:space="preserve"> descriptive data of professional development activities, demographic data of families and EI staff participating in EI sessions using coaching strategies, a family self-assessment of skills, ratings of videos of family coaching sessions, and measurement of coaching fidelity.  </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7"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7"/>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68" w:name="_Hlk109646952"/>
      <w:r w:rsidRPr="00FC7972">
        <w:rPr>
          <w:b/>
          <w:bCs/>
        </w:rPr>
        <w:t>Did the State identify any data quality concerns directly related to the COVID-19 pandemic during the reporting period? (yes/no)</w:t>
      </w:r>
    </w:p>
    <w:bookmarkEnd w:id="68"/>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https://tiu11.padlet.org/manketell1/SSIP</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69" w:name="_Hlk109647010"/>
      <w:r w:rsidRPr="008E5E4F">
        <w:rPr>
          <w:rFonts w:cs="Arial"/>
          <w:b/>
          <w:szCs w:val="16"/>
        </w:rPr>
        <w:t>Provide a summary of each infrastructure improvement strategy implemented in the reporting period.</w:t>
      </w:r>
    </w:p>
    <w:bookmarkEnd w:id="69"/>
    <w:p w14:paraId="25F98C7D" w14:textId="49E84F34" w:rsidR="00EE4E0F" w:rsidRPr="009A49C9" w:rsidRDefault="00EE4E0F" w:rsidP="00EE4E0F">
      <w:pPr>
        <w:rPr>
          <w:b/>
          <w:bCs/>
        </w:rPr>
      </w:pPr>
      <w:r w:rsidRPr="00ED172B">
        <w:rPr>
          <w:color w:val="000000" w:themeColor="text1"/>
        </w:rPr>
        <w:t>Overall PD Strategies</w:t>
      </w:r>
      <w:r w:rsidRPr="00ED172B">
        <w:rPr>
          <w:color w:val="000000" w:themeColor="text1"/>
        </w:rPr>
        <w:br/>
      </w:r>
      <w:r w:rsidRPr="00ED172B">
        <w:rPr>
          <w:color w:val="000000" w:themeColor="text1"/>
        </w:rPr>
        <w:br/>
        <w:t>- In FFY 2021, 424 PD coaching events were held. In all, 3,436 EI staff participated in these events.</w:t>
      </w:r>
      <w:r w:rsidRPr="00ED172B">
        <w:rPr>
          <w:color w:val="000000" w:themeColor="text1"/>
        </w:rPr>
        <w:br/>
        <w:t xml:space="preserve">- The Coaching Corner, an online monthly newsletter, has 424 subscribers. </w:t>
      </w:r>
      <w:r w:rsidRPr="00ED172B">
        <w:rPr>
          <w:color w:val="000000" w:themeColor="text1"/>
        </w:rPr>
        <w:br/>
        <w:t>- Online materials and videos have been developed and posted to the EITA Portal at https://www.eita-pa.org/coaching-across-settings/</w:t>
      </w:r>
      <w:r w:rsidRPr="00ED172B">
        <w:rPr>
          <w:color w:val="000000" w:themeColor="text1"/>
        </w:rPr>
        <w:br/>
      </w:r>
      <w:r w:rsidRPr="00ED172B">
        <w:rPr>
          <w:color w:val="000000" w:themeColor="text1"/>
        </w:rPr>
        <w:br/>
        <w:t>1. PD for Infant Toddler EI Programs in the Exploration Phase</w:t>
      </w:r>
      <w:r w:rsidRPr="00ED172B">
        <w:rPr>
          <w:color w:val="000000" w:themeColor="text1"/>
        </w:rPr>
        <w:br/>
      </w:r>
      <w:r w:rsidRPr="00ED172B">
        <w:rPr>
          <w:color w:val="000000" w:themeColor="text1"/>
        </w:rPr>
        <w:br/>
        <w:t>- 9 Infant Toddler EI Programs (Cohort 4) began the Exploration Phase</w:t>
      </w:r>
      <w:r w:rsidRPr="00ED172B">
        <w:rPr>
          <w:color w:val="000000" w:themeColor="text1"/>
        </w:rPr>
        <w:br/>
        <w:t>- All 9 EI programs convened a Core Leadership Team. All members participated in 4 webinars on coaching, held monthly meetings, conducted a local needs assessment, and developed an action plan.</w:t>
      </w:r>
      <w:r w:rsidRPr="00ED172B">
        <w:rPr>
          <w:color w:val="000000" w:themeColor="text1"/>
        </w:rPr>
        <w:br/>
        <w:t>- Each CLT identified 5 EI Staff to receive training EI Coach during the Installation Phase</w:t>
      </w:r>
      <w:r w:rsidRPr="00ED172B">
        <w:rPr>
          <w:color w:val="000000" w:themeColor="text1"/>
        </w:rPr>
        <w:br/>
      </w:r>
      <w:r w:rsidRPr="00ED172B">
        <w:rPr>
          <w:color w:val="000000" w:themeColor="text1"/>
        </w:rPr>
        <w:br/>
        <w:t xml:space="preserve">2. PD for Infant Toddler EI Programs in the Installation Phase </w:t>
      </w:r>
      <w:r w:rsidRPr="00ED172B">
        <w:rPr>
          <w:color w:val="000000" w:themeColor="text1"/>
        </w:rPr>
        <w:br/>
      </w:r>
      <w:r w:rsidRPr="00ED172B">
        <w:rPr>
          <w:color w:val="000000" w:themeColor="text1"/>
        </w:rPr>
        <w:br/>
        <w:t xml:space="preserve">- 11 Infant Toddler EI programs (Cohort 3) began the Installation Phase </w:t>
      </w:r>
      <w:r w:rsidRPr="00ED172B">
        <w:rPr>
          <w:color w:val="000000" w:themeColor="text1"/>
        </w:rPr>
        <w:br/>
        <w:t xml:space="preserve">- All 11 CLTs continued to meet and attend training webinars with EI Staff in training to be an EI Coach. </w:t>
      </w:r>
      <w:r w:rsidRPr="00ED172B">
        <w:rPr>
          <w:color w:val="000000" w:themeColor="text1"/>
        </w:rPr>
        <w:br/>
        <w:t>- EI Staff, participated in a Welcome Webinar, completed the nine-hour SS-OO-PP-RR and 5Q online modules, and four Applying Knowledge Webinars.</w:t>
      </w:r>
      <w:r w:rsidRPr="00ED172B">
        <w:rPr>
          <w:color w:val="000000" w:themeColor="text1"/>
        </w:rPr>
        <w:br/>
        <w:t xml:space="preserve">- The average pre-test score for EI Staff taking the FGRBI modules was 43.6%. The average post score was 84.8%. </w:t>
      </w:r>
      <w:r w:rsidRPr="00ED172B">
        <w:rPr>
          <w:color w:val="000000" w:themeColor="text1"/>
        </w:rPr>
        <w:br/>
        <w:t xml:space="preserve">- 92.6% of the EI Staff participating in the Applying Knowledge Webinars agreed that “Focusing on the specific practices and principles of the Key Indicators helped me to apply them to my own practice.” </w:t>
      </w:r>
      <w:r w:rsidRPr="00ED172B">
        <w:rPr>
          <w:color w:val="000000" w:themeColor="text1"/>
        </w:rPr>
        <w:br/>
        <w:t xml:space="preserve">- 87.7% of the EI Staff participating in the online modules agree that “The FGBRI online modules as a component of the Installation PD process contributed to or reinforced my learning.” </w:t>
      </w:r>
      <w:r w:rsidRPr="00ED172B">
        <w:rPr>
          <w:color w:val="000000" w:themeColor="text1"/>
        </w:rPr>
        <w:br/>
        <w:t xml:space="preserve">- EI Staff participated in Professional Learning Communities (PLC) where they shared video clips of their coaching practice and received feedback on skills development. </w:t>
      </w:r>
      <w:r w:rsidRPr="00ED172B">
        <w:rPr>
          <w:color w:val="000000" w:themeColor="text1"/>
        </w:rPr>
        <w:br/>
        <w:t xml:space="preserve">- Of the 71 EI Staff participating in the PLCs, 83.1% rated the overall PLC experience (monthly content webinars with video discussion as Excellent or Very Good. In addition, 100% of participants rated the PLC as a component of the installation PD process contributed to my understanding of FGRBI and coaching using the Key Indicators with families as Excellent or Very Good. </w:t>
      </w:r>
      <w:r w:rsidRPr="00ED172B">
        <w:rPr>
          <w:color w:val="000000" w:themeColor="text1"/>
        </w:rPr>
        <w:br/>
        <w:t xml:space="preserve">- Two Provider Coaches were trained to facilitate PLC sessions (December to May 2022). </w:t>
      </w:r>
      <w:r w:rsidRPr="00ED172B">
        <w:rPr>
          <w:color w:val="000000" w:themeColor="text1"/>
        </w:rPr>
        <w:br/>
        <w:t>- 25 EI Staff participating in the PD sequence at the Installation Phase reached fidelity as an Early Intervention Coach by October 2022.</w:t>
      </w:r>
      <w:r w:rsidRPr="00ED172B">
        <w:rPr>
          <w:color w:val="000000" w:themeColor="text1"/>
        </w:rPr>
        <w:br/>
        <w:t xml:space="preserve">- From the pool of EI Staff who reached fidelity as an EI Coach, the CLTs nominated 8 EI Coaches to receive training to achieve fidelity as a Provider Trainee Coach. </w:t>
      </w:r>
      <w:r w:rsidRPr="00ED172B">
        <w:rPr>
          <w:color w:val="000000" w:themeColor="text1"/>
        </w:rPr>
        <w:br/>
      </w:r>
      <w:r w:rsidRPr="00ED172B">
        <w:rPr>
          <w:color w:val="000000" w:themeColor="text1"/>
        </w:rPr>
        <w:br/>
        <w:t xml:space="preserve">3. PD for Infant Toddler EI Programs in the Implementation Phase </w:t>
      </w:r>
      <w:r w:rsidRPr="00ED172B">
        <w:rPr>
          <w:color w:val="000000" w:themeColor="text1"/>
        </w:rPr>
        <w:br/>
      </w:r>
      <w:r w:rsidRPr="00ED172B">
        <w:rPr>
          <w:color w:val="000000" w:themeColor="text1"/>
        </w:rPr>
        <w:br/>
        <w:t xml:space="preserve">- 19 Infant Toddler EI Programs (Cohorts 1 &amp; 2) participated in the Implementation Phase. </w:t>
      </w:r>
      <w:r w:rsidRPr="00ED172B">
        <w:rPr>
          <w:color w:val="000000" w:themeColor="text1"/>
        </w:rPr>
        <w:br/>
        <w:t>- All 19 CLTs continued to meet on a monthly basis and attend webinars.</w:t>
      </w:r>
      <w:r w:rsidRPr="00ED172B">
        <w:rPr>
          <w:color w:val="000000" w:themeColor="text1"/>
        </w:rPr>
        <w:br/>
        <w:t xml:space="preserve">- The Provider Trainee Coaches who achieved fidelity in scoring coaching videos on the FGRBI Key Indicators conducted monthly coaching feedback sessions with EI Staff in their county. </w:t>
      </w:r>
      <w:r w:rsidRPr="00ED172B">
        <w:rPr>
          <w:color w:val="000000" w:themeColor="text1"/>
        </w:rPr>
        <w:br/>
        <w:t>- All 6 Trainee Coaches in Cohort 1 achieved fidelity as Provider Coaches in November 2021. In May 2022, one of the Provider Coaches achieved fidelity as a Master Coach.</w:t>
      </w:r>
      <w:r w:rsidRPr="00ED172B">
        <w:rPr>
          <w:color w:val="000000" w:themeColor="text1"/>
        </w:rPr>
        <w:br/>
        <w:t>- Trainee Coach Cohort 2 attended monthly webinars with Master Coaches (November 2021 to June 2022) to develop skills in providing feedback session with EI Staff. This included becoming reliable in Key Indicators of FGRBI in video examples submitted by EI Staff</w:t>
      </w:r>
      <w:r w:rsidRPr="00ED172B">
        <w:rPr>
          <w:color w:val="000000" w:themeColor="text1"/>
        </w:rPr>
        <w:br/>
        <w:t>- An average of 30 EI Staff who reached fidelity as PA Early Intervention Coaches attend monthly Building Capacity Webinars with Master Coaches (August 2021 to June 30</w:t>
      </w:r>
      <w:proofErr w:type="gramStart"/>
      <w:r w:rsidRPr="00ED172B">
        <w:rPr>
          <w:color w:val="000000" w:themeColor="text1"/>
        </w:rPr>
        <w:t xml:space="preserve"> 2022</w:t>
      </w:r>
      <w:proofErr w:type="gramEnd"/>
      <w:r w:rsidRPr="00ED172B">
        <w:rPr>
          <w:color w:val="000000" w:themeColor="text1"/>
        </w:rPr>
        <w:t>). Participants consistently rate “the engagement of the webinar and opportunities to interact” as Excellent or Very Good.</w:t>
      </w:r>
      <w:r w:rsidRPr="00ED172B">
        <w:rPr>
          <w:color w:val="000000" w:themeColor="text1"/>
        </w:rPr>
        <w:br/>
        <w:t>- An additional 52 Early Interventionists reached fidelity as an Early Intervention Coach through coaching sessions with the Trainee Coaches, Provider Coaches, Master Coaches by June 30, 2022.</w:t>
      </w:r>
      <w:r w:rsidRPr="00ED172B">
        <w:rPr>
          <w:color w:val="000000" w:themeColor="text1"/>
        </w:rPr>
        <w:br/>
      </w:r>
      <w:r w:rsidRPr="00ED172B">
        <w:rPr>
          <w:color w:val="000000" w:themeColor="text1"/>
        </w:rPr>
        <w:br/>
        <w:t>Governance and Accountability</w:t>
      </w:r>
      <w:r w:rsidRPr="00ED172B">
        <w:rPr>
          <w:color w:val="000000" w:themeColor="text1"/>
        </w:rPr>
        <w:br/>
      </w:r>
      <w:r w:rsidRPr="00ED172B">
        <w:rPr>
          <w:color w:val="000000" w:themeColor="text1"/>
        </w:rPr>
        <w:lastRenderedPageBreak/>
        <w:br/>
        <w:t xml:space="preserve">1. Develop guidance documents and activities to better support coaching </w:t>
      </w:r>
      <w:r w:rsidRPr="00ED172B">
        <w:rPr>
          <w:color w:val="000000" w:themeColor="text1"/>
        </w:rPr>
        <w:br/>
      </w:r>
      <w:r w:rsidRPr="00ED172B">
        <w:rPr>
          <w:color w:val="000000" w:themeColor="text1"/>
        </w:rPr>
        <w:br/>
        <w:t xml:space="preserve">- BEISFS continues to disseminate and enforce the guidance document called "EI Service Delivery: Coaching Across Settings". </w:t>
      </w:r>
      <w:r w:rsidRPr="00ED172B">
        <w:rPr>
          <w:color w:val="000000" w:themeColor="text1"/>
        </w:rPr>
        <w:br/>
        <w:t xml:space="preserve">- A 1-hour online course, which reviews the requirements of the guidance document, was developed and posted online in August 2021. BEISFS continues to monitor that all EI programs direct service and administrative staff have completed the course. </w:t>
      </w:r>
      <w:r w:rsidRPr="00ED172B">
        <w:rPr>
          <w:color w:val="000000" w:themeColor="text1"/>
        </w:rPr>
        <w:br/>
        <w:t>- Additional webinars and online objects on different aspects of coaching have been developed and posted to the EITA Portal at https://www.eita-pa.org/coaching-across-settings/</w:t>
      </w:r>
      <w:r w:rsidRPr="00ED172B">
        <w:rPr>
          <w:color w:val="000000" w:themeColor="text1"/>
        </w:rPr>
        <w:br/>
        <w:t xml:space="preserve"> - Updates to the EI Provider Registry to allow for uploading training certificates to document completion of the EI service delivery course, to identify EI staff who have reached fidelity, and other upgrades to the online registry have continued. </w:t>
      </w:r>
      <w:r w:rsidRPr="00ED172B">
        <w:rPr>
          <w:color w:val="000000" w:themeColor="text1"/>
        </w:rPr>
        <w:br/>
      </w:r>
      <w:r w:rsidRPr="00ED172B">
        <w:rPr>
          <w:color w:val="000000" w:themeColor="text1"/>
        </w:rPr>
        <w:br/>
        <w:t>2. Continue to Hold Coaching Executive Meetings</w:t>
      </w:r>
      <w:r w:rsidRPr="00ED172B">
        <w:rPr>
          <w:color w:val="000000" w:themeColor="text1"/>
        </w:rPr>
        <w:br/>
        <w:t xml:space="preserve"> </w:t>
      </w:r>
      <w:r w:rsidRPr="00ED172B">
        <w:rPr>
          <w:color w:val="000000" w:themeColor="text1"/>
        </w:rPr>
        <w:br/>
        <w:t xml:space="preserve">- Nine Coaching Executive Meetings were held in FFY 2021. </w:t>
      </w:r>
      <w:r w:rsidRPr="00ED172B">
        <w:rPr>
          <w:color w:val="000000" w:themeColor="text1"/>
        </w:rPr>
        <w:br/>
        <w:t xml:space="preserve">- A Capacity Assessment, focused on Pennsylvania’s capacity to implement and sustain coaching efforts was completed by staff from the National Implementation Resource Network (NIRN). </w:t>
      </w:r>
      <w:r w:rsidRPr="00ED172B">
        <w:rPr>
          <w:color w:val="000000" w:themeColor="text1"/>
        </w:rPr>
        <w:br/>
      </w:r>
      <w:r w:rsidRPr="00ED172B">
        <w:rPr>
          <w:color w:val="000000" w:themeColor="text1"/>
        </w:rPr>
        <w:br/>
        <w:t>3. Coordination of Coaching Implementation Efforts with Partners</w:t>
      </w:r>
      <w:r w:rsidRPr="00ED172B">
        <w:rPr>
          <w:color w:val="000000" w:themeColor="text1"/>
        </w:rPr>
        <w:br/>
      </w:r>
      <w:r w:rsidRPr="00ED172B">
        <w:rPr>
          <w:color w:val="000000" w:themeColor="text1"/>
        </w:rPr>
        <w:br/>
        <w:t xml:space="preserve">- BEISFS Executive staff and EITA Coaching staff are collaborating with the Pennsylvania Department of Education, Bureau of Special Education in applying for the State Professional Development Grant (SPDG). This SPDG competition is focused on the collaboration between the Part C program and the school-age Part B program. The PD activities in the Part C and Preschool Part B programs will focus on providing additional support to coaching efforts. </w:t>
      </w:r>
      <w:r w:rsidRPr="00ED172B">
        <w:rPr>
          <w:color w:val="000000" w:themeColor="text1"/>
        </w:rPr>
        <w:br/>
        <w:t xml:space="preserve">- Pennsylvania’s Part C and Preschool Part B Coordinator, Lisa Parker, will serve as a co-principal investigator for the SPDG if awarded. </w:t>
      </w:r>
      <w:r w:rsidRPr="00ED172B">
        <w:rPr>
          <w:color w:val="000000" w:themeColor="text1"/>
        </w:rPr>
        <w:br/>
        <w:t xml:space="preserve">- If awarded, funding from the SPDG will support national experts, provide stipends for EI staff who reach fidelity, and stipends for EC staff participating in PD activities for preschool coaching. </w:t>
      </w:r>
      <w:r w:rsidRPr="00ED172B">
        <w:rPr>
          <w:color w:val="000000" w:themeColor="text1"/>
        </w:rPr>
        <w:br/>
        <w:t xml:space="preserve">- EITA contracted with the NIRN to provide PD activities for BEISFS advisors and EITA Consultants. NIRN provided a two-day overview of Implementation Science Principles in October 2021. In addition, 10 BEISFS advisors and EITA consultants participated in twice monthly PD sessions with NIRN staff from October 2021 to September 2022. </w:t>
      </w:r>
      <w:r w:rsidRPr="00ED172B">
        <w:rPr>
          <w:color w:val="000000" w:themeColor="text1"/>
        </w:rPr>
        <w:br/>
      </w:r>
      <w:r w:rsidRPr="00ED172B">
        <w:rPr>
          <w:color w:val="000000" w:themeColor="text1"/>
        </w:rPr>
        <w:br/>
        <w:t>4. Update verification/monitoring tool to better support coaching efforts</w:t>
      </w:r>
      <w:r w:rsidRPr="00ED172B">
        <w:rPr>
          <w:color w:val="000000" w:themeColor="text1"/>
        </w:rPr>
        <w:br/>
        <w:t xml:space="preserve"> </w:t>
      </w:r>
      <w:r w:rsidRPr="00ED172B">
        <w:rPr>
          <w:color w:val="000000" w:themeColor="text1"/>
        </w:rPr>
        <w:br/>
        <w:t xml:space="preserve">- The process for reviewing the EI verification tool and process and identify strategies to incorporate accountability for coaching goals was begun in FFY 2021. </w:t>
      </w:r>
      <w:r w:rsidRPr="00ED172B">
        <w:rPr>
          <w:color w:val="000000" w:themeColor="text1"/>
        </w:rPr>
        <w:br/>
      </w:r>
      <w:r w:rsidRPr="00ED172B">
        <w:rPr>
          <w:color w:val="000000" w:themeColor="text1"/>
        </w:rPr>
        <w:br/>
      </w:r>
      <w:r w:rsidRPr="00ED172B">
        <w:rPr>
          <w:color w:val="000000" w:themeColor="text1"/>
        </w:rPr>
        <w:br/>
        <w:t>5. Continue to Engage Stakeholders in Coaching Efforts</w:t>
      </w:r>
      <w:r w:rsidRPr="00ED172B">
        <w:rPr>
          <w:color w:val="000000" w:themeColor="text1"/>
        </w:rPr>
        <w:br/>
      </w:r>
      <w:r w:rsidRPr="00ED172B">
        <w:rPr>
          <w:color w:val="000000" w:themeColor="text1"/>
        </w:rPr>
        <w:br/>
        <w:t xml:space="preserve">- In FFY 2021, meetings with CSE meetings were held in April and June 2022. CSE reviewed new policies, new materials, PD schedules, and implementation data. They provided feedback to the Coaching Initiative team. </w:t>
      </w:r>
      <w:r w:rsidRPr="00ED172B">
        <w:rPr>
          <w:color w:val="000000" w:themeColor="text1"/>
        </w:rPr>
        <w:br/>
        <w:t xml:space="preserve">- BEISFS staff continued to meet with other stakeholder groups, including the SICC, SEAP, Pennsylvania Association of Intermediate Units, County Commissioners Association of Pennsylvania, and EI provider associations. Meetings focus on providing updates on coaching activities and gathering feedback on planned implementation activities. </w:t>
      </w:r>
      <w:r w:rsidRPr="00ED172B">
        <w:rPr>
          <w:color w:val="000000" w:themeColor="text1"/>
        </w:rPr>
        <w:br/>
      </w:r>
      <w:r w:rsidRPr="00ED172B">
        <w:rPr>
          <w:color w:val="000000" w:themeColor="text1"/>
        </w:rPr>
        <w:br/>
      </w:r>
      <w:r w:rsidRPr="00ED172B">
        <w:rPr>
          <w:color w:val="000000" w:themeColor="text1"/>
        </w:rPr>
        <w:br/>
        <w:t>Family Engagement in Coaching Activities</w:t>
      </w:r>
      <w:r w:rsidRPr="00ED172B">
        <w:rPr>
          <w:color w:val="000000" w:themeColor="text1"/>
        </w:rPr>
        <w:br/>
      </w:r>
      <w:r w:rsidRPr="00ED172B">
        <w:rPr>
          <w:color w:val="000000" w:themeColor="text1"/>
        </w:rPr>
        <w:br/>
        <w:t>1.</w:t>
      </w:r>
      <w:r w:rsidRPr="00ED172B">
        <w:rPr>
          <w:color w:val="000000" w:themeColor="text1"/>
        </w:rPr>
        <w:tab/>
        <w:t xml:space="preserve">Continue to provide information to families in EI on the effectiveness of the coaching roll out. </w:t>
      </w:r>
      <w:r w:rsidRPr="00ED172B">
        <w:rPr>
          <w:color w:val="000000" w:themeColor="text1"/>
        </w:rPr>
        <w:br/>
      </w:r>
      <w:r w:rsidRPr="00ED172B">
        <w:rPr>
          <w:color w:val="000000" w:themeColor="text1"/>
        </w:rPr>
        <w:br/>
        <w:t xml:space="preserve">- New materials on coaching, its goals, and its impact on EI services and child development are under development. Online videos on the EITA Portal </w:t>
      </w:r>
      <w:proofErr w:type="gramStart"/>
      <w:r w:rsidRPr="00ED172B">
        <w:rPr>
          <w:color w:val="000000" w:themeColor="text1"/>
        </w:rPr>
        <w:t>(.https://www.eita-pa.org/coaching-across-settings/</w:t>
      </w:r>
      <w:proofErr w:type="gramEnd"/>
      <w:r w:rsidRPr="00ED172B">
        <w:rPr>
          <w:color w:val="000000" w:themeColor="text1"/>
        </w:rPr>
        <w:t xml:space="preserve">) highlight the perspective of Pennsylvania families </w:t>
      </w:r>
      <w:r w:rsidRPr="00ED172B">
        <w:rPr>
          <w:color w:val="000000" w:themeColor="text1"/>
        </w:rPr>
        <w:br/>
      </w:r>
      <w:r w:rsidRPr="00ED172B">
        <w:rPr>
          <w:color w:val="000000" w:themeColor="text1"/>
        </w:rPr>
        <w:br/>
        <w:t>2. Collect data from family members receiving EI services using coaching</w:t>
      </w:r>
      <w:r w:rsidRPr="00ED172B">
        <w:rPr>
          <w:color w:val="000000" w:themeColor="text1"/>
        </w:rPr>
        <w:br/>
      </w:r>
      <w:r w:rsidRPr="00ED172B">
        <w:rPr>
          <w:color w:val="000000" w:themeColor="text1"/>
        </w:rPr>
        <w:br/>
        <w:t>- A coaching evaluation tool has been designed to gather input from families who are receiving EI services from trainee coaches working toward reaching fidelity as an EI Coach or Provider Coach. An evaluation plan for dissemination, monitoring and data analysis is in process.</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0"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0"/>
    <w:p w14:paraId="6C845F06" w14:textId="7D9487AF" w:rsidR="000379F6" w:rsidRDefault="00717461" w:rsidP="006237B0">
      <w:pPr>
        <w:rPr>
          <w:rFonts w:cs="Arial"/>
          <w:b/>
          <w:bCs/>
        </w:rPr>
      </w:pPr>
      <w:r w:rsidRPr="00ED172B">
        <w:rPr>
          <w:color w:val="000000" w:themeColor="text1"/>
        </w:rPr>
        <w:t xml:space="preserve">The short-term outcomes for the three areas of systems framework achieved in FFY 2021, Governance, Professional Development and Family Engagement, have been described in the previous section. </w:t>
      </w:r>
      <w:r w:rsidRPr="00ED172B">
        <w:rPr>
          <w:color w:val="000000" w:themeColor="text1"/>
        </w:rPr>
        <w:br/>
      </w:r>
      <w:r w:rsidRPr="00ED172B">
        <w:rPr>
          <w:color w:val="000000" w:themeColor="text1"/>
        </w:rPr>
        <w:br/>
        <w:t xml:space="preserve">The Active Implementation Science model, one of the evidence-based practices being implemented through </w:t>
      </w:r>
      <w:proofErr w:type="spellStart"/>
      <w:r w:rsidRPr="00ED172B">
        <w:rPr>
          <w:color w:val="000000" w:themeColor="text1"/>
        </w:rPr>
        <w:t>SiMR</w:t>
      </w:r>
      <w:proofErr w:type="spellEnd"/>
      <w:r w:rsidRPr="00ED172B">
        <w:rPr>
          <w:color w:val="000000" w:themeColor="text1"/>
        </w:rPr>
        <w:t xml:space="preserve"> activities, describes the Implementation Drivers that are key to ensuring positive outcomes from systems change activities. Effective implementation can be assured by addressing Competency Drivers (selection, training, and coaching), Leadership, and Organizational Drivers (systems interventions, facilitative administration, and decision support data systems). </w:t>
      </w:r>
      <w:r w:rsidRPr="00ED172B">
        <w:rPr>
          <w:color w:val="000000" w:themeColor="text1"/>
        </w:rPr>
        <w:br/>
      </w:r>
      <w:r w:rsidRPr="00ED172B">
        <w:rPr>
          <w:color w:val="000000" w:themeColor="text1"/>
        </w:rPr>
        <w:br/>
        <w:t xml:space="preserve">Pennsylvania’s </w:t>
      </w:r>
      <w:proofErr w:type="spellStart"/>
      <w:r w:rsidRPr="00ED172B">
        <w:rPr>
          <w:color w:val="000000" w:themeColor="text1"/>
        </w:rPr>
        <w:t>SiMR</w:t>
      </w:r>
      <w:proofErr w:type="spellEnd"/>
      <w:r w:rsidRPr="00ED172B">
        <w:rPr>
          <w:color w:val="000000" w:themeColor="text1"/>
        </w:rPr>
        <w:t xml:space="preserve"> was designed to ‘map’ the Implementation Science Drivers to infrastructure improvement activities: Competency Drivers to the Professional Development infrastructure area and Leadership and Organizational Drivers to the Guidance and Accountability infrastructure area. Pennsylvania has added a third infrastructure area, Family Engagement, to ensure that family members, as key stakeholders in the shift to the use of coaching as the universal strategy for delivering EI services, are provided with information about the </w:t>
      </w:r>
      <w:proofErr w:type="spellStart"/>
      <w:r w:rsidRPr="00ED172B">
        <w:rPr>
          <w:color w:val="000000" w:themeColor="text1"/>
        </w:rPr>
        <w:t>SiMR</w:t>
      </w:r>
      <w:proofErr w:type="spellEnd"/>
      <w:r w:rsidRPr="00ED172B">
        <w:rPr>
          <w:color w:val="000000" w:themeColor="text1"/>
        </w:rPr>
        <w:t xml:space="preserve"> activities and opportunities for feedback. </w:t>
      </w:r>
      <w:r w:rsidRPr="00ED172B">
        <w:rPr>
          <w:color w:val="000000" w:themeColor="text1"/>
        </w:rPr>
        <w:br/>
      </w:r>
      <w:r w:rsidRPr="00ED172B">
        <w:rPr>
          <w:color w:val="000000" w:themeColor="text1"/>
        </w:rPr>
        <w:br/>
        <w:t xml:space="preserve">The second evidence-based practice, coaching using the FGRBI model, also supports systems change activities within the Professional Development </w:t>
      </w:r>
      <w:r w:rsidRPr="00ED172B">
        <w:rPr>
          <w:color w:val="000000" w:themeColor="text1"/>
        </w:rPr>
        <w:lastRenderedPageBreak/>
        <w:t xml:space="preserve">infrastructure area. The FGRBI model includes a professional development curriculum that is based on adult learning principles and well-researched fidelity measures that will ensure the quality of EI services provided through a coaching model. </w:t>
      </w:r>
    </w:p>
    <w:p w14:paraId="372876BC" w14:textId="75D5A78F" w:rsidR="009C2256" w:rsidRDefault="009C2256" w:rsidP="009C2256">
      <w:pPr>
        <w:rPr>
          <w:rFonts w:cs="Arial"/>
          <w:b/>
          <w:bCs/>
        </w:rPr>
      </w:pPr>
      <w:bookmarkStart w:id="71"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1"/>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2" w:name="_Hlk109647038"/>
      <w:r w:rsidRPr="00EB4B7B">
        <w:rPr>
          <w:rFonts w:cs="Arial"/>
          <w:b/>
          <w:bCs/>
        </w:rPr>
        <w:t xml:space="preserve">Provide a summary of the next steps for each infrastructure improvement strategy and the anticipated outcomes to be attained during the next reporting period. </w:t>
      </w:r>
    </w:p>
    <w:bookmarkEnd w:id="72"/>
    <w:p w14:paraId="2B44D59F" w14:textId="71C78214" w:rsidR="00370225" w:rsidRPr="005137B6" w:rsidRDefault="00370225" w:rsidP="00370225">
      <w:pPr>
        <w:rPr>
          <w:b/>
          <w:bCs/>
        </w:rPr>
      </w:pPr>
      <w:r w:rsidRPr="00ED172B">
        <w:rPr>
          <w:color w:val="000000" w:themeColor="text1"/>
        </w:rPr>
        <w:t xml:space="preserve">The following activities for each infrastructure improvement strategy are anticipated to be attained in FFY 2021. </w:t>
      </w:r>
      <w:r w:rsidRPr="00ED172B">
        <w:rPr>
          <w:color w:val="000000" w:themeColor="text1"/>
        </w:rPr>
        <w:br/>
      </w:r>
      <w:r w:rsidRPr="00ED172B">
        <w:rPr>
          <w:color w:val="000000" w:themeColor="text1"/>
        </w:rPr>
        <w:br/>
        <w:t>Professional Development and Coaching Support Activities</w:t>
      </w:r>
      <w:r w:rsidRPr="00ED172B">
        <w:rPr>
          <w:color w:val="000000" w:themeColor="text1"/>
        </w:rPr>
        <w:br/>
      </w:r>
      <w:r w:rsidRPr="00ED172B">
        <w:rPr>
          <w:color w:val="000000" w:themeColor="text1"/>
        </w:rPr>
        <w:br/>
        <w:t>1.  PD for Infant Toddler EI Programs in the Exploration Phase</w:t>
      </w:r>
      <w:r w:rsidRPr="00ED172B">
        <w:rPr>
          <w:color w:val="000000" w:themeColor="text1"/>
        </w:rPr>
        <w:br/>
        <w:t xml:space="preserve"> </w:t>
      </w:r>
      <w:r w:rsidRPr="00ED172B">
        <w:rPr>
          <w:color w:val="000000" w:themeColor="text1"/>
        </w:rPr>
        <w:br/>
        <w:t>- Ten Infant Toddler EI programs (Cohort 5) will begin the PD sequence in the Exploration Phase</w:t>
      </w:r>
      <w:r w:rsidRPr="00ED172B">
        <w:rPr>
          <w:color w:val="000000" w:themeColor="text1"/>
        </w:rPr>
        <w:br/>
        <w:t>- Each Infant Toddler program will identify Core Leadership Team members and begin CLT activities</w:t>
      </w:r>
      <w:r w:rsidRPr="00ED172B">
        <w:rPr>
          <w:color w:val="000000" w:themeColor="text1"/>
        </w:rPr>
        <w:br/>
      </w:r>
      <w:r w:rsidRPr="00ED172B">
        <w:rPr>
          <w:color w:val="000000" w:themeColor="text1"/>
        </w:rPr>
        <w:br/>
        <w:t xml:space="preserve">2.  PD for Infant Toddler EI Programs in the Installation Phase </w:t>
      </w:r>
      <w:r w:rsidRPr="00ED172B">
        <w:rPr>
          <w:color w:val="000000" w:themeColor="text1"/>
        </w:rPr>
        <w:br/>
      </w:r>
      <w:r w:rsidRPr="00ED172B">
        <w:rPr>
          <w:color w:val="000000" w:themeColor="text1"/>
        </w:rPr>
        <w:br/>
        <w:t xml:space="preserve">- Nine Infant Toddler EI Programs (Cohort 4) will begin the Installation Phase PD sequence. </w:t>
      </w:r>
      <w:r w:rsidRPr="00ED172B">
        <w:rPr>
          <w:color w:val="000000" w:themeColor="text1"/>
        </w:rPr>
        <w:br/>
        <w:t xml:space="preserve">- The Early Interventionists who were nominated to be trained as EI Coaches will begin the Installation PD series. </w:t>
      </w:r>
      <w:r w:rsidRPr="00ED172B">
        <w:rPr>
          <w:color w:val="000000" w:themeColor="text1"/>
        </w:rPr>
        <w:br/>
      </w:r>
      <w:r w:rsidRPr="00ED172B">
        <w:rPr>
          <w:color w:val="000000" w:themeColor="text1"/>
        </w:rPr>
        <w:br/>
        <w:t>3.  PD for Infant Toddler EI Programs in the Implementation Phase</w:t>
      </w:r>
      <w:r w:rsidRPr="00ED172B">
        <w:rPr>
          <w:color w:val="000000" w:themeColor="text1"/>
        </w:rPr>
        <w:br/>
        <w:t xml:space="preserve"> </w:t>
      </w:r>
      <w:r w:rsidRPr="00ED172B">
        <w:rPr>
          <w:color w:val="000000" w:themeColor="text1"/>
        </w:rPr>
        <w:br/>
        <w:t xml:space="preserve">- Eleven Infant Toddler EI Programs (Cohort 3) will begin the Implementation Phase. </w:t>
      </w:r>
      <w:r w:rsidRPr="00ED172B">
        <w:rPr>
          <w:color w:val="000000" w:themeColor="text1"/>
        </w:rPr>
        <w:br/>
        <w:t xml:space="preserve">- Those EI Coaches who reached fidelity and who were nominated to be Provider Trainee Coaches will begin the Implementation PD series. </w:t>
      </w:r>
      <w:r w:rsidRPr="00ED172B">
        <w:rPr>
          <w:color w:val="000000" w:themeColor="text1"/>
        </w:rPr>
        <w:br/>
        <w:t xml:space="preserve">- Provider Coaches who have reached fidelity and who were nominated to be a Master Coach will begin their PD series. </w:t>
      </w:r>
      <w:r w:rsidRPr="00ED172B">
        <w:rPr>
          <w:color w:val="000000" w:themeColor="text1"/>
        </w:rPr>
        <w:br/>
      </w:r>
      <w:r w:rsidRPr="00ED172B">
        <w:rPr>
          <w:color w:val="000000" w:themeColor="text1"/>
        </w:rPr>
        <w:br/>
        <w:t>Governance and Accountability</w:t>
      </w:r>
      <w:r w:rsidRPr="00ED172B">
        <w:rPr>
          <w:color w:val="000000" w:themeColor="text1"/>
        </w:rPr>
        <w:br/>
      </w:r>
      <w:r w:rsidRPr="00ED172B">
        <w:rPr>
          <w:color w:val="000000" w:themeColor="text1"/>
        </w:rPr>
        <w:br/>
        <w:t>1.  Develop guidance documents and activities to better support coaching efforts</w:t>
      </w:r>
      <w:r w:rsidRPr="00ED172B">
        <w:rPr>
          <w:color w:val="000000" w:themeColor="text1"/>
        </w:rPr>
        <w:br/>
      </w:r>
      <w:r w:rsidRPr="00ED172B">
        <w:rPr>
          <w:color w:val="000000" w:themeColor="text1"/>
        </w:rPr>
        <w:br/>
        <w:t xml:space="preserve">- Continue efforts to update the EI Provider Registry to allow for uploading training documentation related to coaching PD and fidelity. </w:t>
      </w:r>
      <w:r w:rsidRPr="00ED172B">
        <w:rPr>
          <w:color w:val="000000" w:themeColor="text1"/>
        </w:rPr>
        <w:br/>
      </w:r>
      <w:r w:rsidRPr="00ED172B">
        <w:rPr>
          <w:color w:val="000000" w:themeColor="text1"/>
        </w:rPr>
        <w:br/>
      </w:r>
      <w:r w:rsidRPr="00ED172B">
        <w:rPr>
          <w:color w:val="000000" w:themeColor="text1"/>
        </w:rPr>
        <w:br/>
        <w:t>2.  Update verification/monitoring tool to better support coaching efforts</w:t>
      </w:r>
      <w:r w:rsidRPr="00ED172B">
        <w:rPr>
          <w:color w:val="000000" w:themeColor="text1"/>
        </w:rPr>
        <w:br/>
        <w:t xml:space="preserve"> </w:t>
      </w:r>
      <w:r w:rsidRPr="00ED172B">
        <w:rPr>
          <w:color w:val="000000" w:themeColor="text1"/>
        </w:rPr>
        <w:br/>
      </w:r>
      <w:proofErr w:type="gramStart"/>
      <w:r w:rsidRPr="00ED172B">
        <w:rPr>
          <w:color w:val="000000" w:themeColor="text1"/>
        </w:rPr>
        <w:t>-  Continue</w:t>
      </w:r>
      <w:proofErr w:type="gramEnd"/>
      <w:r w:rsidRPr="00ED172B">
        <w:rPr>
          <w:color w:val="000000" w:themeColor="text1"/>
        </w:rPr>
        <w:t xml:space="preserve"> to review EI verification tool and process and identify strategies to incorporate accountability for coaching goals</w:t>
      </w:r>
      <w:r w:rsidRPr="00ED172B">
        <w:rPr>
          <w:color w:val="000000" w:themeColor="text1"/>
        </w:rPr>
        <w:br/>
        <w:t xml:space="preserve">- Continue to update verification tool with additional items to support the use of coaching as the universal EI service delivery model. </w:t>
      </w:r>
      <w:r w:rsidRPr="00ED172B">
        <w:rPr>
          <w:color w:val="000000" w:themeColor="text1"/>
        </w:rPr>
        <w:br/>
      </w:r>
      <w:r w:rsidRPr="00ED172B">
        <w:rPr>
          <w:color w:val="000000" w:themeColor="text1"/>
        </w:rPr>
        <w:br/>
        <w:t xml:space="preserve">3.  Continue to hold Coaching Executive Meetings </w:t>
      </w:r>
      <w:r w:rsidRPr="00ED172B">
        <w:rPr>
          <w:color w:val="000000" w:themeColor="text1"/>
        </w:rPr>
        <w:br/>
      </w:r>
      <w:r w:rsidRPr="00ED172B">
        <w:rPr>
          <w:color w:val="000000" w:themeColor="text1"/>
        </w:rPr>
        <w:br/>
        <w:t xml:space="preserve">- Meet on a bi-monthly basis with the Part C Coordinator, BEISFS Bureau Chiefs, Director and Project Managers of EITA, and outside expert consultant. </w:t>
      </w:r>
      <w:r w:rsidRPr="00ED172B">
        <w:rPr>
          <w:color w:val="000000" w:themeColor="text1"/>
        </w:rPr>
        <w:br/>
        <w:t xml:space="preserve">- Hold Coaching Executive Subcommittee meetings as needed (ex., evaluation team, communications team, etc.) </w:t>
      </w:r>
      <w:r w:rsidRPr="00ED172B">
        <w:rPr>
          <w:color w:val="000000" w:themeColor="text1"/>
        </w:rPr>
        <w:br/>
      </w:r>
      <w:r w:rsidRPr="00ED172B">
        <w:rPr>
          <w:color w:val="000000" w:themeColor="text1"/>
        </w:rPr>
        <w:br/>
        <w:t>4.  Continue to engage stakeholders in Coaching efforts</w:t>
      </w:r>
      <w:r w:rsidRPr="00ED172B">
        <w:rPr>
          <w:color w:val="000000" w:themeColor="text1"/>
        </w:rPr>
        <w:br/>
      </w:r>
      <w:r w:rsidRPr="00ED172B">
        <w:rPr>
          <w:color w:val="000000" w:themeColor="text1"/>
        </w:rPr>
        <w:br/>
        <w:t>- Continue to hold quarterly meetings with Committee for Stakeholder Engagement meetings CSE to review new policies, new materials, PD schedules, and implementation data</w:t>
      </w:r>
      <w:r w:rsidRPr="00ED172B">
        <w:rPr>
          <w:color w:val="000000" w:themeColor="text1"/>
        </w:rPr>
        <w:br/>
        <w:t>- Continue to provide updates on coaching efforts at SICC, SEAP, EI Providers’ Association board meetings, parent organizations and other groups as requested</w:t>
      </w:r>
      <w:r w:rsidRPr="00ED172B">
        <w:rPr>
          <w:color w:val="000000" w:themeColor="text1"/>
        </w:rPr>
        <w:br/>
        <w:t xml:space="preserve">- Continue to recruit family members of children receiving EI services as part of stakeholder groups. </w:t>
      </w:r>
      <w:r w:rsidRPr="00ED172B">
        <w:rPr>
          <w:color w:val="000000" w:themeColor="text1"/>
        </w:rPr>
        <w:br/>
      </w:r>
      <w:r w:rsidRPr="00ED172B">
        <w:rPr>
          <w:color w:val="000000" w:themeColor="text1"/>
        </w:rPr>
        <w:br/>
        <w:t>5.  Develop an Implementation Plan for Coaching PD for Preschool EI programs</w:t>
      </w:r>
      <w:r w:rsidRPr="00ED172B">
        <w:rPr>
          <w:color w:val="000000" w:themeColor="text1"/>
        </w:rPr>
        <w:br/>
      </w:r>
      <w:r w:rsidRPr="00ED172B">
        <w:rPr>
          <w:color w:val="000000" w:themeColor="text1"/>
        </w:rPr>
        <w:br/>
        <w:t>- Determine evidenced based practices to implement in Preschool EI programs</w:t>
      </w:r>
      <w:r w:rsidRPr="00ED172B">
        <w:rPr>
          <w:color w:val="000000" w:themeColor="text1"/>
        </w:rPr>
        <w:br/>
        <w:t xml:space="preserve">- Develop an implementation plan based on the active implementation science model.  Plan will include roll out in Preschool EI programs using a cohort model.  </w:t>
      </w:r>
      <w:r w:rsidRPr="00ED172B">
        <w:rPr>
          <w:color w:val="000000" w:themeColor="text1"/>
        </w:rPr>
        <w:br/>
      </w:r>
      <w:r w:rsidRPr="00ED172B">
        <w:rPr>
          <w:color w:val="000000" w:themeColor="text1"/>
        </w:rPr>
        <w:br/>
        <w:t xml:space="preserve">6.  Sustainability </w:t>
      </w:r>
      <w:r w:rsidRPr="00ED172B">
        <w:rPr>
          <w:color w:val="000000" w:themeColor="text1"/>
        </w:rPr>
        <w:br/>
      </w:r>
      <w:r w:rsidRPr="00ED172B">
        <w:rPr>
          <w:color w:val="000000" w:themeColor="text1"/>
        </w:rPr>
        <w:br/>
        <w:t xml:space="preserve">- Continue development of a sustainability plan for coaching PD sequences and the documentation of </w:t>
      </w:r>
      <w:proofErr w:type="spellStart"/>
      <w:r w:rsidRPr="00ED172B">
        <w:rPr>
          <w:color w:val="000000" w:themeColor="text1"/>
        </w:rPr>
        <w:t>of</w:t>
      </w:r>
      <w:proofErr w:type="spellEnd"/>
      <w:r w:rsidRPr="00ED172B">
        <w:rPr>
          <w:color w:val="000000" w:themeColor="text1"/>
        </w:rPr>
        <w:t xml:space="preserve"> staff who are reaching and maintaining fidelity.  </w:t>
      </w:r>
      <w:r w:rsidRPr="00ED172B">
        <w:rPr>
          <w:color w:val="000000" w:themeColor="text1"/>
        </w:rPr>
        <w:br/>
        <w:t xml:space="preserve">- Continue to monitor the capacity needs for master coaches, provider coaches, and EI coaches and develop action steps based on need.  </w:t>
      </w:r>
      <w:r w:rsidRPr="00ED172B">
        <w:rPr>
          <w:color w:val="000000" w:themeColor="text1"/>
        </w:rPr>
        <w:br/>
      </w:r>
      <w:r w:rsidRPr="00ED172B">
        <w:rPr>
          <w:color w:val="000000" w:themeColor="text1"/>
        </w:rPr>
        <w:br/>
      </w:r>
      <w:r w:rsidRPr="00ED172B">
        <w:rPr>
          <w:color w:val="000000" w:themeColor="text1"/>
        </w:rPr>
        <w:br/>
        <w:t>Family Engagement</w:t>
      </w:r>
      <w:r w:rsidRPr="00ED172B">
        <w:rPr>
          <w:color w:val="000000" w:themeColor="text1"/>
        </w:rPr>
        <w:br/>
      </w:r>
      <w:r w:rsidRPr="00ED172B">
        <w:rPr>
          <w:color w:val="000000" w:themeColor="text1"/>
        </w:rPr>
        <w:br/>
        <w:t>1.  Continue to provide information to families in EI on the effectiveness of the coaching roll out.</w:t>
      </w:r>
      <w:r w:rsidRPr="00ED172B">
        <w:rPr>
          <w:color w:val="000000" w:themeColor="text1"/>
        </w:rPr>
        <w:br/>
        <w:t xml:space="preserve"> </w:t>
      </w:r>
      <w:r w:rsidRPr="00ED172B">
        <w:rPr>
          <w:color w:val="000000" w:themeColor="text1"/>
        </w:rPr>
        <w:br/>
        <w:t xml:space="preserve">- Develop and disseminate new materials on coaching, its goals, and its impact on EI services and child development. </w:t>
      </w:r>
      <w:r w:rsidRPr="00ED172B">
        <w:rPr>
          <w:color w:val="000000" w:themeColor="text1"/>
        </w:rPr>
        <w:br/>
        <w:t>- Provide coaching information to parent support groups, parent training institutes, and other parent organizations</w:t>
      </w:r>
      <w:r w:rsidRPr="00ED172B">
        <w:rPr>
          <w:color w:val="000000" w:themeColor="text1"/>
        </w:rPr>
        <w:br/>
      </w:r>
      <w:r w:rsidRPr="00ED172B">
        <w:rPr>
          <w:color w:val="000000" w:themeColor="text1"/>
        </w:rPr>
        <w:br/>
        <w:t>2.  Collect data from family members receiving EI services using coaching</w:t>
      </w:r>
      <w:r w:rsidRPr="00ED172B">
        <w:rPr>
          <w:color w:val="000000" w:themeColor="text1"/>
        </w:rPr>
        <w:br/>
      </w:r>
      <w:r w:rsidRPr="00ED172B">
        <w:rPr>
          <w:color w:val="000000" w:themeColor="text1"/>
        </w:rPr>
        <w:br/>
        <w:t xml:space="preserve">- Collect family survey data from families who are receiving EI services from trainee coaches working toward fidelity as an EI Coach or Provider Coach. </w:t>
      </w:r>
      <w:r w:rsidRPr="00ED172B">
        <w:rPr>
          <w:color w:val="000000" w:themeColor="text1"/>
        </w:rPr>
        <w:br/>
        <w:t>- Analyze family data on an ongoing basis in order to respond to identified concerns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3" w:name="_Hlk109647044"/>
      <w:r w:rsidRPr="0072398B">
        <w:rPr>
          <w:rFonts w:cs="Arial"/>
          <w:b/>
          <w:bCs/>
        </w:rPr>
        <w:t>List the selected evidence-based practices implemented in the reporting period:</w:t>
      </w:r>
    </w:p>
    <w:bookmarkEnd w:id="73"/>
    <w:p w14:paraId="741AB6F5" w14:textId="3EC0E8B5" w:rsidR="00582D95" w:rsidRDefault="00582D95" w:rsidP="00582D95">
      <w:pPr>
        <w:rPr>
          <w:color w:val="000000" w:themeColor="text1"/>
        </w:rPr>
      </w:pPr>
      <w:r w:rsidRPr="00ED172B">
        <w:rPr>
          <w:color w:val="000000" w:themeColor="text1"/>
        </w:rPr>
        <w:lastRenderedPageBreak/>
        <w:t xml:space="preserve">Two different </w:t>
      </w:r>
      <w:proofErr w:type="gramStart"/>
      <w:r w:rsidRPr="00ED172B">
        <w:rPr>
          <w:color w:val="000000" w:themeColor="text1"/>
        </w:rPr>
        <w:t>evidence based</w:t>
      </w:r>
      <w:proofErr w:type="gramEnd"/>
      <w:r w:rsidRPr="00ED172B">
        <w:rPr>
          <w:color w:val="000000" w:themeColor="text1"/>
        </w:rPr>
        <w:t xml:space="preserve"> practices were chosen for use in achieving Pennsylvania’s SIMR.  One evidence-based practice, Family Guided Routines Based Intervention (FGRBI) is used for the PD content and fidelity measures of coaching strategies.  The other evidence-based practice, Implementation Science, is used to guide the implementation process.  These two practices will be used for Pennsylvania’s SSIP for FFY 2020-2025.  </w:t>
      </w:r>
      <w:r w:rsidRPr="00ED172B">
        <w:rPr>
          <w:color w:val="000000" w:themeColor="text1"/>
        </w:rPr>
        <w:br/>
      </w:r>
      <w:r w:rsidRPr="00ED172B">
        <w:rPr>
          <w:color w:val="000000" w:themeColor="text1"/>
        </w:rPr>
        <w:br/>
        <w:t xml:space="preserve">Both evidence-based practices have extensive peer-review research to support their use as an evidence-based practice.  In 2004, the first databased publication validating the impact of FGRBI on caregivers and children was published in the Journal of Early Intervention.  Since then, over 20 additional single case design, quasi-experimental, and randomized control studies have been conducted and reported on the FGRBI model.  The field of Implementation Science has a rich research-base of evidence that supports its use in achieving program outcomes.  </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4" w:name="_Hlk109647049"/>
      <w:r w:rsidRPr="00AB24A4">
        <w:rPr>
          <w:rFonts w:cs="Arial"/>
          <w:b/>
          <w:bCs/>
        </w:rPr>
        <w:t>Provide a summary of each evidence-based practice.</w:t>
      </w:r>
    </w:p>
    <w:bookmarkEnd w:id="74"/>
    <w:p w14:paraId="0AE8C012" w14:textId="0CF0516A" w:rsidR="002679EA" w:rsidRPr="005137B6" w:rsidRDefault="002679EA" w:rsidP="002679EA">
      <w:pPr>
        <w:rPr>
          <w:b/>
          <w:bCs/>
        </w:rPr>
      </w:pPr>
      <w:r w:rsidRPr="00ED172B">
        <w:rPr>
          <w:color w:val="000000" w:themeColor="text1"/>
        </w:rPr>
        <w:t xml:space="preserve">FGRBI is an Early Intervention approach that incorporates the Part C IDEA legal mandates and guidelines to promote child-directed learning into the functional everyday routines and activities of young children and their families. Caregiver coaching has been added to the model to facilitate the shift from the EI provider working directly with the child to focus on the triadic nature of the provider supporting the parent and child interactions and embedded intervention in everyday routines, activities, and play. Coaching by providers to embed intervention is related to increased parent/caregiver implementation and intentional use of specific actions or strategies that enhance their child’s development. Additional information on FGRBI can be found at http://fgrbi.com/. </w:t>
      </w:r>
      <w:r w:rsidRPr="00ED172B">
        <w:rPr>
          <w:color w:val="000000" w:themeColor="text1"/>
        </w:rPr>
        <w:br/>
      </w:r>
      <w:r w:rsidRPr="00ED172B">
        <w:rPr>
          <w:color w:val="000000" w:themeColor="text1"/>
        </w:rPr>
        <w:br/>
        <w:t xml:space="preserve">The active implementation science model, as developed by the National Implementation Research Network, will be incorporated into Pennsylvania’s SSIP efforts. The NIRN work focuses on the use of implementation stages, implementation drivers, assessment of fidelity, and sustainability strategies as tools for ensuring effective implementation of system change. The NIRN model includes application tools, resource materials, and planning tools to assist in implementing new practices. Additional information on the NIRN model can be found at https://nirn.fpg.unc.edu/. </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5"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5"/>
    <w:p w14:paraId="2FC32005" w14:textId="20E8C2E6" w:rsidR="00F05ED0" w:rsidRPr="005137B6" w:rsidRDefault="00F05ED0" w:rsidP="00F05ED0">
      <w:pPr>
        <w:rPr>
          <w:b/>
          <w:bCs/>
        </w:rPr>
      </w:pPr>
      <w:r w:rsidRPr="00ED172B">
        <w:rPr>
          <w:color w:val="000000" w:themeColor="text1"/>
        </w:rPr>
        <w:t xml:space="preserve">The FGRBI model, as an evidence-based practice, will be used to support all professional development activities and coaching supports. The curriculum, tools, and fidelity measures will be used to ensure that EI providers develop expertise in implementing coaching practices in the provision of EI services. The use of the FGRBI model to improve staff practices in coaching will result in increasing family members’ competence and confidence in embedding learning strategies in their child’s typical activities and routines. </w:t>
      </w:r>
      <w:r w:rsidRPr="00ED172B">
        <w:rPr>
          <w:color w:val="000000" w:themeColor="text1"/>
        </w:rPr>
        <w:br/>
      </w:r>
      <w:r w:rsidRPr="00ED172B">
        <w:rPr>
          <w:color w:val="000000" w:themeColor="text1"/>
        </w:rPr>
        <w:br/>
        <w:t xml:space="preserve">The Active Implementation Science principles, in particular the Implementation Drivers, guided the design of the </w:t>
      </w:r>
      <w:proofErr w:type="spellStart"/>
      <w:r w:rsidRPr="00ED172B">
        <w:rPr>
          <w:color w:val="000000" w:themeColor="text1"/>
        </w:rPr>
        <w:t>SiMR</w:t>
      </w:r>
      <w:proofErr w:type="spellEnd"/>
      <w:r w:rsidRPr="00ED172B">
        <w:rPr>
          <w:color w:val="000000" w:themeColor="text1"/>
        </w:rPr>
        <w:t xml:space="preserve"> goals and strategies. The </w:t>
      </w:r>
      <w:proofErr w:type="spellStart"/>
      <w:r w:rsidRPr="00ED172B">
        <w:rPr>
          <w:color w:val="000000" w:themeColor="text1"/>
        </w:rPr>
        <w:t>SiMR</w:t>
      </w:r>
      <w:proofErr w:type="spellEnd"/>
      <w:r w:rsidRPr="00ED172B">
        <w:rPr>
          <w:color w:val="000000" w:themeColor="text1"/>
        </w:rPr>
        <w:t xml:space="preserve"> strategies focus on ensuring statewide leadership and regulatory support for the use of coaching in EI service delivery, focus on promoting leadership from local EI programs, and including stakeholder input in all </w:t>
      </w:r>
      <w:proofErr w:type="spellStart"/>
      <w:r w:rsidRPr="00ED172B">
        <w:rPr>
          <w:color w:val="000000" w:themeColor="text1"/>
        </w:rPr>
        <w:t>SiMR</w:t>
      </w:r>
      <w:proofErr w:type="spellEnd"/>
      <w:r w:rsidRPr="00ED172B">
        <w:rPr>
          <w:color w:val="000000" w:themeColor="text1"/>
        </w:rPr>
        <w:t xml:space="preserve"> activities. These strategies will ensure the effective implementation of coaching as a universal EI service delivery model. </w:t>
      </w:r>
      <w:r w:rsidRPr="00ED172B">
        <w:rPr>
          <w:color w:val="000000" w:themeColor="text1"/>
        </w:rPr>
        <w:br/>
      </w:r>
      <w:r w:rsidRPr="00ED172B">
        <w:rPr>
          <w:color w:val="000000" w:themeColor="text1"/>
        </w:rPr>
        <w:br/>
        <w:t xml:space="preserve">The combination of both </w:t>
      </w:r>
      <w:proofErr w:type="gramStart"/>
      <w:r w:rsidRPr="00ED172B">
        <w:rPr>
          <w:color w:val="000000" w:themeColor="text1"/>
        </w:rPr>
        <w:t>evidence based</w:t>
      </w:r>
      <w:proofErr w:type="gramEnd"/>
      <w:r w:rsidRPr="00ED172B">
        <w:rPr>
          <w:color w:val="000000" w:themeColor="text1"/>
        </w:rPr>
        <w:t xml:space="preserve"> practices, FGRBI and Implementation Science, will ensure that Pennsylvania reaches is </w:t>
      </w:r>
      <w:proofErr w:type="spellStart"/>
      <w:r w:rsidRPr="00ED172B">
        <w:rPr>
          <w:color w:val="000000" w:themeColor="text1"/>
        </w:rPr>
        <w:t>SiMR</w:t>
      </w:r>
      <w:proofErr w:type="spellEnd"/>
      <w:r w:rsidRPr="00ED172B">
        <w:rPr>
          <w:color w:val="000000" w:themeColor="text1"/>
        </w:rPr>
        <w:t xml:space="preserve">.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6" w:name="_Hlk109647063"/>
      <w:r w:rsidRPr="00F008FE">
        <w:rPr>
          <w:rFonts w:cs="Arial"/>
          <w:b/>
          <w:bCs/>
        </w:rPr>
        <w:t xml:space="preserve">Describe the data collected to monitor fidelity of implementation and to assess practice change. </w:t>
      </w:r>
    </w:p>
    <w:bookmarkEnd w:id="76"/>
    <w:p w14:paraId="6371547D" w14:textId="42F6C7DD" w:rsidR="0051509A" w:rsidRPr="005137B6" w:rsidRDefault="0051509A" w:rsidP="0051509A">
      <w:pPr>
        <w:rPr>
          <w:b/>
          <w:bCs/>
        </w:rPr>
      </w:pPr>
      <w:r w:rsidRPr="00ED172B">
        <w:rPr>
          <w:color w:val="000000" w:themeColor="text1"/>
        </w:rPr>
        <w:t xml:space="preserve">Full details of data to be collected to monitor the fidelity of implementation can be found in the evaluation plan (https://tiu11.padlet.org/manketell1/SSIP). Since Pennsylvania is in the second year of implementation strategies for its new </w:t>
      </w:r>
      <w:proofErr w:type="spellStart"/>
      <w:r w:rsidRPr="00ED172B">
        <w:rPr>
          <w:color w:val="000000" w:themeColor="text1"/>
        </w:rPr>
        <w:t>SiMR</w:t>
      </w:r>
      <w:proofErr w:type="spellEnd"/>
      <w:r w:rsidRPr="00ED172B">
        <w:rPr>
          <w:color w:val="000000" w:themeColor="text1"/>
        </w:rPr>
        <w:t xml:space="preserve">, data to monitor the fidelity of implementation will be reported in subsequent years.   </w:t>
      </w:r>
      <w:r w:rsidRPr="00ED172B">
        <w:rPr>
          <w:color w:val="000000" w:themeColor="text1"/>
        </w:rPr>
        <w:br/>
      </w:r>
      <w:r w:rsidRPr="00ED172B">
        <w:rPr>
          <w:color w:val="000000" w:themeColor="text1"/>
        </w:rPr>
        <w:br/>
        <w:t xml:space="preserve">The FGRBI Coaching Checklist will be used to measure whether Early Intervention staff have reached fidelity as an Early Intervention Coach, Provider Coach or Master Coach. The Coaching Checklist relies on the scoring videos of EI service delivery sessions </w:t>
      </w:r>
      <w:proofErr w:type="gramStart"/>
      <w:r w:rsidRPr="00ED172B">
        <w:rPr>
          <w:color w:val="000000" w:themeColor="text1"/>
        </w:rPr>
        <w:t>were</w:t>
      </w:r>
      <w:proofErr w:type="gramEnd"/>
      <w:r w:rsidRPr="00ED172B">
        <w:rPr>
          <w:color w:val="000000" w:themeColor="text1"/>
        </w:rPr>
        <w:t xml:space="preserve"> coaching strategies are used.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7"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77"/>
    <w:p w14:paraId="007AE64F" w14:textId="127A4D0F" w:rsidR="00107600" w:rsidRPr="005137B6" w:rsidRDefault="00107600" w:rsidP="00107600">
      <w:pPr>
        <w:rPr>
          <w:b/>
          <w:bCs/>
        </w:rPr>
      </w:pPr>
      <w:r w:rsidRPr="00ED172B">
        <w:rPr>
          <w:color w:val="000000" w:themeColor="text1"/>
        </w:rPr>
        <w:t xml:space="preserve">Because Pennsylvania is reporting on the second year of implementation of its new </w:t>
      </w:r>
      <w:proofErr w:type="spellStart"/>
      <w:r w:rsidRPr="00ED172B">
        <w:rPr>
          <w:color w:val="000000" w:themeColor="text1"/>
        </w:rPr>
        <w:t>SiMR</w:t>
      </w:r>
      <w:proofErr w:type="spellEnd"/>
      <w:r w:rsidRPr="00ED172B">
        <w:rPr>
          <w:color w:val="000000" w:themeColor="text1"/>
        </w:rPr>
        <w:t xml:space="preserve">, little progress monitoring data is available.  Some descriptive statistics can be found in the section on the improvement strategies implemented in FFY 2021.  Additional information on data to be gathered in future years can be found in the evaluation plan.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78" w:name="_Hlk109647074"/>
      <w:r w:rsidRPr="006A6410">
        <w:rPr>
          <w:rFonts w:cs="Arial"/>
          <w:b/>
          <w:bCs/>
        </w:rPr>
        <w:t xml:space="preserve">Provide a summary of the next steps for each evidence-based practices and the anticipated outcomes to be attained during the next reporting period. </w:t>
      </w:r>
    </w:p>
    <w:bookmarkEnd w:id="78"/>
    <w:p w14:paraId="5FC33224" w14:textId="66099ED0" w:rsidR="00026ADD" w:rsidRPr="005137B6" w:rsidRDefault="00026ADD" w:rsidP="00026ADD">
      <w:pPr>
        <w:rPr>
          <w:b/>
          <w:bCs/>
        </w:rPr>
      </w:pPr>
      <w:r w:rsidRPr="00ED172B">
        <w:rPr>
          <w:color w:val="000000" w:themeColor="text1"/>
        </w:rPr>
        <w:t xml:space="preserve">A summary of the next steps for each evidence-based practice can be found in the section on the next steps for infrastructure improvement strategies.  In that section, the Professional Development strategies are the next steps for the use of the FGRBI model.  </w:t>
      </w:r>
      <w:proofErr w:type="gramStart"/>
      <w:r w:rsidRPr="00ED172B">
        <w:rPr>
          <w:color w:val="000000" w:themeColor="text1"/>
        </w:rPr>
        <w:t>All of</w:t>
      </w:r>
      <w:proofErr w:type="gramEnd"/>
      <w:r w:rsidRPr="00ED172B">
        <w:rPr>
          <w:color w:val="000000" w:themeColor="text1"/>
        </w:rPr>
        <w:t xml:space="preserve"> the infrastructure areas use Implementation Science to promote effective implementation and the next steps listed reflect the next steps in the use of Implementation Science.  </w:t>
      </w:r>
    </w:p>
    <w:p w14:paraId="20BF17A9" w14:textId="77777777" w:rsidR="00026ADD" w:rsidRDefault="00026ADD" w:rsidP="00064BA4">
      <w:pPr>
        <w:rPr>
          <w:rFonts w:cs="Arial"/>
          <w:b/>
          <w:bCs/>
        </w:rPr>
      </w:pPr>
      <w:bookmarkStart w:id="79" w:name="_Hlk109647080"/>
    </w:p>
    <w:bookmarkEnd w:id="79"/>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 xml:space="preserve">In FFY 2020, Pennsylvania analyzed data from previous SSIP activities and determined the need for a new SIMR.  A new Theory of Action and Infrastructure Analysis led to the development of a new implementation plan and evaluation plan.  </w:t>
      </w:r>
      <w:r w:rsidRPr="00781112">
        <w:br/>
      </w:r>
      <w:r w:rsidRPr="00781112">
        <w:br/>
        <w:t xml:space="preserve">FFY 2021 is the second year of reporting on that new </w:t>
      </w:r>
      <w:proofErr w:type="spellStart"/>
      <w:r w:rsidRPr="00781112">
        <w:t>SiMR</w:t>
      </w:r>
      <w:proofErr w:type="spellEnd"/>
      <w:r w:rsidRPr="00781112">
        <w:t xml:space="preserve"> and the impact of its implementation.  Analysis of the data reported above and analysis of the logistics of implementation of roll out activities has not shown any concerns with current implementation plan.  All activities are being held as planned and reaching planned impact.  </w:t>
      </w:r>
      <w:r w:rsidRPr="00781112">
        <w:br/>
      </w:r>
      <w:r w:rsidRPr="00781112">
        <w:br/>
        <w:t xml:space="preserve">No changes to activities, strategies or timelines are needed at this stage of implementation.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lastRenderedPageBreak/>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Pennsylvania’s Early Intervention system has two primary stakeholder groups, one with a birth-5-year-old focus, the State Interagency Coordinating Council (SICC), and one with a 3–21-year-old focus, the Special Education Advisory Panel (SEAP). Using these two groups allows BEISFS to gather statewide stakeholder input across all ages and across all geographic regions. The Committee for Stakeholder Engagement (CSE), a workgroup of the SICC, focuses on the review of data and specifically impacts the coordination of the state's birth-5 EI system.  A total of 17 family members participated across the three stakeholder groups (SICC, CSE and SEAP). </w:t>
      </w:r>
      <w:r w:rsidRPr="00ED172B">
        <w:rPr>
          <w:color w:val="000000" w:themeColor="text1"/>
        </w:rPr>
        <w:br/>
      </w:r>
      <w:r w:rsidRPr="00ED172B">
        <w:rPr>
          <w:color w:val="000000" w:themeColor="text1"/>
        </w:rPr>
        <w:br/>
        <w:t xml:space="preserve">Membership in the SICC and CSE is composed of parents (as co-chairs), local program administrators, EI service delivery agencies, Department of Health, legislators, Children’s Health Insurance Program (CHIP), American Academy of Pediatrics, higher education, and a representative of Pennsylvania’s Education for Children and Youth Experiencing Homelessness Program. CSE also includes a representative of The PEAL Center, a Parent Training and Information Center, and the director of Parent to Parent of Pennsylvania and Family Engagement Initiatives.  </w:t>
      </w:r>
      <w:r w:rsidRPr="00ED172B">
        <w:rPr>
          <w:color w:val="000000" w:themeColor="text1"/>
        </w:rPr>
        <w:br/>
      </w:r>
      <w:r w:rsidRPr="00ED172B">
        <w:rPr>
          <w:color w:val="000000" w:themeColor="text1"/>
        </w:rPr>
        <w:br/>
        <w:t xml:space="preserve">BEISFS and EITA met with SEAP, SICC, and CSE to review the annual APR data, including a review of historic data, current year data, targets, and activities implemented during the fiscal year.  SEAP, SICC and CSE made recommendations for changes or additional activities as needed.  This information was used by BEISFS to update its SPP/APR.  The meetings with the SICC and CSE were held on December 1, 2022.  The meeting with SEAP was held on September 23, 2022.  </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0" w:name="_Hlk109647088"/>
      <w:r w:rsidRPr="000F3CCC">
        <w:rPr>
          <w:rFonts w:cs="Arial"/>
          <w:b/>
          <w:bCs/>
        </w:rPr>
        <w:t xml:space="preserve">Describe the specific strategies implemented to engage stakeholders in key improvement efforts. </w:t>
      </w:r>
    </w:p>
    <w:bookmarkEnd w:id="80"/>
    <w:p w14:paraId="7A97D15A" w14:textId="346F07A8" w:rsidR="00D96943" w:rsidRPr="00B50A83" w:rsidRDefault="00D96943" w:rsidP="00D96943">
      <w:pPr>
        <w:rPr>
          <w:b/>
          <w:bCs/>
        </w:rPr>
      </w:pPr>
      <w:r w:rsidRPr="00ED172B">
        <w:rPr>
          <w:color w:val="000000" w:themeColor="text1"/>
        </w:rPr>
        <w:t xml:space="preserve">Further details on the stakeholder process can be found in the description of Family Engagement activities as described above in the implementation improvement strategies.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1"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1"/>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2"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2"/>
    <w:p w14:paraId="54FDC4CC" w14:textId="4E342817" w:rsidR="00917FC3" w:rsidRPr="00F85A5B" w:rsidRDefault="00917FC3" w:rsidP="004E393A">
      <w:pPr>
        <w:rPr>
          <w:color w:val="000000" w:themeColor="text1"/>
        </w:rPr>
      </w:pPr>
      <w:r w:rsidRPr="00ED172B">
        <w:rPr>
          <w:color w:val="000000" w:themeColor="text1"/>
        </w:rPr>
        <w:t xml:space="preserve">All activities anticipated to be implemented in FFY 2022 can be found in the sections on next steps.  </w:t>
      </w:r>
    </w:p>
    <w:p w14:paraId="7E4D8D02" w14:textId="77777777" w:rsidR="00297898" w:rsidRPr="00297898" w:rsidRDefault="00297898" w:rsidP="00297898">
      <w:pPr>
        <w:rPr>
          <w:rFonts w:cs="Arial"/>
          <w:b/>
          <w:bCs/>
        </w:rPr>
      </w:pPr>
      <w:bookmarkStart w:id="83"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3"/>
    <w:p w14:paraId="08124F49" w14:textId="4CDFC9D0" w:rsidR="006237B0" w:rsidRDefault="007B151D" w:rsidP="00067F9F">
      <w:pPr>
        <w:spacing w:before="0" w:after="0"/>
        <w:rPr>
          <w:color w:val="000000" w:themeColor="text1"/>
        </w:rPr>
      </w:pPr>
      <w:r w:rsidRPr="00ED172B">
        <w:rPr>
          <w:color w:val="000000" w:themeColor="text1"/>
        </w:rPr>
        <w:t xml:space="preserve">All activities anticipated to be implemented in FFY 2022 can be found in the sections on next steps.  </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4" w:name="_Hlk109647121"/>
      <w:r w:rsidRPr="009E0726">
        <w:rPr>
          <w:rFonts w:cs="Arial"/>
          <w:b/>
          <w:bCs/>
        </w:rPr>
        <w:t>Describe any newly identified barriers and include steps to address these barriers.</w:t>
      </w:r>
    </w:p>
    <w:bookmarkEnd w:id="84"/>
    <w:p w14:paraId="6E8B2008" w14:textId="0F892B41" w:rsidR="00F40121" w:rsidRDefault="00F40121" w:rsidP="00F40121">
      <w:pPr>
        <w:rPr>
          <w:color w:val="000000" w:themeColor="text1"/>
        </w:rPr>
      </w:pPr>
      <w:r w:rsidRPr="00ED172B">
        <w:rPr>
          <w:color w:val="000000" w:themeColor="text1"/>
        </w:rPr>
        <w:t xml:space="preserve">Pennsylvania begin implementation of its new </w:t>
      </w:r>
      <w:proofErr w:type="spellStart"/>
      <w:r w:rsidRPr="00ED172B">
        <w:rPr>
          <w:color w:val="000000" w:themeColor="text1"/>
        </w:rPr>
        <w:t>SiMR</w:t>
      </w:r>
      <w:proofErr w:type="spellEnd"/>
      <w:r w:rsidRPr="00ED172B">
        <w:rPr>
          <w:color w:val="000000" w:themeColor="text1"/>
        </w:rPr>
        <w:t xml:space="preserve"> strategies in FFY 2020 and no barriers have been identified to date.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5" w:name="_Hlk109647123"/>
      <w:r w:rsidRPr="00261010">
        <w:rPr>
          <w:rFonts w:cs="Arial"/>
          <w:b/>
          <w:bCs/>
        </w:rPr>
        <w:t>Provide additional information about this indicator (optional).</w:t>
      </w:r>
    </w:p>
    <w:bookmarkEnd w:id="85"/>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Emily </w:t>
      </w:r>
      <w:proofErr w:type="spellStart"/>
      <w:r w:rsidRPr="00ED172B">
        <w:rPr>
          <w:rFonts w:cs="Arial"/>
          <w:bCs/>
          <w:color w:val="000000" w:themeColor="text1"/>
          <w:szCs w:val="16"/>
        </w:rPr>
        <w:t>Hackleman</w:t>
      </w:r>
      <w:proofErr w:type="spellEnd"/>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Data Manager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ehackleman@pa.gov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7177833636</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04/24/23 12:31:08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7029A690" w14:textId="739B9D6E" w:rsidR="00C06077" w:rsidRPr="00C06077" w:rsidRDefault="00C06077" w:rsidP="00C06077">
      <w:pPr>
        <w:rPr>
          <w:b/>
          <w:bCs/>
          <w:sz w:val="20"/>
          <w:szCs w:val="28"/>
        </w:rPr>
      </w:pPr>
      <w:r w:rsidRPr="00C06077">
        <w:rPr>
          <w:b/>
          <w:bCs/>
          <w:sz w:val="20"/>
          <w:szCs w:val="28"/>
        </w:rPr>
        <w:t>Pennsylvania</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75.00%</w:t>
            </w:r>
          </w:p>
        </w:tc>
        <w:tc>
          <w:tcPr>
            <w:tcW w:w="2500" w:type="pct"/>
          </w:tcPr>
          <w:p w14:paraId="716EB835" w14:textId="1F97A48D" w:rsidR="00EA2984" w:rsidRPr="00210AC6" w:rsidRDefault="00EA2984" w:rsidP="00EA2984">
            <w:pPr>
              <w:rPr>
                <w:rFonts w:cs="Arial"/>
                <w:szCs w:val="16"/>
              </w:rPr>
            </w:pPr>
            <w:r w:rsidRPr="00E9436C">
              <w:t>Needs Assistance</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4</w:t>
            </w:r>
          </w:p>
        </w:tc>
        <w:tc>
          <w:tcPr>
            <w:tcW w:w="1218" w:type="pct"/>
          </w:tcPr>
          <w:p w14:paraId="4A2646A0" w14:textId="15C11718" w:rsidR="005E363D" w:rsidRPr="00210AC6" w:rsidRDefault="005E363D" w:rsidP="005E363D">
            <w:pPr>
              <w:rPr>
                <w:rFonts w:cs="Arial"/>
                <w:szCs w:val="16"/>
              </w:rPr>
            </w:pPr>
            <w:r w:rsidRPr="009E3CB1">
              <w:t>50.00%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14</w:t>
            </w:r>
          </w:p>
        </w:tc>
        <w:tc>
          <w:tcPr>
            <w:tcW w:w="1218" w:type="pct"/>
          </w:tcPr>
          <w:p w14:paraId="0AF6DC9A" w14:textId="17AC6D6F" w:rsidR="005E363D" w:rsidRPr="00210AC6" w:rsidRDefault="005E363D" w:rsidP="005E363D">
            <w:pPr>
              <w:rPr>
                <w:rFonts w:cs="Arial"/>
                <w:szCs w:val="16"/>
              </w:rPr>
            </w:pPr>
            <w:r w:rsidRPr="009E3CB1">
              <w:t>100.00%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12,976</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20,639</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62.87</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1</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0</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65.08%</w:t>
            </w:r>
          </w:p>
        </w:tc>
        <w:tc>
          <w:tcPr>
            <w:tcW w:w="715" w:type="pct"/>
          </w:tcPr>
          <w:p w14:paraId="542CEEB9" w14:textId="37E21014" w:rsidR="00B03B19" w:rsidRPr="00210AC6" w:rsidRDefault="00B03B19" w:rsidP="00B03B19">
            <w:pPr>
              <w:rPr>
                <w:rFonts w:cs="Arial"/>
                <w:szCs w:val="16"/>
              </w:rPr>
            </w:pPr>
            <w:r w:rsidRPr="00A46401">
              <w:t>55.84%</w:t>
            </w:r>
          </w:p>
        </w:tc>
        <w:tc>
          <w:tcPr>
            <w:tcW w:w="714" w:type="pct"/>
          </w:tcPr>
          <w:p w14:paraId="082867DD" w14:textId="7F23B051" w:rsidR="00B03B19" w:rsidRPr="00210AC6" w:rsidRDefault="00B03B19" w:rsidP="00B03B19">
            <w:pPr>
              <w:rPr>
                <w:rFonts w:cs="Arial"/>
                <w:szCs w:val="16"/>
              </w:rPr>
            </w:pPr>
            <w:r w:rsidRPr="00A46401">
              <w:t>72.22%</w:t>
            </w:r>
          </w:p>
        </w:tc>
        <w:tc>
          <w:tcPr>
            <w:tcW w:w="714" w:type="pct"/>
          </w:tcPr>
          <w:p w14:paraId="798EA0C8" w14:textId="2776FB61" w:rsidR="00B03B19" w:rsidRPr="00210AC6" w:rsidRDefault="00B03B19" w:rsidP="00B03B19">
            <w:pPr>
              <w:rPr>
                <w:rFonts w:cs="Arial"/>
                <w:szCs w:val="16"/>
              </w:rPr>
            </w:pPr>
            <w:r w:rsidRPr="00A46401">
              <w:t>47.15%</w:t>
            </w:r>
          </w:p>
        </w:tc>
        <w:tc>
          <w:tcPr>
            <w:tcW w:w="714" w:type="pct"/>
          </w:tcPr>
          <w:p w14:paraId="53B8C0FF" w14:textId="1ABA1A1C" w:rsidR="00B03B19" w:rsidRPr="00210AC6" w:rsidRDefault="00B03B19" w:rsidP="00B03B19">
            <w:pPr>
              <w:rPr>
                <w:rFonts w:cs="Arial"/>
                <w:szCs w:val="16"/>
              </w:rPr>
            </w:pPr>
            <w:r w:rsidRPr="00A46401">
              <w:t>72.37%</w:t>
            </w:r>
          </w:p>
        </w:tc>
        <w:tc>
          <w:tcPr>
            <w:tcW w:w="713" w:type="pct"/>
          </w:tcPr>
          <w:p w14:paraId="71D0CC34" w14:textId="38E23520" w:rsidR="00B03B19" w:rsidRPr="00210AC6" w:rsidRDefault="00B03B19" w:rsidP="00B03B19">
            <w:pPr>
              <w:rPr>
                <w:rFonts w:cs="Arial"/>
                <w:szCs w:val="16"/>
              </w:rPr>
            </w:pPr>
            <w:r w:rsidRPr="00A46401">
              <w:t>55.14%</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66.83%</w:t>
            </w:r>
          </w:p>
        </w:tc>
        <w:tc>
          <w:tcPr>
            <w:tcW w:w="715" w:type="pct"/>
          </w:tcPr>
          <w:p w14:paraId="4A7F27F4" w14:textId="16E8DAC9" w:rsidR="00A96CE2" w:rsidRPr="00210AC6" w:rsidRDefault="00A96CE2" w:rsidP="00A96CE2">
            <w:pPr>
              <w:rPr>
                <w:rFonts w:cs="Arial"/>
                <w:szCs w:val="16"/>
              </w:rPr>
            </w:pPr>
            <w:r w:rsidRPr="00902025">
              <w:t>56.40%</w:t>
            </w:r>
          </w:p>
        </w:tc>
        <w:tc>
          <w:tcPr>
            <w:tcW w:w="714" w:type="pct"/>
          </w:tcPr>
          <w:p w14:paraId="0B2C982E" w14:textId="60B64CC6" w:rsidR="00A96CE2" w:rsidRPr="00210AC6" w:rsidRDefault="00A96CE2" w:rsidP="00A96CE2">
            <w:pPr>
              <w:rPr>
                <w:rFonts w:cs="Arial"/>
                <w:szCs w:val="16"/>
              </w:rPr>
            </w:pPr>
            <w:r w:rsidRPr="00902025">
              <w:t>73.56%</w:t>
            </w:r>
          </w:p>
        </w:tc>
        <w:tc>
          <w:tcPr>
            <w:tcW w:w="714" w:type="pct"/>
          </w:tcPr>
          <w:p w14:paraId="48D6DCB3" w14:textId="035BCB73" w:rsidR="00A96CE2" w:rsidRPr="00210AC6" w:rsidRDefault="00A96CE2" w:rsidP="00A96CE2">
            <w:pPr>
              <w:rPr>
                <w:rFonts w:cs="Arial"/>
                <w:szCs w:val="16"/>
              </w:rPr>
            </w:pPr>
            <w:r w:rsidRPr="00902025">
              <w:t>46.17%</w:t>
            </w:r>
          </w:p>
        </w:tc>
        <w:tc>
          <w:tcPr>
            <w:tcW w:w="714" w:type="pct"/>
          </w:tcPr>
          <w:p w14:paraId="75DD9D82" w14:textId="41901A3C" w:rsidR="00A96CE2" w:rsidRPr="00210AC6" w:rsidRDefault="00A96CE2" w:rsidP="00A96CE2">
            <w:pPr>
              <w:rPr>
                <w:rFonts w:cs="Arial"/>
                <w:szCs w:val="16"/>
              </w:rPr>
            </w:pPr>
            <w:r w:rsidRPr="00902025">
              <w:t>74.81%</w:t>
            </w:r>
          </w:p>
        </w:tc>
        <w:tc>
          <w:tcPr>
            <w:tcW w:w="713" w:type="pct"/>
          </w:tcPr>
          <w:p w14:paraId="51F0864D" w14:textId="7593AA05" w:rsidR="00A96CE2" w:rsidRPr="00210AC6" w:rsidRDefault="00A96CE2" w:rsidP="00A96CE2">
            <w:pPr>
              <w:rPr>
                <w:rFonts w:cs="Arial"/>
                <w:szCs w:val="16"/>
              </w:rPr>
            </w:pPr>
            <w:r w:rsidRPr="00902025">
              <w:t>54.51%</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94.83%</w:t>
            </w:r>
          </w:p>
        </w:tc>
        <w:tc>
          <w:tcPr>
            <w:tcW w:w="832" w:type="pct"/>
          </w:tcPr>
          <w:p w14:paraId="6ABF6AB2" w14:textId="6D5B638F" w:rsidR="00CD6106" w:rsidRPr="00210AC6" w:rsidRDefault="00CD6106" w:rsidP="00CD6106">
            <w:pPr>
              <w:rPr>
                <w:rFonts w:cs="Arial"/>
                <w:szCs w:val="16"/>
              </w:rPr>
            </w:pPr>
            <w:r w:rsidRPr="00952E24">
              <w:t>YES</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98.60%</w:t>
            </w:r>
          </w:p>
        </w:tc>
        <w:tc>
          <w:tcPr>
            <w:tcW w:w="832" w:type="pct"/>
          </w:tcPr>
          <w:p w14:paraId="5F183FEF" w14:textId="40ACE9C9" w:rsidR="00CD6106" w:rsidRPr="00210AC6" w:rsidRDefault="00CD6106" w:rsidP="00CD6106">
            <w:pPr>
              <w:rPr>
                <w:rFonts w:cs="Arial"/>
                <w:szCs w:val="16"/>
              </w:rPr>
            </w:pPr>
            <w:r w:rsidRPr="00952E24">
              <w:t>YES</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98.38%</w:t>
            </w:r>
          </w:p>
        </w:tc>
        <w:tc>
          <w:tcPr>
            <w:tcW w:w="832" w:type="pct"/>
          </w:tcPr>
          <w:p w14:paraId="082F4D46" w14:textId="2147F3C3" w:rsidR="00CD6106" w:rsidRPr="00210AC6" w:rsidRDefault="00CD6106" w:rsidP="00CD6106">
            <w:pPr>
              <w:rPr>
                <w:rFonts w:cs="Arial"/>
                <w:szCs w:val="16"/>
              </w:rPr>
            </w:pPr>
            <w:r w:rsidRPr="00952E24">
              <w:t>YES</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97.84%</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12,976</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68</w:t>
            </w:r>
          </w:p>
        </w:tc>
        <w:tc>
          <w:tcPr>
            <w:tcW w:w="833" w:type="pct"/>
          </w:tcPr>
          <w:p w14:paraId="5470A154" w14:textId="77777777" w:rsidR="00B25161" w:rsidRPr="00E0465B" w:rsidRDefault="00B25161" w:rsidP="00B25161">
            <w:pPr>
              <w:rPr>
                <w:rFonts w:cs="Arial"/>
                <w:bCs/>
                <w:szCs w:val="16"/>
              </w:rPr>
            </w:pPr>
            <w:r w:rsidRPr="00E0465B">
              <w:rPr>
                <w:rFonts w:cs="Arial"/>
                <w:bCs/>
                <w:szCs w:val="16"/>
              </w:rPr>
              <w:t>3,160</w:t>
            </w:r>
          </w:p>
        </w:tc>
        <w:tc>
          <w:tcPr>
            <w:tcW w:w="833" w:type="pct"/>
          </w:tcPr>
          <w:p w14:paraId="7FE9EEED" w14:textId="77777777" w:rsidR="00B25161" w:rsidRPr="00E0465B" w:rsidRDefault="00B25161" w:rsidP="00B25161">
            <w:pPr>
              <w:rPr>
                <w:rFonts w:cs="Arial"/>
                <w:bCs/>
                <w:szCs w:val="16"/>
              </w:rPr>
            </w:pPr>
            <w:r w:rsidRPr="00E0465B">
              <w:rPr>
                <w:rFonts w:cs="Arial"/>
                <w:bCs/>
                <w:szCs w:val="16"/>
              </w:rPr>
              <w:t>2,495</w:t>
            </w:r>
          </w:p>
        </w:tc>
        <w:tc>
          <w:tcPr>
            <w:tcW w:w="833" w:type="pct"/>
          </w:tcPr>
          <w:p w14:paraId="4C7FEB04" w14:textId="77777777" w:rsidR="00B25161" w:rsidRPr="00E0465B" w:rsidRDefault="00B25161" w:rsidP="00B25161">
            <w:pPr>
              <w:rPr>
                <w:rFonts w:cs="Arial"/>
                <w:bCs/>
                <w:szCs w:val="16"/>
              </w:rPr>
            </w:pPr>
            <w:r w:rsidRPr="00E0465B">
              <w:rPr>
                <w:rFonts w:cs="Arial"/>
                <w:bCs/>
                <w:szCs w:val="16"/>
              </w:rPr>
              <w:t>3,522</w:t>
            </w:r>
          </w:p>
        </w:tc>
        <w:tc>
          <w:tcPr>
            <w:tcW w:w="835" w:type="pct"/>
          </w:tcPr>
          <w:p w14:paraId="6267C81A" w14:textId="77777777" w:rsidR="00B25161" w:rsidRPr="00E0465B" w:rsidRDefault="00B25161" w:rsidP="00B25161">
            <w:pPr>
              <w:rPr>
                <w:rFonts w:cs="Arial"/>
                <w:bCs/>
                <w:szCs w:val="16"/>
              </w:rPr>
            </w:pPr>
            <w:r w:rsidRPr="00E0465B">
              <w:rPr>
                <w:rFonts w:cs="Arial"/>
                <w:bCs/>
                <w:szCs w:val="16"/>
              </w:rPr>
              <w:t>3,714</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0.52%</w:t>
            </w:r>
          </w:p>
        </w:tc>
        <w:tc>
          <w:tcPr>
            <w:tcW w:w="833" w:type="pct"/>
          </w:tcPr>
          <w:p w14:paraId="2E20C0BF" w14:textId="0AF39490" w:rsidR="00B25161" w:rsidRPr="00E0465B" w:rsidRDefault="00B25161" w:rsidP="00B25161">
            <w:pPr>
              <w:rPr>
                <w:rFonts w:cs="Arial"/>
                <w:bCs/>
                <w:szCs w:val="16"/>
              </w:rPr>
            </w:pPr>
            <w:r w:rsidRPr="00E0465B">
              <w:rPr>
                <w:rFonts w:cs="Arial"/>
                <w:bCs/>
                <w:szCs w:val="16"/>
              </w:rPr>
              <w:t>24.38%</w:t>
            </w:r>
          </w:p>
        </w:tc>
        <w:tc>
          <w:tcPr>
            <w:tcW w:w="833" w:type="pct"/>
          </w:tcPr>
          <w:p w14:paraId="398F2D3D" w14:textId="68B45EA5" w:rsidR="00B25161" w:rsidRPr="00E0465B" w:rsidRDefault="00B25161" w:rsidP="00B25161">
            <w:pPr>
              <w:rPr>
                <w:rFonts w:cs="Arial"/>
                <w:bCs/>
                <w:szCs w:val="16"/>
              </w:rPr>
            </w:pPr>
            <w:r w:rsidRPr="00E0465B">
              <w:rPr>
                <w:rFonts w:cs="Arial"/>
                <w:bCs/>
                <w:szCs w:val="16"/>
              </w:rPr>
              <w:t>19.25%</w:t>
            </w:r>
          </w:p>
        </w:tc>
        <w:tc>
          <w:tcPr>
            <w:tcW w:w="833" w:type="pct"/>
          </w:tcPr>
          <w:p w14:paraId="44C74C6F" w14:textId="0FC8FB40" w:rsidR="00B25161" w:rsidRPr="00E0465B" w:rsidRDefault="00B25161" w:rsidP="00B25161">
            <w:pPr>
              <w:rPr>
                <w:rFonts w:cs="Arial"/>
                <w:bCs/>
                <w:szCs w:val="16"/>
              </w:rPr>
            </w:pPr>
            <w:r w:rsidRPr="00E0465B">
              <w:rPr>
                <w:rFonts w:cs="Arial"/>
                <w:bCs/>
                <w:szCs w:val="16"/>
              </w:rPr>
              <w:t>27.18%</w:t>
            </w:r>
          </w:p>
        </w:tc>
        <w:tc>
          <w:tcPr>
            <w:tcW w:w="835" w:type="pct"/>
          </w:tcPr>
          <w:p w14:paraId="2CCC1EE9" w14:textId="4C738514" w:rsidR="00B25161" w:rsidRPr="00E0465B" w:rsidRDefault="00B25161" w:rsidP="00B25161">
            <w:pPr>
              <w:rPr>
                <w:rFonts w:cs="Arial"/>
                <w:bCs/>
                <w:szCs w:val="16"/>
              </w:rPr>
            </w:pPr>
            <w:r w:rsidRPr="00E0465B">
              <w:rPr>
                <w:rFonts w:cs="Arial"/>
                <w:bCs/>
                <w:szCs w:val="16"/>
              </w:rPr>
              <w:t>28.66%</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57</w:t>
            </w:r>
          </w:p>
        </w:tc>
        <w:tc>
          <w:tcPr>
            <w:tcW w:w="833" w:type="pct"/>
          </w:tcPr>
          <w:p w14:paraId="6AACF40D" w14:textId="77777777" w:rsidR="00B25161" w:rsidRPr="00E0465B" w:rsidRDefault="00B25161" w:rsidP="00B25161">
            <w:pPr>
              <w:rPr>
                <w:rFonts w:cs="Arial"/>
                <w:bCs/>
                <w:szCs w:val="16"/>
              </w:rPr>
            </w:pPr>
            <w:r w:rsidRPr="00E0465B">
              <w:rPr>
                <w:rFonts w:cs="Arial"/>
                <w:bCs/>
                <w:szCs w:val="16"/>
              </w:rPr>
              <w:t>3,021</w:t>
            </w:r>
          </w:p>
        </w:tc>
        <w:tc>
          <w:tcPr>
            <w:tcW w:w="833" w:type="pct"/>
          </w:tcPr>
          <w:p w14:paraId="081B7FED" w14:textId="77777777" w:rsidR="00B25161" w:rsidRPr="00E0465B" w:rsidRDefault="00B25161" w:rsidP="00B25161">
            <w:pPr>
              <w:rPr>
                <w:rFonts w:cs="Arial"/>
                <w:bCs/>
                <w:szCs w:val="16"/>
              </w:rPr>
            </w:pPr>
            <w:r w:rsidRPr="00E0465B">
              <w:rPr>
                <w:rFonts w:cs="Arial"/>
                <w:bCs/>
                <w:szCs w:val="16"/>
              </w:rPr>
              <w:t>3,780</w:t>
            </w:r>
          </w:p>
        </w:tc>
        <w:tc>
          <w:tcPr>
            <w:tcW w:w="833" w:type="pct"/>
          </w:tcPr>
          <w:p w14:paraId="22075B7A" w14:textId="77777777" w:rsidR="00B25161" w:rsidRPr="00E0465B" w:rsidRDefault="00B25161" w:rsidP="00B25161">
            <w:pPr>
              <w:rPr>
                <w:rFonts w:cs="Arial"/>
                <w:bCs/>
                <w:szCs w:val="16"/>
              </w:rPr>
            </w:pPr>
            <w:r w:rsidRPr="00E0465B">
              <w:rPr>
                <w:rFonts w:cs="Arial"/>
                <w:bCs/>
                <w:szCs w:val="16"/>
              </w:rPr>
              <w:t>4,221</w:t>
            </w:r>
          </w:p>
        </w:tc>
        <w:tc>
          <w:tcPr>
            <w:tcW w:w="833" w:type="pct"/>
          </w:tcPr>
          <w:p w14:paraId="0F4D0987" w14:textId="77777777" w:rsidR="00B25161" w:rsidRPr="00E0465B" w:rsidRDefault="00B25161" w:rsidP="00B25161">
            <w:pPr>
              <w:rPr>
                <w:rFonts w:cs="Arial"/>
                <w:bCs/>
                <w:szCs w:val="16"/>
              </w:rPr>
            </w:pPr>
            <w:r w:rsidRPr="00E0465B">
              <w:rPr>
                <w:rFonts w:cs="Arial"/>
                <w:bCs/>
                <w:szCs w:val="16"/>
              </w:rPr>
              <w:t>1,897</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0.44%</w:t>
            </w:r>
          </w:p>
        </w:tc>
        <w:tc>
          <w:tcPr>
            <w:tcW w:w="833" w:type="pct"/>
          </w:tcPr>
          <w:p w14:paraId="0C63E60D" w14:textId="01DF065D" w:rsidR="00B25161" w:rsidRPr="00E0465B" w:rsidRDefault="00B25161" w:rsidP="00B25161">
            <w:pPr>
              <w:rPr>
                <w:rFonts w:cs="Arial"/>
                <w:bCs/>
                <w:szCs w:val="16"/>
              </w:rPr>
            </w:pPr>
            <w:r w:rsidRPr="00E0465B">
              <w:rPr>
                <w:rFonts w:cs="Arial"/>
                <w:bCs/>
                <w:szCs w:val="16"/>
              </w:rPr>
              <w:t>23.28%</w:t>
            </w:r>
          </w:p>
        </w:tc>
        <w:tc>
          <w:tcPr>
            <w:tcW w:w="833" w:type="pct"/>
          </w:tcPr>
          <w:p w14:paraId="6F7D3253" w14:textId="7E946AA3" w:rsidR="00B25161" w:rsidRPr="00E0465B" w:rsidRDefault="00B25161" w:rsidP="00B25161">
            <w:pPr>
              <w:rPr>
                <w:rFonts w:cs="Arial"/>
                <w:bCs/>
                <w:szCs w:val="16"/>
              </w:rPr>
            </w:pPr>
            <w:r w:rsidRPr="00E0465B">
              <w:rPr>
                <w:rFonts w:cs="Arial"/>
                <w:bCs/>
                <w:szCs w:val="16"/>
              </w:rPr>
              <w:t>29.13%</w:t>
            </w:r>
          </w:p>
        </w:tc>
        <w:tc>
          <w:tcPr>
            <w:tcW w:w="833" w:type="pct"/>
          </w:tcPr>
          <w:p w14:paraId="31007D6F" w14:textId="0DE6AD7D" w:rsidR="00B25161" w:rsidRPr="00E0465B" w:rsidRDefault="00B25161" w:rsidP="00B25161">
            <w:pPr>
              <w:rPr>
                <w:rFonts w:cs="Arial"/>
                <w:bCs/>
                <w:szCs w:val="16"/>
              </w:rPr>
            </w:pPr>
            <w:r w:rsidRPr="00E0465B">
              <w:rPr>
                <w:rFonts w:cs="Arial"/>
                <w:bCs/>
                <w:szCs w:val="16"/>
              </w:rPr>
              <w:t>32.53%</w:t>
            </w:r>
          </w:p>
        </w:tc>
        <w:tc>
          <w:tcPr>
            <w:tcW w:w="833" w:type="pct"/>
          </w:tcPr>
          <w:p w14:paraId="7AD8D8B9" w14:textId="6DC41E9B" w:rsidR="00B25161" w:rsidRPr="00E0465B" w:rsidRDefault="00B25161" w:rsidP="00B25161">
            <w:pPr>
              <w:rPr>
                <w:rFonts w:cs="Arial"/>
                <w:bCs/>
                <w:szCs w:val="16"/>
              </w:rPr>
            </w:pPr>
            <w:r w:rsidRPr="00E0465B">
              <w:rPr>
                <w:rFonts w:cs="Arial"/>
                <w:bCs/>
                <w:szCs w:val="16"/>
              </w:rPr>
              <w:t>14.62%</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53</w:t>
            </w:r>
          </w:p>
        </w:tc>
        <w:tc>
          <w:tcPr>
            <w:tcW w:w="833" w:type="pct"/>
          </w:tcPr>
          <w:p w14:paraId="13413534" w14:textId="77777777" w:rsidR="00B25161" w:rsidRPr="00E0465B" w:rsidRDefault="00B25161" w:rsidP="00B25161">
            <w:pPr>
              <w:rPr>
                <w:rFonts w:cs="Arial"/>
                <w:bCs/>
                <w:szCs w:val="16"/>
              </w:rPr>
            </w:pPr>
            <w:r w:rsidRPr="00E0465B">
              <w:rPr>
                <w:rFonts w:cs="Arial"/>
                <w:bCs/>
                <w:szCs w:val="16"/>
              </w:rPr>
              <w:t>2,864</w:t>
            </w:r>
          </w:p>
        </w:tc>
        <w:tc>
          <w:tcPr>
            <w:tcW w:w="833" w:type="pct"/>
          </w:tcPr>
          <w:p w14:paraId="47A2BC12" w14:textId="77777777" w:rsidR="00B25161" w:rsidRPr="00E0465B" w:rsidRDefault="00B25161" w:rsidP="00B25161">
            <w:pPr>
              <w:rPr>
                <w:rFonts w:cs="Arial"/>
                <w:bCs/>
                <w:szCs w:val="16"/>
              </w:rPr>
            </w:pPr>
            <w:r w:rsidRPr="00E0465B">
              <w:rPr>
                <w:rFonts w:cs="Arial"/>
                <w:bCs/>
                <w:szCs w:val="16"/>
              </w:rPr>
              <w:t>2,904</w:t>
            </w:r>
          </w:p>
        </w:tc>
        <w:tc>
          <w:tcPr>
            <w:tcW w:w="833" w:type="pct"/>
          </w:tcPr>
          <w:p w14:paraId="4915D083" w14:textId="77777777" w:rsidR="00B25161" w:rsidRPr="00E0465B" w:rsidRDefault="00B25161" w:rsidP="00B25161">
            <w:pPr>
              <w:rPr>
                <w:rFonts w:cs="Arial"/>
                <w:bCs/>
                <w:szCs w:val="16"/>
              </w:rPr>
            </w:pPr>
            <w:r w:rsidRPr="00E0465B">
              <w:rPr>
                <w:rFonts w:cs="Arial"/>
                <w:bCs/>
                <w:szCs w:val="16"/>
              </w:rPr>
              <w:t>4,736</w:t>
            </w:r>
          </w:p>
        </w:tc>
        <w:tc>
          <w:tcPr>
            <w:tcW w:w="833" w:type="pct"/>
          </w:tcPr>
          <w:p w14:paraId="64ED007D" w14:textId="77777777" w:rsidR="00B25161" w:rsidRPr="00E0465B" w:rsidRDefault="00B25161" w:rsidP="00B25161">
            <w:pPr>
              <w:rPr>
                <w:rFonts w:cs="Arial"/>
                <w:bCs/>
                <w:szCs w:val="16"/>
              </w:rPr>
            </w:pPr>
            <w:r w:rsidRPr="00E0465B">
              <w:rPr>
                <w:rFonts w:cs="Arial"/>
                <w:bCs/>
                <w:szCs w:val="16"/>
              </w:rPr>
              <w:t>2,418</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0.41%</w:t>
            </w:r>
          </w:p>
        </w:tc>
        <w:tc>
          <w:tcPr>
            <w:tcW w:w="833" w:type="pct"/>
          </w:tcPr>
          <w:p w14:paraId="127BF181" w14:textId="3BECFE2D" w:rsidR="00B25161" w:rsidRPr="00E0465B" w:rsidRDefault="00B25161" w:rsidP="00B25161">
            <w:pPr>
              <w:rPr>
                <w:rFonts w:cs="Arial"/>
                <w:bCs/>
                <w:szCs w:val="16"/>
              </w:rPr>
            </w:pPr>
            <w:r w:rsidRPr="00E0465B">
              <w:rPr>
                <w:rFonts w:cs="Arial"/>
                <w:bCs/>
                <w:szCs w:val="16"/>
              </w:rPr>
              <w:t>22.07%</w:t>
            </w:r>
          </w:p>
        </w:tc>
        <w:tc>
          <w:tcPr>
            <w:tcW w:w="833" w:type="pct"/>
          </w:tcPr>
          <w:p w14:paraId="37EC9364" w14:textId="61A07A7E" w:rsidR="00B25161" w:rsidRPr="00E0465B" w:rsidRDefault="00B25161" w:rsidP="00B25161">
            <w:pPr>
              <w:rPr>
                <w:rFonts w:cs="Arial"/>
                <w:bCs/>
                <w:szCs w:val="16"/>
              </w:rPr>
            </w:pPr>
            <w:r w:rsidRPr="00E0465B">
              <w:rPr>
                <w:rFonts w:cs="Arial"/>
                <w:bCs/>
                <w:szCs w:val="16"/>
              </w:rPr>
              <w:t>22.38%</w:t>
            </w:r>
          </w:p>
        </w:tc>
        <w:tc>
          <w:tcPr>
            <w:tcW w:w="833" w:type="pct"/>
          </w:tcPr>
          <w:p w14:paraId="09DF3FA5" w14:textId="57617973" w:rsidR="00B25161" w:rsidRPr="00E0465B" w:rsidRDefault="00B25161" w:rsidP="00B25161">
            <w:pPr>
              <w:rPr>
                <w:rFonts w:cs="Arial"/>
                <w:bCs/>
                <w:szCs w:val="16"/>
              </w:rPr>
            </w:pPr>
            <w:r w:rsidRPr="00E0465B">
              <w:rPr>
                <w:rFonts w:cs="Arial"/>
                <w:bCs/>
                <w:szCs w:val="16"/>
              </w:rPr>
              <w:t>36.50%</w:t>
            </w:r>
          </w:p>
        </w:tc>
        <w:tc>
          <w:tcPr>
            <w:tcW w:w="833" w:type="pct"/>
          </w:tcPr>
          <w:p w14:paraId="54994806" w14:textId="468B6FDF" w:rsidR="00B25161" w:rsidRPr="00E0465B" w:rsidRDefault="00B25161" w:rsidP="00B25161">
            <w:pPr>
              <w:rPr>
                <w:rFonts w:cs="Arial"/>
                <w:bCs/>
                <w:szCs w:val="16"/>
              </w:rPr>
            </w:pPr>
            <w:r w:rsidRPr="00E0465B">
              <w:rPr>
                <w:rFonts w:cs="Arial"/>
                <w:bCs/>
                <w:szCs w:val="16"/>
              </w:rPr>
              <w:t>18.64%</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65.08%</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55.84%</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72.22%</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47.15%</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72.37%</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55.14%</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6</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9,812</w:t>
            </w:r>
          </w:p>
        </w:tc>
        <w:tc>
          <w:tcPr>
            <w:tcW w:w="451" w:type="pct"/>
          </w:tcPr>
          <w:p w14:paraId="71B260CE" w14:textId="08E9F3B4" w:rsidR="002163B7" w:rsidRPr="002163B7" w:rsidRDefault="002163B7" w:rsidP="002163B7">
            <w:pPr>
              <w:rPr>
                <w:rFonts w:cs="Arial"/>
                <w:bCs/>
                <w:szCs w:val="16"/>
              </w:rPr>
            </w:pPr>
            <w:r w:rsidRPr="002163B7">
              <w:rPr>
                <w:rFonts w:cs="Arial"/>
                <w:bCs/>
                <w:szCs w:val="16"/>
              </w:rPr>
              <w:t>66.83%</w:t>
            </w:r>
          </w:p>
        </w:tc>
        <w:tc>
          <w:tcPr>
            <w:tcW w:w="409" w:type="pct"/>
          </w:tcPr>
          <w:p w14:paraId="6338C1B2" w14:textId="7BC386DE" w:rsidR="002163B7" w:rsidRPr="002163B7" w:rsidRDefault="002163B7" w:rsidP="002163B7">
            <w:pPr>
              <w:rPr>
                <w:rFonts w:cs="Arial"/>
                <w:bCs/>
                <w:szCs w:val="16"/>
              </w:rPr>
            </w:pPr>
            <w:r w:rsidRPr="002163B7">
              <w:rPr>
                <w:rFonts w:cs="Arial"/>
                <w:bCs/>
                <w:szCs w:val="16"/>
              </w:rPr>
              <w:t>9,245</w:t>
            </w:r>
          </w:p>
        </w:tc>
        <w:tc>
          <w:tcPr>
            <w:tcW w:w="451" w:type="pct"/>
          </w:tcPr>
          <w:p w14:paraId="136BBFD4" w14:textId="1CEB9412" w:rsidR="002163B7" w:rsidRPr="002163B7" w:rsidRDefault="002163B7" w:rsidP="002163B7">
            <w:pPr>
              <w:rPr>
                <w:rFonts w:cs="Arial"/>
                <w:bCs/>
                <w:szCs w:val="16"/>
              </w:rPr>
            </w:pPr>
            <w:r w:rsidRPr="002163B7">
              <w:rPr>
                <w:rFonts w:cs="Arial"/>
                <w:bCs/>
                <w:szCs w:val="16"/>
              </w:rPr>
              <w:t>65.08%</w:t>
            </w:r>
          </w:p>
        </w:tc>
        <w:tc>
          <w:tcPr>
            <w:tcW w:w="579" w:type="pct"/>
          </w:tcPr>
          <w:p w14:paraId="27AAECA7" w14:textId="77777777" w:rsidR="002163B7" w:rsidRPr="002163B7" w:rsidRDefault="002163B7" w:rsidP="002163B7">
            <w:pPr>
              <w:rPr>
                <w:rFonts w:cs="Arial"/>
                <w:bCs/>
                <w:szCs w:val="16"/>
              </w:rPr>
            </w:pPr>
            <w:r w:rsidRPr="002163B7">
              <w:rPr>
                <w:rFonts w:cs="Arial"/>
                <w:bCs/>
                <w:szCs w:val="16"/>
              </w:rPr>
              <w:t>-1.74</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0.0069</w:t>
            </w:r>
          </w:p>
        </w:tc>
        <w:tc>
          <w:tcPr>
            <w:tcW w:w="386" w:type="pct"/>
          </w:tcPr>
          <w:p w14:paraId="7D05A1C3" w14:textId="77777777" w:rsidR="002163B7" w:rsidRPr="002163B7" w:rsidRDefault="002163B7" w:rsidP="002163B7">
            <w:pPr>
              <w:rPr>
                <w:rFonts w:cs="Arial"/>
                <w:bCs/>
                <w:szCs w:val="16"/>
              </w:rPr>
            </w:pPr>
            <w:r w:rsidRPr="002163B7">
              <w:rPr>
                <w:rFonts w:cs="Arial"/>
                <w:bCs/>
                <w:szCs w:val="16"/>
              </w:rPr>
              <w:t>-2.5370</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0.0112</w:t>
            </w:r>
          </w:p>
        </w:tc>
        <w:tc>
          <w:tcPr>
            <w:tcW w:w="386" w:type="pct"/>
          </w:tcPr>
          <w:p w14:paraId="2DC1DA24" w14:textId="77777777" w:rsidR="002163B7" w:rsidRPr="002163B7" w:rsidRDefault="002163B7" w:rsidP="002163B7">
            <w:pPr>
              <w:rPr>
                <w:rFonts w:cs="Arial"/>
                <w:bCs/>
                <w:szCs w:val="16"/>
              </w:rPr>
            </w:pPr>
            <w:r w:rsidRPr="002163B7">
              <w:rPr>
                <w:rFonts w:cs="Arial"/>
                <w:bCs/>
                <w:szCs w:val="16"/>
              </w:rPr>
              <w:t>YES</w:t>
            </w:r>
          </w:p>
        </w:tc>
        <w:tc>
          <w:tcPr>
            <w:tcW w:w="575" w:type="pct"/>
          </w:tcPr>
          <w:p w14:paraId="00DA6A1A" w14:textId="77777777" w:rsidR="002163B7" w:rsidRPr="002163B7" w:rsidRDefault="002163B7" w:rsidP="002163B7">
            <w:pPr>
              <w:rPr>
                <w:rFonts w:cs="Arial"/>
                <w:bCs/>
                <w:szCs w:val="16"/>
              </w:rPr>
            </w:pPr>
            <w:r w:rsidRPr="002163B7">
              <w:rPr>
                <w:rFonts w:cs="Arial"/>
                <w:bCs/>
                <w:szCs w:val="16"/>
              </w:rPr>
              <w:t>0</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11,742</w:t>
            </w:r>
          </w:p>
        </w:tc>
        <w:tc>
          <w:tcPr>
            <w:tcW w:w="451" w:type="pct"/>
          </w:tcPr>
          <w:p w14:paraId="7784492F" w14:textId="617B5A37" w:rsidR="002163B7" w:rsidRPr="002163B7" w:rsidRDefault="002163B7" w:rsidP="002163B7">
            <w:pPr>
              <w:rPr>
                <w:rFonts w:cs="Arial"/>
                <w:bCs/>
                <w:szCs w:val="16"/>
              </w:rPr>
            </w:pPr>
            <w:r w:rsidRPr="002163B7">
              <w:rPr>
                <w:rFonts w:cs="Arial"/>
                <w:bCs/>
                <w:szCs w:val="16"/>
              </w:rPr>
              <w:t>73.56%</w:t>
            </w:r>
          </w:p>
        </w:tc>
        <w:tc>
          <w:tcPr>
            <w:tcW w:w="409" w:type="pct"/>
          </w:tcPr>
          <w:p w14:paraId="28F8936D" w14:textId="5A09EDE1" w:rsidR="002163B7" w:rsidRPr="002163B7" w:rsidRDefault="002163B7" w:rsidP="002163B7">
            <w:pPr>
              <w:rPr>
                <w:rFonts w:cs="Arial"/>
                <w:bCs/>
                <w:szCs w:val="16"/>
              </w:rPr>
            </w:pPr>
            <w:r w:rsidRPr="002163B7">
              <w:rPr>
                <w:rFonts w:cs="Arial"/>
                <w:bCs/>
                <w:szCs w:val="16"/>
              </w:rPr>
              <w:t>11,079</w:t>
            </w:r>
          </w:p>
        </w:tc>
        <w:tc>
          <w:tcPr>
            <w:tcW w:w="451" w:type="pct"/>
          </w:tcPr>
          <w:p w14:paraId="633C801B" w14:textId="4A295D67" w:rsidR="002163B7" w:rsidRPr="002163B7" w:rsidRDefault="002163B7" w:rsidP="002163B7">
            <w:pPr>
              <w:rPr>
                <w:rFonts w:cs="Arial"/>
                <w:bCs/>
                <w:szCs w:val="16"/>
              </w:rPr>
            </w:pPr>
            <w:r w:rsidRPr="002163B7">
              <w:rPr>
                <w:rFonts w:cs="Arial"/>
                <w:bCs/>
                <w:szCs w:val="16"/>
              </w:rPr>
              <w:t>72.22%</w:t>
            </w:r>
          </w:p>
        </w:tc>
        <w:tc>
          <w:tcPr>
            <w:tcW w:w="579" w:type="pct"/>
          </w:tcPr>
          <w:p w14:paraId="230B7EE7" w14:textId="77777777" w:rsidR="002163B7" w:rsidRPr="002163B7" w:rsidRDefault="002163B7" w:rsidP="002163B7">
            <w:pPr>
              <w:rPr>
                <w:rFonts w:cs="Arial"/>
                <w:bCs/>
                <w:szCs w:val="16"/>
              </w:rPr>
            </w:pPr>
            <w:r w:rsidRPr="002163B7">
              <w:rPr>
                <w:rFonts w:cs="Arial"/>
                <w:bCs/>
                <w:szCs w:val="16"/>
              </w:rPr>
              <w:t>-1.35</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0.0059</w:t>
            </w:r>
          </w:p>
        </w:tc>
        <w:tc>
          <w:tcPr>
            <w:tcW w:w="386" w:type="pct"/>
          </w:tcPr>
          <w:p w14:paraId="035E4F5E" w14:textId="77777777" w:rsidR="002163B7" w:rsidRPr="002163B7" w:rsidRDefault="002163B7" w:rsidP="002163B7">
            <w:pPr>
              <w:rPr>
                <w:rFonts w:cs="Arial"/>
                <w:bCs/>
                <w:szCs w:val="16"/>
              </w:rPr>
            </w:pPr>
            <w:r w:rsidRPr="002163B7">
              <w:rPr>
                <w:rFonts w:cs="Arial"/>
                <w:bCs/>
                <w:szCs w:val="16"/>
              </w:rPr>
              <w:t>-2.2881</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0.0221</w:t>
            </w:r>
          </w:p>
        </w:tc>
        <w:tc>
          <w:tcPr>
            <w:tcW w:w="386" w:type="pct"/>
          </w:tcPr>
          <w:p w14:paraId="24039893" w14:textId="77777777" w:rsidR="002163B7" w:rsidRPr="002163B7" w:rsidRDefault="002163B7" w:rsidP="002163B7">
            <w:pPr>
              <w:rPr>
                <w:rFonts w:cs="Arial"/>
                <w:bCs/>
                <w:szCs w:val="16"/>
              </w:rPr>
            </w:pPr>
            <w:r w:rsidRPr="002163B7">
              <w:rPr>
                <w:rFonts w:cs="Arial"/>
                <w:bCs/>
                <w:szCs w:val="16"/>
              </w:rPr>
              <w:t>YES</w:t>
            </w:r>
          </w:p>
        </w:tc>
        <w:tc>
          <w:tcPr>
            <w:tcW w:w="575" w:type="pct"/>
          </w:tcPr>
          <w:p w14:paraId="39010B28" w14:textId="77777777" w:rsidR="002163B7" w:rsidRPr="002163B7" w:rsidRDefault="002163B7" w:rsidP="002163B7">
            <w:pPr>
              <w:rPr>
                <w:rFonts w:cs="Arial"/>
                <w:bCs/>
                <w:szCs w:val="16"/>
              </w:rPr>
            </w:pPr>
            <w:r w:rsidRPr="002163B7">
              <w:rPr>
                <w:rFonts w:cs="Arial"/>
                <w:bCs/>
                <w:szCs w:val="16"/>
              </w:rPr>
              <w:t>0</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11,347</w:t>
            </w:r>
          </w:p>
        </w:tc>
        <w:tc>
          <w:tcPr>
            <w:tcW w:w="451" w:type="pct"/>
          </w:tcPr>
          <w:p w14:paraId="540692E3" w14:textId="56E6F3CD" w:rsidR="002163B7" w:rsidRPr="002163B7" w:rsidRDefault="002163B7" w:rsidP="002163B7">
            <w:pPr>
              <w:rPr>
                <w:rFonts w:cs="Arial"/>
                <w:bCs/>
                <w:szCs w:val="16"/>
              </w:rPr>
            </w:pPr>
            <w:r w:rsidRPr="002163B7">
              <w:rPr>
                <w:rFonts w:cs="Arial"/>
                <w:bCs/>
                <w:szCs w:val="16"/>
              </w:rPr>
              <w:t>74.81%</w:t>
            </w:r>
          </w:p>
        </w:tc>
        <w:tc>
          <w:tcPr>
            <w:tcW w:w="409" w:type="pct"/>
          </w:tcPr>
          <w:p w14:paraId="1B3E02C2" w14:textId="2CE8465F" w:rsidR="002163B7" w:rsidRPr="002163B7" w:rsidRDefault="002163B7" w:rsidP="002163B7">
            <w:pPr>
              <w:rPr>
                <w:rFonts w:cs="Arial"/>
                <w:bCs/>
                <w:szCs w:val="16"/>
              </w:rPr>
            </w:pPr>
            <w:r w:rsidRPr="002163B7">
              <w:rPr>
                <w:rFonts w:cs="Arial"/>
                <w:bCs/>
                <w:szCs w:val="16"/>
              </w:rPr>
              <w:t>10,557</w:t>
            </w:r>
          </w:p>
        </w:tc>
        <w:tc>
          <w:tcPr>
            <w:tcW w:w="451" w:type="pct"/>
          </w:tcPr>
          <w:p w14:paraId="34FC7C5B" w14:textId="5058C880" w:rsidR="002163B7" w:rsidRPr="002163B7" w:rsidRDefault="002163B7" w:rsidP="002163B7">
            <w:pPr>
              <w:rPr>
                <w:rFonts w:cs="Arial"/>
                <w:bCs/>
                <w:szCs w:val="16"/>
              </w:rPr>
            </w:pPr>
            <w:r w:rsidRPr="002163B7">
              <w:rPr>
                <w:rFonts w:cs="Arial"/>
                <w:bCs/>
                <w:szCs w:val="16"/>
              </w:rPr>
              <w:t>72.37%</w:t>
            </w:r>
          </w:p>
        </w:tc>
        <w:tc>
          <w:tcPr>
            <w:tcW w:w="579" w:type="pct"/>
          </w:tcPr>
          <w:p w14:paraId="553B8B85" w14:textId="77777777" w:rsidR="002163B7" w:rsidRPr="002163B7" w:rsidRDefault="002163B7" w:rsidP="002163B7">
            <w:pPr>
              <w:rPr>
                <w:rFonts w:cs="Arial"/>
                <w:bCs/>
                <w:szCs w:val="16"/>
              </w:rPr>
            </w:pPr>
            <w:r w:rsidRPr="002163B7">
              <w:rPr>
                <w:rFonts w:cs="Arial"/>
                <w:bCs/>
                <w:szCs w:val="16"/>
              </w:rPr>
              <w:t>-2.44</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0.0060</w:t>
            </w:r>
          </w:p>
        </w:tc>
        <w:tc>
          <w:tcPr>
            <w:tcW w:w="386" w:type="pct"/>
          </w:tcPr>
          <w:p w14:paraId="6ADF51A1" w14:textId="77777777" w:rsidR="002163B7" w:rsidRPr="002163B7" w:rsidRDefault="002163B7" w:rsidP="002163B7">
            <w:pPr>
              <w:rPr>
                <w:rFonts w:cs="Arial"/>
                <w:bCs/>
                <w:szCs w:val="16"/>
              </w:rPr>
            </w:pPr>
            <w:r w:rsidRPr="002163B7">
              <w:rPr>
                <w:rFonts w:cs="Arial"/>
                <w:bCs/>
                <w:szCs w:val="16"/>
              </w:rPr>
              <w:t>-4.0986</w:t>
            </w:r>
          </w:p>
        </w:tc>
        <w:tc>
          <w:tcPr>
            <w:tcW w:w="386" w:type="pct"/>
          </w:tcPr>
          <w:p w14:paraId="144B8F31" w14:textId="77777777" w:rsidR="002163B7" w:rsidRPr="002163B7" w:rsidRDefault="002163B7" w:rsidP="002163B7">
            <w:pPr>
              <w:rPr>
                <w:rFonts w:cs="Arial"/>
                <w:bCs/>
                <w:szCs w:val="16"/>
              </w:rPr>
            </w:pPr>
            <w:r w:rsidRPr="002163B7">
              <w:rPr>
                <w:rFonts w:cs="Arial"/>
                <w:bCs/>
                <w:szCs w:val="16"/>
              </w:rPr>
              <w:t>&lt;.0001</w:t>
            </w:r>
          </w:p>
        </w:tc>
        <w:tc>
          <w:tcPr>
            <w:tcW w:w="386" w:type="pct"/>
          </w:tcPr>
          <w:p w14:paraId="31C10E76" w14:textId="77777777" w:rsidR="002163B7" w:rsidRPr="002163B7" w:rsidRDefault="002163B7" w:rsidP="002163B7">
            <w:pPr>
              <w:rPr>
                <w:rFonts w:cs="Arial"/>
                <w:bCs/>
                <w:szCs w:val="16"/>
              </w:rPr>
            </w:pPr>
            <w:r w:rsidRPr="002163B7">
              <w:rPr>
                <w:rFonts w:cs="Arial"/>
                <w:bCs/>
                <w:szCs w:val="16"/>
              </w:rPr>
              <w:t>YES</w:t>
            </w:r>
          </w:p>
        </w:tc>
        <w:tc>
          <w:tcPr>
            <w:tcW w:w="575" w:type="pct"/>
          </w:tcPr>
          <w:p w14:paraId="56549F88" w14:textId="77777777" w:rsidR="002163B7" w:rsidRPr="002163B7" w:rsidRDefault="002163B7" w:rsidP="002163B7">
            <w:pPr>
              <w:rPr>
                <w:rFonts w:cs="Arial"/>
                <w:bCs/>
                <w:szCs w:val="16"/>
              </w:rPr>
            </w:pPr>
            <w:r w:rsidRPr="002163B7">
              <w:rPr>
                <w:rFonts w:cs="Arial"/>
                <w:bCs/>
                <w:szCs w:val="16"/>
              </w:rPr>
              <w:t>0</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13,732</w:t>
            </w:r>
          </w:p>
        </w:tc>
        <w:tc>
          <w:tcPr>
            <w:tcW w:w="451" w:type="pct"/>
          </w:tcPr>
          <w:p w14:paraId="194DF487" w14:textId="7DCD0747" w:rsidR="002163B7" w:rsidRPr="002163B7" w:rsidRDefault="002163B7" w:rsidP="002163B7">
            <w:pPr>
              <w:rPr>
                <w:rFonts w:cs="Arial"/>
                <w:bCs/>
                <w:szCs w:val="16"/>
              </w:rPr>
            </w:pPr>
            <w:r w:rsidRPr="002163B7">
              <w:rPr>
                <w:rFonts w:cs="Arial"/>
                <w:bCs/>
                <w:szCs w:val="16"/>
              </w:rPr>
              <w:t>56.40%</w:t>
            </w:r>
          </w:p>
        </w:tc>
        <w:tc>
          <w:tcPr>
            <w:tcW w:w="409" w:type="pct"/>
          </w:tcPr>
          <w:p w14:paraId="5EAAAE8A" w14:textId="57AB6E77" w:rsidR="002163B7" w:rsidRPr="002163B7" w:rsidRDefault="002163B7" w:rsidP="002163B7">
            <w:pPr>
              <w:rPr>
                <w:rFonts w:cs="Arial"/>
                <w:bCs/>
                <w:szCs w:val="16"/>
              </w:rPr>
            </w:pPr>
            <w:r w:rsidRPr="002163B7">
              <w:rPr>
                <w:rFonts w:cs="Arial"/>
                <w:bCs/>
                <w:szCs w:val="16"/>
              </w:rPr>
              <w:t>12,959</w:t>
            </w:r>
          </w:p>
        </w:tc>
        <w:tc>
          <w:tcPr>
            <w:tcW w:w="451" w:type="pct"/>
          </w:tcPr>
          <w:p w14:paraId="54F6D99F" w14:textId="0EE83B30" w:rsidR="002163B7" w:rsidRPr="002163B7" w:rsidRDefault="002163B7" w:rsidP="002163B7">
            <w:pPr>
              <w:rPr>
                <w:rFonts w:cs="Arial"/>
                <w:bCs/>
                <w:szCs w:val="16"/>
              </w:rPr>
            </w:pPr>
            <w:r w:rsidRPr="002163B7">
              <w:rPr>
                <w:rFonts w:cs="Arial"/>
                <w:bCs/>
                <w:szCs w:val="16"/>
              </w:rPr>
              <w:t>55.84%</w:t>
            </w:r>
          </w:p>
        </w:tc>
        <w:tc>
          <w:tcPr>
            <w:tcW w:w="579" w:type="pct"/>
          </w:tcPr>
          <w:p w14:paraId="1D077B69" w14:textId="77777777" w:rsidR="002163B7" w:rsidRPr="002163B7" w:rsidRDefault="002163B7" w:rsidP="002163B7">
            <w:pPr>
              <w:rPr>
                <w:rFonts w:cs="Arial"/>
                <w:bCs/>
                <w:szCs w:val="16"/>
              </w:rPr>
            </w:pPr>
            <w:r w:rsidRPr="002163B7">
              <w:rPr>
                <w:rFonts w:cs="Arial"/>
                <w:bCs/>
                <w:szCs w:val="16"/>
              </w:rPr>
              <w:t>-0.56</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0.0061</w:t>
            </w:r>
          </w:p>
        </w:tc>
        <w:tc>
          <w:tcPr>
            <w:tcW w:w="386" w:type="pct"/>
          </w:tcPr>
          <w:p w14:paraId="44A41449" w14:textId="77777777" w:rsidR="002163B7" w:rsidRPr="002163B7" w:rsidRDefault="002163B7" w:rsidP="002163B7">
            <w:pPr>
              <w:rPr>
                <w:rFonts w:cs="Arial"/>
                <w:bCs/>
                <w:szCs w:val="16"/>
              </w:rPr>
            </w:pPr>
            <w:r w:rsidRPr="002163B7">
              <w:rPr>
                <w:rFonts w:cs="Arial"/>
                <w:bCs/>
                <w:szCs w:val="16"/>
              </w:rPr>
              <w:t>-0.9271</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0.3539</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13,744</w:t>
            </w:r>
          </w:p>
        </w:tc>
        <w:tc>
          <w:tcPr>
            <w:tcW w:w="451" w:type="pct"/>
          </w:tcPr>
          <w:p w14:paraId="2CE4E688" w14:textId="5431A696" w:rsidR="002163B7" w:rsidRPr="002163B7" w:rsidRDefault="002163B7" w:rsidP="002163B7">
            <w:pPr>
              <w:rPr>
                <w:rFonts w:cs="Arial"/>
                <w:bCs/>
                <w:szCs w:val="16"/>
              </w:rPr>
            </w:pPr>
            <w:r w:rsidRPr="002163B7">
              <w:rPr>
                <w:rFonts w:cs="Arial"/>
                <w:bCs/>
                <w:szCs w:val="16"/>
              </w:rPr>
              <w:t>46.17%</w:t>
            </w:r>
          </w:p>
        </w:tc>
        <w:tc>
          <w:tcPr>
            <w:tcW w:w="409" w:type="pct"/>
          </w:tcPr>
          <w:p w14:paraId="646CA85A" w14:textId="3C895BAE" w:rsidR="002163B7" w:rsidRPr="002163B7" w:rsidRDefault="002163B7" w:rsidP="002163B7">
            <w:pPr>
              <w:rPr>
                <w:rFonts w:cs="Arial"/>
                <w:bCs/>
                <w:szCs w:val="16"/>
              </w:rPr>
            </w:pPr>
            <w:r w:rsidRPr="002163B7">
              <w:rPr>
                <w:rFonts w:cs="Arial"/>
                <w:bCs/>
                <w:szCs w:val="16"/>
              </w:rPr>
              <w:t>12,976</w:t>
            </w:r>
          </w:p>
        </w:tc>
        <w:tc>
          <w:tcPr>
            <w:tcW w:w="451" w:type="pct"/>
          </w:tcPr>
          <w:p w14:paraId="37836055" w14:textId="1351FC3C" w:rsidR="002163B7" w:rsidRPr="002163B7" w:rsidRDefault="002163B7" w:rsidP="002163B7">
            <w:pPr>
              <w:rPr>
                <w:rFonts w:cs="Arial"/>
                <w:bCs/>
                <w:szCs w:val="16"/>
              </w:rPr>
            </w:pPr>
            <w:r w:rsidRPr="002163B7">
              <w:rPr>
                <w:rFonts w:cs="Arial"/>
                <w:bCs/>
                <w:szCs w:val="16"/>
              </w:rPr>
              <w:t>47.15%</w:t>
            </w:r>
          </w:p>
        </w:tc>
        <w:tc>
          <w:tcPr>
            <w:tcW w:w="579" w:type="pct"/>
          </w:tcPr>
          <w:p w14:paraId="46137C56" w14:textId="77777777" w:rsidR="002163B7" w:rsidRPr="002163B7" w:rsidRDefault="002163B7" w:rsidP="002163B7">
            <w:pPr>
              <w:rPr>
                <w:rFonts w:cs="Arial"/>
                <w:bCs/>
                <w:szCs w:val="16"/>
              </w:rPr>
            </w:pPr>
            <w:r w:rsidRPr="002163B7">
              <w:rPr>
                <w:rFonts w:cs="Arial"/>
                <w:bCs/>
                <w:szCs w:val="16"/>
              </w:rPr>
              <w:t>0.98</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0.0061</w:t>
            </w:r>
          </w:p>
        </w:tc>
        <w:tc>
          <w:tcPr>
            <w:tcW w:w="386" w:type="pct"/>
          </w:tcPr>
          <w:p w14:paraId="33ABA125" w14:textId="77777777" w:rsidR="002163B7" w:rsidRPr="002163B7" w:rsidRDefault="002163B7" w:rsidP="002163B7">
            <w:pPr>
              <w:rPr>
                <w:rFonts w:cs="Arial"/>
                <w:bCs/>
                <w:szCs w:val="16"/>
              </w:rPr>
            </w:pPr>
            <w:r w:rsidRPr="002163B7">
              <w:rPr>
                <w:rFonts w:cs="Arial"/>
                <w:bCs/>
                <w:szCs w:val="16"/>
              </w:rPr>
              <w:t>1.6098</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0.1074</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13,725</w:t>
            </w:r>
          </w:p>
        </w:tc>
        <w:tc>
          <w:tcPr>
            <w:tcW w:w="451" w:type="pct"/>
          </w:tcPr>
          <w:p w14:paraId="11697454" w14:textId="54436DC8" w:rsidR="002163B7" w:rsidRPr="002163B7" w:rsidRDefault="002163B7" w:rsidP="002163B7">
            <w:pPr>
              <w:rPr>
                <w:rFonts w:cs="Arial"/>
                <w:bCs/>
                <w:szCs w:val="16"/>
              </w:rPr>
            </w:pPr>
            <w:r w:rsidRPr="002163B7">
              <w:rPr>
                <w:rFonts w:cs="Arial"/>
                <w:bCs/>
                <w:szCs w:val="16"/>
              </w:rPr>
              <w:t>54.51%</w:t>
            </w:r>
          </w:p>
        </w:tc>
        <w:tc>
          <w:tcPr>
            <w:tcW w:w="409" w:type="pct"/>
          </w:tcPr>
          <w:p w14:paraId="15A07783" w14:textId="7CD02A10" w:rsidR="002163B7" w:rsidRPr="002163B7" w:rsidRDefault="002163B7" w:rsidP="002163B7">
            <w:pPr>
              <w:rPr>
                <w:rFonts w:cs="Arial"/>
                <w:bCs/>
                <w:szCs w:val="16"/>
              </w:rPr>
            </w:pPr>
            <w:r w:rsidRPr="002163B7">
              <w:rPr>
                <w:rFonts w:cs="Arial"/>
                <w:bCs/>
                <w:szCs w:val="16"/>
              </w:rPr>
              <w:t>12,975</w:t>
            </w:r>
          </w:p>
        </w:tc>
        <w:tc>
          <w:tcPr>
            <w:tcW w:w="451" w:type="pct"/>
          </w:tcPr>
          <w:p w14:paraId="48158A85" w14:textId="5FA103FF" w:rsidR="002163B7" w:rsidRPr="002163B7" w:rsidRDefault="002163B7" w:rsidP="002163B7">
            <w:pPr>
              <w:rPr>
                <w:rFonts w:cs="Arial"/>
                <w:bCs/>
                <w:szCs w:val="16"/>
              </w:rPr>
            </w:pPr>
            <w:r w:rsidRPr="002163B7">
              <w:rPr>
                <w:rFonts w:cs="Arial"/>
                <w:bCs/>
                <w:szCs w:val="16"/>
              </w:rPr>
              <w:t>55.14%</w:t>
            </w:r>
          </w:p>
        </w:tc>
        <w:tc>
          <w:tcPr>
            <w:tcW w:w="579" w:type="pct"/>
          </w:tcPr>
          <w:p w14:paraId="7D6FF76A" w14:textId="77777777" w:rsidR="002163B7" w:rsidRPr="002163B7" w:rsidRDefault="002163B7" w:rsidP="002163B7">
            <w:pPr>
              <w:rPr>
                <w:rFonts w:cs="Arial"/>
                <w:bCs/>
                <w:szCs w:val="16"/>
              </w:rPr>
            </w:pPr>
            <w:r w:rsidRPr="002163B7">
              <w:rPr>
                <w:rFonts w:cs="Arial"/>
                <w:bCs/>
                <w:szCs w:val="16"/>
              </w:rPr>
              <w:t>0.63</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0.0061</w:t>
            </w:r>
          </w:p>
        </w:tc>
        <w:tc>
          <w:tcPr>
            <w:tcW w:w="386" w:type="pct"/>
          </w:tcPr>
          <w:p w14:paraId="2D1A2501" w14:textId="77777777" w:rsidR="002163B7" w:rsidRPr="002163B7" w:rsidRDefault="002163B7" w:rsidP="002163B7">
            <w:pPr>
              <w:rPr>
                <w:rFonts w:cs="Arial"/>
                <w:bCs/>
                <w:szCs w:val="16"/>
              </w:rPr>
            </w:pPr>
            <w:r w:rsidRPr="002163B7">
              <w:rPr>
                <w:rFonts w:cs="Arial"/>
                <w:bCs/>
                <w:szCs w:val="16"/>
              </w:rPr>
              <w:t>1.0346</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0.3009</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3</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0</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7590461F" w14:textId="77777777" w:rsidR="00C06077" w:rsidRPr="00C06077" w:rsidRDefault="00C06077" w:rsidP="00C06077">
      <w:pPr>
        <w:rPr>
          <w:b/>
          <w:bCs/>
          <w:sz w:val="20"/>
          <w:szCs w:val="28"/>
        </w:rPr>
      </w:pPr>
      <w:r w:rsidRPr="00C06077">
        <w:rPr>
          <w:b/>
          <w:bCs/>
          <w:sz w:val="20"/>
          <w:szCs w:val="28"/>
        </w:rPr>
        <w:t>Pennsylvania</w:t>
      </w:r>
    </w:p>
    <w:p w14:paraId="101E4D83" w14:textId="77777777" w:rsidR="00C06077" w:rsidRPr="00C06077" w:rsidRDefault="00C06077" w:rsidP="00C06077"/>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1D0E1683" w14:textId="77777777" w:rsidR="00416D35" w:rsidRDefault="00416D35">
      <w:pPr>
        <w:spacing w:before="0" w:after="200" w:line="276" w:lineRule="auto"/>
      </w:pPr>
    </w:p>
    <w:p w14:paraId="2D73293C" w14:textId="22FF89A7" w:rsidR="00A241E8" w:rsidRDefault="00C06077">
      <w:pPr>
        <w:spacing w:before="0" w:after="200" w:line="276" w:lineRule="auto"/>
      </w:pPr>
      <w:r>
        <w:object w:dxaOrig="1540" w:dyaOrig="997" w14:anchorId="5D28CB62">
          <v:shape id="_x0000_i1026" type="#_x0000_t75" alt="PA-C-DR-2021-22" style="width:77.25pt;height:49.5pt" o:ole="">
            <v:imagedata r:id="rId14" o:title=""/>
          </v:shape>
          <o:OLEObject Type="Embed" ProgID="Acrobat.Document.2020" ShapeID="_x0000_i1026" DrawAspect="Icon" ObjectID="_1749313347"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C06077"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212957900">
    <w:abstractNumId w:val="7"/>
  </w:num>
  <w:num w:numId="2" w16cid:durableId="495534724">
    <w:abstractNumId w:val="16"/>
  </w:num>
  <w:num w:numId="3" w16cid:durableId="501700266">
    <w:abstractNumId w:val="9"/>
  </w:num>
  <w:num w:numId="4" w16cid:durableId="1642922135">
    <w:abstractNumId w:val="8"/>
  </w:num>
  <w:num w:numId="5" w16cid:durableId="1001275074">
    <w:abstractNumId w:val="18"/>
  </w:num>
  <w:num w:numId="6" w16cid:durableId="338655942">
    <w:abstractNumId w:val="0"/>
  </w:num>
  <w:num w:numId="7" w16cid:durableId="1317419066">
    <w:abstractNumId w:val="1"/>
  </w:num>
  <w:num w:numId="8" w16cid:durableId="815993918">
    <w:abstractNumId w:val="14"/>
  </w:num>
  <w:num w:numId="9" w16cid:durableId="1996494059">
    <w:abstractNumId w:val="13"/>
  </w:num>
  <w:num w:numId="10" w16cid:durableId="1923568560">
    <w:abstractNumId w:val="3"/>
  </w:num>
  <w:num w:numId="11" w16cid:durableId="882252495">
    <w:abstractNumId w:val="2"/>
  </w:num>
  <w:num w:numId="12" w16cid:durableId="56973469">
    <w:abstractNumId w:val="5"/>
  </w:num>
  <w:num w:numId="13" w16cid:durableId="1619410814">
    <w:abstractNumId w:val="11"/>
  </w:num>
  <w:num w:numId="14" w16cid:durableId="474030132">
    <w:abstractNumId w:val="10"/>
  </w:num>
  <w:num w:numId="15" w16cid:durableId="689141000">
    <w:abstractNumId w:val="12"/>
  </w:num>
  <w:num w:numId="16" w16cid:durableId="1603685142">
    <w:abstractNumId w:val="15"/>
  </w:num>
  <w:num w:numId="17" w16cid:durableId="1030640675">
    <w:abstractNumId w:val="4"/>
  </w:num>
  <w:num w:numId="18" w16cid:durableId="607127329">
    <w:abstractNumId w:val="6"/>
  </w:num>
  <w:num w:numId="19" w16cid:durableId="172556578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6D35"/>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6F75"/>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077"/>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E34A9DCB-E3D8-4048-BDD4-1F7881EB959B}">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terms/"/>
    <ds:schemaRef ds:uri="http://schemas.microsoft.com/sharepoint/v3"/>
    <ds:schemaRef ds:uri="292db1e8-b3d0-4356-8ef3-2a6d7ed77883"/>
    <ds:schemaRef ds:uri="4f36bac4-6705-4a36-974b-7c07450fedf2"/>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78393BAE-5AE7-408E-B246-A96DFF002C0E}"/>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59</Pages>
  <Words>28300</Words>
  <Characters>161314</Characters>
  <Application>Microsoft Office Word</Application>
  <DocSecurity>0</DocSecurity>
  <Lines>1344</Lines>
  <Paragraphs>378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2023-06-26T23:31:00Z</dcterms:created>
  <dcterms:modified xsi:type="dcterms:W3CDTF">2023-06-26T23:31:00Z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