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Oklahoma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In half of the compliance and performance indicators, Oklahoma improved or maintained its score from FFY 2018 (within one percentage point). More than half of the thirty measures also met target. Indicator 3 is not reported. </w:t>
      </w:r>
      <w:r w:rsidRPr="005C29F8">
        <w:rPr>
          <w:rFonts w:cs="Arial"/>
          <w:color w:val="000000" w:themeColor="text1"/>
          <w:szCs w:val="16"/>
        </w:rPr>
        <w:br/>
      </w:r>
      <w:r w:rsidRPr="005C29F8">
        <w:rPr>
          <w:rFonts w:cs="Arial"/>
          <w:color w:val="000000" w:themeColor="text1"/>
          <w:szCs w:val="16"/>
        </w:rPr>
        <w:br/>
        <w:t>Highlights include:</w:t>
      </w:r>
      <w:r w:rsidRPr="005C29F8">
        <w:rPr>
          <w:rFonts w:cs="Arial"/>
          <w:color w:val="000000" w:themeColor="text1"/>
          <w:szCs w:val="16"/>
        </w:rPr>
        <w:br/>
        <w:t>• 91 percent of students with disabilities (ages 6 to 21) are incorporated into the general education classroom at least 40 percent of the time (100 percent minus Indicators 5B &amp; 5C).</w:t>
      </w:r>
      <w:r w:rsidRPr="005C29F8">
        <w:rPr>
          <w:rFonts w:cs="Arial"/>
          <w:color w:val="000000" w:themeColor="text1"/>
          <w:szCs w:val="16"/>
        </w:rPr>
        <w:br/>
        <w:t>• On every measure of early childhood outcomes (Indicator 7, Outcomes A, B &amp; C), Oklahoma is near or exceeds the state targets, improving from the prior year.</w:t>
      </w:r>
      <w:r w:rsidRPr="005C29F8">
        <w:rPr>
          <w:rFonts w:cs="Arial"/>
          <w:color w:val="000000" w:themeColor="text1"/>
          <w:szCs w:val="16"/>
        </w:rPr>
        <w:br/>
        <w:t>• Indicator 4A: The large increase is a result of a reduced number of districts that meet the minimum reporting requirement. Only 33 LEAs met or exceeded the minimum n-size of 10 students with more than 10 days of suspension or expulsion in 2018-2019, a substantial drop from the previous year of 176 districts. This dramatic year to year change has caused the rate of discrepancy to increase tenfold, though only 5 more districts were identified as significantly discrepant in the 18-19 school year.</w:t>
      </w:r>
      <w:r w:rsidRPr="005C29F8">
        <w:rPr>
          <w:rFonts w:cs="Arial"/>
          <w:color w:val="000000" w:themeColor="text1"/>
          <w:szCs w:val="16"/>
        </w:rPr>
        <w:br/>
        <w:t>•</w:t>
      </w:r>
      <w:r w:rsidRPr="005C29F8">
        <w:rPr>
          <w:rFonts w:cs="Arial"/>
          <w:color w:val="000000" w:themeColor="text1"/>
          <w:szCs w:val="16"/>
        </w:rPr>
        <w:tab/>
        <w:t xml:space="preserve">Although Oklahoma increased the rate of preschool students who receive services in the general education classroom, the State is still well below target (Indicator 6). </w:t>
      </w:r>
      <w:r w:rsidRPr="005C29F8">
        <w:rPr>
          <w:rFonts w:cs="Arial"/>
          <w:color w:val="000000" w:themeColor="text1"/>
          <w:szCs w:val="16"/>
        </w:rPr>
        <w:br/>
        <w:t xml:space="preserve">• According to the data collection survey results, fewer students who left high school while being served through IEPs were active one year later in higher education, competitive </w:t>
      </w:r>
      <w:proofErr w:type="gramStart"/>
      <w:r w:rsidRPr="005C29F8">
        <w:rPr>
          <w:rFonts w:cs="Arial"/>
          <w:color w:val="000000" w:themeColor="text1"/>
          <w:szCs w:val="16"/>
        </w:rPr>
        <w:t>employment</w:t>
      </w:r>
      <w:proofErr w:type="gramEnd"/>
      <w:r w:rsidRPr="005C29F8">
        <w:rPr>
          <w:rFonts w:cs="Arial"/>
          <w:color w:val="000000" w:themeColor="text1"/>
          <w:szCs w:val="16"/>
        </w:rPr>
        <w:t xml:space="preserve"> or other related activities (Indicator 14). The slippage may be </w:t>
      </w:r>
      <w:proofErr w:type="gramStart"/>
      <w:r w:rsidRPr="005C29F8">
        <w:rPr>
          <w:rFonts w:cs="Arial"/>
          <w:color w:val="000000" w:themeColor="text1"/>
          <w:szCs w:val="16"/>
        </w:rPr>
        <w:t>due to the effects</w:t>
      </w:r>
      <w:proofErr w:type="gramEnd"/>
      <w:r w:rsidRPr="005C29F8">
        <w:rPr>
          <w:rFonts w:cs="Arial"/>
          <w:color w:val="000000" w:themeColor="text1"/>
          <w:szCs w:val="16"/>
        </w:rPr>
        <w:t xml:space="preserve"> of the covid-19 pandemic.</w:t>
      </w:r>
      <w:r w:rsidRPr="005C29F8">
        <w:rPr>
          <w:rFonts w:cs="Arial"/>
          <w:color w:val="000000" w:themeColor="text1"/>
          <w:szCs w:val="16"/>
        </w:rPr>
        <w:br/>
        <w:t xml:space="preserve">• The Covid-19 pandemic also negatively </w:t>
      </w:r>
      <w:proofErr w:type="spellStart"/>
      <w:r w:rsidRPr="005C29F8">
        <w:rPr>
          <w:rFonts w:cs="Arial"/>
          <w:color w:val="000000" w:themeColor="text1"/>
          <w:szCs w:val="16"/>
        </w:rPr>
        <w:t>effected</w:t>
      </w:r>
      <w:proofErr w:type="spellEnd"/>
      <w:r w:rsidRPr="005C29F8">
        <w:rPr>
          <w:rFonts w:cs="Arial"/>
          <w:color w:val="000000" w:themeColor="text1"/>
          <w:szCs w:val="16"/>
        </w:rPr>
        <w:t xml:space="preserve"> district compliance to timeliness requirements for initial evaluations and IEPs (Indicators 11 and 12).</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544</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Oklahoma’s general supervision system is designed to ensure the implementation of the Individuals with Disabilities Education Improvement Act (IDEA) of 2004. The main purpose of the State system is to support and build capacity for effective implementation of the IDEA by the State and local education agencies (LEAs),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outcomes for students with disabilities in Oklahoma. This system is designed to: a) ensure compliance with federal and state regulations and b) improve services and results for students with disabilities. </w:t>
      </w:r>
      <w:r w:rsidRPr="005C29F8">
        <w:rPr>
          <w:rFonts w:cs="Arial"/>
          <w:color w:val="000000" w:themeColor="text1"/>
          <w:szCs w:val="16"/>
        </w:rPr>
        <w:br/>
      </w:r>
      <w:r w:rsidRPr="005C29F8">
        <w:rPr>
          <w:rFonts w:cs="Arial"/>
          <w:color w:val="000000" w:themeColor="text1"/>
          <w:szCs w:val="16"/>
        </w:rPr>
        <w:br/>
        <w:t>Policies, Procedures, and Effective Implementation</w:t>
      </w:r>
      <w:r w:rsidRPr="005C29F8">
        <w:rPr>
          <w:rFonts w:cs="Arial"/>
          <w:color w:val="000000" w:themeColor="text1"/>
          <w:szCs w:val="16"/>
        </w:rPr>
        <w:br/>
        <w:t>Oklahoma’s special education policies and procedures support state and local implementation of the IDEA. Agencies responsible for special education and related services must abide by Oklahoma State law, policies, procedures, and the federal regulations for the IDEA Part B and C. Agencies having these responsibilities are: local educational agencies (LEA), public charter schools not otherwise included as LEAs, other public agencies (e.g., State schools for students with deafness and blindness and State and local juvenile and adult correctional facilities), and accredited private schools and facilities as described in the applicable federal regulations and established by Oklahoma State laws. The OSDE-SES has outlined specific strategies for implementation of the IDEA in the Oklahoma Special Education Handbook. Additional information about Oklahoma’s policies and procedures are included in the Oklahoma Special Education Policies and the Oklahoma Special Education Process Guide. LEAs are responsible for developing policies and procedures and ensuring effective implementation. LEAs are required annually to complete the Local Education Agency Agreement for Special Education in Oklahoma which ensures all eligible students in the LEA will have access to a free and appropriate public education (FAPE) (34 CFR § 300.17). In addition, LEAs are required to submit Local Education Agency Assurances which demonstrate that the LEA understands its responsibilities under the IDEA. All handbooks and guides are available on the OSDE-SES website at https://sde.ok.gov/documents-forms.</w:t>
      </w:r>
      <w:r w:rsidRPr="005C29F8">
        <w:rPr>
          <w:rFonts w:cs="Arial"/>
          <w:color w:val="000000" w:themeColor="text1"/>
          <w:szCs w:val="16"/>
        </w:rPr>
        <w:br/>
      </w:r>
      <w:r w:rsidRPr="005C29F8">
        <w:rPr>
          <w:rFonts w:cs="Arial"/>
          <w:color w:val="000000" w:themeColor="text1"/>
          <w:szCs w:val="16"/>
        </w:rPr>
        <w:br/>
        <w:t>IDEA B State Advisory Panel</w:t>
      </w:r>
      <w:r w:rsidRPr="005C29F8">
        <w:rPr>
          <w:rFonts w:cs="Arial"/>
          <w:color w:val="000000" w:themeColor="text1"/>
          <w:szCs w:val="16"/>
        </w:rPr>
        <w:br/>
        <w:t>The OSDE-SES develops policies and procedures with the support of the IDEA B State Advisory Panel. The IDEA B State Advisory Panel for Special Education serves as an advisory group to the OSDE-SES on issues related to special education and related services for students with disabilities (34 CFR §300.167). The Panel includes the following stakeholders: parents of students with disabilities; individuals with disabilities; state and local education officials; state and local agency representatives; general and special education school administrators and teachers; advocacy groups; representatives of institutions of higher education that prepare special education and related services personnel; representatives of private schools and charter schools; representatives of vocational, community, and business organizations concerned with the provision of transition services to youth with disabilities; and representatives of state juvenile and corrections agencies (34 CFR §300.168). The Panel participates in the annual review and revision of the SPP/APR, including the development of state targets, the review of data of improvement activities, and making suggestions for updates to the activities and targets. More information, including the IDEA B State Advisory Panel Operating Guidelines, can be found here: http://ok.gov/sde/idea-b-advisory-panel.</w:t>
      </w:r>
      <w:r w:rsidRPr="005C29F8">
        <w:rPr>
          <w:rFonts w:cs="Arial"/>
          <w:color w:val="000000" w:themeColor="text1"/>
          <w:szCs w:val="16"/>
        </w:rPr>
        <w:br/>
      </w:r>
      <w:r w:rsidRPr="005C29F8">
        <w:rPr>
          <w:rFonts w:cs="Arial"/>
          <w:color w:val="000000" w:themeColor="text1"/>
          <w:szCs w:val="16"/>
        </w:rPr>
        <w:br/>
        <w:t>Integrated Monitoring</w:t>
      </w:r>
      <w:r w:rsidRPr="005C29F8">
        <w:rPr>
          <w:rFonts w:cs="Arial"/>
          <w:color w:val="000000" w:themeColor="text1"/>
          <w:szCs w:val="16"/>
        </w:rPr>
        <w:br/>
        <w:t>Refer to http://sde.ok.gov/sde/compliance for the general supervision system manual that governs differentiated monitoring and compliance monitoring.</w:t>
      </w:r>
      <w:r w:rsidRPr="005C29F8">
        <w:rPr>
          <w:rFonts w:cs="Arial"/>
          <w:color w:val="000000" w:themeColor="text1"/>
          <w:szCs w:val="16"/>
        </w:rPr>
        <w:br/>
      </w:r>
      <w:r w:rsidRPr="005C29F8">
        <w:rPr>
          <w:rFonts w:cs="Arial"/>
          <w:color w:val="000000" w:themeColor="text1"/>
          <w:szCs w:val="16"/>
        </w:rPr>
        <w:br/>
        <w:t>Federal Fiscal Management</w:t>
      </w:r>
      <w:r w:rsidRPr="005C29F8">
        <w:rPr>
          <w:rFonts w:cs="Arial"/>
          <w:color w:val="000000" w:themeColor="text1"/>
          <w:szCs w:val="16"/>
        </w:rPr>
        <w:br/>
        <w:t xml:space="preserve">Oklahoma’s system of general supervision includes a process to provide oversight in the distribution and use of IDEA funds at the State and local level. Information on these processes can be found in the Special Education Funding Manual for IDEA Part B found at http://sde.ok.gov/sde/finance. Each LEA must complete Assurances and Agreements annually at the beginning of each fiscal year. This activity must take place before the IDEA Consolidated Application is available for LEAs to budget IDEA Part B funds. </w:t>
      </w:r>
      <w:r w:rsidRPr="005C29F8">
        <w:rPr>
          <w:rFonts w:cs="Arial"/>
          <w:color w:val="000000" w:themeColor="text1"/>
          <w:szCs w:val="16"/>
        </w:rPr>
        <w:br/>
      </w:r>
      <w:r w:rsidRPr="005C29F8">
        <w:rPr>
          <w:rFonts w:cs="Arial"/>
          <w:color w:val="000000" w:themeColor="text1"/>
          <w:szCs w:val="16"/>
        </w:rPr>
        <w:br/>
        <w:t xml:space="preserve">Data on Processes and Results </w:t>
      </w:r>
      <w:r w:rsidRPr="005C29F8">
        <w:rPr>
          <w:rFonts w:cs="Arial"/>
          <w:color w:val="000000" w:themeColor="text1"/>
          <w:szCs w:val="16"/>
        </w:rPr>
        <w:br/>
      </w:r>
      <w:r w:rsidRPr="005C29F8">
        <w:rPr>
          <w:rFonts w:cs="Arial"/>
          <w:color w:val="000000" w:themeColor="text1"/>
          <w:szCs w:val="16"/>
        </w:rPr>
        <w:lastRenderedPageBreak/>
        <w:t>As part of Oklahoma’s general supervision responsibilities, data are used for decision making about program management and improvement. This process includes: (1) data collection and verification, (2) data examination and analysis, (3) public reporting of data, (4) status determination, and (5) improvement activities. The OSDE-SES posts information on its website to support LEAs as they work to improve their data collection and reporting capacity. Such information includes data collection and reporting guidance, definitions, timelines, and templates. (http://sde.ok.gov/sde/documents/2012-10-01/special-education-data-and-reporting-part-b-children-ages-3-through-21)</w:t>
      </w:r>
      <w:r w:rsidRPr="005C29F8">
        <w:rPr>
          <w:rFonts w:cs="Arial"/>
          <w:color w:val="000000" w:themeColor="text1"/>
          <w:szCs w:val="16"/>
        </w:rPr>
        <w:br/>
      </w:r>
      <w:r w:rsidRPr="005C29F8">
        <w:rPr>
          <w:rFonts w:cs="Arial"/>
          <w:color w:val="000000" w:themeColor="text1"/>
          <w:szCs w:val="16"/>
        </w:rPr>
        <w:br/>
        <w:t xml:space="preserve">Effective Dispute Resolution </w:t>
      </w:r>
      <w:r w:rsidRPr="005C29F8">
        <w:rPr>
          <w:rFonts w:cs="Arial"/>
          <w:color w:val="000000" w:themeColor="text1"/>
          <w:szCs w:val="16"/>
        </w:rPr>
        <w:br/>
        <w:t>Several mechanisms are available through the OSDE to assist in resolving disputes (see http://sde.ok.gov/sde/special-education-dispute-resolution). These processes include IEP facilitation, mediation, formal complaints, due process hearings, facilitated resolution sessions and expedited due process hearings. The Special Education Resolution Center (SERC) manages the special education due process hearing system for the State of Oklahoma. SERC’s duties have been expanded to implement innovative programs to assist parents and LEAs to settle disputes at the earliest stage possible. At no cost to either party, SERC provides highly trained mediators to assist with disputes which may develop at any time during the relationship of the parties over special education issues and highly trained facilitators during required resolution sessions of due process. SERC also provides stakeholder training that supports mutual collaboration. More information on SERC can be located at https://ok.gov/abletech/Special_Education_Resolution_Center/.</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Technical Assistance (TA) is designed to link directly to indicators in the SPP/APR and to improve the level of compliance in LEAs. The comprehensive approach to technical assistance enables the OSDE-SES to differentiate the scope of services provided for LEAs based on local needs. For example, the OSDE-SES makes TA available for all LEAs, such as meetings with local LEAs, webinars to support compliant implementation of the IDEA, updates via email, webinars, and in-person training on a variety of topics: </w:t>
      </w:r>
      <w:r w:rsidRPr="005C29F8">
        <w:rPr>
          <w:rFonts w:cs="Arial"/>
          <w:color w:val="000000" w:themeColor="text1"/>
          <w:szCs w:val="16"/>
        </w:rPr>
        <w:br/>
        <w:t xml:space="preserve">• the Oklahoma Special Education Handbook, </w:t>
      </w:r>
      <w:r w:rsidRPr="005C29F8">
        <w:rPr>
          <w:rFonts w:cs="Arial"/>
          <w:color w:val="000000" w:themeColor="text1"/>
          <w:szCs w:val="16"/>
        </w:rPr>
        <w:br/>
        <w:t>• best practices for the use and implementation of accommodations,</w:t>
      </w:r>
      <w:r w:rsidRPr="005C29F8">
        <w:rPr>
          <w:rFonts w:cs="Arial"/>
          <w:color w:val="000000" w:themeColor="text1"/>
          <w:szCs w:val="16"/>
        </w:rPr>
        <w:br/>
        <w:t>• the special education online IEP system,</w:t>
      </w:r>
      <w:r w:rsidRPr="005C29F8">
        <w:rPr>
          <w:rFonts w:cs="Arial"/>
          <w:color w:val="000000" w:themeColor="text1"/>
          <w:szCs w:val="16"/>
        </w:rPr>
        <w:br/>
        <w:t>• high quality data collection and reporting,</w:t>
      </w:r>
      <w:r w:rsidRPr="005C29F8">
        <w:rPr>
          <w:rFonts w:cs="Arial"/>
          <w:color w:val="000000" w:themeColor="text1"/>
          <w:szCs w:val="16"/>
        </w:rPr>
        <w:br/>
        <w:t xml:space="preserve">• the differentiated monitoring process, and </w:t>
      </w:r>
      <w:r w:rsidRPr="005C29F8">
        <w:rPr>
          <w:rFonts w:cs="Arial"/>
          <w:color w:val="000000" w:themeColor="text1"/>
          <w:szCs w:val="16"/>
        </w:rPr>
        <w:br/>
        <w:t>• high quality financial accountability and budgeting, among others.</w:t>
      </w:r>
      <w:r w:rsidRPr="005C29F8">
        <w:rPr>
          <w:rFonts w:cs="Arial"/>
          <w:color w:val="000000" w:themeColor="text1"/>
          <w:szCs w:val="16"/>
        </w:rPr>
        <w:br/>
      </w:r>
      <w:r w:rsidRPr="005C29F8">
        <w:rPr>
          <w:rFonts w:cs="Arial"/>
          <w:color w:val="000000" w:themeColor="text1"/>
          <w:szCs w:val="16"/>
        </w:rPr>
        <w:br/>
        <w:t>Basic TA includes providing documentation of evidence-based practices and disseminating examples of success to assist others in planning, implementation and use of tools to achieve positive outcomes. TA ranges from general levels, such as providing a review of best practices, to providing targeted technical assistance (TTA), which includes more focused levels of support such as the state directing root cause analysis and monitoring of CAP development and subsequent correction.</w:t>
      </w:r>
      <w:r w:rsidRPr="005C29F8">
        <w:rPr>
          <w:rFonts w:cs="Arial"/>
          <w:color w:val="000000" w:themeColor="text1"/>
          <w:szCs w:val="16"/>
        </w:rPr>
        <w:br/>
      </w:r>
      <w:r w:rsidRPr="005C29F8">
        <w:rPr>
          <w:rFonts w:cs="Arial"/>
          <w:color w:val="000000" w:themeColor="text1"/>
          <w:szCs w:val="16"/>
        </w:rPr>
        <w:br/>
        <w:t xml:space="preserve">TTA includes a purposeful and planned series of activities that result in changes to policy, program, or operations that support increased capacity at the state/system/school levels. LEAs can access resources for technical assistance on the OSDE-SES webpage and request technical assistance via a help desk form on the OSDE-SES webpage or by contacting via phone or email. The OSDE-SES has created multiple self-assessments based on OSEP indicators and other special education areas for use by LEAs in determining their level of compliance and/or best practice. The self-assessments can be used at the classroom, school, or district level. For more </w:t>
      </w:r>
      <w:proofErr w:type="gramStart"/>
      <w:r w:rsidRPr="005C29F8">
        <w:rPr>
          <w:rFonts w:cs="Arial"/>
          <w:color w:val="000000" w:themeColor="text1"/>
          <w:szCs w:val="16"/>
        </w:rPr>
        <w:t>information</w:t>
      </w:r>
      <w:proofErr w:type="gramEnd"/>
      <w:r w:rsidRPr="005C29F8">
        <w:rPr>
          <w:rFonts w:cs="Arial"/>
          <w:color w:val="000000" w:themeColor="text1"/>
          <w:szCs w:val="16"/>
        </w:rPr>
        <w:t xml:space="preserve"> please see http://sde.ok.gov/sde/ses-tech-assistance. LEAs may also conduct the School Level Technical Assistance Survey to help determine areas in need of assistance. The OSDE-SES’s role in this process is to: a) provide data and information as requested; b) provide technical assistance and professional development; c) provide guidance on the development and implementation of improvement plans; and d) ensure compliance with the IDEA and State regulations regarding the provision of special education services.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Professional Development ranges from a basic level of providing general information to targeted and intensive PD, which is focused on data driven school improvement in LEAs, </w:t>
      </w:r>
      <w:proofErr w:type="gramStart"/>
      <w:r w:rsidRPr="005C29F8">
        <w:rPr>
          <w:rFonts w:cs="Arial"/>
          <w:color w:val="000000" w:themeColor="text1"/>
          <w:szCs w:val="16"/>
        </w:rPr>
        <w:t>schools</w:t>
      </w:r>
      <w:proofErr w:type="gramEnd"/>
      <w:r w:rsidRPr="005C29F8">
        <w:rPr>
          <w:rFonts w:cs="Arial"/>
          <w:color w:val="000000" w:themeColor="text1"/>
          <w:szCs w:val="16"/>
        </w:rPr>
        <w:t xml:space="preserve"> and classrooms. The OSDE-SES offers PD or suggests PD resources based on various concerns in collaboration with other divisions in the agency. PD is provided in three ways: 1) as requested by LEAs, school sites, teachers, or other interested stakeholders; 2) providing professional development resources for use by LEAs, school sites, teachers, or other interested stakeholders; and 3) as part of regional or statewide conferences hosted by the OSDE, other state agencies, or technical assistance centers. The OSDE-SES has also implemented an online professional development platform (PEPPER) accessible through the online IEP system and webpage and provides courses to teachers and the </w:t>
      </w:r>
      <w:proofErr w:type="gramStart"/>
      <w:r w:rsidRPr="005C29F8">
        <w:rPr>
          <w:rFonts w:cs="Arial"/>
          <w:color w:val="000000" w:themeColor="text1"/>
          <w:szCs w:val="16"/>
        </w:rPr>
        <w:t>general public</w:t>
      </w:r>
      <w:proofErr w:type="gramEnd"/>
      <w:r w:rsidRPr="005C29F8">
        <w:rPr>
          <w:rFonts w:cs="Arial"/>
          <w:color w:val="000000" w:themeColor="text1"/>
          <w:szCs w:val="16"/>
        </w:rPr>
        <w:t xml:space="preserve"> through OSDE's online training site. Special Education teachers and staff have access to additional modules and may be directed by district leadership or the OSDE-SES, through compliance monitoring, to complete selected modules.</w:t>
      </w:r>
      <w:r w:rsidRPr="005C29F8">
        <w:rPr>
          <w:rFonts w:cs="Arial"/>
          <w:color w:val="000000" w:themeColor="text1"/>
          <w:szCs w:val="16"/>
        </w:rPr>
        <w:br/>
      </w:r>
      <w:r w:rsidRPr="005C29F8">
        <w:rPr>
          <w:rFonts w:cs="Arial"/>
          <w:color w:val="000000" w:themeColor="text1"/>
          <w:szCs w:val="16"/>
        </w:rPr>
        <w:br/>
        <w:t>The OSDE-SES also offers PD resources through its webpage. The OSDE-SES has created Professional Development Modules for use by LEAs, schools, and other interested stakeholders (http://sde.ok.gov/sde/professional-development-directory). These modules are intended for use in a workshop or other professional development settings. When LEAs or schools identify a particular PD need for special education, they can easily access PD modules and provide local PD in a timely fashion. Importantly, these modules are intended to build coherence around best practices for the provision of special education services. Each module includes relevant background information, activities/materials, and a scripted PowerPoint presentation for a particular topic area. Requests for technical assistance and professional development form the OSDE-SES can be made through an online help desk. Requests are tracked to determine areas of district need.</w:t>
      </w:r>
      <w:r w:rsidRPr="005C29F8">
        <w:rPr>
          <w:rFonts w:cs="Arial"/>
          <w:color w:val="000000" w:themeColor="text1"/>
          <w:szCs w:val="16"/>
        </w:rPr>
        <w:br/>
      </w:r>
      <w:r w:rsidRPr="005C29F8">
        <w:rPr>
          <w:rFonts w:cs="Arial"/>
          <w:color w:val="000000" w:themeColor="text1"/>
          <w:szCs w:val="16"/>
        </w:rPr>
        <w:br/>
        <w:t xml:space="preserve">Additionally, the OSDE-SES contracts with other agencies and providers to ensure that service providers have the skills to effectively provide services that improve results for children with disabilities. A few examples are agreements with Oklahoma ABLE Tech, the Oklahoma Autism Center, and the Oklahoma Department of Rehabilitation Services. Oklahoma ABLE Tech (https://www.ok.gov/abletech/) provides training on developing AT teams and acquiring AT devices, and collaborates with the OSDE-SES on updates to technical assistance documents for AT and AEM. The Oklahoma Autism Center, through the University of Oklahoma Health Sciences Center, provides comprehensive professional development services to build the state’s capacity for educating children and youth with autism spectrum disorder and related disabilities. This includes providing services statewide to local education agencies, </w:t>
      </w:r>
      <w:proofErr w:type="spellStart"/>
      <w:r w:rsidRPr="005C29F8">
        <w:rPr>
          <w:rFonts w:cs="Arial"/>
          <w:color w:val="000000" w:themeColor="text1"/>
          <w:szCs w:val="16"/>
        </w:rPr>
        <w:t>SoonerStart</w:t>
      </w:r>
      <w:proofErr w:type="spellEnd"/>
      <w:r w:rsidRPr="005C29F8">
        <w:rPr>
          <w:rFonts w:cs="Arial"/>
          <w:color w:val="000000" w:themeColor="text1"/>
          <w:szCs w:val="16"/>
        </w:rPr>
        <w:t xml:space="preserve"> (Part C services), and pre-service educators in teacher and related service preparatory programs. Professional development is provided by maintaining an inclusive model demonstration and training site for observation and hands-on experience and by providing training and technical assistance, including demonstration, </w:t>
      </w:r>
      <w:proofErr w:type="gramStart"/>
      <w:r w:rsidRPr="005C29F8">
        <w:rPr>
          <w:rFonts w:cs="Arial"/>
          <w:color w:val="000000" w:themeColor="text1"/>
          <w:szCs w:val="16"/>
        </w:rPr>
        <w:t>coaching</w:t>
      </w:r>
      <w:proofErr w:type="gramEnd"/>
      <w:r w:rsidRPr="005C29F8">
        <w:rPr>
          <w:rFonts w:cs="Arial"/>
          <w:color w:val="000000" w:themeColor="text1"/>
          <w:szCs w:val="16"/>
        </w:rPr>
        <w:t xml:space="preserve"> and mentoring in the classroom, at LEA sites. Training and support to families is also incorporated into professional development activities. The OSDE-SES also collaborates with the Oklahoma Department of Rehabilitation Services to provide training and professional development regarding secondary transition services, to collaborate on updates to the technical assistance document on secondary transition, and to provide an annual conference on secondary transition.</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lastRenderedPageBreak/>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SPP/APR targets were not revised this year for any indicators.</w:t>
      </w:r>
      <w:r w:rsidRPr="005C29F8">
        <w:rPr>
          <w:rFonts w:cs="Arial"/>
          <w:color w:val="000000" w:themeColor="text1"/>
          <w:szCs w:val="16"/>
        </w:rPr>
        <w:br/>
      </w:r>
      <w:r w:rsidRPr="005C29F8">
        <w:rPr>
          <w:rFonts w:cs="Arial"/>
          <w:color w:val="000000" w:themeColor="text1"/>
          <w:szCs w:val="16"/>
        </w:rPr>
        <w:br/>
        <w:t xml:space="preserve">Regarding the SSIP, stakeholder involvement is specific to each improvement strategy. The stakeholder group to which SSIP results are reported regularly is the IDEA B Advisory Panel. This Panel consists of more than 50 members who represent a wide range of perspectives on special education, including parents and former students, teachers, districts, advocacy groups, service providers, and related agencies. Each strategic leadership team has also identified certain stakeholders to advise the team on best practices, </w:t>
      </w:r>
      <w:proofErr w:type="gramStart"/>
      <w:r w:rsidRPr="005C29F8">
        <w:rPr>
          <w:rFonts w:cs="Arial"/>
          <w:color w:val="000000" w:themeColor="text1"/>
          <w:szCs w:val="16"/>
        </w:rPr>
        <w:t>evaluation</w:t>
      </w:r>
      <w:proofErr w:type="gramEnd"/>
      <w:r w:rsidRPr="005C29F8">
        <w:rPr>
          <w:rFonts w:cs="Arial"/>
          <w:color w:val="000000" w:themeColor="text1"/>
          <w:szCs w:val="16"/>
        </w:rPr>
        <w:t xml:space="preserve"> and strategic improvement. These stakeholders are consulted on a regular basis through a variety of means, including one on one consultation, meetings, </w:t>
      </w:r>
      <w:proofErr w:type="gramStart"/>
      <w:r w:rsidRPr="005C29F8">
        <w:rPr>
          <w:rFonts w:cs="Arial"/>
          <w:color w:val="000000" w:themeColor="text1"/>
          <w:szCs w:val="16"/>
        </w:rPr>
        <w:t>presentations</w:t>
      </w:r>
      <w:proofErr w:type="gramEnd"/>
      <w:r w:rsidRPr="005C29F8">
        <w:rPr>
          <w:rFonts w:cs="Arial"/>
          <w:color w:val="000000" w:themeColor="text1"/>
          <w:szCs w:val="16"/>
        </w:rPr>
        <w:t xml:space="preserve"> and surveys.</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NO</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 xml:space="preserve">The State's performance plan is available on the OSDE-SES Part B data webpage located at </w:t>
      </w:r>
      <w:proofErr w:type="gramStart"/>
      <w:r w:rsidRPr="005C29F8">
        <w:rPr>
          <w:rFonts w:cs="Arial"/>
          <w:color w:val="000000" w:themeColor="text1"/>
          <w:szCs w:val="16"/>
        </w:rPr>
        <w:t>http://sde.ok.gov/sde/documents/2012-10-01/special-education-data-and-reporting-part-b-children-ages-3-through-21, and</w:t>
      </w:r>
      <w:proofErr w:type="gramEnd"/>
      <w:r w:rsidRPr="005C29F8">
        <w:rPr>
          <w:rFonts w:cs="Arial"/>
          <w:color w:val="000000" w:themeColor="text1"/>
          <w:szCs w:val="16"/>
        </w:rPr>
        <w:t xml:space="preserve"> is also distributed through public agencies. Each year, special education reporting dates are posted to build capacity for LEAs to report timely and accurate data. Additional information about the special education reports and due dates are included in the Oklahoma Special Education Data Manual. Oklahoma reports annually on the targets in the SPP/APR in writing to each LEA located in the State. Additionally, the State reports annually to the public on the performance of each LEA located in the State by posting current redacted DDPs and District Determinations on the OSDE Website. The FFY 2018 district performance reports ("FY 2019 Public Reporting") are located on the Part B data webpage listed above (and directly at the link provided). The FFY 2019 district performance reports will be posted in the same location by April 1.</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provide a FFY 2019 target and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of record or provide a FFY 2019 target and FFY 2019 data for a new </w:t>
      </w:r>
      <w:proofErr w:type="spellStart"/>
      <w:r w:rsidRPr="005C29F8">
        <w:rPr>
          <w:rFonts w:cs="Arial"/>
          <w:color w:val="000000" w:themeColor="text1"/>
          <w:szCs w:val="16"/>
        </w:rPr>
        <w:t>SiMR</w:t>
      </w:r>
      <w:proofErr w:type="spellEnd"/>
      <w:r w:rsidRPr="005C29F8">
        <w:rPr>
          <w:rFonts w:cs="Arial"/>
          <w:color w:val="000000" w:themeColor="text1"/>
          <w:szCs w:val="16"/>
        </w:rPr>
        <w:t xml:space="preserve"> that is approvable and consistent with the requirements for the indicator in the Part B SPP/APR Indicator Measurement Table and OSEP’s guidance.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This report will be completed through the April 2021 SSIP submission.</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84.50%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87.00%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87.00%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87.00%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87.00%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87.00%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77.23%</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75.55%</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74.44%</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76.97%</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58.34%</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87.00%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5892277D" w:rsidR="00866B4D" w:rsidRPr="005C29F8" w:rsidRDefault="006B7D33" w:rsidP="00A018D4">
            <w:pPr>
              <w:jc w:val="center"/>
              <w:rPr>
                <w:rFonts w:cs="Arial"/>
                <w:color w:val="000000" w:themeColor="text1"/>
                <w:szCs w:val="16"/>
              </w:rPr>
            </w:pPr>
            <w:r>
              <w:rPr>
                <w:rFonts w:cs="Arial"/>
                <w:color w:val="000000" w:themeColor="text1"/>
                <w:szCs w:val="16"/>
              </w:rPr>
              <w:t>*</w:t>
            </w:r>
            <w:bookmarkStart w:id="3" w:name="_Ref78289921"/>
            <w:r w:rsidR="00553417">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6,673</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1A6A49D1" w:rsidR="00866B4D" w:rsidRPr="005C29F8" w:rsidRDefault="002B7490" w:rsidP="00A018D4">
            <w:pPr>
              <w:jc w:val="center"/>
              <w:rPr>
                <w:rFonts w:cs="Arial"/>
                <w:color w:val="000000" w:themeColor="text1"/>
                <w:szCs w:val="16"/>
              </w:rPr>
            </w:pPr>
            <w:r w:rsidRPr="005C29F8">
              <w:rPr>
                <w:rFonts w:cs="Arial"/>
                <w:color w:val="000000" w:themeColor="text1"/>
                <w:szCs w:val="16"/>
              </w:rPr>
              <w:t>79.1%</w:t>
            </w:r>
            <w:bookmarkStart w:id="4" w:name="_Ref78289925"/>
            <w:r w:rsidR="00553417">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397CBEF6" w:rsidR="0098478C" w:rsidRPr="005C29F8" w:rsidRDefault="006B7D33" w:rsidP="00A018D4">
            <w:pPr>
              <w:jc w:val="center"/>
              <w:rPr>
                <w:rFonts w:cs="Arial"/>
                <w:color w:val="000000" w:themeColor="text1"/>
                <w:szCs w:val="16"/>
              </w:rPr>
            </w:pPr>
            <w:r>
              <w:rPr>
                <w:rFonts w:cs="Arial"/>
                <w:color w:val="000000" w:themeColor="text1"/>
                <w:szCs w:val="16"/>
              </w:rPr>
              <w:t>*</w:t>
            </w:r>
            <w:r w:rsidR="00374A99" w:rsidRPr="00374A99">
              <w:rPr>
                <w:rFonts w:cs="Arial"/>
                <w:color w:val="000000" w:themeColor="text1"/>
                <w:szCs w:val="16"/>
                <w:vertAlign w:val="superscript"/>
              </w:rPr>
              <w:fldChar w:fldCharType="begin"/>
            </w:r>
            <w:r w:rsidR="00374A99" w:rsidRPr="00374A99">
              <w:rPr>
                <w:rFonts w:cs="Arial"/>
                <w:color w:val="000000" w:themeColor="text1"/>
                <w:szCs w:val="16"/>
                <w:vertAlign w:val="superscript"/>
              </w:rPr>
              <w:instrText xml:space="preserve"> NOTEREF _Ref78289921 \h </w:instrText>
            </w:r>
            <w:r w:rsidR="00374A99">
              <w:rPr>
                <w:rFonts w:cs="Arial"/>
                <w:color w:val="000000" w:themeColor="text1"/>
                <w:szCs w:val="16"/>
                <w:vertAlign w:val="superscript"/>
              </w:rPr>
              <w:instrText xml:space="preserve"> \* MERGEFORMAT </w:instrText>
            </w:r>
            <w:r w:rsidR="00374A99" w:rsidRPr="00374A99">
              <w:rPr>
                <w:rFonts w:cs="Arial"/>
                <w:color w:val="000000" w:themeColor="text1"/>
                <w:szCs w:val="16"/>
                <w:vertAlign w:val="superscript"/>
              </w:rPr>
            </w:r>
            <w:r w:rsidR="00374A99" w:rsidRPr="00374A99">
              <w:rPr>
                <w:rFonts w:cs="Arial"/>
                <w:color w:val="000000" w:themeColor="text1"/>
                <w:szCs w:val="16"/>
                <w:vertAlign w:val="superscript"/>
              </w:rPr>
              <w:fldChar w:fldCharType="separate"/>
            </w:r>
            <w:r w:rsidR="00374A99" w:rsidRPr="00374A99">
              <w:rPr>
                <w:rFonts w:cs="Arial"/>
                <w:color w:val="000000" w:themeColor="text1"/>
                <w:szCs w:val="16"/>
                <w:vertAlign w:val="superscript"/>
              </w:rPr>
              <w:t>1</w:t>
            </w:r>
            <w:r w:rsidR="00374A99" w:rsidRPr="00374A99">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6,673</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58.34%</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633" w:type="pct"/>
            <w:shd w:val="clear" w:color="auto" w:fill="auto"/>
          </w:tcPr>
          <w:p w14:paraId="4A53AF2D" w14:textId="01B6BAE3" w:rsidR="0098478C" w:rsidRPr="005C29F8" w:rsidRDefault="002B7490" w:rsidP="00A018D4">
            <w:pPr>
              <w:jc w:val="center"/>
              <w:rPr>
                <w:rFonts w:cs="Arial"/>
                <w:color w:val="000000" w:themeColor="text1"/>
                <w:szCs w:val="16"/>
              </w:rPr>
            </w:pPr>
            <w:r w:rsidRPr="005C29F8">
              <w:rPr>
                <w:rFonts w:cs="Arial"/>
                <w:color w:val="000000" w:themeColor="text1"/>
                <w:szCs w:val="16"/>
              </w:rPr>
              <w:t>79.1%</w:t>
            </w:r>
            <w:r w:rsidR="00374A99" w:rsidRPr="00374A99">
              <w:rPr>
                <w:rFonts w:cs="Arial"/>
                <w:color w:val="000000" w:themeColor="text1"/>
                <w:szCs w:val="16"/>
                <w:vertAlign w:val="superscript"/>
              </w:rPr>
              <w:fldChar w:fldCharType="begin"/>
            </w:r>
            <w:r w:rsidR="00374A99" w:rsidRPr="00374A99">
              <w:rPr>
                <w:rFonts w:cs="Arial"/>
                <w:color w:val="000000" w:themeColor="text1"/>
                <w:szCs w:val="16"/>
                <w:vertAlign w:val="superscript"/>
              </w:rPr>
              <w:instrText xml:space="preserve"> NOTEREF _Ref78289925 \h </w:instrText>
            </w:r>
            <w:r w:rsidR="00374A99">
              <w:rPr>
                <w:rFonts w:cs="Arial"/>
                <w:color w:val="000000" w:themeColor="text1"/>
                <w:szCs w:val="16"/>
                <w:vertAlign w:val="superscript"/>
              </w:rPr>
              <w:instrText xml:space="preserve"> \* MERGEFORMAT </w:instrText>
            </w:r>
            <w:r w:rsidR="00374A99" w:rsidRPr="00374A99">
              <w:rPr>
                <w:rFonts w:cs="Arial"/>
                <w:color w:val="000000" w:themeColor="text1"/>
                <w:szCs w:val="16"/>
                <w:vertAlign w:val="superscript"/>
              </w:rPr>
            </w:r>
            <w:r w:rsidR="00374A99" w:rsidRPr="00374A99">
              <w:rPr>
                <w:rFonts w:cs="Arial"/>
                <w:color w:val="000000" w:themeColor="text1"/>
                <w:szCs w:val="16"/>
                <w:vertAlign w:val="superscript"/>
              </w:rPr>
              <w:fldChar w:fldCharType="separate"/>
            </w:r>
            <w:r w:rsidR="00374A99" w:rsidRPr="00374A99">
              <w:rPr>
                <w:rFonts w:cs="Arial"/>
                <w:color w:val="000000" w:themeColor="text1"/>
                <w:szCs w:val="16"/>
                <w:vertAlign w:val="superscript"/>
              </w:rPr>
              <w:t>2</w:t>
            </w:r>
            <w:r w:rsidR="00374A99" w:rsidRPr="00374A99">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from a public high school accredited by the State Board of Education with a standard diploma, students shall either complete the requirements for the college preparatory/work ready curriculum or the core curriculum. Please see the following link for the graduation requirements checklists for both curriculum paths (https://sde.ok.gov/achieving-classroom-excellence-resources). The requirements vary slightly for students currently in 9th and 10th grades. Students with disabilities do not have different graduation requirements. No alternative diploma exists.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 xml:space="preserve">The data for indicator 1 reflect school year </w:t>
      </w:r>
      <w:proofErr w:type="gramStart"/>
      <w:r w:rsidRPr="005C29F8">
        <w:rPr>
          <w:rFonts w:cs="Arial"/>
          <w:color w:val="000000" w:themeColor="text1"/>
          <w:szCs w:val="16"/>
        </w:rPr>
        <w:t>18-19, and</w:t>
      </w:r>
      <w:proofErr w:type="gramEnd"/>
      <w:r w:rsidRPr="005C29F8">
        <w:rPr>
          <w:rFonts w:cs="Arial"/>
          <w:color w:val="000000" w:themeColor="text1"/>
          <w:szCs w:val="16"/>
        </w:rPr>
        <w:t xml:space="preserve"> were not affected by covid-19.</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20.70%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19.40%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18.00%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17.00%</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16.00%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15.00%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20.30%</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19.75%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16.60%</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14.25%</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14.45%</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15.00%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6,119</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lastRenderedPageBreak/>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994</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25</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994</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7,141</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14.45%</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15.00%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13.92%</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A student who leaves an accredited public local education agency prior to graduation, without re-enrolling in another public LEA, is considered a drop-out for that academic year. Students who move to private institutions and homeschool are generally considered "return to regular education," and may or may not continue to be eligible for special education (depending on the nature of the exit). Students whose next educational agency is not known are also considered </w:t>
      </w:r>
      <w:proofErr w:type="gramStart"/>
      <w:r w:rsidRPr="005C29F8">
        <w:rPr>
          <w:rFonts w:cs="Arial"/>
          <w:color w:val="000000" w:themeColor="text1"/>
          <w:szCs w:val="16"/>
          <w:shd w:val="clear" w:color="auto" w:fill="FFFFFF"/>
        </w:rPr>
        <w:t>drop-outs</w:t>
      </w:r>
      <w:proofErr w:type="gramEnd"/>
      <w:r w:rsidRPr="005C29F8">
        <w:rPr>
          <w:rFonts w:cs="Arial"/>
          <w:color w:val="000000" w:themeColor="text1"/>
          <w:szCs w:val="16"/>
          <w:shd w:val="clear" w:color="auto" w:fill="FFFFFF"/>
        </w:rPr>
        <w:t>, the equivalent of “Moved, not known to be continuing in a diploma-issuing agency.”</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The data for indicator 2 reflect school year </w:t>
      </w:r>
      <w:proofErr w:type="gramStart"/>
      <w:r w:rsidRPr="005C29F8">
        <w:rPr>
          <w:rFonts w:cs="Arial"/>
          <w:color w:val="000000" w:themeColor="text1"/>
          <w:szCs w:val="16"/>
          <w:shd w:val="clear" w:color="auto" w:fill="FFFFFF"/>
        </w:rPr>
        <w:t>18-19, and</w:t>
      </w:r>
      <w:proofErr w:type="gramEnd"/>
      <w:r w:rsidRPr="005C29F8">
        <w:rPr>
          <w:rFonts w:cs="Arial"/>
          <w:color w:val="000000" w:themeColor="text1"/>
          <w:szCs w:val="16"/>
          <w:shd w:val="clear" w:color="auto" w:fill="FFFFFF"/>
        </w:rPr>
        <w:t xml:space="preserve"> were not affected by covid-19.</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98.60%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98.68%</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98.93%</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98.69%</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97.97%</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98.56%</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98.70%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98.71%</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98.68%</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98.51%</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97.86%</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98.48%</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lastRenderedPageBreak/>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98.56%</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98.48%</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lastRenderedPageBreak/>
        <w:t xml:space="preserve">Provide links to the page(s) where you provide public reports of assessment results. </w:t>
      </w:r>
    </w:p>
    <w:p w14:paraId="111DD1A5" w14:textId="0E809EBD" w:rsidR="00A869E9" w:rsidRPr="005C29F8" w:rsidRDefault="00A869E9" w:rsidP="00E539AB">
      <w:pPr>
        <w:rPr>
          <w:rFonts w:cs="Arial"/>
          <w:color w:val="000000" w:themeColor="text1"/>
          <w:szCs w:val="16"/>
        </w:rPr>
      </w:pP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No statewide assessments were conducted in spring 2020.</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2016</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54.00%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55.00%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14.03%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14.25%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14.50%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14.03%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33.03%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33.02%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14.03%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12.60%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12.53%</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2016</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60.00%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61.70%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14.75%</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15.00%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15.25%</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14.75%</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35.84%</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35.39%</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14.75%</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13.43%</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13.45%</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14.50%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15.25%</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lastRenderedPageBreak/>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12.53%</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14.50%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13.45%</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15.25%</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A869E9" w:rsidP="009C613A">
      <w:pPr>
        <w:rPr>
          <w:rFonts w:cs="Arial"/>
          <w:color w:val="000000" w:themeColor="text1"/>
          <w:szCs w:val="16"/>
        </w:rPr>
      </w:pP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No statewide assessments were conducted in spring 2020.</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14.71%</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7.10%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7.00%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6.60%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6.30%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6.00%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8.42%</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1.45%</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14.71%</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14.71%</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3.98%</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6.00%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lastRenderedPageBreak/>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512</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33</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3.98%</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6.00%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36.36%</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4A3E93D" w14:textId="31CBA8DB" w:rsidR="009E470F" w:rsidRPr="005C29F8" w:rsidRDefault="00A869E9" w:rsidP="004369B2">
      <w:pPr>
        <w:rPr>
          <w:b/>
          <w:color w:val="000000" w:themeColor="text1"/>
        </w:rPr>
      </w:pPr>
      <w:r w:rsidRPr="005C29F8">
        <w:rPr>
          <w:b/>
          <w:color w:val="000000" w:themeColor="text1"/>
        </w:rPr>
        <w:t>Provide reasons for slippage, if applicable</w:t>
      </w:r>
    </w:p>
    <w:p w14:paraId="1EF5B902" w14:textId="1E0AB2B6" w:rsidR="00A869E9" w:rsidRDefault="002B7490" w:rsidP="000E33D0">
      <w:pPr>
        <w:rPr>
          <w:rFonts w:cs="Arial"/>
          <w:color w:val="000000" w:themeColor="text1"/>
          <w:szCs w:val="16"/>
        </w:rPr>
      </w:pPr>
      <w:r w:rsidRPr="005C29F8">
        <w:rPr>
          <w:rFonts w:cs="Arial"/>
          <w:color w:val="000000" w:themeColor="text1"/>
          <w:szCs w:val="16"/>
        </w:rPr>
        <w:t>Only 33 LEAs met or exceeded the minimum n-size of 10 students for the count of students with more than 10 days of suspension or expulsion in 2018-2019, a very substantial drop from the previous year of 176 districts. This dramatic year to year change has caused the rate of discrepancy to increase tenfold, though only 5 more districts were identified as significantly discrepant in the 18-19 school year.</w:t>
      </w:r>
    </w:p>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The OSDE-SES, with stakeholder input from its IDEA Part B Advisory Panel, has defined “significant discrepancy” as a risk ratio of suspension or expulsion of 2.5 or greater for students with disabilities in a LEA compared to students with disabilities among all LEAs in the State. Oklahoma used only students with IEPs (ages 3 to 21) to calculate significant discrepancy. The state rate for suspensions or expulsions for students with disabilities is used as the comparison group.</w:t>
      </w:r>
      <w:r w:rsidRPr="005C29F8">
        <w:rPr>
          <w:rFonts w:cs="Arial"/>
          <w:color w:val="000000" w:themeColor="text1"/>
          <w:szCs w:val="16"/>
        </w:rPr>
        <w:br/>
      </w:r>
      <w:r w:rsidRPr="005C29F8">
        <w:rPr>
          <w:rFonts w:cs="Arial"/>
          <w:color w:val="000000" w:themeColor="text1"/>
          <w:szCs w:val="16"/>
        </w:rPr>
        <w:br/>
        <w:t xml:space="preserve">To be included in the analysis, an LEA must have at least 10 students with disabilities who were suspended or expelled more than 10 days and at least 10 students with disabilities enrolled. 512 districts were excluded from the analysis because they did not meet the minimum n-size of students with disabilities who were suspended or expelled more than 10 days. </w:t>
      </w:r>
      <w:r w:rsidRPr="005C29F8">
        <w:rPr>
          <w:rFonts w:cs="Arial"/>
          <w:color w:val="000000" w:themeColor="text1"/>
          <w:szCs w:val="16"/>
        </w:rPr>
        <w:br/>
      </w:r>
      <w:r w:rsidRPr="005C29F8">
        <w:rPr>
          <w:rFonts w:cs="Arial"/>
          <w:color w:val="000000" w:themeColor="text1"/>
          <w:szCs w:val="16"/>
        </w:rPr>
        <w:br/>
        <w:t>Any findings of significant discrepancy generate an analysis of policies, procedures, and practices by SEA personnel. LEAs are also required to conduct this review (consistent with CFR § 300.170(b)). If appropriate, the LEAs will revise policies, practices, and procedures relating to any of the following topics: development and implementation of IEPs, the use of positive behavioral interventions and supports, and procedural safeguards to comply with the requirements of the IDEA. Corrections will be reviewed for consistency with OSEP Memorandum 09-02 dated October 17, 2008.</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 xml:space="preserve">The data for indicator 4 reflect school year </w:t>
      </w:r>
      <w:proofErr w:type="gramStart"/>
      <w:r w:rsidRPr="005C29F8">
        <w:rPr>
          <w:rFonts w:cs="Arial"/>
          <w:color w:val="000000" w:themeColor="text1"/>
          <w:szCs w:val="16"/>
        </w:rPr>
        <w:t>18-19, and</w:t>
      </w:r>
      <w:proofErr w:type="gramEnd"/>
      <w:r w:rsidRPr="005C29F8">
        <w:rPr>
          <w:rFonts w:cs="Arial"/>
          <w:color w:val="000000" w:themeColor="text1"/>
          <w:szCs w:val="16"/>
        </w:rPr>
        <w:t xml:space="preserve"> were not affected by covid-19.</w:t>
      </w: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Annually, districts are required to upload their policies, practices and procedures related to special education identification in their LEA Assurances and Agreement. Districts are notified of any disproportionality when they receive their annual District Data Profile. Those identified as being disproportionate as compared to the state average rate are subject to an in-depth review of their policies, procedures, and practices with attention to the development and implementation of IEPs, the use of PBIS practices, and procedural safeguards. These reviews are conducted by experienced and knowledgeable SEA personnel. A review of policies, procedures, and practices occurs during all general supervision and monitoring activities, also.</w:t>
      </w:r>
      <w:r w:rsidRPr="005C29F8">
        <w:rPr>
          <w:rFonts w:cs="Arial"/>
          <w:color w:val="000000" w:themeColor="text1"/>
          <w:szCs w:val="16"/>
        </w:rPr>
        <w:br/>
      </w:r>
      <w:r w:rsidRPr="005C29F8">
        <w:rPr>
          <w:rFonts w:cs="Arial"/>
          <w:color w:val="000000" w:themeColor="text1"/>
          <w:szCs w:val="16"/>
        </w:rPr>
        <w:br/>
        <w:t>In 2018-2019, twelve LEAs were found to have significant discrepancy in discipline rates among students with disabilities. The LEAs were notified of their discrepancy in October 2019 on their District Data Profiles. At that time, SEA personnel conducted detailed reviews of the policies, practices and procedures of these LEAs and determined that none demonstrated noncompliance.</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lastRenderedPageBreak/>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521</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24</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The OSDE-SES, with stakeholder input from its IDEA Part B Advisory Panel, has defined “significant discrepancy” as a risk ratio of suspension or expulsion of 2.5 or greater for students with disabilities in each racial/ethnic category in a LEA compared to students with disabilities among LEAs in the State in the same category. The OSDE has chosen the following comparison method (one of the methods recommended by the OSEP): The rates of expulsions and suspensions (in-school and out-of-school) that total more than 10 days in a school year for children with IEPs among LEAs in the State in each racial/ethnic category (34 CFR §300.170(a)). Oklahoma used only students with IEPs to calculate significant discrepancy.</w:t>
      </w:r>
      <w:r w:rsidRPr="005C29F8">
        <w:rPr>
          <w:rFonts w:cs="Arial"/>
          <w:color w:val="000000" w:themeColor="text1"/>
          <w:szCs w:val="16"/>
        </w:rPr>
        <w:br/>
      </w:r>
      <w:r w:rsidRPr="005C29F8">
        <w:rPr>
          <w:rFonts w:cs="Arial"/>
          <w:color w:val="000000" w:themeColor="text1"/>
          <w:szCs w:val="16"/>
        </w:rPr>
        <w:br/>
        <w:t>To be included in the analysis, a racial/ethnic group must have at least 10 students with disabilities who were suspended or expelled for more than 10 days by the LEA and at least 10 students with disabilities enrolled in that racial/ethnic category. If the district had at least 10 students with disabilities who were suspended or expelled for more than 10 days in all other racial/ethnic categories, this was used as the comparison group. Otherwise, the state rate for all other students with disabilities was used as the comparison group. 521 districts were excluded from the analysis because of their n-size at the subcategory level. This is a substantial increase in LEAs from the previous year.</w:t>
      </w:r>
      <w:r w:rsidRPr="005C29F8">
        <w:rPr>
          <w:rFonts w:cs="Arial"/>
          <w:color w:val="000000" w:themeColor="text1"/>
          <w:szCs w:val="16"/>
        </w:rPr>
        <w:br/>
      </w:r>
      <w:r w:rsidRPr="005C29F8">
        <w:rPr>
          <w:rFonts w:cs="Arial"/>
          <w:color w:val="000000" w:themeColor="text1"/>
          <w:szCs w:val="16"/>
        </w:rPr>
        <w:br/>
        <w:t>Any findings of significant discrepancy will generate an analysis of policies, procedures, and practices by SEA personnel. LEAs are also required to conduct this review (consistent with CFR § 300.170(b)). If appropriate, the LEAs will revise policies, practices, and procedures relating to each of the following topics: development and implementation of IEPs, the use of positive behavioral interventions and supports, and procedural safeguards to comply with the requirements of the IDEA. Corrections will be reviewed for consistency with OSEP Memorandum 09-02 dated October 17, 2008.</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 xml:space="preserve">The data for indicator 4 reflect school year </w:t>
      </w:r>
      <w:proofErr w:type="gramStart"/>
      <w:r w:rsidRPr="005C29F8">
        <w:rPr>
          <w:rFonts w:cs="Arial"/>
          <w:color w:val="000000" w:themeColor="text1"/>
          <w:szCs w:val="16"/>
        </w:rPr>
        <w:t>18-19, and</w:t>
      </w:r>
      <w:proofErr w:type="gramEnd"/>
      <w:r w:rsidRPr="005C29F8">
        <w:rPr>
          <w:rFonts w:cs="Arial"/>
          <w:color w:val="000000" w:themeColor="text1"/>
          <w:szCs w:val="16"/>
        </w:rPr>
        <w:t xml:space="preserve"> were not affected by covid-19.</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Annually, districts are required to upload their policies, practices and procedures related to special education identification in their LEA Assurances and Agreement. Districts are notified of any disproportionality when they receive their annual District Data Profile. Those identified as being disproportionate in one or more racial and ethnic groups are subject to an in-depth review of their policies, procedures, and practices with attention to the development and implementation of IEPs, the use of PBIS practices, and procedural safeguards. These reviews are conducted by experienced and knowledgeable SEA personnel. A review of policies, procedures, and practices occurs during all general supervision and monitoring activities, also.</w:t>
      </w:r>
      <w:r w:rsidRPr="005C29F8">
        <w:rPr>
          <w:rFonts w:cs="Arial"/>
          <w:color w:val="000000" w:themeColor="text1"/>
          <w:szCs w:val="16"/>
        </w:rPr>
        <w:br/>
      </w:r>
      <w:r w:rsidRPr="005C29F8">
        <w:rPr>
          <w:rFonts w:cs="Arial"/>
          <w:color w:val="000000" w:themeColor="text1"/>
          <w:szCs w:val="16"/>
        </w:rPr>
        <w:br/>
        <w:t xml:space="preserve">In 2018-2019, four LEAs were found to have significant discrepancy in discipline rates by race and/or ethnicity. The LEAs were notified of their discrepancy in October 2019 on their District Data Profiles. At that time, SEA personnel conducted detailed reviews of the policies, practices and procedures of these LEAs and determined that none demonstrated noncompliance. </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66.00%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49.27%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65.89%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66.76%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70.87%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67.98%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68.96%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9.84%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9.25%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9.25%</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9.70%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9.53%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9.44%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8.26%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9.19%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8.32%</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1.85%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1.85%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1.83%</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1.84%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1.31%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1.23%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0.79%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0.64%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0.70%</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66.00%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9.25%</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1.83%</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106,821</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76,039</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8,486</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53</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304</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452</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76,039</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106,821</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68.96%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71.18%</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8,486</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106,821</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8.32%</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9.25%</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7.94%</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809</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106,821</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0.70%</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1.83%</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0.76%</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In 2019, all </w:t>
      </w:r>
      <w:proofErr w:type="gramStart"/>
      <w:r w:rsidRPr="005C29F8">
        <w:rPr>
          <w:rFonts w:cs="Arial"/>
          <w:color w:val="000000" w:themeColor="text1"/>
          <w:szCs w:val="16"/>
        </w:rPr>
        <w:t xml:space="preserve">five 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were included in the preschool/early childhood count (indicator 6 data). </w:t>
      </w:r>
      <w:proofErr w:type="gramStart"/>
      <w:r w:rsidRPr="005C29F8">
        <w:rPr>
          <w:rFonts w:cs="Arial"/>
          <w:color w:val="000000" w:themeColor="text1"/>
          <w:szCs w:val="16"/>
        </w:rPr>
        <w:t xml:space="preserve">5 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in kindergarten are not included in the totals reported here (the FS002 report).</w:t>
      </w:r>
      <w:r w:rsidRPr="005C29F8">
        <w:rPr>
          <w:rFonts w:cs="Arial"/>
          <w:color w:val="000000" w:themeColor="text1"/>
          <w:szCs w:val="16"/>
        </w:rPr>
        <w:br/>
      </w:r>
      <w:r w:rsidRPr="005C29F8">
        <w:rPr>
          <w:rFonts w:cs="Arial"/>
          <w:color w:val="000000" w:themeColor="text1"/>
          <w:szCs w:val="16"/>
        </w:rPr>
        <w:br/>
        <w:t>Because the child count report was collected in October 2019, this indicator was not affected by Covid-19 mitigation efforts.</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41.25%</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42.00%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42.50%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43.00%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43.75%</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39.29%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44.01%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48.54%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34.07%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32.54%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32.76%</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18.40%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17.75%</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17.00%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16.50%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16.00%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18.60%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13.91%</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13.01%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15.03%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16.75%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16.79%</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43.75%</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16.00%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10,054</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3,495</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1,592</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19</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13</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3,495</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10,054</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32.76%</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43.75%</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34.76%</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1,624</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10,054</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16.79%</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16.15%</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 xml:space="preserve">In 2019, all </w:t>
      </w:r>
      <w:proofErr w:type="gramStart"/>
      <w:r w:rsidRPr="005C29F8">
        <w:rPr>
          <w:rFonts w:cs="Arial"/>
          <w:color w:val="000000" w:themeColor="text1"/>
          <w:szCs w:val="16"/>
        </w:rPr>
        <w:t xml:space="preserve">five 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were included in the preschool/early childhood count (the FS089 report). </w:t>
      </w:r>
      <w:proofErr w:type="gramStart"/>
      <w:r w:rsidRPr="005C29F8">
        <w:rPr>
          <w:rFonts w:cs="Arial"/>
          <w:color w:val="000000" w:themeColor="text1"/>
          <w:szCs w:val="16"/>
        </w:rPr>
        <w:t xml:space="preserve">5 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in kindergarten are included in the totals reported here, and are not in the FS002 report (shown in indicator 5).</w:t>
      </w:r>
      <w:r w:rsidRPr="005C29F8">
        <w:rPr>
          <w:rFonts w:cs="Arial"/>
          <w:color w:val="000000" w:themeColor="text1"/>
          <w:szCs w:val="16"/>
        </w:rPr>
        <w:br/>
      </w:r>
      <w:r w:rsidRPr="005C29F8">
        <w:rPr>
          <w:rFonts w:cs="Arial"/>
          <w:color w:val="000000" w:themeColor="text1"/>
          <w:szCs w:val="16"/>
        </w:rPr>
        <w:br/>
        <w:t>Because the child count report was collected in October 2019, this indicator was not affected by Covid-19 mitigation efforts.</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89.75%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90.50%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93.40%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93.30%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93.92%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93.10%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92.95%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93.43%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93.53%</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58.25%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58.75%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59.00%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54.50%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61.78%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61.36%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59.91%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63.73%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60.66%</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89.25%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89.50%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89.75%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92.90%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92.80%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92.97%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92.25%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92.57%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91.65%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92.66%</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57.30%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58.30%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61.25%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58.32%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58.22%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60.11%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58.97%</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91.25%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91.50%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91.75%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93.00%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92.90%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94.23%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93.27%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92.78%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93.86%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93.78%</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2008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73.00%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67.70%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76.09%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72.66%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73.49%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76.27%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73.62%</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93.40%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59.00%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92.90%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58.30%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93.00%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73.00%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5,743</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57</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0.99%</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216</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3.76%</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1,920</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33.44%</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2,768</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48.21%</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781</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13.60%</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4,688</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4,961</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93.53%</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93.40%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94.50%</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w:t>
            </w:r>
            <w:r w:rsidRPr="005C29F8">
              <w:rPr>
                <w:rFonts w:cs="Arial"/>
                <w:color w:val="000000" w:themeColor="text1"/>
                <w:szCs w:val="16"/>
              </w:rPr>
              <w:lastRenderedPageBreak/>
              <w:t xml:space="preserve">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3,549</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5,742</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60.66%</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59.00%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61.81%</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55</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0.96%</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245</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4.27%</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1,995</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34.74%</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2,676</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46.60%</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772</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13.44%</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4,671</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4,971</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92.66%</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92.90%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93.96%</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3,448</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5,743</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58.97%</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58.30%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60.04%</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47</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0.82%</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184</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3.20%</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1,275</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22.20%</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2,949</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51.36%</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1,287</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22.41%</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4,224</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4,455</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93.78%</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93.00%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94.81%</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lastRenderedPageBreak/>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4,236</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5,742</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73.62%</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73.77%</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Program data for this indicator are collected through Oklahoma's online IEP record system, called </w:t>
      </w:r>
      <w:proofErr w:type="spellStart"/>
      <w:r w:rsidRPr="005C29F8">
        <w:rPr>
          <w:rFonts w:cs="Arial"/>
          <w:color w:val="000000" w:themeColor="text1"/>
          <w:szCs w:val="16"/>
        </w:rPr>
        <w:t>EdPlan</w:t>
      </w:r>
      <w:proofErr w:type="spellEnd"/>
      <w:r w:rsidRPr="005C29F8">
        <w:rPr>
          <w:rFonts w:cs="Arial"/>
          <w:color w:val="000000" w:themeColor="text1"/>
          <w:szCs w:val="16"/>
        </w:rPr>
        <w:t>. LEAs use the system to create electronic records for all students with IEPs, including those in early childhood programs. The Child Outcome Summary Form is completed electronically for each child between the ages of three and five years of age if he or she has had at least six months of service. It is SEA practice that personnel first enter the COSF ratings and evaluation information when the student enters their district and again when the student turns 6 or soon after exit, whichever comes first. If a student moves districts between the ages of 3 and 5 (after receiving entry ratings), the district in which the child is enrolled will report the exit ratings. The online IEP system reminds personnel (via error notices) to enter the data if they neglect to do so in a timely manner.</w:t>
      </w:r>
      <w:r w:rsidRPr="005C29F8">
        <w:rPr>
          <w:rFonts w:cs="Arial"/>
          <w:color w:val="000000" w:themeColor="text1"/>
          <w:szCs w:val="16"/>
        </w:rPr>
        <w:br/>
      </w:r>
      <w:r w:rsidRPr="005C29F8">
        <w:rPr>
          <w:rFonts w:cs="Arial"/>
          <w:color w:val="000000" w:themeColor="text1"/>
          <w:szCs w:val="16"/>
        </w:rPr>
        <w:br/>
        <w:t xml:space="preserve">The State adjusted its exit rating reporting guidance this past year to reflect the changes in the child count reporting regarding </w:t>
      </w:r>
      <w:proofErr w:type="gramStart"/>
      <w:r w:rsidRPr="005C29F8">
        <w:rPr>
          <w:rFonts w:cs="Arial"/>
          <w:color w:val="000000" w:themeColor="text1"/>
          <w:szCs w:val="16"/>
        </w:rPr>
        <w:t xml:space="preserve">5 year </w:t>
      </w:r>
      <w:proofErr w:type="spellStart"/>
      <w:r w:rsidRPr="005C29F8">
        <w:rPr>
          <w:rFonts w:cs="Arial"/>
          <w:color w:val="000000" w:themeColor="text1"/>
          <w:szCs w:val="16"/>
        </w:rPr>
        <w:t>olds</w:t>
      </w:r>
      <w:proofErr w:type="spellEnd"/>
      <w:proofErr w:type="gramEnd"/>
      <w:r w:rsidRPr="005C29F8">
        <w:rPr>
          <w:rFonts w:cs="Arial"/>
          <w:color w:val="000000" w:themeColor="text1"/>
          <w:szCs w:val="16"/>
        </w:rPr>
        <w:t xml:space="preserve"> in kindergarten. Districts are now expected to complete the COSF exit ratings in late spring when a child is four or five and is expected to enter Kindergarten the following school year. This will ensure that ECO scores reflect only the time spent in early childhood programs, rather than including kindergarten experiences. </w:t>
      </w:r>
      <w:r w:rsidRPr="005C29F8">
        <w:rPr>
          <w:rFonts w:cs="Arial"/>
          <w:color w:val="000000" w:themeColor="text1"/>
          <w:szCs w:val="16"/>
        </w:rPr>
        <w:br/>
      </w:r>
      <w:r w:rsidRPr="005C29F8">
        <w:rPr>
          <w:rFonts w:cs="Arial"/>
          <w:color w:val="000000" w:themeColor="text1"/>
          <w:szCs w:val="16"/>
        </w:rPr>
        <w:br/>
        <w:t>The data for this indicator are then pulled through reporting functions in the online system and cleaned to ensure that all relevant records are included.</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Child outcomes do not appear to have been negatively affected by the covid-19 pandemic. Schools engaged in remote learning and service provision during the last month or so of the 18-19 school year to support student learning. The State did see a slight increase in the number of COSF exit ratings that were not completed timely. Districts completed those in the fall when students returned to school.</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82.11%</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88.25%</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89.50%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90.50%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91.75%</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93.00%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88.89%</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90.14%</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97.24%</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98.38%</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98.66%</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93.00%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12,019</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12,262</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98.66%</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93.00%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98.02%</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lastRenderedPageBreak/>
        <w:t>116,879</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10.49%</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The Parent Survey used to calculate this indicator does not differentiate between preschool children and school age children. All families answer the same survey. Because preschool children are served in public schools, we believe that it is appropriate for parents of preschool children to answer the same survey as school-age children.</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All parents are supposed to have an opportunity to voluntarily response to the survey; a weighted sample is not used. As a result, a perfect representation of child count is unlikely to occur. Despite the pandemic (see the effects below), the response rate increased by more than one percent last year, reflecting the positive efforts made by the State and LEAs to increase parent responses. </w:t>
      </w:r>
      <w:r w:rsidRPr="005C29F8">
        <w:rPr>
          <w:rFonts w:cs="Arial"/>
          <w:color w:val="000000" w:themeColor="text1"/>
          <w:szCs w:val="16"/>
        </w:rPr>
        <w:br/>
      </w:r>
      <w:r w:rsidRPr="005C29F8">
        <w:rPr>
          <w:rFonts w:cs="Arial"/>
          <w:color w:val="000000" w:themeColor="text1"/>
          <w:szCs w:val="16"/>
        </w:rPr>
        <w:br/>
        <w:t xml:space="preserve">UPDATED: This year, the State continues to work with local districts to increase response rates, particularly those that are larger and have had low rates in the past. We have encouraged them to plan more deliberately when surveys are provided to families and to ensure that all families </w:t>
      </w:r>
      <w:proofErr w:type="gramStart"/>
      <w:r w:rsidRPr="005C29F8">
        <w:rPr>
          <w:rFonts w:cs="Arial"/>
          <w:color w:val="000000" w:themeColor="text1"/>
          <w:szCs w:val="16"/>
        </w:rPr>
        <w:t>have the opportunity to</w:t>
      </w:r>
      <w:proofErr w:type="gramEnd"/>
      <w:r w:rsidRPr="005C29F8">
        <w:rPr>
          <w:rFonts w:cs="Arial"/>
          <w:color w:val="000000" w:themeColor="text1"/>
          <w:szCs w:val="16"/>
        </w:rPr>
        <w:t xml:space="preserve"> respond. Because larger districts are more likely to have lower response rates while also serving a more diverse student population, by increasing response rates in these districts, representation should improve. In particular, we expect that working with larger districts to increase local response rates will result in a response pool that more adequately represents families of students in high school and/or who identify as Black and </w:t>
      </w:r>
      <w:proofErr w:type="gramStart"/>
      <w:r w:rsidRPr="005C29F8">
        <w:rPr>
          <w:rFonts w:cs="Arial"/>
          <w:color w:val="000000" w:themeColor="text1"/>
          <w:szCs w:val="16"/>
        </w:rPr>
        <w:t>African-American</w:t>
      </w:r>
      <w:proofErr w:type="gramEnd"/>
      <w:r w:rsidRPr="005C29F8">
        <w:rPr>
          <w:rFonts w:cs="Arial"/>
          <w:color w:val="000000" w:themeColor="text1"/>
          <w:szCs w:val="16"/>
        </w:rPr>
        <w:t xml:space="preserve"> or Hispanic/Latino. </w:t>
      </w:r>
      <w:r w:rsidRPr="005C29F8">
        <w:rPr>
          <w:rFonts w:cs="Arial"/>
          <w:color w:val="000000" w:themeColor="text1"/>
          <w:szCs w:val="16"/>
        </w:rPr>
        <w:br/>
      </w:r>
      <w:r w:rsidRPr="005C29F8">
        <w:rPr>
          <w:rFonts w:cs="Arial"/>
          <w:color w:val="000000" w:themeColor="text1"/>
          <w:szCs w:val="16"/>
        </w:rPr>
        <w:br/>
        <w:t>However, with the pandemic, districts have reported that it has been more difficult this current year to encourage parents to respond to the parent survey remotely. This is the case despite it being made available online and over the phone, in English and Spanish.</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The gender distribution of the survey aligns very closely to that of child count. The “prefer not to answer” group accounts for the minor differences.</w:t>
      </w:r>
      <w:r w:rsidRPr="005C29F8">
        <w:rPr>
          <w:rFonts w:cs="Arial"/>
          <w:color w:val="000000" w:themeColor="text1"/>
          <w:szCs w:val="16"/>
        </w:rPr>
        <w:br/>
      </w:r>
      <w:r w:rsidRPr="005C29F8">
        <w:rPr>
          <w:rFonts w:cs="Arial"/>
          <w:color w:val="000000" w:themeColor="text1"/>
          <w:szCs w:val="16"/>
        </w:rPr>
        <w:br/>
        <w:t>Table 1: Gender Demographics SY 19-20</w:t>
      </w:r>
      <w:r w:rsidRPr="005C29F8">
        <w:rPr>
          <w:rFonts w:cs="Arial"/>
          <w:color w:val="000000" w:themeColor="text1"/>
          <w:szCs w:val="16"/>
        </w:rPr>
        <w:br/>
        <w:t>Percentage of CC &amp; Percentage of Respondents</w:t>
      </w:r>
      <w:r w:rsidRPr="005C29F8">
        <w:rPr>
          <w:rFonts w:cs="Arial"/>
          <w:color w:val="000000" w:themeColor="text1"/>
          <w:szCs w:val="16"/>
        </w:rPr>
        <w:br/>
        <w:t>Male:  64.3% 62.1%</w:t>
      </w:r>
      <w:r w:rsidRPr="005C29F8">
        <w:rPr>
          <w:rFonts w:cs="Arial"/>
          <w:color w:val="000000" w:themeColor="text1"/>
          <w:szCs w:val="16"/>
        </w:rPr>
        <w:br/>
        <w:t>Female: 35.7% 33.7%</w:t>
      </w:r>
      <w:r w:rsidRPr="005C29F8">
        <w:rPr>
          <w:rFonts w:cs="Arial"/>
          <w:color w:val="000000" w:themeColor="text1"/>
          <w:szCs w:val="16"/>
        </w:rPr>
        <w:br/>
        <w:t>Prefer not to answer: 0.0% 4.2%</w:t>
      </w:r>
      <w:r w:rsidRPr="005C29F8">
        <w:rPr>
          <w:rFonts w:cs="Arial"/>
          <w:color w:val="000000" w:themeColor="text1"/>
          <w:szCs w:val="16"/>
        </w:rPr>
        <w:br/>
      </w:r>
      <w:r w:rsidRPr="005C29F8">
        <w:rPr>
          <w:rFonts w:cs="Arial"/>
          <w:color w:val="000000" w:themeColor="text1"/>
          <w:szCs w:val="16"/>
        </w:rPr>
        <w:br/>
        <w:t>The age distribution does not align with child count, but does match typical historical voluntary response patterns for the State's survey: parents of young children are more likely to respond than parents of older children, especially those in high school.</w:t>
      </w:r>
      <w:r w:rsidRPr="005C29F8">
        <w:rPr>
          <w:rFonts w:cs="Arial"/>
          <w:color w:val="000000" w:themeColor="text1"/>
          <w:szCs w:val="16"/>
        </w:rPr>
        <w:br/>
      </w:r>
      <w:r w:rsidRPr="005C29F8">
        <w:rPr>
          <w:rFonts w:cs="Arial"/>
          <w:color w:val="000000" w:themeColor="text1"/>
          <w:szCs w:val="16"/>
        </w:rPr>
        <w:br/>
        <w:t>Table 2: Age Demographics SY 19-20</w:t>
      </w:r>
      <w:r w:rsidRPr="005C29F8">
        <w:rPr>
          <w:rFonts w:cs="Arial"/>
          <w:color w:val="000000" w:themeColor="text1"/>
          <w:szCs w:val="16"/>
        </w:rPr>
        <w:br/>
        <w:t>Percentage of CC &amp; Percentage of Respondents</w:t>
      </w:r>
      <w:r w:rsidRPr="005C29F8">
        <w:rPr>
          <w:rFonts w:cs="Arial"/>
          <w:color w:val="000000" w:themeColor="text1"/>
          <w:szCs w:val="16"/>
        </w:rPr>
        <w:br/>
        <w:t>3-5 years: 8.6% 12.8%</w:t>
      </w:r>
      <w:r w:rsidRPr="005C29F8">
        <w:rPr>
          <w:rFonts w:cs="Arial"/>
          <w:color w:val="000000" w:themeColor="text1"/>
          <w:szCs w:val="16"/>
        </w:rPr>
        <w:br/>
        <w:t>6-10 years: 35.5% 37.9%</w:t>
      </w:r>
      <w:r w:rsidRPr="005C29F8">
        <w:rPr>
          <w:rFonts w:cs="Arial"/>
          <w:color w:val="000000" w:themeColor="text1"/>
          <w:szCs w:val="16"/>
        </w:rPr>
        <w:br/>
        <w:t>11-13 years: 23.7% 22.5%</w:t>
      </w:r>
      <w:r w:rsidRPr="005C29F8">
        <w:rPr>
          <w:rFonts w:cs="Arial"/>
          <w:color w:val="000000" w:themeColor="text1"/>
          <w:szCs w:val="16"/>
        </w:rPr>
        <w:br/>
        <w:t>14-18 years: 31.5% 23.6%</w:t>
      </w:r>
      <w:r w:rsidRPr="005C29F8">
        <w:rPr>
          <w:rFonts w:cs="Arial"/>
          <w:color w:val="000000" w:themeColor="text1"/>
          <w:szCs w:val="16"/>
        </w:rPr>
        <w:br/>
        <w:t>19+ years old: 0.7% 0.5%</w:t>
      </w:r>
      <w:r w:rsidRPr="005C29F8">
        <w:rPr>
          <w:rFonts w:cs="Arial"/>
          <w:color w:val="000000" w:themeColor="text1"/>
          <w:szCs w:val="16"/>
        </w:rPr>
        <w:br/>
        <w:t>Prefer not to answer: 0.0% 2.8%</w:t>
      </w:r>
      <w:r w:rsidRPr="005C29F8">
        <w:rPr>
          <w:rFonts w:cs="Arial"/>
          <w:color w:val="000000" w:themeColor="text1"/>
          <w:szCs w:val="16"/>
        </w:rPr>
        <w:br/>
      </w:r>
      <w:r w:rsidRPr="005C29F8">
        <w:rPr>
          <w:rFonts w:cs="Arial"/>
          <w:color w:val="000000" w:themeColor="text1"/>
          <w:szCs w:val="16"/>
        </w:rPr>
        <w:br/>
        <w:t>UPDATED: There are also a few meaningful differences in survey response frequencies across certain races (Table 3) and regions (Table 4). We believe the variation in these two demographic areas is based in the differential response rates of small and large districts. Small districts—those with a special education child count of 78 or fewer (78 was the median 2019 child count in Oklahoma)—have an average response rate of 18.8% while large districts (child counts of 79 or higher) have an average response rate of 9.6%. Small districts are more common in the outlying regions of the state and are more likely to have higher enrollments of white students, raising the overall participation rate for that group. As mentioned earlier, increasing response rates in larger districts to be even with smaller districts should balance representation across the state and among the various race and ethnic groups.</w:t>
      </w:r>
      <w:r w:rsidRPr="005C29F8">
        <w:rPr>
          <w:rFonts w:cs="Arial"/>
          <w:color w:val="000000" w:themeColor="text1"/>
          <w:szCs w:val="16"/>
        </w:rPr>
        <w:br/>
      </w:r>
      <w:r w:rsidRPr="005C29F8">
        <w:rPr>
          <w:rFonts w:cs="Arial"/>
          <w:color w:val="000000" w:themeColor="text1"/>
          <w:szCs w:val="16"/>
        </w:rPr>
        <w:br/>
        <w:t xml:space="preserve">Regarding race: Hispanics are under-represented in the survey response pool compared to child count, as are </w:t>
      </w:r>
      <w:proofErr w:type="gramStart"/>
      <w:r w:rsidRPr="005C29F8">
        <w:rPr>
          <w:rFonts w:cs="Arial"/>
          <w:color w:val="000000" w:themeColor="text1"/>
          <w:szCs w:val="16"/>
        </w:rPr>
        <w:t>African-Americans</w:t>
      </w:r>
      <w:proofErr w:type="gramEnd"/>
      <w:r w:rsidRPr="005C29F8">
        <w:rPr>
          <w:rFonts w:cs="Arial"/>
          <w:color w:val="000000" w:themeColor="text1"/>
          <w:szCs w:val="16"/>
        </w:rPr>
        <w:t>, both by about 5 percent. White respondents are over-represented by about the same percentage, while "two or more races" are also over-represented, though by a smaller proportion. Native Americans, Asians and Pacific Islanders are present in the survey results in about the same proportions as child count.</w:t>
      </w:r>
      <w:r w:rsidRPr="005C29F8">
        <w:rPr>
          <w:rFonts w:cs="Arial"/>
          <w:color w:val="000000" w:themeColor="text1"/>
          <w:szCs w:val="16"/>
        </w:rPr>
        <w:br/>
      </w:r>
      <w:r w:rsidRPr="005C29F8">
        <w:rPr>
          <w:rFonts w:cs="Arial"/>
          <w:color w:val="000000" w:themeColor="text1"/>
          <w:szCs w:val="16"/>
        </w:rPr>
        <w:br/>
        <w:t>Table 3: Race Demographics SY 19-20</w:t>
      </w:r>
      <w:r w:rsidRPr="005C29F8">
        <w:rPr>
          <w:rFonts w:cs="Arial"/>
          <w:color w:val="000000" w:themeColor="text1"/>
          <w:szCs w:val="16"/>
        </w:rPr>
        <w:br/>
        <w:t>Percentage of CC &amp; Percentage of Respondents</w:t>
      </w:r>
      <w:r w:rsidRPr="005C29F8">
        <w:rPr>
          <w:rFonts w:cs="Arial"/>
          <w:color w:val="000000" w:themeColor="text1"/>
          <w:szCs w:val="16"/>
        </w:rPr>
        <w:br/>
        <w:t>Asian: 0.9% 0.5%</w:t>
      </w:r>
      <w:r w:rsidRPr="005C29F8">
        <w:rPr>
          <w:rFonts w:cs="Arial"/>
          <w:color w:val="000000" w:themeColor="text1"/>
          <w:szCs w:val="16"/>
        </w:rPr>
        <w:br/>
        <w:t>Black: 9.6% 4.8%</w:t>
      </w:r>
      <w:r w:rsidRPr="005C29F8">
        <w:rPr>
          <w:rFonts w:cs="Arial"/>
          <w:color w:val="000000" w:themeColor="text1"/>
          <w:szCs w:val="16"/>
        </w:rPr>
        <w:br/>
        <w:t>Hispanic/Latino: 15.0% 10.4%</w:t>
      </w:r>
      <w:r w:rsidRPr="005C29F8">
        <w:rPr>
          <w:rFonts w:cs="Arial"/>
          <w:color w:val="000000" w:themeColor="text1"/>
          <w:szCs w:val="16"/>
        </w:rPr>
        <w:br/>
      </w:r>
      <w:r w:rsidRPr="005C29F8">
        <w:rPr>
          <w:rFonts w:cs="Arial"/>
          <w:color w:val="000000" w:themeColor="text1"/>
          <w:szCs w:val="16"/>
        </w:rPr>
        <w:lastRenderedPageBreak/>
        <w:t>Native American/Indian: 15.4% 15.8%</w:t>
      </w:r>
      <w:r w:rsidRPr="005C29F8">
        <w:rPr>
          <w:rFonts w:cs="Arial"/>
          <w:color w:val="000000" w:themeColor="text1"/>
          <w:szCs w:val="16"/>
        </w:rPr>
        <w:br/>
        <w:t>Pacific Islander/Native Hawaiian: 0.2% 0.3%</w:t>
      </w:r>
      <w:r w:rsidRPr="005C29F8">
        <w:rPr>
          <w:rFonts w:cs="Arial"/>
          <w:color w:val="000000" w:themeColor="text1"/>
          <w:szCs w:val="16"/>
        </w:rPr>
        <w:br/>
        <w:t>Two or More Races: 10.3% 11.4%</w:t>
      </w:r>
      <w:r w:rsidRPr="005C29F8">
        <w:rPr>
          <w:rFonts w:cs="Arial"/>
          <w:color w:val="000000" w:themeColor="text1"/>
          <w:szCs w:val="16"/>
        </w:rPr>
        <w:br/>
        <w:t>White: 48.5% 54.1%</w:t>
      </w:r>
      <w:r w:rsidRPr="005C29F8">
        <w:rPr>
          <w:rFonts w:cs="Arial"/>
          <w:color w:val="000000" w:themeColor="text1"/>
          <w:szCs w:val="16"/>
        </w:rPr>
        <w:br/>
        <w:t>Prefer not to answer: 0.0% 2.6%</w:t>
      </w:r>
      <w:r w:rsidRPr="005C29F8">
        <w:rPr>
          <w:rFonts w:cs="Arial"/>
          <w:color w:val="000000" w:themeColor="text1"/>
          <w:szCs w:val="16"/>
        </w:rPr>
        <w:br/>
      </w:r>
      <w:r w:rsidRPr="005C29F8">
        <w:rPr>
          <w:rFonts w:cs="Arial"/>
          <w:color w:val="000000" w:themeColor="text1"/>
          <w:szCs w:val="16"/>
        </w:rPr>
        <w:br/>
        <w:t>The regional response patterns are very similar to last year. The central region (which includes several of the largest districts in the state) is substantially under-represented in the survey response pool, while the Northwest and Southeast regions (areas of very small districts that emphasize survey participation) are substantially over-represented.</w:t>
      </w:r>
      <w:r w:rsidRPr="005C29F8">
        <w:rPr>
          <w:rFonts w:cs="Arial"/>
          <w:color w:val="000000" w:themeColor="text1"/>
          <w:szCs w:val="16"/>
        </w:rPr>
        <w:br/>
      </w:r>
      <w:r w:rsidRPr="005C29F8">
        <w:rPr>
          <w:rFonts w:cs="Arial"/>
          <w:color w:val="000000" w:themeColor="text1"/>
          <w:szCs w:val="16"/>
        </w:rPr>
        <w:br/>
        <w:t>Table 4: Region SY 19-20</w:t>
      </w:r>
      <w:r w:rsidRPr="005C29F8">
        <w:rPr>
          <w:rFonts w:cs="Arial"/>
          <w:color w:val="000000" w:themeColor="text1"/>
          <w:szCs w:val="16"/>
        </w:rPr>
        <w:br/>
        <w:t>Percentage of CC &amp; Percentage of Respondents</w:t>
      </w:r>
      <w:r w:rsidRPr="005C29F8">
        <w:rPr>
          <w:rFonts w:cs="Arial"/>
          <w:color w:val="000000" w:themeColor="text1"/>
          <w:szCs w:val="16"/>
        </w:rPr>
        <w:br/>
        <w:t>Panhandle: 0.6% 1.1%</w:t>
      </w:r>
      <w:r w:rsidRPr="005C29F8">
        <w:rPr>
          <w:rFonts w:cs="Arial"/>
          <w:color w:val="000000" w:themeColor="text1"/>
          <w:szCs w:val="16"/>
        </w:rPr>
        <w:br/>
        <w:t>Northwest: 4.2% 10.5%</w:t>
      </w:r>
      <w:r w:rsidRPr="005C29F8">
        <w:rPr>
          <w:rFonts w:cs="Arial"/>
          <w:color w:val="000000" w:themeColor="text1"/>
          <w:szCs w:val="16"/>
        </w:rPr>
        <w:br/>
        <w:t>Northeast: 33.2% 37.0%</w:t>
      </w:r>
      <w:r w:rsidRPr="005C29F8">
        <w:rPr>
          <w:rFonts w:cs="Arial"/>
          <w:color w:val="000000" w:themeColor="text1"/>
          <w:szCs w:val="16"/>
        </w:rPr>
        <w:br/>
        <w:t>Central:  37.8% 22.5%</w:t>
      </w:r>
      <w:r w:rsidRPr="005C29F8">
        <w:rPr>
          <w:rFonts w:cs="Arial"/>
          <w:color w:val="000000" w:themeColor="text1"/>
          <w:szCs w:val="16"/>
        </w:rPr>
        <w:br/>
        <w:t>South Central: 5.9% 5.9%</w:t>
      </w:r>
      <w:r w:rsidRPr="005C29F8">
        <w:rPr>
          <w:rFonts w:cs="Arial"/>
          <w:color w:val="000000" w:themeColor="text1"/>
          <w:szCs w:val="16"/>
        </w:rPr>
        <w:br/>
        <w:t>Southwest: 9.8% 10.7%</w:t>
      </w:r>
      <w:r w:rsidRPr="005C29F8">
        <w:rPr>
          <w:rFonts w:cs="Arial"/>
          <w:color w:val="000000" w:themeColor="text1"/>
          <w:szCs w:val="16"/>
        </w:rPr>
        <w:br/>
        <w:t>Southeast: 8.5% 12.3%</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The response rate was dramatically affected by the State's pandemic response. In March 2020, the Oklahoma State Dept of Education closed all schools and districts for two weeks after spring break ended, and classes did not resume until April 6. On April 6, no districts were conducting in-person education. Everyone was remote learning. As a result, parent survey responses dropped substantially beginning in March through the end of the state fiscal year.</w:t>
      </w:r>
      <w:r w:rsidRPr="005C29F8">
        <w:rPr>
          <w:rFonts w:cs="Arial"/>
          <w:color w:val="000000" w:themeColor="text1"/>
          <w:szCs w:val="16"/>
        </w:rPr>
        <w:br/>
      </w:r>
      <w:r w:rsidRPr="005C29F8">
        <w:rPr>
          <w:rFonts w:cs="Arial"/>
          <w:color w:val="000000" w:themeColor="text1"/>
          <w:szCs w:val="16"/>
        </w:rPr>
        <w:br/>
        <w:t>Percent of total responses received, by quarter (19-20):</w:t>
      </w:r>
      <w:r w:rsidRPr="005C29F8">
        <w:rPr>
          <w:rFonts w:cs="Arial"/>
          <w:color w:val="000000" w:themeColor="text1"/>
          <w:szCs w:val="16"/>
        </w:rPr>
        <w:br/>
        <w:t>July to Sept: 23%</w:t>
      </w:r>
      <w:r w:rsidRPr="005C29F8">
        <w:rPr>
          <w:rFonts w:cs="Arial"/>
          <w:color w:val="000000" w:themeColor="text1"/>
          <w:szCs w:val="16"/>
        </w:rPr>
        <w:br/>
        <w:t>Oct to Dec: 37%</w:t>
      </w:r>
      <w:r w:rsidRPr="005C29F8">
        <w:rPr>
          <w:rFonts w:cs="Arial"/>
          <w:color w:val="000000" w:themeColor="text1"/>
          <w:szCs w:val="16"/>
        </w:rPr>
        <w:br/>
        <w:t>Jan to March: 34%</w:t>
      </w:r>
      <w:r w:rsidRPr="005C29F8">
        <w:rPr>
          <w:rFonts w:cs="Arial"/>
          <w:color w:val="000000" w:themeColor="text1"/>
          <w:szCs w:val="16"/>
        </w:rPr>
        <w:br/>
        <w:t>April to June: 4%</w:t>
      </w:r>
      <w:r w:rsidRPr="005C29F8">
        <w:rPr>
          <w:rFonts w:cs="Arial"/>
          <w:color w:val="000000" w:themeColor="text1"/>
          <w:szCs w:val="16"/>
        </w:rPr>
        <w:br/>
      </w:r>
      <w:r w:rsidRPr="005C29F8">
        <w:rPr>
          <w:rFonts w:cs="Arial"/>
          <w:color w:val="000000" w:themeColor="text1"/>
          <w:szCs w:val="16"/>
        </w:rPr>
        <w:br/>
        <w:t xml:space="preserve">Compare this to 2018-2019 data, when the responses were more evenly distributed throughout the year. If parents responded at the same rate as they did in 18-19 between April and June, Oklahoma could have had 2000 more responses than were </w:t>
      </w:r>
      <w:proofErr w:type="gramStart"/>
      <w:r w:rsidRPr="005C29F8">
        <w:rPr>
          <w:rFonts w:cs="Arial"/>
          <w:color w:val="000000" w:themeColor="text1"/>
          <w:szCs w:val="16"/>
        </w:rPr>
        <w:t>actually received</w:t>
      </w:r>
      <w:proofErr w:type="gramEnd"/>
      <w:r w:rsidRPr="005C29F8">
        <w:rPr>
          <w:rFonts w:cs="Arial"/>
          <w:color w:val="000000" w:themeColor="text1"/>
          <w:szCs w:val="16"/>
        </w:rPr>
        <w:t>.</w:t>
      </w:r>
      <w:r w:rsidRPr="005C29F8">
        <w:rPr>
          <w:rFonts w:cs="Arial"/>
          <w:color w:val="000000" w:themeColor="text1"/>
          <w:szCs w:val="16"/>
        </w:rPr>
        <w:br/>
      </w:r>
      <w:r w:rsidRPr="005C29F8">
        <w:rPr>
          <w:rFonts w:cs="Arial"/>
          <w:color w:val="000000" w:themeColor="text1"/>
          <w:szCs w:val="16"/>
        </w:rPr>
        <w:br/>
        <w:t>Percent of total responses received, by quarter (18-19):</w:t>
      </w:r>
      <w:r w:rsidRPr="005C29F8">
        <w:rPr>
          <w:rFonts w:cs="Arial"/>
          <w:color w:val="000000" w:themeColor="text1"/>
          <w:szCs w:val="16"/>
        </w:rPr>
        <w:br/>
        <w:t>July to Sept: 23%</w:t>
      </w:r>
      <w:r w:rsidRPr="005C29F8">
        <w:rPr>
          <w:rFonts w:cs="Arial"/>
          <w:color w:val="000000" w:themeColor="text1"/>
          <w:szCs w:val="16"/>
        </w:rPr>
        <w:br/>
        <w:t>Oct to Dec: 28%</w:t>
      </w:r>
      <w:r w:rsidRPr="005C29F8">
        <w:rPr>
          <w:rFonts w:cs="Arial"/>
          <w:color w:val="000000" w:themeColor="text1"/>
          <w:szCs w:val="16"/>
        </w:rPr>
        <w:br/>
        <w:t>Jan to March: 27%</w:t>
      </w:r>
      <w:r w:rsidRPr="005C29F8">
        <w:rPr>
          <w:rFonts w:cs="Arial"/>
          <w:color w:val="000000" w:themeColor="text1"/>
          <w:szCs w:val="16"/>
        </w:rPr>
        <w:br/>
        <w:t>April to June: 22%</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This has been completed in the demographic review in the previous section for indicator 8.</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0.20%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0.20%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5</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513</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The OSDE-SES has defined “disproportionate representation” as a risk ratio of 2.6 or greater (overrepresentation) in any given year (</w:t>
      </w:r>
      <w:proofErr w:type="gramStart"/>
      <w:r w:rsidRPr="005C29F8">
        <w:rPr>
          <w:rFonts w:cs="Arial"/>
          <w:color w:val="000000" w:themeColor="text1"/>
          <w:szCs w:val="16"/>
        </w:rPr>
        <w:t>every one</w:t>
      </w:r>
      <w:proofErr w:type="gramEnd"/>
      <w:r w:rsidRPr="005C29F8">
        <w:rPr>
          <w:rFonts w:cs="Arial"/>
          <w:color w:val="000000" w:themeColor="text1"/>
          <w:szCs w:val="16"/>
        </w:rPr>
        <w:t xml:space="preserve"> year). When disproportionate representation is determined for a district, the OSDE-SES will determine if the disproportionality is the result of inappropriate identification by reviewing policies, practices and procedures as submitted by the LEA. Data for each district and charter school were analyzed for all racial and ethnic groups.</w:t>
      </w:r>
      <w:r w:rsidRPr="005C29F8">
        <w:rPr>
          <w:rFonts w:cs="Arial"/>
          <w:color w:val="000000" w:themeColor="text1"/>
          <w:szCs w:val="16"/>
        </w:rPr>
        <w:br/>
      </w:r>
      <w:r w:rsidRPr="005C29F8">
        <w:rPr>
          <w:rFonts w:cs="Arial"/>
          <w:color w:val="000000" w:themeColor="text1"/>
          <w:szCs w:val="16"/>
        </w:rPr>
        <w:br/>
        <w:t>Calculating Disproportionate Representation</w:t>
      </w:r>
      <w:r w:rsidRPr="005C29F8">
        <w:rPr>
          <w:rFonts w:cs="Arial"/>
          <w:color w:val="000000" w:themeColor="text1"/>
          <w:szCs w:val="16"/>
        </w:rPr>
        <w:br/>
        <w:t xml:space="preserve">OSDE-SES calculated a risk ratio for each of the seven racial/ethnic category in each LEA: overall risk of identification is determined by comparing the risk of any racial/ethnic group to the risk of all other racial/ethnic groups. </w:t>
      </w:r>
      <w:r w:rsidRPr="005C29F8">
        <w:rPr>
          <w:rFonts w:cs="Arial"/>
          <w:color w:val="000000" w:themeColor="text1"/>
          <w:szCs w:val="16"/>
        </w:rPr>
        <w:br/>
      </w:r>
      <w:r w:rsidRPr="005C29F8">
        <w:rPr>
          <w:rFonts w:cs="Arial"/>
          <w:color w:val="000000" w:themeColor="text1"/>
          <w:szCs w:val="16"/>
        </w:rPr>
        <w:br/>
        <w:t xml:space="preserve">To be included in the analysis, a group must have at least 10 students with disabilities of a particular racial/ethnic category and at least 10 students in the same racial/ethnic category in overall enrollment. That group risk is then compared to either the LEA or the state risk for all other students. For the LEA comparison group to be used, the LEA must have at least 10 students with disabilities in 'all other' racial/ethnic categories and at least 10 students in 'all other' racial/ethnic categories in overall enrollment; </w:t>
      </w:r>
      <w:proofErr w:type="gramStart"/>
      <w:r w:rsidRPr="005C29F8">
        <w:rPr>
          <w:rFonts w:cs="Arial"/>
          <w:color w:val="000000" w:themeColor="text1"/>
          <w:szCs w:val="16"/>
        </w:rPr>
        <w:t>otherwise</w:t>
      </w:r>
      <w:proofErr w:type="gramEnd"/>
      <w:r w:rsidRPr="005C29F8">
        <w:rPr>
          <w:rFonts w:cs="Arial"/>
          <w:color w:val="000000" w:themeColor="text1"/>
          <w:szCs w:val="16"/>
        </w:rPr>
        <w:t xml:space="preserve"> the statewide comparison group risk was used. OSDE-SES identified districts with a risk ratio of 2.6 or greater as disproportionate in the relevant racial/ethnic category or categories. The data source for Oklahoma’s analysis was Table 1 (Child Count) of Information Collection 1820-0043 (Report of Children with Disabilities Receiving Special Education under Part B of the IDEA) for all children with disabilities aged 6 through 21 served under the IDEA.</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Annually, districts are required to upload their policies, practices and procedures related to special education identification in the LEA Assurances and Agreement. Districts are notified of any disproportionality when they receive their annual District Data Profile. Those identified as being disproportionate in one or more racial and ethnic groups are subject to an in-depth review of their policies, procedures, and practices with attention to the development and implementation of a comprehensive referral and evaluation process, including procedural safeguards. These reviews are conducted by experienced and knowledgeable SEA personnel who flag problematic policies, practices and procedures for discussion and additional review. If any indicate inappropriate identification is a concern, OSDE-SES will work with the LEA for revision and improvement. A review of policies, procedures, and practices occurs during all general supervision and monitoring activities, also.</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The data for indicator 9 reflect the child count collected on </w:t>
      </w:r>
      <w:proofErr w:type="gramStart"/>
      <w:r w:rsidRPr="005C29F8">
        <w:rPr>
          <w:rFonts w:cs="Arial"/>
          <w:color w:val="000000" w:themeColor="text1"/>
          <w:szCs w:val="16"/>
        </w:rPr>
        <w:t>October 1, 2019, and</w:t>
      </w:r>
      <w:proofErr w:type="gramEnd"/>
      <w:r w:rsidRPr="005C29F8">
        <w:rPr>
          <w:rFonts w:cs="Arial"/>
          <w:color w:val="000000" w:themeColor="text1"/>
          <w:szCs w:val="16"/>
        </w:rPr>
        <w:t xml:space="preserve"> were not affected by covid-19.</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136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79</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408</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The OSDE-SES has defined “disproportionate representation” as a risk ratio of 2.6 or greater (overrepresentation) in any given year (</w:t>
      </w:r>
      <w:proofErr w:type="gramStart"/>
      <w:r w:rsidRPr="005C29F8">
        <w:rPr>
          <w:rFonts w:cs="Arial"/>
          <w:color w:val="000000" w:themeColor="text1"/>
          <w:szCs w:val="16"/>
        </w:rPr>
        <w:t>every one</w:t>
      </w:r>
      <w:proofErr w:type="gramEnd"/>
      <w:r w:rsidRPr="005C29F8">
        <w:rPr>
          <w:rFonts w:cs="Arial"/>
          <w:color w:val="000000" w:themeColor="text1"/>
          <w:szCs w:val="16"/>
        </w:rPr>
        <w:t xml:space="preserve"> year). When disproportionate representation is determined for a district, the OSDE-SES will determine if the disproportionality is the result of inappropriate identification by reviewing policies, practices and procedures as submitted by the LEA. Data for each district and charter school were analyzed for all racial and ethnic groups.</w:t>
      </w:r>
      <w:r w:rsidRPr="005C29F8">
        <w:rPr>
          <w:rFonts w:cs="Arial"/>
          <w:color w:val="000000" w:themeColor="text1"/>
          <w:szCs w:val="16"/>
        </w:rPr>
        <w:br/>
      </w:r>
      <w:r w:rsidRPr="005C29F8">
        <w:rPr>
          <w:rFonts w:cs="Arial"/>
          <w:color w:val="000000" w:themeColor="text1"/>
          <w:szCs w:val="16"/>
        </w:rPr>
        <w:br/>
        <w:t>Calculating Disproportionate Representation</w:t>
      </w:r>
      <w:r w:rsidRPr="005C29F8">
        <w:rPr>
          <w:rFonts w:cs="Arial"/>
          <w:color w:val="000000" w:themeColor="text1"/>
          <w:szCs w:val="16"/>
        </w:rPr>
        <w:br/>
        <w:t xml:space="preserve">OSDE-SES calculated a risk ratio for each of the seven racial/ethnic category in each LEA: overall risk of identification is determined by comparing the risk of any racial/ethnic group to the risk of all other racial/ethnic groups. </w:t>
      </w:r>
      <w:r w:rsidRPr="005C29F8">
        <w:rPr>
          <w:rFonts w:cs="Arial"/>
          <w:color w:val="000000" w:themeColor="text1"/>
          <w:szCs w:val="16"/>
        </w:rPr>
        <w:br/>
      </w:r>
      <w:r w:rsidRPr="005C29F8">
        <w:rPr>
          <w:rFonts w:cs="Arial"/>
          <w:color w:val="000000" w:themeColor="text1"/>
          <w:szCs w:val="16"/>
        </w:rPr>
        <w:br/>
        <w:t xml:space="preserve">To be included in the analysis, a group must have at least 10 students with disabilities of a particular racial/ethnic category and at least 10 students in the same racial/ethnic category in overall enrollment. That group risk is then compared to either the LEA or the state risk for all other students. For the LEA comparison group to be used, the LEA must have at least 10 students with disabilities in 'all other' racial/ethnic categories and at least 10 students in 'all other' racial/ethnic categories in overall enrollment; </w:t>
      </w:r>
      <w:proofErr w:type="gramStart"/>
      <w:r w:rsidRPr="005C29F8">
        <w:rPr>
          <w:rFonts w:cs="Arial"/>
          <w:color w:val="000000" w:themeColor="text1"/>
          <w:szCs w:val="16"/>
        </w:rPr>
        <w:t>otherwise</w:t>
      </w:r>
      <w:proofErr w:type="gramEnd"/>
      <w:r w:rsidRPr="005C29F8">
        <w:rPr>
          <w:rFonts w:cs="Arial"/>
          <w:color w:val="000000" w:themeColor="text1"/>
          <w:szCs w:val="16"/>
        </w:rPr>
        <w:t xml:space="preserve"> the statewide comparison group risk was used. OSDE-SES identified districts with a risk ratio of 2.6 or greater as disproportionate in the relevant racial/ethnic category or categories. The data source for Oklahoma’s analysis was Table 1 (Child Count) of Information Collection 1820-0043 (Report of Children with Disabilities Receiving Special Education under Part B of the IDEA) for all children with disabilities aged 6 through 21 served under the IDEA.</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Annually, districts are required to upload their policies, practices and procedures related to special education identification in the LEA Assurances and Agreement. Districts are notified of any disproportionality when they receive their annual District Data Profile. Those identified as being disproportionate in one or more racial and ethnic groups are subject to an in-depth review of their policies, procedures, and practices with attention to the development and implementation of a comprehensive referral and evaluation process, including procedural safeguards. These reviews are conducted by experienced and knowledgeable SEA personnel who flag problematic policies, practices and procedures for discussion and additional review. If any indicate inappropriate identification is a concern, OSDE-SES will work with the LEA for revision and improvement. A review of policies, procedures, and practices occurs during all general supervision and monitoring activities, also.</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The data for indicator 9 reflect the child count collected on </w:t>
      </w:r>
      <w:proofErr w:type="gramStart"/>
      <w:r w:rsidRPr="005C29F8">
        <w:rPr>
          <w:rFonts w:cs="Arial"/>
          <w:color w:val="000000" w:themeColor="text1"/>
          <w:szCs w:val="16"/>
        </w:rPr>
        <w:t>October 1, 2019, and</w:t>
      </w:r>
      <w:proofErr w:type="gramEnd"/>
      <w:r w:rsidRPr="005C29F8">
        <w:rPr>
          <w:rFonts w:cs="Arial"/>
          <w:color w:val="000000" w:themeColor="text1"/>
          <w:szCs w:val="16"/>
        </w:rPr>
        <w:t xml:space="preserve"> were not affected by covid-19.</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lastRenderedPageBreak/>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90.89%</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95.32%</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96.69%</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98.09%</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97.65%</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98.77%</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18,705</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17,893</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98.77%</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95.66%</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 xml:space="preserve">Slippage is </w:t>
      </w:r>
      <w:proofErr w:type="gramStart"/>
      <w:r w:rsidRPr="005C29F8">
        <w:rPr>
          <w:rFonts w:cs="Arial"/>
          <w:color w:val="000000" w:themeColor="text1"/>
          <w:szCs w:val="16"/>
        </w:rPr>
        <w:t>due to the effects</w:t>
      </w:r>
      <w:proofErr w:type="gramEnd"/>
      <w:r w:rsidRPr="005C29F8">
        <w:rPr>
          <w:rFonts w:cs="Arial"/>
          <w:color w:val="000000" w:themeColor="text1"/>
          <w:szCs w:val="16"/>
        </w:rPr>
        <w:t xml:space="preserve"> of the covid-19 pandemic on districts' ability to conduct comprehensive evaluations. The State reviewed all reasons for late evaluations submitted by </w:t>
      </w:r>
      <w:proofErr w:type="gramStart"/>
      <w:r w:rsidRPr="005C29F8">
        <w:rPr>
          <w:rFonts w:cs="Arial"/>
          <w:color w:val="000000" w:themeColor="text1"/>
          <w:szCs w:val="16"/>
        </w:rPr>
        <w:t>districts, and</w:t>
      </w:r>
      <w:proofErr w:type="gramEnd"/>
      <w:r w:rsidRPr="005C29F8">
        <w:rPr>
          <w:rFonts w:cs="Arial"/>
          <w:color w:val="000000" w:themeColor="text1"/>
          <w:szCs w:val="16"/>
        </w:rPr>
        <w:t xml:space="preserve"> confirmed which were truly affected by the pandemic. Oklahoma confirmed 586 cases of delays resulting from the pandemic's effects on the availability of personnel and the ability of districts to hold in-person evaluations. </w:t>
      </w:r>
      <w:r w:rsidRPr="005C29F8">
        <w:rPr>
          <w:rFonts w:cs="Arial"/>
          <w:color w:val="000000" w:themeColor="text1"/>
          <w:szCs w:val="16"/>
        </w:rPr>
        <w:br/>
      </w:r>
      <w:r w:rsidRPr="005C29F8">
        <w:rPr>
          <w:rFonts w:cs="Arial"/>
          <w:color w:val="000000" w:themeColor="text1"/>
          <w:szCs w:val="16"/>
        </w:rPr>
        <w:br/>
        <w:t xml:space="preserve">In FFY 2018, Oklahoma reported 248 cases of evaluations delayed past the State-established timeline of 45 school days. This year, there were 812 delayed evaluations. Without the pandemic, we estimate that the final count of late evaluations would have been </w:t>
      </w:r>
      <w:proofErr w:type="gramStart"/>
      <w:r w:rsidRPr="005C29F8">
        <w:rPr>
          <w:rFonts w:cs="Arial"/>
          <w:color w:val="000000" w:themeColor="text1"/>
          <w:szCs w:val="16"/>
        </w:rPr>
        <w:t>similar to</w:t>
      </w:r>
      <w:proofErr w:type="gramEnd"/>
      <w:r w:rsidRPr="005C29F8">
        <w:rPr>
          <w:rFonts w:cs="Arial"/>
          <w:color w:val="000000" w:themeColor="text1"/>
          <w:szCs w:val="16"/>
        </w:rPr>
        <w:t xml:space="preserve"> FFY 2018.</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812</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Max days beyond 45 school days needed to complete: 365</w:t>
      </w:r>
      <w:r w:rsidRPr="006620F3">
        <w:rPr>
          <w:color w:val="000000" w:themeColor="text1"/>
        </w:rPr>
        <w:br/>
      </w:r>
      <w:r w:rsidRPr="006620F3">
        <w:rPr>
          <w:color w:val="000000" w:themeColor="text1"/>
        </w:rPr>
        <w:br/>
        <w:t>Counts of reasons</w:t>
      </w:r>
      <w:r w:rsidRPr="006620F3">
        <w:rPr>
          <w:color w:val="000000" w:themeColor="text1"/>
        </w:rPr>
        <w:br/>
        <w:t>LEA failure to follow procedures: 133</w:t>
      </w:r>
      <w:r w:rsidRPr="006620F3">
        <w:rPr>
          <w:color w:val="000000" w:themeColor="text1"/>
        </w:rPr>
        <w:br/>
        <w:t>MEEGS team needed more data: 17</w:t>
      </w:r>
      <w:r w:rsidRPr="006620F3">
        <w:rPr>
          <w:color w:val="000000" w:themeColor="text1"/>
        </w:rPr>
        <w:br/>
        <w:t>Lack of resources: 20</w:t>
      </w:r>
      <w:r w:rsidRPr="006620F3">
        <w:rPr>
          <w:color w:val="000000" w:themeColor="text1"/>
        </w:rPr>
        <w:br/>
        <w:t>School calendar break &amp; Staffing issues: 24</w:t>
      </w:r>
      <w:r w:rsidRPr="006620F3">
        <w:rPr>
          <w:color w:val="000000" w:themeColor="text1"/>
        </w:rPr>
        <w:br/>
        <w:t>Late Part C referral: 1</w:t>
      </w:r>
      <w:r w:rsidRPr="006620F3">
        <w:rPr>
          <w:color w:val="000000" w:themeColor="text1"/>
        </w:rPr>
        <w:br/>
        <w:t>Parents not showing or delayed meeting: 43</w:t>
      </w:r>
      <w:r w:rsidRPr="006620F3">
        <w:rPr>
          <w:color w:val="000000" w:themeColor="text1"/>
        </w:rPr>
        <w:br/>
        <w:t>Pandemic or other extreme events: 586</w:t>
      </w:r>
      <w:r w:rsidRPr="006620F3">
        <w:rPr>
          <w:color w:val="000000" w:themeColor="text1"/>
        </w:rPr>
        <w:br/>
        <w:t>Note that some districts reported more than one reason for a particular case. However, if a district reported a second reason along with "pandemic," the second reason was used. Pandemic reasons are unique.</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 xml:space="preserve">45 school days. Exceptions are not allowed. </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Each LEA is required to report aggregated counts of "Total Referrals," "Evaluations completed within 45 school days from parent consent," "Evaluations not completed within 45 school days from parent consent" broken down by reason, "The maximum </w:t>
      </w:r>
      <w:proofErr w:type="gramStart"/>
      <w:r w:rsidRPr="005C29F8">
        <w:rPr>
          <w:rFonts w:cs="Arial"/>
          <w:color w:val="000000" w:themeColor="text1"/>
          <w:szCs w:val="16"/>
        </w:rPr>
        <w:t>amount</w:t>
      </w:r>
      <w:proofErr w:type="gramEnd"/>
      <w:r w:rsidRPr="005C29F8">
        <w:rPr>
          <w:rFonts w:cs="Arial"/>
          <w:color w:val="000000" w:themeColor="text1"/>
          <w:szCs w:val="16"/>
        </w:rPr>
        <w:t xml:space="preserve"> of days after 45 school days to complete the tardy evaluation", and "Reasons why evaluations were not completed with the 45 day timeline" through the online IEP system. The LEA must validate the End-of-Year report and certify the data being submitted is accurate and true. The SEA then monitors LEAs through District Data Profiles and on-site comprehensive monitoring. Technical assistance is provided by the compliance and program specialists.</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326C0B" w:rsidP="007D435F">
      <w:pPr>
        <w:rPr>
          <w:rFonts w:cs="Arial"/>
          <w:color w:val="000000" w:themeColor="text1"/>
          <w:szCs w:val="16"/>
        </w:rPr>
      </w:pP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84</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31</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46</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7</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 xml:space="preserve">In July 2020 the OSDE-SES conducted Verification of Continuous Compliance (Prong II) procedures for FFY 2018 findings to ensure systemic compliance across each LEA for Indicator 11 data. Continuous compliance reviews are completed by using a random sampling process, by which student records are randomly selected for a compliance check. If all selected records are compliant, the LEA is resolved and removed from the compliance watch-list for the fiscal year. If the LEA does not yet demonstrate 100 percent compliance, additional sanctions are </w:t>
      </w:r>
      <w:proofErr w:type="gramStart"/>
      <w:r w:rsidRPr="005C29F8">
        <w:rPr>
          <w:rFonts w:cs="Arial"/>
          <w:color w:val="000000" w:themeColor="text1"/>
          <w:szCs w:val="16"/>
        </w:rPr>
        <w:t>applied</w:t>
      </w:r>
      <w:proofErr w:type="gramEnd"/>
      <w:r w:rsidRPr="005C29F8">
        <w:rPr>
          <w:rFonts w:cs="Arial"/>
          <w:color w:val="000000" w:themeColor="text1"/>
          <w:szCs w:val="16"/>
        </w:rPr>
        <w:t xml:space="preserve"> and records continue to be monitored. </w:t>
      </w:r>
      <w:r w:rsidRPr="005C29F8">
        <w:rPr>
          <w:rFonts w:cs="Arial"/>
          <w:color w:val="000000" w:themeColor="text1"/>
          <w:szCs w:val="16"/>
        </w:rPr>
        <w:br/>
      </w:r>
      <w:r w:rsidRPr="005C29F8">
        <w:rPr>
          <w:rFonts w:cs="Arial"/>
          <w:color w:val="000000" w:themeColor="text1"/>
          <w:szCs w:val="16"/>
        </w:rPr>
        <w:br/>
        <w:t xml:space="preserve">To check for compliance, an indicator-specific report was pulled from the online IEP system (in the same manner other data reviews are made) for each of the 84 LEAs identified with findings of non-compliance in FFY 2018. Each report included a representative, </w:t>
      </w:r>
      <w:proofErr w:type="gramStart"/>
      <w:r w:rsidRPr="005C29F8">
        <w:rPr>
          <w:rFonts w:cs="Arial"/>
          <w:color w:val="000000" w:themeColor="text1"/>
          <w:szCs w:val="16"/>
        </w:rPr>
        <w:t>randomly-selected</w:t>
      </w:r>
      <w:proofErr w:type="gramEnd"/>
      <w:r w:rsidRPr="005C29F8">
        <w:rPr>
          <w:rFonts w:cs="Arial"/>
          <w:color w:val="000000" w:themeColor="text1"/>
          <w:szCs w:val="16"/>
        </w:rPr>
        <w:t xml:space="preserve"> sample of student records (depending on the size of the district). These indicator-specific reports were reviewed by OSDE-SES specialists for systemic compliance in July 2020. 30 LEAs were verified as continuously compliant (100 percent compliant</w:t>
      </w:r>
      <w:proofErr w:type="gramStart"/>
      <w:r w:rsidRPr="005C29F8">
        <w:rPr>
          <w:rFonts w:cs="Arial"/>
          <w:color w:val="000000" w:themeColor="text1"/>
          <w:szCs w:val="16"/>
        </w:rPr>
        <w:t>), and</w:t>
      </w:r>
      <w:proofErr w:type="gramEnd"/>
      <w:r w:rsidRPr="005C29F8">
        <w:rPr>
          <w:rFonts w:cs="Arial"/>
          <w:color w:val="000000" w:themeColor="text1"/>
          <w:szCs w:val="16"/>
        </w:rPr>
        <w:t xml:space="preserve"> were removed from the compliance watch-list. One district has since closed </w:t>
      </w:r>
      <w:proofErr w:type="gramStart"/>
      <w:r w:rsidRPr="005C29F8">
        <w:rPr>
          <w:rFonts w:cs="Arial"/>
          <w:color w:val="000000" w:themeColor="text1"/>
          <w:szCs w:val="16"/>
        </w:rPr>
        <w:t>permanently, and</w:t>
      </w:r>
      <w:proofErr w:type="gramEnd"/>
      <w:r w:rsidRPr="005C29F8">
        <w:rPr>
          <w:rFonts w:cs="Arial"/>
          <w:color w:val="000000" w:themeColor="text1"/>
          <w:szCs w:val="16"/>
        </w:rPr>
        <w:t xml:space="preserve"> is no longer being monitored. 53 LEAs had not yet achieved 100 percent compliance. </w:t>
      </w:r>
      <w:r w:rsidRPr="005C29F8">
        <w:rPr>
          <w:rFonts w:cs="Arial"/>
          <w:color w:val="000000" w:themeColor="text1"/>
          <w:szCs w:val="16"/>
        </w:rPr>
        <w:br/>
      </w:r>
      <w:r w:rsidRPr="005C29F8">
        <w:rPr>
          <w:rFonts w:cs="Arial"/>
          <w:color w:val="000000" w:themeColor="text1"/>
          <w:szCs w:val="16"/>
        </w:rPr>
        <w:br/>
        <w:t xml:space="preserve">The LEAs that had additional findings of noncompliance were notified in </w:t>
      </w:r>
      <w:proofErr w:type="gramStart"/>
      <w:r w:rsidRPr="005C29F8">
        <w:rPr>
          <w:rFonts w:cs="Arial"/>
          <w:color w:val="000000" w:themeColor="text1"/>
          <w:szCs w:val="16"/>
        </w:rPr>
        <w:t>October,</w:t>
      </w:r>
      <w:proofErr w:type="gramEnd"/>
      <w:r w:rsidRPr="005C29F8">
        <w:rPr>
          <w:rFonts w:cs="Arial"/>
          <w:color w:val="000000" w:themeColor="text1"/>
          <w:szCs w:val="16"/>
        </w:rPr>
        <w:t xml:space="preserve"> 2020. They were required to examine their student records to determine the reason(s) for continued noncompliance. They identified SMART goals to improve problem areas and clarified internal monitoring processes and procedures. During a subsequent State review of records (in January 2021) for students in these LEAs whose parent consent was signed between Sept 1 and November 30, 2020, 46 LEAs demonstrated full compliance with Indicator 11. The other seven LEAs did not. These seven continue to be under </w:t>
      </w:r>
      <w:proofErr w:type="gramStart"/>
      <w:r w:rsidRPr="005C29F8">
        <w:rPr>
          <w:rFonts w:cs="Arial"/>
          <w:color w:val="000000" w:themeColor="text1"/>
          <w:szCs w:val="16"/>
        </w:rPr>
        <w:t>review, and</w:t>
      </w:r>
      <w:proofErr w:type="gramEnd"/>
      <w:r w:rsidRPr="005C29F8">
        <w:rPr>
          <w:rFonts w:cs="Arial"/>
          <w:color w:val="000000" w:themeColor="text1"/>
          <w:szCs w:val="16"/>
        </w:rPr>
        <w:t xml:space="preserve"> are receiving intensive technical assistance that includes corrective action planning and root cause analysis. </w:t>
      </w:r>
      <w:r w:rsidRPr="005C29F8">
        <w:rPr>
          <w:rFonts w:cs="Arial"/>
          <w:color w:val="000000" w:themeColor="text1"/>
          <w:szCs w:val="16"/>
        </w:rPr>
        <w:br/>
      </w:r>
      <w:r w:rsidRPr="005C29F8">
        <w:rPr>
          <w:rFonts w:cs="Arial"/>
          <w:color w:val="000000" w:themeColor="text1"/>
          <w:szCs w:val="16"/>
        </w:rPr>
        <w:br/>
        <w:t xml:space="preserve">Note: The random samples of student records selected for the prong II reviews are pulled from the LEA’s population of student records relevant to the indicator. Only records of students with initial evaluations in one quarter of the most recent fiscal year were sampled for indicator 11. OSDE-SES checked all records in LEAs with a total of 11 or fewer records that met this criterion. Otherwise, sample sizes ranged from 11 to 34, depending on the size of the LEA. The sample sizes are statistically representative, within the following assumptions: </w:t>
      </w:r>
      <w:r w:rsidRPr="005C29F8">
        <w:rPr>
          <w:rFonts w:cs="Arial"/>
          <w:color w:val="000000" w:themeColor="text1"/>
          <w:szCs w:val="16"/>
        </w:rPr>
        <w:br/>
      </w:r>
      <w:r w:rsidRPr="005C29F8">
        <w:rPr>
          <w:rFonts w:cs="Arial"/>
          <w:color w:val="000000" w:themeColor="text1"/>
          <w:szCs w:val="16"/>
        </w:rPr>
        <w:lastRenderedPageBreak/>
        <w:t>•</w:t>
      </w:r>
      <w:r w:rsidRPr="005C29F8">
        <w:rPr>
          <w:rFonts w:cs="Arial"/>
          <w:color w:val="000000" w:themeColor="text1"/>
          <w:szCs w:val="16"/>
        </w:rPr>
        <w:tab/>
        <w:t xml:space="preserve">Margin of error of 10 percent: this is the chance of missing (not finding) noncompliance in the sample when it exists. </w:t>
      </w:r>
      <w:r w:rsidRPr="005C29F8">
        <w:rPr>
          <w:rFonts w:cs="Arial"/>
          <w:color w:val="000000" w:themeColor="text1"/>
          <w:szCs w:val="16"/>
        </w:rPr>
        <w:br/>
        <w:t>•</w:t>
      </w:r>
      <w:r w:rsidRPr="005C29F8">
        <w:rPr>
          <w:rFonts w:cs="Arial"/>
          <w:color w:val="000000" w:themeColor="text1"/>
          <w:szCs w:val="16"/>
        </w:rPr>
        <w:tab/>
        <w:t xml:space="preserve">Confidence level of 95 percent: this is the level of confidence that results found are true and representative. </w:t>
      </w:r>
      <w:r w:rsidRPr="005C29F8">
        <w:rPr>
          <w:rFonts w:cs="Arial"/>
          <w:color w:val="000000" w:themeColor="text1"/>
          <w:szCs w:val="16"/>
        </w:rPr>
        <w:br/>
        <w:t>• Expected response distribution of minimum 90 percent compliance.</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The OSDE-SES annually conducts monitoring activities for 100% of the State’s LEAs to determine if all LEAs </w:t>
      </w:r>
      <w:proofErr w:type="gramStart"/>
      <w:r w:rsidRPr="005C29F8">
        <w:rPr>
          <w:rFonts w:cs="Arial"/>
          <w:color w:val="000000" w:themeColor="text1"/>
          <w:szCs w:val="16"/>
        </w:rPr>
        <w:t>are in compliance</w:t>
      </w:r>
      <w:proofErr w:type="gramEnd"/>
      <w:r w:rsidRPr="005C29F8">
        <w:rPr>
          <w:rFonts w:cs="Arial"/>
          <w:color w:val="000000" w:themeColor="text1"/>
          <w:szCs w:val="16"/>
        </w:rPr>
        <w:t xml:space="preserve"> for Indicator 11. Non-compliance is identified through data submitted by LEAs through the annual June end-of-year data collection as well as specific monitoring activities such as desk audits and onsite visits. </w:t>
      </w:r>
      <w:r w:rsidRPr="005C29F8">
        <w:rPr>
          <w:rFonts w:cs="Arial"/>
          <w:color w:val="000000" w:themeColor="text1"/>
          <w:szCs w:val="16"/>
        </w:rPr>
        <w:br/>
      </w:r>
      <w:r w:rsidRPr="005C29F8">
        <w:rPr>
          <w:rFonts w:cs="Arial"/>
          <w:color w:val="000000" w:themeColor="text1"/>
          <w:szCs w:val="16"/>
        </w:rPr>
        <w:br/>
        <w:t xml:space="preserve">After analyzing data collected for Indicator 11 in June 2019, non-compliance was identified in 84 LEAs. The 84 LEAs identified as non-compliant were issued a letter of findings and required to make child-specific corrections within 30 days of receipt of the letter. All 84 LEAs were notified by November 15, 2019. Subsequently, LEAs were required to submit data showing evidence of completed documentation for identified students. The OSDE-SES reviewed Parent Consent forms and Multidisciplinary Evaluation and Eligibility Group Summary (MEEGS) forms submitted by all LEAs through the statewide online IEP system (OK </w:t>
      </w:r>
      <w:proofErr w:type="spellStart"/>
      <w:r w:rsidRPr="005C29F8">
        <w:rPr>
          <w:rFonts w:cs="Arial"/>
          <w:color w:val="000000" w:themeColor="text1"/>
          <w:szCs w:val="16"/>
        </w:rPr>
        <w:t>EdPlan</w:t>
      </w:r>
      <w:proofErr w:type="spellEnd"/>
      <w:r w:rsidRPr="005C29F8">
        <w:rPr>
          <w:rFonts w:cs="Arial"/>
          <w:color w:val="000000" w:themeColor="text1"/>
          <w:szCs w:val="16"/>
        </w:rPr>
        <w:t xml:space="preserv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that evaluations were conducted in accordance with the regulatory requirements. OSDE-SES staff reviewed the documentation to determine if the child-specific corrections had been made. In addition, when necessary, the OSDE-SES conducted follow-up phone calls to ensure that education records were available for review through the online IEP system. If records were not available for review, LEAs were required to submit the documentation directly to the OSDE-SES. </w:t>
      </w:r>
      <w:r w:rsidRPr="005C29F8">
        <w:rPr>
          <w:rFonts w:cs="Arial"/>
          <w:color w:val="000000" w:themeColor="text1"/>
          <w:szCs w:val="16"/>
        </w:rPr>
        <w:br/>
      </w:r>
      <w:r w:rsidRPr="005C29F8">
        <w:rPr>
          <w:rFonts w:cs="Arial"/>
          <w:color w:val="000000" w:themeColor="text1"/>
          <w:szCs w:val="16"/>
        </w:rPr>
        <w:br/>
        <w:t>The verification process was completed in December 2019 and January 2020. The 84 LEAs identified as being non-compliant demonstrated that they have corrected child specific (Prong I) noncompliance.</w:t>
      </w:r>
    </w:p>
    <w:p w14:paraId="486EDA3F" w14:textId="64D3B8E5"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5FB777DB"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2EE93446" w14:textId="2058242E" w:rsidR="00326C0B" w:rsidRPr="005C29F8" w:rsidRDefault="002B7490" w:rsidP="009A755E">
      <w:pPr>
        <w:rPr>
          <w:rFonts w:cs="Arial"/>
          <w:color w:val="000000" w:themeColor="text1"/>
          <w:szCs w:val="16"/>
        </w:rPr>
      </w:pPr>
      <w:r w:rsidRPr="005C29F8">
        <w:rPr>
          <w:rFonts w:cs="Arial"/>
          <w:color w:val="000000" w:themeColor="text1"/>
          <w:szCs w:val="16"/>
        </w:rPr>
        <w:t xml:space="preserve">Seven LEAs did not achieve 100 percent compliance in FFY </w:t>
      </w:r>
      <w:proofErr w:type="gramStart"/>
      <w:r w:rsidRPr="005C29F8">
        <w:rPr>
          <w:rFonts w:cs="Arial"/>
          <w:color w:val="000000" w:themeColor="text1"/>
          <w:szCs w:val="16"/>
        </w:rPr>
        <w:t>2018, and</w:t>
      </w:r>
      <w:proofErr w:type="gramEnd"/>
      <w:r w:rsidRPr="005C29F8">
        <w:rPr>
          <w:rFonts w:cs="Arial"/>
          <w:color w:val="000000" w:themeColor="text1"/>
          <w:szCs w:val="16"/>
        </w:rPr>
        <w:t xml:space="preserve"> continue to receive intensive technical assistance that includes required corrective action planning and root cause analysis. These LEAs have had to develop targeted plans focused on improving compliance on Indicator 11. The LEAs were considered non-compliant for FFY 2019. These LEAs had to resolve child-specific findings of noncompliance for FFY 2019.</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5AB62777" w14:textId="29B5602C"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317" w:type="pct"/>
            <w:shd w:val="clear" w:color="auto" w:fill="auto"/>
          </w:tcPr>
          <w:p w14:paraId="1914F665" w14:textId="53788CBE"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34" w:type="pct"/>
            <w:shd w:val="clear" w:color="auto" w:fill="auto"/>
          </w:tcPr>
          <w:p w14:paraId="543D4553" w14:textId="411E0F5D" w:rsidR="009A755E" w:rsidRPr="005C29F8" w:rsidRDefault="002B7490">
            <w:pPr>
              <w:jc w:val="center"/>
              <w:rPr>
                <w:rFonts w:cs="Arial"/>
                <w:noProof/>
                <w:color w:val="000000" w:themeColor="text1"/>
                <w:szCs w:val="16"/>
              </w:rPr>
            </w:pPr>
            <w:r w:rsidRPr="005C29F8">
              <w:rPr>
                <w:rFonts w:cs="Arial"/>
                <w:color w:val="000000" w:themeColor="text1"/>
                <w:szCs w:val="16"/>
              </w:rPr>
              <w:t>1</w:t>
            </w:r>
          </w:p>
        </w:tc>
      </w:tr>
      <w:tr w:rsidR="005C29F8" w:rsidRPr="005C29F8" w14:paraId="1816F3D1" w14:textId="77777777" w:rsidTr="003968A6">
        <w:tc>
          <w:tcPr>
            <w:tcW w:w="988" w:type="pct"/>
            <w:shd w:val="clear" w:color="auto" w:fill="auto"/>
          </w:tcPr>
          <w:p w14:paraId="1177FA9A" w14:textId="73A2A90B" w:rsidR="009A755E" w:rsidRPr="005C29F8" w:rsidRDefault="00596F83" w:rsidP="00A018D4">
            <w:pPr>
              <w:jc w:val="center"/>
              <w:rPr>
                <w:rFonts w:cs="Arial"/>
                <w:color w:val="000000" w:themeColor="text1"/>
                <w:szCs w:val="16"/>
              </w:rPr>
            </w:pPr>
            <w:r w:rsidRPr="005C29F8">
              <w:rPr>
                <w:rFonts w:cs="Arial"/>
                <w:color w:val="000000" w:themeColor="text1"/>
                <w:szCs w:val="16"/>
              </w:rPr>
              <w:t>FFY 2016</w:t>
            </w:r>
          </w:p>
        </w:tc>
        <w:tc>
          <w:tcPr>
            <w:tcW w:w="1461" w:type="pct"/>
            <w:shd w:val="clear" w:color="auto" w:fill="auto"/>
          </w:tcPr>
          <w:p w14:paraId="42D596E0" w14:textId="4BE898FD" w:rsidR="009A755E" w:rsidRPr="005C29F8" w:rsidRDefault="00596F83">
            <w:pPr>
              <w:jc w:val="center"/>
              <w:rPr>
                <w:rFonts w:cs="Arial"/>
                <w:noProof/>
                <w:color w:val="000000" w:themeColor="text1"/>
                <w:szCs w:val="16"/>
              </w:rPr>
            </w:pPr>
            <w:r w:rsidRPr="005C29F8">
              <w:rPr>
                <w:rFonts w:cs="Arial"/>
                <w:color w:val="000000" w:themeColor="text1"/>
                <w:szCs w:val="16"/>
              </w:rPr>
              <w:t>2</w:t>
            </w:r>
          </w:p>
        </w:tc>
        <w:tc>
          <w:tcPr>
            <w:tcW w:w="1317" w:type="pct"/>
            <w:shd w:val="clear" w:color="auto" w:fill="auto"/>
          </w:tcPr>
          <w:p w14:paraId="1709DA4E" w14:textId="03D6E40F" w:rsidR="009A755E" w:rsidRPr="005C29F8" w:rsidRDefault="002B7490">
            <w:pPr>
              <w:jc w:val="center"/>
              <w:rPr>
                <w:rFonts w:cs="Arial"/>
                <w:noProof/>
                <w:color w:val="000000" w:themeColor="text1"/>
                <w:szCs w:val="16"/>
              </w:rPr>
            </w:pPr>
            <w:r w:rsidRPr="005C29F8">
              <w:rPr>
                <w:rFonts w:cs="Arial"/>
                <w:color w:val="000000" w:themeColor="text1"/>
                <w:szCs w:val="16"/>
              </w:rPr>
              <w:t>2</w:t>
            </w:r>
          </w:p>
        </w:tc>
        <w:tc>
          <w:tcPr>
            <w:tcW w:w="1234" w:type="pct"/>
            <w:shd w:val="clear" w:color="auto" w:fill="auto"/>
          </w:tcPr>
          <w:p w14:paraId="7008AE63" w14:textId="0E87CC18"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0ED1B1B5" w14:textId="6853D71E"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25C1BC10" w14:textId="12C6C3A0" w:rsidR="009A755E" w:rsidRPr="005C29F8" w:rsidRDefault="009A755E" w:rsidP="004369B2">
      <w:pPr>
        <w:rPr>
          <w:color w:val="000000" w:themeColor="text1"/>
        </w:rPr>
      </w:pPr>
      <w:r w:rsidRPr="005C29F8">
        <w:rPr>
          <w:b/>
          <w:color w:val="000000" w:themeColor="text1"/>
        </w:rPr>
        <w:t>Findings of Noncompliance Verified as Corrected</w:t>
      </w:r>
    </w:p>
    <w:p w14:paraId="14586A63" w14:textId="460DC4B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70A5E59" w14:textId="6E4B93E2" w:rsidR="00326C0B" w:rsidRPr="005C29F8" w:rsidRDefault="002B7490" w:rsidP="009A755E">
      <w:pPr>
        <w:rPr>
          <w:rFonts w:cs="Arial"/>
          <w:color w:val="000000" w:themeColor="text1"/>
          <w:szCs w:val="16"/>
        </w:rPr>
      </w:pPr>
      <w:r w:rsidRPr="005C29F8">
        <w:rPr>
          <w:rFonts w:cs="Arial"/>
          <w:color w:val="000000" w:themeColor="text1"/>
          <w:szCs w:val="16"/>
        </w:rPr>
        <w:t xml:space="preserve">In the FFY 2018 SPP/APR submission, two LEAs continued to be under review for noncompliance from FFY 2017. In subsequent data reviews (random record checks January 2021), one LEA demonstrated 100 percent compliance. The second LEA continued to show noncompliance. This LEA is receiving continuing intensive technical assistance that includes required corrective action planning and root cause analysis, and the LEA has had to develop targeted plans focused on improving compliance on Indicator 11. The LEA was considered non-compliant in FFY 2019, also, because continuous compliance was not demonstrated during the prong 2 reviews </w:t>
      </w:r>
      <w:proofErr w:type="gramStart"/>
      <w:r w:rsidRPr="005C29F8">
        <w:rPr>
          <w:rFonts w:cs="Arial"/>
          <w:color w:val="000000" w:themeColor="text1"/>
          <w:szCs w:val="16"/>
        </w:rPr>
        <w:t>completed, but</w:t>
      </w:r>
      <w:proofErr w:type="gramEnd"/>
      <w:r w:rsidRPr="005C29F8">
        <w:rPr>
          <w:rFonts w:cs="Arial"/>
          <w:color w:val="000000" w:themeColor="text1"/>
          <w:szCs w:val="16"/>
        </w:rPr>
        <w:t xml:space="preserve"> was not counted as a new finding. These LEAs had to resolve child-specific findings of noncompliance for FFY 2019.</w:t>
      </w:r>
    </w:p>
    <w:p w14:paraId="1F4C53D6" w14:textId="19404A71"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D6CFCBF" w14:textId="034DF97C" w:rsidR="00596F83" w:rsidRPr="005C29F8" w:rsidRDefault="00596F83" w:rsidP="009A755E">
      <w:pPr>
        <w:rPr>
          <w:rFonts w:cs="Arial"/>
          <w:color w:val="000000" w:themeColor="text1"/>
          <w:szCs w:val="16"/>
        </w:rPr>
      </w:pPr>
      <w:r w:rsidRPr="005C29F8">
        <w:rPr>
          <w:rFonts w:cs="Arial"/>
          <w:color w:val="000000" w:themeColor="text1"/>
          <w:szCs w:val="16"/>
        </w:rPr>
        <w:t xml:space="preserve">LEAs were required to submit data showing evidence of completed documentation for identified students. The OSDE-SES reviewed Parent Consent forms and Multidisciplinary Evaluation and Eligibility Group Summary (MEEGS) forms submitted by all LEAs through the statewide online IEP system (OK </w:t>
      </w:r>
      <w:proofErr w:type="spellStart"/>
      <w:r w:rsidRPr="005C29F8">
        <w:rPr>
          <w:rFonts w:cs="Arial"/>
          <w:color w:val="000000" w:themeColor="text1"/>
          <w:szCs w:val="16"/>
        </w:rPr>
        <w:t>EdPlan</w:t>
      </w:r>
      <w:proofErr w:type="spellEnd"/>
      <w:r w:rsidRPr="005C29F8">
        <w:rPr>
          <w:rFonts w:cs="Arial"/>
          <w:color w:val="000000" w:themeColor="text1"/>
          <w:szCs w:val="16"/>
        </w:rPr>
        <w:t xml:space="preserv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that evaluations were conducted in accordance with the regulatory requirements. OSDE-SES staff reviewed the documentation to determine if the child-specific corrections had been made. In addition, when necessary, the OSDE-SES conducted follow-up phone calls to ensure that education records were available for review through the online IEP system. If records were not available for review, LEAs were required to submit the documentation directly to the OSDE-SES. </w:t>
      </w:r>
      <w:r w:rsidRPr="005C29F8">
        <w:rPr>
          <w:rFonts w:cs="Arial"/>
          <w:color w:val="000000" w:themeColor="text1"/>
          <w:szCs w:val="16"/>
        </w:rPr>
        <w:br/>
      </w:r>
      <w:r w:rsidRPr="005C29F8">
        <w:rPr>
          <w:rFonts w:cs="Arial"/>
          <w:color w:val="000000" w:themeColor="text1"/>
          <w:szCs w:val="16"/>
        </w:rPr>
        <w:br/>
        <w:t>The verification process was completed in December 2019 and January 2020. The two LEAs identified as being non-compliant have since demonstrated that they have corrected all individual cases of noncompliance.</w:t>
      </w:r>
    </w:p>
    <w:p w14:paraId="6B3560D7" w14:textId="4AC08B33" w:rsidR="009A221D" w:rsidRPr="005C29F8" w:rsidRDefault="009A221D" w:rsidP="009A221D">
      <w:pPr>
        <w:rPr>
          <w:rFonts w:cs="Arial"/>
          <w:b/>
          <w:bCs/>
          <w:color w:val="000000" w:themeColor="text1"/>
          <w:szCs w:val="16"/>
        </w:rPr>
      </w:pPr>
      <w:r w:rsidRPr="005C29F8">
        <w:rPr>
          <w:rFonts w:cs="Arial"/>
          <w:b/>
          <w:bCs/>
          <w:color w:val="000000" w:themeColor="text1"/>
          <w:szCs w:val="16"/>
        </w:rPr>
        <w:t>FFY 2017</w:t>
      </w:r>
    </w:p>
    <w:p w14:paraId="43B616FA" w14:textId="0C7625B0" w:rsidR="009A755E" w:rsidRPr="005C29F8" w:rsidRDefault="009A755E" w:rsidP="004369B2">
      <w:pPr>
        <w:rPr>
          <w:color w:val="000000" w:themeColor="text1"/>
        </w:rPr>
      </w:pPr>
      <w:r w:rsidRPr="005C29F8">
        <w:rPr>
          <w:b/>
          <w:color w:val="000000" w:themeColor="text1"/>
        </w:rPr>
        <w:t>Findings of Noncompliance Not Yet Verified as Corrected</w:t>
      </w:r>
    </w:p>
    <w:p w14:paraId="3B9C4153"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35EA4492" w14:textId="2B907B59" w:rsidR="00326C0B" w:rsidRPr="005C29F8" w:rsidRDefault="002B7490" w:rsidP="009A755E">
      <w:pPr>
        <w:rPr>
          <w:rFonts w:cs="Arial"/>
          <w:color w:val="000000" w:themeColor="text1"/>
          <w:szCs w:val="16"/>
        </w:rPr>
      </w:pPr>
      <w:r w:rsidRPr="005C29F8">
        <w:rPr>
          <w:rFonts w:cs="Arial"/>
          <w:color w:val="000000" w:themeColor="text1"/>
          <w:szCs w:val="16"/>
        </w:rPr>
        <w:t>One LEA has yet to achieve 100 percent compliance. This LEA continues to receive intensive technical assistance that include required corrective action planning and root cause analysis, and the LEA had had to develop targeted plans focused on improving compliance on Indicator 11. The LEA will undergo a subsequent continuous compliance check in summer 2021.</w:t>
      </w:r>
    </w:p>
    <w:p w14:paraId="08634A47" w14:textId="0468EE5A" w:rsidR="009A221D" w:rsidRPr="005C29F8" w:rsidRDefault="009A221D" w:rsidP="009A221D">
      <w:pPr>
        <w:rPr>
          <w:rFonts w:cs="Arial"/>
          <w:b/>
          <w:bCs/>
          <w:color w:val="000000" w:themeColor="text1"/>
          <w:szCs w:val="16"/>
        </w:rPr>
      </w:pPr>
      <w:r w:rsidRPr="005C29F8">
        <w:rPr>
          <w:rFonts w:cs="Arial"/>
          <w:b/>
          <w:bCs/>
          <w:color w:val="000000" w:themeColor="text1"/>
          <w:szCs w:val="16"/>
        </w:rPr>
        <w:t>FFY 2016</w:t>
      </w:r>
    </w:p>
    <w:p w14:paraId="13EA08E3" w14:textId="60D8D7D4" w:rsidR="009A755E" w:rsidRPr="005C29F8" w:rsidRDefault="009A755E" w:rsidP="004369B2">
      <w:pPr>
        <w:rPr>
          <w:color w:val="000000" w:themeColor="text1"/>
        </w:rPr>
      </w:pPr>
      <w:r w:rsidRPr="005C29F8">
        <w:rPr>
          <w:b/>
          <w:color w:val="000000" w:themeColor="text1"/>
        </w:rPr>
        <w:t>Findings of Noncompliance Verified as Corrected</w:t>
      </w:r>
    </w:p>
    <w:p w14:paraId="1463A5DD" w14:textId="5274A019"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0FCB1F5A" w14:textId="4276DF9C" w:rsidR="00596F83" w:rsidRPr="005C29F8" w:rsidRDefault="00596F83" w:rsidP="00596F83">
      <w:pPr>
        <w:rPr>
          <w:rFonts w:cs="Arial"/>
          <w:color w:val="000000" w:themeColor="text1"/>
          <w:szCs w:val="16"/>
        </w:rPr>
      </w:pPr>
      <w:r w:rsidRPr="005C29F8">
        <w:rPr>
          <w:rFonts w:cs="Arial"/>
          <w:color w:val="000000" w:themeColor="text1"/>
          <w:szCs w:val="16"/>
        </w:rPr>
        <w:t>In the FFY 2018 SPP/APR submission, two LEAs continued to be under review for noncompliance from FFY 2016. In subsequent data reviews (random record checks in January 2021), both LEAs demonstrated 100 percent compliance in the time frame reviewed (parent consents signed after September 1, 2020).</w:t>
      </w:r>
    </w:p>
    <w:p w14:paraId="35436354" w14:textId="5F2ED11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619A77FA" w14:textId="4B745BDF" w:rsidR="00326C0B" w:rsidRDefault="002B7490" w:rsidP="009A755E">
      <w:pPr>
        <w:rPr>
          <w:rFonts w:cs="Arial"/>
          <w:color w:val="000000" w:themeColor="text1"/>
          <w:szCs w:val="16"/>
        </w:rPr>
      </w:pPr>
      <w:r w:rsidRPr="005C29F8">
        <w:rPr>
          <w:rFonts w:cs="Arial"/>
          <w:color w:val="000000" w:themeColor="text1"/>
          <w:szCs w:val="16"/>
        </w:rPr>
        <w:t xml:space="preserve">LEAs were required to submit data showing evidence of completed documentation for identified students. The OSDE-SES reviewed Parent Consent forms and Multidisciplinary Evaluation and Eligibility Group Summary (MEEGS) forms submitted by all LEAs through the statewide online IEP system (OK </w:t>
      </w:r>
      <w:proofErr w:type="spellStart"/>
      <w:r w:rsidRPr="005C29F8">
        <w:rPr>
          <w:rFonts w:cs="Arial"/>
          <w:color w:val="000000" w:themeColor="text1"/>
          <w:szCs w:val="16"/>
        </w:rPr>
        <w:t>EdPlan</w:t>
      </w:r>
      <w:proofErr w:type="spellEnd"/>
      <w:r w:rsidRPr="005C29F8">
        <w:rPr>
          <w:rFonts w:cs="Arial"/>
          <w:color w:val="000000" w:themeColor="text1"/>
          <w:szCs w:val="16"/>
        </w:rPr>
        <w:t xml:space="preserv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that evaluations were conducted in accordance with the regulatory requirements. OSDE-SES staff reviewed the </w:t>
      </w:r>
      <w:r w:rsidRPr="005C29F8">
        <w:rPr>
          <w:rFonts w:cs="Arial"/>
          <w:color w:val="000000" w:themeColor="text1"/>
          <w:szCs w:val="16"/>
        </w:rPr>
        <w:lastRenderedPageBreak/>
        <w:t xml:space="preserve">documentation to determine if the child-specific corrections had been made. In addition, when necessary, the OSDE-SES conducted follow-up phone calls to ensure that education records were available for review through the online IEP system. If records were not available for review, LEAs were required to submit the documentation directly to the OSDE-SES. </w:t>
      </w:r>
      <w:r w:rsidRPr="005C29F8">
        <w:rPr>
          <w:rFonts w:cs="Arial"/>
          <w:color w:val="000000" w:themeColor="text1"/>
          <w:szCs w:val="16"/>
        </w:rPr>
        <w:br/>
      </w:r>
      <w:r w:rsidRPr="005C29F8">
        <w:rPr>
          <w:rFonts w:cs="Arial"/>
          <w:color w:val="000000" w:themeColor="text1"/>
          <w:szCs w:val="16"/>
        </w:rPr>
        <w:br/>
        <w:t>The verification process was completed in July 2020. The two LEAs identified as being non-compliant have since demonstrated that they have corrected all individual cases of noncompliance.</w:t>
      </w:r>
    </w:p>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seven uncorrected findings of noncompliance identified in FFY 2018 and one uncorrected finding of noncompliance identified in 2017 were corrected. When reporting on the correction of noncompliance, the State must report, in the FFY 2020 SPP/APR, that it has verified that each LEA with findings of noncompliance identified in FFY 2019 and each LEA with remaining noncompliance identified in FFY 2018 and 2017: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86.72%</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98.84%</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99.06%</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98.52%</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95.94%</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95.38%</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1,463</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180</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873</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264</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57</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873</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962</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95.38%</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90.75%</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Slippage is </w:t>
      </w:r>
      <w:proofErr w:type="gramStart"/>
      <w:r w:rsidRPr="005C29F8">
        <w:rPr>
          <w:rFonts w:cs="Arial"/>
          <w:color w:val="000000" w:themeColor="text1"/>
          <w:szCs w:val="16"/>
        </w:rPr>
        <w:t>due to the effects</w:t>
      </w:r>
      <w:proofErr w:type="gramEnd"/>
      <w:r w:rsidRPr="005C29F8">
        <w:rPr>
          <w:rFonts w:cs="Arial"/>
          <w:color w:val="000000" w:themeColor="text1"/>
          <w:szCs w:val="16"/>
        </w:rPr>
        <w:t xml:space="preserve"> of the covid-19 pandemic on districts' ability to conduct comprehensive evaluations and/or hold timely meetings with parents. The State reviewed all reasons for late evaluations submitted by </w:t>
      </w:r>
      <w:proofErr w:type="gramStart"/>
      <w:r w:rsidRPr="005C29F8">
        <w:rPr>
          <w:rFonts w:cs="Arial"/>
          <w:color w:val="000000" w:themeColor="text1"/>
          <w:szCs w:val="16"/>
        </w:rPr>
        <w:t>districts, and</w:t>
      </w:r>
      <w:proofErr w:type="gramEnd"/>
      <w:r w:rsidRPr="005C29F8">
        <w:rPr>
          <w:rFonts w:cs="Arial"/>
          <w:color w:val="000000" w:themeColor="text1"/>
          <w:szCs w:val="16"/>
        </w:rPr>
        <w:t xml:space="preserve"> confirmed which were truly affected by the pandemic. Oklahoma confirmed 58 cases of delays resulting from the pandemic's effects on the availability of personnel and the ability of districts to hold in-person evaluations and/or meet with parents to complete an eligibility and IEP prior to the child's third birthday. </w:t>
      </w:r>
      <w:r w:rsidRPr="005C29F8">
        <w:rPr>
          <w:rFonts w:cs="Arial"/>
          <w:color w:val="000000" w:themeColor="text1"/>
          <w:szCs w:val="16"/>
        </w:rPr>
        <w:br/>
      </w:r>
      <w:r w:rsidRPr="005C29F8">
        <w:rPr>
          <w:rFonts w:cs="Arial"/>
          <w:color w:val="000000" w:themeColor="text1"/>
          <w:szCs w:val="16"/>
        </w:rPr>
        <w:br/>
        <w:t>In FFY 2018, Oklahoma reported 45 cases of evaluations delayed past the 3rd birthday. This year, there were 89 delays. Without the pandemic, we estimate that the final count of late evaluations would have been better than FFY 2018 (closer to 31, or 89-58).</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89</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Maximum days beyond the third birthday: 162</w:t>
      </w:r>
      <w:r w:rsidRPr="005C29F8">
        <w:rPr>
          <w:bCs/>
          <w:color w:val="000000" w:themeColor="text1"/>
        </w:rPr>
        <w:br/>
      </w:r>
      <w:r w:rsidRPr="005C29F8">
        <w:rPr>
          <w:bCs/>
          <w:color w:val="000000" w:themeColor="text1"/>
        </w:rPr>
        <w:br/>
        <w:t>Counts of Reasons for Delay</w:t>
      </w:r>
      <w:r w:rsidRPr="005C29F8">
        <w:rPr>
          <w:bCs/>
          <w:color w:val="000000" w:themeColor="text1"/>
        </w:rPr>
        <w:br/>
        <w:t>LEA Failure to Follow Procedures: 7</w:t>
      </w:r>
      <w:r w:rsidRPr="005C29F8">
        <w:rPr>
          <w:bCs/>
          <w:color w:val="000000" w:themeColor="text1"/>
        </w:rPr>
        <w:br/>
        <w:t>MEEGS Team Needed More Data: 3</w:t>
      </w:r>
      <w:r w:rsidRPr="005C29F8">
        <w:rPr>
          <w:bCs/>
          <w:color w:val="000000" w:themeColor="text1"/>
        </w:rPr>
        <w:br/>
        <w:t>Lack of Resources: 4</w:t>
      </w:r>
      <w:r w:rsidRPr="005C29F8">
        <w:rPr>
          <w:bCs/>
          <w:color w:val="000000" w:themeColor="text1"/>
        </w:rPr>
        <w:br/>
        <w:t>School Calendar Break/Lack of Staff: 3</w:t>
      </w:r>
      <w:r w:rsidRPr="005C29F8">
        <w:rPr>
          <w:bCs/>
          <w:color w:val="000000" w:themeColor="text1"/>
        </w:rPr>
        <w:br/>
        <w:t>Late Part C Referral: 10</w:t>
      </w:r>
      <w:r w:rsidRPr="005C29F8">
        <w:rPr>
          <w:bCs/>
          <w:color w:val="000000" w:themeColor="text1"/>
        </w:rPr>
        <w:br/>
        <w:t>Parent did not show or delayed meeting: 8</w:t>
      </w:r>
      <w:r w:rsidRPr="005C29F8">
        <w:rPr>
          <w:bCs/>
          <w:color w:val="000000" w:themeColor="text1"/>
        </w:rPr>
        <w:br/>
        <w:t>Extreme weather or pandemic events: 58</w:t>
      </w:r>
      <w:r w:rsidRPr="005C29F8">
        <w:rPr>
          <w:bCs/>
          <w:color w:val="000000" w:themeColor="text1"/>
        </w:rPr>
        <w:br/>
        <w:t>Note that some districts reported more than one reason for a particular case. However, if a district reported a second reason along with "pandemic," the second reason was used. Pandemic reasons are unique.</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 xml:space="preserve">All LEAs are required to enter specific data (including "Total referred from Part C", "Total determined 'Not Eligible'; Determination complete before 3rd birthday", "Total determined 'Eligible'; IEP completed before 3rd Birthday", "Total parents that declined services", "Total referred less than 90 days prior to 3rd birthday", "IEP not completed prior to 3rd birthday", "Maximum number of days beyond 3rd birthday IEP completed", as well as the reasons for delay) into the End-of-Year District Data Summary Report through the online IEP system. </w:t>
      </w:r>
      <w:r w:rsidRPr="005C29F8">
        <w:rPr>
          <w:rFonts w:cs="Arial"/>
          <w:color w:val="000000" w:themeColor="text1"/>
          <w:szCs w:val="16"/>
        </w:rPr>
        <w:br/>
      </w:r>
      <w:r w:rsidRPr="005C29F8">
        <w:rPr>
          <w:rFonts w:cs="Arial"/>
          <w:color w:val="000000" w:themeColor="text1"/>
          <w:szCs w:val="16"/>
        </w:rPr>
        <w:br/>
        <w:t>The district superintendent must login to the End-of-Year Report and certify the data being submitted is accurate and true. LEAs are monitored through District Data Profiles and comprehensive monitoring. Technical assistance is then provided by compliance and program specialists.</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326C0B" w:rsidP="007D435F">
      <w:pPr>
        <w:rPr>
          <w:rFonts w:cs="Arial"/>
          <w:color w:val="000000" w:themeColor="text1"/>
          <w:szCs w:val="16"/>
        </w:rPr>
      </w:pP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34</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30</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lastRenderedPageBreak/>
        <w:t xml:space="preserve">In July 2020 the OSDE-SES began conducting Verification of Continuous Compliance (Prong II) procedures for FFY 2018 findings to ensure systemic compliance across each LEA for Indicator 12 data. Continuous compliance reviews are completed by using a random sampling process, by which student records are randomly selected for a compliance check. If all selected records are compliant, the LEA is resolved and removed from the compliance watch-list for the fiscal year. If the LEA does not yet demonstrate 100 percent compliance, additional sanctions are </w:t>
      </w:r>
      <w:proofErr w:type="gramStart"/>
      <w:r w:rsidRPr="005C29F8">
        <w:rPr>
          <w:rFonts w:cs="Arial"/>
          <w:color w:val="000000" w:themeColor="text1"/>
          <w:szCs w:val="16"/>
        </w:rPr>
        <w:t>applied</w:t>
      </w:r>
      <w:proofErr w:type="gramEnd"/>
      <w:r w:rsidRPr="005C29F8">
        <w:rPr>
          <w:rFonts w:cs="Arial"/>
          <w:color w:val="000000" w:themeColor="text1"/>
          <w:szCs w:val="16"/>
        </w:rPr>
        <w:t xml:space="preserve"> and records continue to be monitored. </w:t>
      </w:r>
      <w:r w:rsidRPr="005C29F8">
        <w:rPr>
          <w:rFonts w:cs="Arial"/>
          <w:color w:val="000000" w:themeColor="text1"/>
          <w:szCs w:val="16"/>
        </w:rPr>
        <w:br/>
      </w:r>
      <w:r w:rsidRPr="005C29F8">
        <w:rPr>
          <w:rFonts w:cs="Arial"/>
          <w:color w:val="000000" w:themeColor="text1"/>
          <w:szCs w:val="16"/>
        </w:rPr>
        <w:br/>
        <w:t xml:space="preserve">To check for subsequent noncompliance, an indicator-specific report was pulled from the online IEP system (in the same manner other data reviews are made) for each of the 34 LEAs identified with findings of noncompliance in FFY 2018. Each report included a representative, </w:t>
      </w:r>
      <w:proofErr w:type="gramStart"/>
      <w:r w:rsidRPr="005C29F8">
        <w:rPr>
          <w:rFonts w:cs="Arial"/>
          <w:color w:val="000000" w:themeColor="text1"/>
          <w:szCs w:val="16"/>
        </w:rPr>
        <w:t>randomly-selected</w:t>
      </w:r>
      <w:proofErr w:type="gramEnd"/>
      <w:r w:rsidRPr="005C29F8">
        <w:rPr>
          <w:rFonts w:cs="Arial"/>
          <w:color w:val="000000" w:themeColor="text1"/>
          <w:szCs w:val="16"/>
        </w:rPr>
        <w:t xml:space="preserve"> sample of student records (depending on district size). These indicator-specific reports were reviewed by OSDE-SES specialists for systemic noncompliance in July 2020. Twenty-nine LEAs were verified as continuously compliant (100 percent compliant</w:t>
      </w:r>
      <w:proofErr w:type="gramStart"/>
      <w:r w:rsidRPr="005C29F8">
        <w:rPr>
          <w:rFonts w:cs="Arial"/>
          <w:color w:val="000000" w:themeColor="text1"/>
          <w:szCs w:val="16"/>
        </w:rPr>
        <w:t>), and</w:t>
      </w:r>
      <w:proofErr w:type="gramEnd"/>
      <w:r w:rsidRPr="005C29F8">
        <w:rPr>
          <w:rFonts w:cs="Arial"/>
          <w:color w:val="000000" w:themeColor="text1"/>
          <w:szCs w:val="16"/>
        </w:rPr>
        <w:t xml:space="preserve"> were removed from the compliance watch-list. Once district has since closed </w:t>
      </w:r>
      <w:proofErr w:type="gramStart"/>
      <w:r w:rsidRPr="005C29F8">
        <w:rPr>
          <w:rFonts w:cs="Arial"/>
          <w:color w:val="000000" w:themeColor="text1"/>
          <w:szCs w:val="16"/>
        </w:rPr>
        <w:t>permanently, and</w:t>
      </w:r>
      <w:proofErr w:type="gramEnd"/>
      <w:r w:rsidRPr="005C29F8">
        <w:rPr>
          <w:rFonts w:cs="Arial"/>
          <w:color w:val="000000" w:themeColor="text1"/>
          <w:szCs w:val="16"/>
        </w:rPr>
        <w:t xml:space="preserve"> is no longer being monitored. Four LEAs had not yet achieved 100 percent compliance. </w:t>
      </w:r>
      <w:r w:rsidRPr="005C29F8">
        <w:rPr>
          <w:rFonts w:cs="Arial"/>
          <w:color w:val="000000" w:themeColor="text1"/>
          <w:szCs w:val="16"/>
        </w:rPr>
        <w:br/>
      </w:r>
      <w:r w:rsidRPr="005C29F8">
        <w:rPr>
          <w:rFonts w:cs="Arial"/>
          <w:color w:val="000000" w:themeColor="text1"/>
          <w:szCs w:val="16"/>
        </w:rPr>
        <w:br/>
        <w:t>The four LEAs that had additional findings of noncompliance was required to examine their student records to determine the reason(s) for continued noncompliance. They identified SMART goals to improve problem areas and clarified internal monitoring processes and procedures. During a subsequent State review of records for students in this LEA who transitioned from the Part C program to the Part B program since September 1, 2020, the State found two LEAs to be in 100 percent compliance with Indicator 12. Two LEAs did not achieve 100 percent compliance.</w:t>
      </w:r>
      <w:r w:rsidRPr="005C29F8">
        <w:rPr>
          <w:rFonts w:cs="Arial"/>
          <w:color w:val="000000" w:themeColor="text1"/>
          <w:szCs w:val="16"/>
        </w:rPr>
        <w:br/>
      </w:r>
      <w:r w:rsidRPr="005C29F8">
        <w:rPr>
          <w:rFonts w:cs="Arial"/>
          <w:color w:val="000000" w:themeColor="text1"/>
          <w:szCs w:val="16"/>
        </w:rPr>
        <w:br/>
        <w:t xml:space="preserve">Note: The random samples of student records selected for the prong II reviews are pulled from the LEA’s population of student records relevant to the indicator. Only records of students who turned 3 and were in transition from Part C to Part B in one quarter of the recent fiscal year were sampled for indicator 12. OSDE-SES checked all records in LEAs with a total of 11 or fewer records that met this criterion. Otherwise, sample sizes ranged from 11 to 34, depending on the size of the LEA. The sample sizes are statistically representative, within the following assumptions: </w:t>
      </w:r>
      <w:r w:rsidRPr="005C29F8">
        <w:rPr>
          <w:rFonts w:cs="Arial"/>
          <w:color w:val="000000" w:themeColor="text1"/>
          <w:szCs w:val="16"/>
        </w:rPr>
        <w:br/>
        <w:t>•</w:t>
      </w:r>
      <w:r w:rsidRPr="005C29F8">
        <w:rPr>
          <w:rFonts w:cs="Arial"/>
          <w:color w:val="000000" w:themeColor="text1"/>
          <w:szCs w:val="16"/>
        </w:rPr>
        <w:tab/>
        <w:t xml:space="preserve">Margin of error of 10 percent: this is the chance of missing (not finding) noncompliance in the sample when it exists. </w:t>
      </w:r>
      <w:r w:rsidRPr="005C29F8">
        <w:rPr>
          <w:rFonts w:cs="Arial"/>
          <w:color w:val="000000" w:themeColor="text1"/>
          <w:szCs w:val="16"/>
        </w:rPr>
        <w:br/>
        <w:t>•</w:t>
      </w:r>
      <w:r w:rsidRPr="005C29F8">
        <w:rPr>
          <w:rFonts w:cs="Arial"/>
          <w:color w:val="000000" w:themeColor="text1"/>
          <w:szCs w:val="16"/>
        </w:rPr>
        <w:tab/>
        <w:t xml:space="preserve">Confidence level of 95 percent: this is the level of confidence that results found are true and representative. </w:t>
      </w:r>
      <w:r w:rsidRPr="005C29F8">
        <w:rPr>
          <w:rFonts w:cs="Arial"/>
          <w:color w:val="000000" w:themeColor="text1"/>
          <w:szCs w:val="16"/>
        </w:rPr>
        <w:br/>
        <w:t>• Expected response distribution of minimum 90 percent compliance.</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 xml:space="preserve">The OSDE-SES annually conducts monitoring activities for 100% of the State’s LEAs to determine if all LEAs </w:t>
      </w:r>
      <w:proofErr w:type="gramStart"/>
      <w:r w:rsidRPr="005C29F8">
        <w:rPr>
          <w:rFonts w:cs="Arial"/>
          <w:color w:val="000000" w:themeColor="text1"/>
          <w:szCs w:val="16"/>
        </w:rPr>
        <w:t>are in compliance</w:t>
      </w:r>
      <w:proofErr w:type="gramEnd"/>
      <w:r w:rsidRPr="005C29F8">
        <w:rPr>
          <w:rFonts w:cs="Arial"/>
          <w:color w:val="000000" w:themeColor="text1"/>
          <w:szCs w:val="16"/>
        </w:rPr>
        <w:t xml:space="preserve"> for Indicator 12. Noncompliance is identified through data submitted by LEAs through the annual June end-of-year data collection as well as specific monitoring activities such as desk audits and onsite visits. </w:t>
      </w:r>
      <w:r w:rsidRPr="005C29F8">
        <w:rPr>
          <w:rFonts w:cs="Arial"/>
          <w:color w:val="000000" w:themeColor="text1"/>
          <w:szCs w:val="16"/>
        </w:rPr>
        <w:br/>
      </w:r>
      <w:r w:rsidRPr="005C29F8">
        <w:rPr>
          <w:rFonts w:cs="Arial"/>
          <w:color w:val="000000" w:themeColor="text1"/>
          <w:szCs w:val="16"/>
        </w:rPr>
        <w:br/>
        <w:t xml:space="preserve">After analyzing data collected for Indicator 12 in June 2019, non-compliance was identified in 34 LEAs. The 34 LEAs identified as non-compliant were issued a letter of findings and required to make child-specific corrections within 30 days of receipt of the letter. All 34 LEAs were notified by November 15, 2019. Subsequently, LEAs were required to submit data showing evidence of completed documentation for identified students. The OSDE-SES reviewed eligibility and IEP documentation through the statewide online IEP system (OK </w:t>
      </w:r>
      <w:proofErr w:type="spellStart"/>
      <w:r w:rsidRPr="005C29F8">
        <w:rPr>
          <w:rFonts w:cs="Arial"/>
          <w:color w:val="000000" w:themeColor="text1"/>
          <w:szCs w:val="16"/>
        </w:rPr>
        <w:t>EdPlan</w:t>
      </w:r>
      <w:proofErr w:type="spellEnd"/>
      <w:r w:rsidRPr="005C29F8">
        <w:rPr>
          <w:rFonts w:cs="Arial"/>
          <w:color w:val="000000" w:themeColor="text1"/>
          <w:szCs w:val="16"/>
        </w:rPr>
        <w:t xml:space="preserv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that both were completed in accordance with the regulatory requirements. OSDE-SES staff reviewed the documentation to determine if the child-specific corrections had been made. In addition, when necessary, the OSDE-SES conducted follow-up phone calls to ensure that education records were available for review through the online IEP system. If records were not available for review, LEAs were required to submit the documentation directly to the OSDE-SES. </w:t>
      </w:r>
      <w:r w:rsidRPr="005C29F8">
        <w:rPr>
          <w:rFonts w:cs="Arial"/>
          <w:color w:val="000000" w:themeColor="text1"/>
          <w:szCs w:val="16"/>
        </w:rPr>
        <w:br/>
      </w:r>
      <w:r w:rsidRPr="005C29F8">
        <w:rPr>
          <w:rFonts w:cs="Arial"/>
          <w:color w:val="000000" w:themeColor="text1"/>
          <w:szCs w:val="16"/>
        </w:rPr>
        <w:br/>
        <w:t>The verification process was completed in December 2019 and January 2020. The 34 LEAs identified as being non-compliant have since demonstrated that they have corrected child specific (Prong I) noncompliance.</w:t>
      </w:r>
    </w:p>
    <w:p w14:paraId="7B7A30C5" w14:textId="320EFA6C"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19ADFC5D"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4AF1FBC1" w14:textId="6016B311" w:rsidR="00326C0B" w:rsidRPr="005C29F8" w:rsidRDefault="002B7490" w:rsidP="009A755E">
      <w:pPr>
        <w:rPr>
          <w:rFonts w:cs="Arial"/>
          <w:color w:val="000000" w:themeColor="text1"/>
          <w:szCs w:val="16"/>
        </w:rPr>
      </w:pPr>
      <w:r w:rsidRPr="005C29F8">
        <w:rPr>
          <w:rFonts w:cs="Arial"/>
          <w:color w:val="000000" w:themeColor="text1"/>
          <w:szCs w:val="16"/>
        </w:rPr>
        <w:t xml:space="preserve">Two LEAs did not achieve 100 percent compliance in FFY </w:t>
      </w:r>
      <w:proofErr w:type="gramStart"/>
      <w:r w:rsidRPr="005C29F8">
        <w:rPr>
          <w:rFonts w:cs="Arial"/>
          <w:color w:val="000000" w:themeColor="text1"/>
          <w:szCs w:val="16"/>
        </w:rPr>
        <w:t>2018, and</w:t>
      </w:r>
      <w:proofErr w:type="gramEnd"/>
      <w:r w:rsidRPr="005C29F8">
        <w:rPr>
          <w:rFonts w:cs="Arial"/>
          <w:color w:val="000000" w:themeColor="text1"/>
          <w:szCs w:val="16"/>
        </w:rPr>
        <w:t xml:space="preserve"> continue to receive intensive technical assistance that includes required corrective action planning and root cause analysis. The LEAs have had to develop targeted plans focused on improving compliance on Indicator 12. The LEAs were considered non-compliant for FFY 2019. The LEAs have had to resolve child-specific findings of noncompliance for FFY 2019.</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360" w:type="pct"/>
            <w:shd w:val="clear" w:color="auto" w:fill="auto"/>
          </w:tcPr>
          <w:p w14:paraId="69625405" w14:textId="789965CC"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55" w:type="pct"/>
            <w:shd w:val="clear" w:color="auto" w:fill="auto"/>
          </w:tcPr>
          <w:p w14:paraId="7C3E37A7" w14:textId="61202FB3"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69" w:type="pct"/>
            <w:shd w:val="clear" w:color="auto" w:fill="auto"/>
          </w:tcPr>
          <w:p w14:paraId="79E9FAD3" w14:textId="3428603A"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4143DCC4" w14:textId="38B3123A"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40B5972B" w14:textId="35E39518" w:rsidR="009A755E" w:rsidRPr="005C29F8" w:rsidRDefault="009A755E" w:rsidP="004369B2">
      <w:pPr>
        <w:rPr>
          <w:color w:val="000000" w:themeColor="text1"/>
        </w:rPr>
      </w:pPr>
      <w:r w:rsidRPr="005C29F8">
        <w:rPr>
          <w:b/>
          <w:color w:val="000000" w:themeColor="text1"/>
        </w:rPr>
        <w:t>Findings of Noncompliance Verified as Corrected</w:t>
      </w:r>
    </w:p>
    <w:p w14:paraId="117514EE" w14:textId="5B6D492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01FFA1B" w14:textId="76DB8279" w:rsidR="00326C0B" w:rsidRPr="005C29F8" w:rsidRDefault="002B7490" w:rsidP="009A755E">
      <w:pPr>
        <w:rPr>
          <w:rFonts w:cs="Arial"/>
          <w:color w:val="000000" w:themeColor="text1"/>
          <w:szCs w:val="16"/>
        </w:rPr>
      </w:pPr>
      <w:r w:rsidRPr="005C29F8">
        <w:rPr>
          <w:rFonts w:cs="Arial"/>
          <w:color w:val="000000" w:themeColor="text1"/>
          <w:szCs w:val="16"/>
        </w:rPr>
        <w:t xml:space="preserve">In the FFY 2018 SPP/APR submission, one LEA continued to be under review for noncompliance from FFY 2017. In a subsequent data review using the same sampling procedures described earlier (completed in July 2020), this LEA demonstrated 100 percent compliance. </w:t>
      </w:r>
    </w:p>
    <w:p w14:paraId="6B03DC75" w14:textId="276B365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27BA6C56" w14:textId="41FA16F5" w:rsidR="00326C0B" w:rsidRDefault="002B7490" w:rsidP="009A755E">
      <w:pPr>
        <w:rPr>
          <w:rFonts w:cs="Arial"/>
          <w:color w:val="000000" w:themeColor="text1"/>
          <w:szCs w:val="16"/>
        </w:rPr>
      </w:pPr>
      <w:r w:rsidRPr="005C29F8">
        <w:rPr>
          <w:rFonts w:cs="Arial"/>
          <w:color w:val="000000" w:themeColor="text1"/>
          <w:szCs w:val="16"/>
        </w:rPr>
        <w:t xml:space="preserve">LEAs were required to submit data showing evidence of completed documentation for identified students. The OSDE-SES reviewed eligibility and IEP documentation through the statewide online IEP system (OK </w:t>
      </w:r>
      <w:proofErr w:type="spellStart"/>
      <w:r w:rsidRPr="005C29F8">
        <w:rPr>
          <w:rFonts w:cs="Arial"/>
          <w:color w:val="000000" w:themeColor="text1"/>
          <w:szCs w:val="16"/>
        </w:rPr>
        <w:t>EdPlan</w:t>
      </w:r>
      <w:proofErr w:type="spellEnd"/>
      <w:r w:rsidRPr="005C29F8">
        <w:rPr>
          <w:rFonts w:cs="Arial"/>
          <w:color w:val="000000" w:themeColor="text1"/>
          <w:szCs w:val="16"/>
        </w:rPr>
        <w:t xml:space="preserv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that both were completed in accordance with the regulatory requirements. OSDE-SES staff reviewed the documentation to determine if the child-specific corrections had been made. In addition, when necessary, the OSDE-SES conducted follow-up phone calls to ensure that education records were available for review through the online IEP system. If records were not available for review, LEAs were required to submit the documentation directly to the OSDE-SES. </w:t>
      </w:r>
      <w:r w:rsidRPr="005C29F8">
        <w:rPr>
          <w:rFonts w:cs="Arial"/>
          <w:color w:val="000000" w:themeColor="text1"/>
          <w:szCs w:val="16"/>
        </w:rPr>
        <w:br/>
      </w:r>
      <w:r w:rsidRPr="005C29F8">
        <w:rPr>
          <w:rFonts w:cs="Arial"/>
          <w:color w:val="000000" w:themeColor="text1"/>
          <w:szCs w:val="16"/>
        </w:rPr>
        <w:br/>
        <w:t>The verification process was completed in December 2019 and January 2020. The LEA identified as non-compliant has since demonstrated that it has corrected all individual cases of noncompliance.</w:t>
      </w:r>
    </w:p>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lastRenderedPageBreak/>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two uncorrected findings of noncompliance identified in FFY 2018 were corrected. When reporting on the correction of noncompliance, the State must report, in the FFY 2020 SPP/APR, that it has verified that each LEA with findings of noncompliance identified in FFY 2019 and each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95.21%</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97.72%</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99.72%</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99.57%</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99.86%</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99.96%</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26,027</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26,205</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99.96%</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99.32%</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lastRenderedPageBreak/>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Data on secondary transition is collected through the State's online IEP system. Secondary transition plans are required to be completed as part of the IEP process in the online system for all students above the age of 16 or prior to entering 9th grade (possibly as young as 14), whichever comes first. Since an LEA cannot complete an IEP within the system without a comprehensive secondary transition plan, the SEA monitors all LEAs that had IDEA-eligible students that did not have one or more compliant IEPs. These LEAs are in non-compliance with Indicator 13.</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B31049E" w14:textId="650E5040" w:rsidTr="0033429D">
        <w:tc>
          <w:tcPr>
            <w:tcW w:w="3940" w:type="pct"/>
          </w:tcPr>
          <w:p w14:paraId="33799AB6" w14:textId="30C1CDE0" w:rsidR="00212954" w:rsidRPr="005C29F8" w:rsidRDefault="00212954">
            <w:pPr>
              <w:rPr>
                <w:rFonts w:cs="Arial"/>
                <w:color w:val="000000" w:themeColor="text1"/>
                <w:szCs w:val="16"/>
              </w:rPr>
            </w:pPr>
            <w:r w:rsidRPr="005C29F8">
              <w:rPr>
                <w:rFonts w:cs="Arial"/>
                <w:color w:val="000000" w:themeColor="text1"/>
                <w:szCs w:val="16"/>
              </w:rPr>
              <w:t>If yes, at what age are youth included in the data for this indicator</w:t>
            </w:r>
          </w:p>
        </w:tc>
        <w:tc>
          <w:tcPr>
            <w:tcW w:w="1060" w:type="pct"/>
          </w:tcPr>
          <w:p w14:paraId="7129A3DA" w14:textId="2111F324" w:rsidR="00212954" w:rsidRPr="005C29F8" w:rsidRDefault="002B7490" w:rsidP="00A018D4">
            <w:pPr>
              <w:jc w:val="center"/>
              <w:rPr>
                <w:rFonts w:cs="Arial"/>
                <w:color w:val="000000" w:themeColor="text1"/>
                <w:szCs w:val="16"/>
              </w:rPr>
            </w:pPr>
            <w:r w:rsidRPr="005C29F8">
              <w:rPr>
                <w:rFonts w:cs="Arial"/>
                <w:color w:val="000000" w:themeColor="text1"/>
                <w:szCs w:val="16"/>
              </w:rPr>
              <w:t>14</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The rate of compliance dropped this FFY due to the covid-19 pandemic. Many districts reported difficulties with engaging families during the remote learning months to conduct IEP meetings.</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8</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7</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In July 2020 the OSDE-SES began conducting Verification of Continuous Compliance (Prong II) procedures for FFY 2018 findings to ensure systemic compliance across each LEA for Indicator 13 data. Continuous compliance reviews are completed by using a random sampling process, by which student records are randomly selected for a compliance check. If all selected records are compliant, the LEA is resolved and removed from the compliance watch-list for the fiscal year. If the LEA does not yet demonstrate 100 percent compliance, additional sanctions are </w:t>
      </w:r>
      <w:proofErr w:type="gramStart"/>
      <w:r w:rsidRPr="005C29F8">
        <w:rPr>
          <w:rFonts w:cs="Arial"/>
          <w:color w:val="000000" w:themeColor="text1"/>
          <w:szCs w:val="16"/>
        </w:rPr>
        <w:t>applied</w:t>
      </w:r>
      <w:proofErr w:type="gramEnd"/>
      <w:r w:rsidRPr="005C29F8">
        <w:rPr>
          <w:rFonts w:cs="Arial"/>
          <w:color w:val="000000" w:themeColor="text1"/>
          <w:szCs w:val="16"/>
        </w:rPr>
        <w:t xml:space="preserve"> and records continue to be monitored. </w:t>
      </w:r>
      <w:r w:rsidRPr="005C29F8">
        <w:rPr>
          <w:rFonts w:cs="Arial"/>
          <w:color w:val="000000" w:themeColor="text1"/>
          <w:szCs w:val="16"/>
        </w:rPr>
        <w:br/>
        <w:t xml:space="preserve"> </w:t>
      </w:r>
      <w:r w:rsidRPr="005C29F8">
        <w:rPr>
          <w:rFonts w:cs="Arial"/>
          <w:color w:val="000000" w:themeColor="text1"/>
          <w:szCs w:val="16"/>
        </w:rPr>
        <w:br/>
        <w:t xml:space="preserve">To check for subsequent noncompliance, an indicator-specific report was pulled from the online IEP system (in the same manner other data reviews are made) for each of the eight LEAs identified with findings of non-compliance in FFY 2018. Each report included a representative, </w:t>
      </w:r>
      <w:proofErr w:type="gramStart"/>
      <w:r w:rsidRPr="005C29F8">
        <w:rPr>
          <w:rFonts w:cs="Arial"/>
          <w:color w:val="000000" w:themeColor="text1"/>
          <w:szCs w:val="16"/>
        </w:rPr>
        <w:t>randomly-selected</w:t>
      </w:r>
      <w:proofErr w:type="gramEnd"/>
      <w:r w:rsidRPr="005C29F8">
        <w:rPr>
          <w:rFonts w:cs="Arial"/>
          <w:color w:val="000000" w:themeColor="text1"/>
          <w:szCs w:val="16"/>
        </w:rPr>
        <w:t xml:space="preserve"> sample of student records, depending on the size of the district. These indicator-specific reports were reviewed by OSDE-SES specialists for systemic non-compliance in July 2020. Seven LEAs were verified as continuously compliant (100 percent compliant</w:t>
      </w:r>
      <w:proofErr w:type="gramStart"/>
      <w:r w:rsidRPr="005C29F8">
        <w:rPr>
          <w:rFonts w:cs="Arial"/>
          <w:color w:val="000000" w:themeColor="text1"/>
          <w:szCs w:val="16"/>
        </w:rPr>
        <w:t>), and</w:t>
      </w:r>
      <w:proofErr w:type="gramEnd"/>
      <w:r w:rsidRPr="005C29F8">
        <w:rPr>
          <w:rFonts w:cs="Arial"/>
          <w:color w:val="000000" w:themeColor="text1"/>
          <w:szCs w:val="16"/>
        </w:rPr>
        <w:t xml:space="preserve"> were removed from the compliance watch-list. One LEA had not yet achieved 100 percent compliance. </w:t>
      </w:r>
      <w:r w:rsidRPr="005C29F8">
        <w:rPr>
          <w:rFonts w:cs="Arial"/>
          <w:color w:val="000000" w:themeColor="text1"/>
          <w:szCs w:val="16"/>
        </w:rPr>
        <w:br/>
      </w:r>
      <w:r w:rsidRPr="005C29F8">
        <w:rPr>
          <w:rFonts w:cs="Arial"/>
          <w:color w:val="000000" w:themeColor="text1"/>
          <w:szCs w:val="16"/>
        </w:rPr>
        <w:br/>
        <w:t xml:space="preserve">The one LEA that had additional findings of noncompliance was required to examine its student records to determine the reason(s) for continued noncompliance. It identified SMART goals to improve problem areas and clarified internal monitoring processes and procedures. During a subsequent State review of records of high school students in this LEA enrolled in the fall of 2020, the State found that the LEA was in 100 percent compliance with Indicator 13. </w:t>
      </w:r>
      <w:r w:rsidRPr="005C29F8">
        <w:rPr>
          <w:rFonts w:cs="Arial"/>
          <w:color w:val="000000" w:themeColor="text1"/>
          <w:szCs w:val="16"/>
        </w:rPr>
        <w:br/>
      </w:r>
      <w:r w:rsidRPr="005C29F8">
        <w:rPr>
          <w:rFonts w:cs="Arial"/>
          <w:color w:val="000000" w:themeColor="text1"/>
          <w:szCs w:val="16"/>
        </w:rPr>
        <w:br/>
        <w:t xml:space="preserve">Note: The random samples of student records selected for the prong II reviews are pulled from the LEA’s population of student records relevant to the indicator. Only records of active high school students with IEPs in one quarter of the recent fiscal year were sampled for indicator 13. OSDE-SES checked all records in LEAs with a total of 11 or fewer records that met this criterion. Otherwise, sample sizes ranged from 11 to 34, depending on the size of the LEA. The sample sizes are statistically representative, within the following assumptions: </w:t>
      </w:r>
      <w:r w:rsidRPr="005C29F8">
        <w:rPr>
          <w:rFonts w:cs="Arial"/>
          <w:color w:val="000000" w:themeColor="text1"/>
          <w:szCs w:val="16"/>
        </w:rPr>
        <w:br/>
      </w:r>
      <w:r w:rsidRPr="005C29F8">
        <w:rPr>
          <w:rFonts w:cs="Arial"/>
          <w:color w:val="000000" w:themeColor="text1"/>
          <w:szCs w:val="16"/>
        </w:rPr>
        <w:br/>
        <w:t>•</w:t>
      </w:r>
      <w:r w:rsidRPr="005C29F8">
        <w:rPr>
          <w:rFonts w:cs="Arial"/>
          <w:color w:val="000000" w:themeColor="text1"/>
          <w:szCs w:val="16"/>
        </w:rPr>
        <w:tab/>
        <w:t xml:space="preserve">Margin of error of 10 percent: this is the chance of missing (not finding) noncompliance in the sample when it exists. </w:t>
      </w:r>
      <w:r w:rsidRPr="005C29F8">
        <w:rPr>
          <w:rFonts w:cs="Arial"/>
          <w:color w:val="000000" w:themeColor="text1"/>
          <w:szCs w:val="16"/>
        </w:rPr>
        <w:br/>
        <w:t>•</w:t>
      </w:r>
      <w:r w:rsidRPr="005C29F8">
        <w:rPr>
          <w:rFonts w:cs="Arial"/>
          <w:color w:val="000000" w:themeColor="text1"/>
          <w:szCs w:val="16"/>
        </w:rPr>
        <w:tab/>
        <w:t xml:space="preserve">Confidence level of 95 percent: this is the level of confidence that results found are true and representative. </w:t>
      </w:r>
      <w:r w:rsidRPr="005C29F8">
        <w:rPr>
          <w:rFonts w:cs="Arial"/>
          <w:color w:val="000000" w:themeColor="text1"/>
          <w:szCs w:val="16"/>
        </w:rPr>
        <w:br/>
        <w:t>•</w:t>
      </w:r>
      <w:r w:rsidRPr="005C29F8">
        <w:rPr>
          <w:rFonts w:cs="Arial"/>
          <w:color w:val="000000" w:themeColor="text1"/>
          <w:szCs w:val="16"/>
        </w:rPr>
        <w:tab/>
        <w:t xml:space="preserve">Expected response distribution of minimum 90 percent compliance. </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The OSDE-SES annually conducts monitoring activities for 100% of the State’s LEAs to determine if all LEAs </w:t>
      </w:r>
      <w:proofErr w:type="gramStart"/>
      <w:r w:rsidRPr="005C29F8">
        <w:rPr>
          <w:rFonts w:cs="Arial"/>
          <w:color w:val="000000" w:themeColor="text1"/>
          <w:szCs w:val="16"/>
        </w:rPr>
        <w:t>are in compliance</w:t>
      </w:r>
      <w:proofErr w:type="gramEnd"/>
      <w:r w:rsidRPr="005C29F8">
        <w:rPr>
          <w:rFonts w:cs="Arial"/>
          <w:color w:val="000000" w:themeColor="text1"/>
          <w:szCs w:val="16"/>
        </w:rPr>
        <w:t xml:space="preserve"> for Indicator 13. Noncompliance is identified through data submitted by LEAs through the annual June end-of-year data collection as well as specific monitoring activities such as desk audits and onsite visits. </w:t>
      </w:r>
      <w:r w:rsidRPr="005C29F8">
        <w:rPr>
          <w:rFonts w:cs="Arial"/>
          <w:color w:val="000000" w:themeColor="text1"/>
          <w:szCs w:val="16"/>
        </w:rPr>
        <w:br/>
      </w:r>
      <w:r w:rsidRPr="005C29F8">
        <w:rPr>
          <w:rFonts w:cs="Arial"/>
          <w:color w:val="000000" w:themeColor="text1"/>
          <w:szCs w:val="16"/>
        </w:rPr>
        <w:br/>
        <w:t xml:space="preserve">After analyzing data collected for Indicator 13 in June 2019, noncompliance was identified in eight LEAs. The eight LEAs identified as non-compliant were issued a letter of findings and required to make child-specific corrections within 30 days of receipt of the letter. All eight LEAs were notified by November 15, 2019. Subsequently, LEAs were required to submit data showing evidence of completed documentation for identified students. The OSDE-SES reviewed IEP documentation through the statewide online IEP system (OK </w:t>
      </w:r>
      <w:proofErr w:type="spellStart"/>
      <w:r w:rsidRPr="005C29F8">
        <w:rPr>
          <w:rFonts w:cs="Arial"/>
          <w:color w:val="000000" w:themeColor="text1"/>
          <w:szCs w:val="16"/>
        </w:rPr>
        <w:t>EdPlan</w:t>
      </w:r>
      <w:proofErr w:type="spellEnd"/>
      <w:r w:rsidRPr="005C29F8">
        <w:rPr>
          <w:rFonts w:cs="Arial"/>
          <w:color w:val="000000" w:themeColor="text1"/>
          <w:szCs w:val="16"/>
        </w:rPr>
        <w:t xml:space="preserv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that they were completed in accordance with the regulatory requirements. OSDE-SES staff reviewed the documentation to determine if the child-specific corrections had been made. In addition, when necessary, the OSDE-SES conducted follow-up phone calls to ensure that education records were available for review through the online IEP system. If records were not available for review, LEAs were required to submit the documentation directly to the OSDE-SES. </w:t>
      </w:r>
      <w:r w:rsidRPr="005C29F8">
        <w:rPr>
          <w:rFonts w:cs="Arial"/>
          <w:color w:val="000000" w:themeColor="text1"/>
          <w:szCs w:val="16"/>
        </w:rPr>
        <w:br/>
      </w:r>
      <w:r w:rsidRPr="005C29F8">
        <w:rPr>
          <w:rFonts w:cs="Arial"/>
          <w:color w:val="000000" w:themeColor="text1"/>
          <w:szCs w:val="16"/>
        </w:rPr>
        <w:br/>
        <w:t>The verification process was completed in December 2019 and January 2020. The eight LEAs identified as being non-compliant have since demonstrated that they have corrected child specific (Prong I) noncompliance.</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2B7490" w:rsidP="00A018D4">
            <w:pPr>
              <w:jc w:val="center"/>
              <w:rPr>
                <w:rFonts w:cs="Arial"/>
                <w:color w:val="000000" w:themeColor="text1"/>
                <w:szCs w:val="16"/>
              </w:rPr>
            </w:pPr>
            <w:r w:rsidRPr="005C29F8">
              <w:rPr>
                <w:rFonts w:cs="Arial"/>
                <w:color w:val="000000" w:themeColor="text1"/>
                <w:szCs w:val="16"/>
              </w:rPr>
              <w:t>FFY 2017</w:t>
            </w:r>
          </w:p>
        </w:tc>
        <w:tc>
          <w:tcPr>
            <w:tcW w:w="1461" w:type="pct"/>
            <w:shd w:val="clear" w:color="auto" w:fill="auto"/>
          </w:tcPr>
          <w:p w14:paraId="16129CDC" w14:textId="4ECB3EAC"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317" w:type="pct"/>
            <w:shd w:val="clear" w:color="auto" w:fill="auto"/>
          </w:tcPr>
          <w:p w14:paraId="631866C2" w14:textId="7A733589" w:rsidR="009A755E" w:rsidRPr="005C29F8" w:rsidRDefault="002B7490">
            <w:pPr>
              <w:jc w:val="center"/>
              <w:rPr>
                <w:rFonts w:cs="Arial"/>
                <w:noProof/>
                <w:color w:val="000000" w:themeColor="text1"/>
                <w:szCs w:val="16"/>
              </w:rPr>
            </w:pPr>
            <w:r w:rsidRPr="005C29F8">
              <w:rPr>
                <w:rFonts w:cs="Arial"/>
                <w:color w:val="000000" w:themeColor="text1"/>
                <w:szCs w:val="16"/>
              </w:rPr>
              <w:t>1</w:t>
            </w:r>
          </w:p>
        </w:tc>
        <w:tc>
          <w:tcPr>
            <w:tcW w:w="1234" w:type="pct"/>
            <w:shd w:val="clear" w:color="auto" w:fill="auto"/>
          </w:tcPr>
          <w:p w14:paraId="3A2AFB37" w14:textId="4D254CD3" w:rsidR="009A755E" w:rsidRPr="005C29F8" w:rsidRDefault="002B7490">
            <w:pPr>
              <w:jc w:val="center"/>
              <w:rPr>
                <w:rFonts w:cs="Arial"/>
                <w:noProof/>
                <w:color w:val="000000" w:themeColor="text1"/>
                <w:szCs w:val="16"/>
              </w:rPr>
            </w:pPr>
            <w:r w:rsidRPr="005C29F8">
              <w:rPr>
                <w:rFonts w:cs="Arial"/>
                <w:color w:val="000000" w:themeColor="text1"/>
                <w:szCs w:val="16"/>
              </w:rPr>
              <w:t>0</w:t>
            </w: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34C4ECD4" w14:textId="2FF7BB06" w:rsidR="009A221D" w:rsidRPr="005C29F8" w:rsidRDefault="009A221D" w:rsidP="004369B2">
      <w:pPr>
        <w:rPr>
          <w:rFonts w:cs="Arial"/>
          <w:b/>
          <w:bCs/>
          <w:color w:val="000000" w:themeColor="text1"/>
          <w:szCs w:val="16"/>
        </w:rPr>
      </w:pPr>
      <w:r w:rsidRPr="005C29F8">
        <w:rPr>
          <w:rFonts w:cs="Arial"/>
          <w:b/>
          <w:bCs/>
          <w:color w:val="000000" w:themeColor="text1"/>
          <w:szCs w:val="16"/>
        </w:rPr>
        <w:t>FFY 2017</w:t>
      </w:r>
    </w:p>
    <w:p w14:paraId="6FEADF4E" w14:textId="1A3F6E48" w:rsidR="009A755E" w:rsidRPr="005C29F8" w:rsidRDefault="009A755E" w:rsidP="004369B2">
      <w:pPr>
        <w:rPr>
          <w:color w:val="000000" w:themeColor="text1"/>
        </w:rPr>
      </w:pPr>
      <w:r w:rsidRPr="005C29F8">
        <w:rPr>
          <w:b/>
          <w:color w:val="000000" w:themeColor="text1"/>
        </w:rPr>
        <w:t>Findings of Noncompliance Verified as Corrected</w:t>
      </w:r>
    </w:p>
    <w:p w14:paraId="2085B45D" w14:textId="324D0347"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1D79F1F" w14:textId="0E767476" w:rsidR="00293C7E" w:rsidRPr="005C29F8" w:rsidRDefault="002B7490" w:rsidP="009A755E">
      <w:pPr>
        <w:rPr>
          <w:rFonts w:cs="Arial"/>
          <w:color w:val="000000" w:themeColor="text1"/>
          <w:szCs w:val="16"/>
        </w:rPr>
      </w:pPr>
      <w:r w:rsidRPr="005C29F8">
        <w:rPr>
          <w:rFonts w:cs="Arial"/>
          <w:color w:val="000000" w:themeColor="text1"/>
          <w:szCs w:val="16"/>
        </w:rPr>
        <w:t xml:space="preserve">In the FFY 2018 SPP/APR submission, one LEA continued to be under review for noncompliance from FFY 2017. In a subsequent data review using the sampling procedures outlined earlier (completed in July 2020), this LEA demonstrated 100 percent compliance. </w:t>
      </w:r>
    </w:p>
    <w:p w14:paraId="609FD34E" w14:textId="4F837FE0"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 xml:space="preserve">individual case </w:t>
      </w:r>
      <w:r w:rsidRPr="005C29F8">
        <w:rPr>
          <w:rFonts w:cs="Arial"/>
          <w:b/>
          <w:color w:val="000000" w:themeColor="text1"/>
          <w:szCs w:val="16"/>
        </w:rPr>
        <w:t>of noncompliance was corrected</w:t>
      </w:r>
    </w:p>
    <w:p w14:paraId="00792EB5" w14:textId="0C273C84" w:rsidR="00293C7E" w:rsidRDefault="002B7490" w:rsidP="009A755E">
      <w:pPr>
        <w:rPr>
          <w:rFonts w:cs="Arial"/>
          <w:color w:val="000000" w:themeColor="text1"/>
          <w:szCs w:val="16"/>
        </w:rPr>
      </w:pPr>
      <w:r w:rsidRPr="005C29F8">
        <w:rPr>
          <w:rFonts w:cs="Arial"/>
          <w:color w:val="000000" w:themeColor="text1"/>
          <w:szCs w:val="16"/>
        </w:rPr>
        <w:t xml:space="preserve">LEAs were required to submit data showing evidence of completed documentation for identified students. The OSDE-SES reviewed IEP documentation through the statewide online IEP system (OK </w:t>
      </w:r>
      <w:proofErr w:type="spellStart"/>
      <w:r w:rsidRPr="005C29F8">
        <w:rPr>
          <w:rFonts w:cs="Arial"/>
          <w:color w:val="000000" w:themeColor="text1"/>
          <w:szCs w:val="16"/>
        </w:rPr>
        <w:t>EdPlan</w:t>
      </w:r>
      <w:proofErr w:type="spellEnd"/>
      <w:r w:rsidRPr="005C29F8">
        <w:rPr>
          <w:rFonts w:cs="Arial"/>
          <w:color w:val="000000" w:themeColor="text1"/>
          <w:szCs w:val="16"/>
        </w:rPr>
        <w:t xml:space="preserv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determine that they were completed in accordance with the regulatory requirements for indicator 13. OSDE-SES staff also reviewed the documentation to determine if the child-specific corrections had been made. When necessary, the OSDE-SES conducted follow-up phone calls to ensure that education records were available for review through the online IEP system. If records were not available for review, LEAs were required to submit the documentation directly to the OSDE-SES. </w:t>
      </w:r>
      <w:r w:rsidRPr="005C29F8">
        <w:rPr>
          <w:rFonts w:cs="Arial"/>
          <w:color w:val="000000" w:themeColor="text1"/>
          <w:szCs w:val="16"/>
        </w:rPr>
        <w:br/>
      </w:r>
      <w:r w:rsidRPr="005C29F8">
        <w:rPr>
          <w:rFonts w:cs="Arial"/>
          <w:color w:val="000000" w:themeColor="text1"/>
          <w:szCs w:val="16"/>
        </w:rPr>
        <w:br/>
        <w:t>The verification process was completed in July 2020. The LEA identified as noncompliant has since demonstrated that it has corrected all individual cases of noncompliance.</w:t>
      </w:r>
    </w:p>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32.00%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32.75%</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31.42%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26.53%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24.27%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22.32%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24.56%</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26.42%</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47.00%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47.25%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47.50%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48.00%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49.00%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46.45%</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65.55%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60.19%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62.74%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60.58%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57.19%</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60.25%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60.50%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73.60%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73.50%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85.59%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82.28%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74.74%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76.60%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73.36%</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32.75%</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49.00%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73.60%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1,100</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245</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319</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87</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121</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lastRenderedPageBreak/>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245</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26.42%</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32.75%</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22.27%</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564</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57.19%</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49.00%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51.27%</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772</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73.36%</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73.60%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70.18%</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 xml:space="preserve">The State suspects that enrollment in higher education has been affected by the pandemic, given the timing of the survey, but students would have enrolled before the pandemic began. The State also believes that enrollment in higher education has been affected in recent years by rising costs in higher </w:t>
            </w:r>
            <w:proofErr w:type="gramStart"/>
            <w:r w:rsidRPr="005C29F8">
              <w:rPr>
                <w:rFonts w:cs="Arial"/>
                <w:color w:val="000000" w:themeColor="text1"/>
                <w:szCs w:val="16"/>
              </w:rPr>
              <w:t>education  and</w:t>
            </w:r>
            <w:proofErr w:type="gramEnd"/>
            <w:r w:rsidRPr="005C29F8">
              <w:rPr>
                <w:rFonts w:cs="Arial"/>
                <w:color w:val="000000" w:themeColor="text1"/>
                <w:szCs w:val="16"/>
              </w:rPr>
              <w:t xml:space="preserve"> difficulty accessing available financial assistance. Oklahoma has a scholarship for students who come from low socioeconomic families, but students with disabilities do not often qualify because they do not meet the course requirements. The State is working to improve access to and use of this scholarship.</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 xml:space="preserve">The State suspects that overall engagement in any employment or educational activity has been affected by the covid-19 pandemic. In our most recent survey, we queried respondents about the effects of the pandemic on employment. About a quarter of respondents said that they had been laid off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pandemic. Respondents who were first ready to seek out employment in spring 2020 may have experienced barriers that prevented them from working.</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2B69D90" w14:textId="5E1DCBBF" w:rsidTr="0033429D">
        <w:tc>
          <w:tcPr>
            <w:tcW w:w="3849" w:type="pct"/>
            <w:shd w:val="clear" w:color="auto" w:fill="auto"/>
          </w:tcPr>
          <w:p w14:paraId="63C2C96F" w14:textId="52AEB004" w:rsidR="00212954" w:rsidRPr="005C29F8" w:rsidRDefault="003805D3" w:rsidP="008E31C4">
            <w:pPr>
              <w:rPr>
                <w:rFonts w:cs="Arial"/>
                <w:color w:val="000000" w:themeColor="text1"/>
                <w:szCs w:val="16"/>
              </w:rPr>
            </w:pPr>
            <w:r w:rsidRPr="005C29F8">
              <w:rPr>
                <w:rFonts w:cs="Arial"/>
                <w:color w:val="000000" w:themeColor="text1"/>
                <w:szCs w:val="16"/>
              </w:rPr>
              <w:t>If yes, attach a copy of the survey</w:t>
            </w:r>
          </w:p>
        </w:tc>
        <w:tc>
          <w:tcPr>
            <w:tcW w:w="1151" w:type="pct"/>
            <w:shd w:val="clear" w:color="auto" w:fill="auto"/>
          </w:tcPr>
          <w:p w14:paraId="381E41E4" w14:textId="6628A613" w:rsidR="00212954" w:rsidRPr="005C29F8" w:rsidRDefault="002B7490" w:rsidP="00A018D4">
            <w:pPr>
              <w:jc w:val="center"/>
              <w:rPr>
                <w:rFonts w:cs="Arial"/>
                <w:color w:val="000000" w:themeColor="text1"/>
                <w:szCs w:val="16"/>
              </w:rPr>
            </w:pPr>
            <w:r w:rsidRPr="005C29F8">
              <w:rPr>
                <w:rFonts w:cs="Arial"/>
                <w:color w:val="000000" w:themeColor="text1"/>
                <w:szCs w:val="16"/>
              </w:rPr>
              <w:t>OK Survey Protocol 2019-20</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pool of respondents is a close representation of all leavers in all categories, with a few exceptions. The response rate is much higher than last year, increasing from 14.99 percent to 19.79 percent. The pool of possible respondents included all school leavers in SY 2018-2019 aged 17 years or older. 5557 individuals were included in the list and all contact information was shared with the contracted polling organization. Of these, 1100 could be contacted and were willing to respond. Though this is higher than last year, OSDE-SES recognizes that this rate may not be sufficient to ensure representation of all special education school leavers for the state or LEAs, reducing the validity and reliability of the data. </w:t>
      </w:r>
      <w:r w:rsidRPr="005C29F8">
        <w:rPr>
          <w:rFonts w:cs="Arial"/>
          <w:color w:val="000000" w:themeColor="text1"/>
          <w:szCs w:val="16"/>
        </w:rPr>
        <w:br/>
      </w:r>
      <w:r w:rsidRPr="005C29F8">
        <w:rPr>
          <w:rFonts w:cs="Arial"/>
          <w:color w:val="000000" w:themeColor="text1"/>
          <w:szCs w:val="16"/>
        </w:rPr>
        <w:lastRenderedPageBreak/>
        <w:br/>
        <w:t xml:space="preserve">Efforts are being made to improve low response rates due to inaccurate contact information and leavers’ unwillingness to respond to the survey request (1,682 of the 5,557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had blocked, business, disconnected, fax/computer tone, unknown, or wrong phone numbers). Districts have begun to assist the state by updating contact information just prior to graduation and by raising awareness of the importance of the survey among personnel. And this year, seven districts opted to conduct the survey with their own students, resulting in much higher response rates (82% overall). OSDE-SES has also selected a new polling organization to conduct the survey, and this organization is able to survey students several months earlier in the year. OSDE-SES personnel and stakeholders such as the Oklahoma Transition Council are working to develop additional strategies to encourage participation.</w:t>
      </w:r>
      <w:r w:rsidRPr="005C29F8">
        <w:rPr>
          <w:rFonts w:cs="Arial"/>
          <w:color w:val="000000" w:themeColor="text1"/>
          <w:szCs w:val="16"/>
        </w:rPr>
        <w:br/>
      </w:r>
      <w:r w:rsidRPr="005C29F8">
        <w:rPr>
          <w:rFonts w:cs="Arial"/>
          <w:color w:val="000000" w:themeColor="text1"/>
          <w:szCs w:val="16"/>
        </w:rPr>
        <w:br/>
        <w:t xml:space="preserve">As shown in the demographic comparison below, the pool of respondents resembles the sampling frame in most categories. Significance tests were conducted to assess whether the differences in proportions between the entire population and the respondents were significant. Two comparisons stand out: Students who dropped out of school were substantially less likely to respond to the survey than graduates. Similarly, White students were much more likely to respond to the survey than </w:t>
      </w:r>
      <w:proofErr w:type="gramStart"/>
      <w:r w:rsidRPr="005C29F8">
        <w:rPr>
          <w:rFonts w:cs="Arial"/>
          <w:color w:val="000000" w:themeColor="text1"/>
          <w:szCs w:val="16"/>
        </w:rPr>
        <w:t>African-American</w:t>
      </w:r>
      <w:proofErr w:type="gramEnd"/>
      <w:r w:rsidRPr="005C29F8">
        <w:rPr>
          <w:rFonts w:cs="Arial"/>
          <w:color w:val="000000" w:themeColor="text1"/>
          <w:szCs w:val="16"/>
        </w:rPr>
        <w:t xml:space="preserve"> students. Students identifying with other racial groups were not significantly less likely to respond. </w:t>
      </w:r>
      <w:r w:rsidRPr="005C29F8">
        <w:rPr>
          <w:rFonts w:cs="Arial"/>
          <w:color w:val="000000" w:themeColor="text1"/>
          <w:szCs w:val="16"/>
        </w:rPr>
        <w:br/>
      </w:r>
      <w:r w:rsidRPr="005C29F8">
        <w:rPr>
          <w:rFonts w:cs="Arial"/>
          <w:color w:val="000000" w:themeColor="text1"/>
          <w:szCs w:val="16"/>
        </w:rPr>
        <w:br/>
        <w:t>Representation by groups:</w:t>
      </w:r>
      <w:r w:rsidRPr="005C29F8">
        <w:rPr>
          <w:rFonts w:cs="Arial"/>
          <w:color w:val="000000" w:themeColor="text1"/>
          <w:szCs w:val="16"/>
        </w:rPr>
        <w:br/>
        <w:t xml:space="preserve">Females: 37.6% of </w:t>
      </w:r>
      <w:proofErr w:type="spellStart"/>
      <w:r w:rsidRPr="005C29F8">
        <w:rPr>
          <w:rFonts w:cs="Arial"/>
          <w:color w:val="000000" w:themeColor="text1"/>
          <w:szCs w:val="16"/>
        </w:rPr>
        <w:t>exiters</w:t>
      </w:r>
      <w:proofErr w:type="spellEnd"/>
      <w:r w:rsidRPr="005C29F8">
        <w:rPr>
          <w:rFonts w:cs="Arial"/>
          <w:color w:val="000000" w:themeColor="text1"/>
          <w:szCs w:val="16"/>
        </w:rPr>
        <w:t>; 37.4% of respondents (no significant difference)</w:t>
      </w:r>
      <w:r w:rsidRPr="005C29F8">
        <w:rPr>
          <w:rFonts w:cs="Arial"/>
          <w:color w:val="000000" w:themeColor="text1"/>
          <w:szCs w:val="16"/>
        </w:rPr>
        <w:br/>
      </w:r>
      <w:r w:rsidRPr="005C29F8">
        <w:rPr>
          <w:rFonts w:cs="Arial"/>
          <w:color w:val="000000" w:themeColor="text1"/>
          <w:szCs w:val="16"/>
        </w:rPr>
        <w:br/>
        <w:t xml:space="preserve">Asians: 0.7% of </w:t>
      </w:r>
      <w:proofErr w:type="spellStart"/>
      <w:r w:rsidRPr="005C29F8">
        <w:rPr>
          <w:rFonts w:cs="Arial"/>
          <w:color w:val="000000" w:themeColor="text1"/>
          <w:szCs w:val="16"/>
        </w:rPr>
        <w:t>exiters</w:t>
      </w:r>
      <w:proofErr w:type="spellEnd"/>
      <w:r w:rsidRPr="005C29F8">
        <w:rPr>
          <w:rFonts w:cs="Arial"/>
          <w:color w:val="000000" w:themeColor="text1"/>
          <w:szCs w:val="16"/>
        </w:rPr>
        <w:t>; 0.81% of respondents (no significant difference)</w:t>
      </w:r>
      <w:r w:rsidRPr="005C29F8">
        <w:rPr>
          <w:rFonts w:cs="Arial"/>
          <w:color w:val="000000" w:themeColor="text1"/>
          <w:szCs w:val="16"/>
        </w:rPr>
        <w:br/>
        <w:t xml:space="preserve">African-Americans: 10.9% of </w:t>
      </w:r>
      <w:proofErr w:type="spellStart"/>
      <w:r w:rsidRPr="005C29F8">
        <w:rPr>
          <w:rFonts w:cs="Arial"/>
          <w:color w:val="000000" w:themeColor="text1"/>
          <w:szCs w:val="16"/>
        </w:rPr>
        <w:t>exiters</w:t>
      </w:r>
      <w:proofErr w:type="spellEnd"/>
      <w:r w:rsidRPr="005C29F8">
        <w:rPr>
          <w:rFonts w:cs="Arial"/>
          <w:color w:val="000000" w:themeColor="text1"/>
          <w:szCs w:val="16"/>
        </w:rPr>
        <w:t>; 8.4% of respondents (significant difference)</w:t>
      </w:r>
      <w:r w:rsidRPr="005C29F8">
        <w:rPr>
          <w:rFonts w:cs="Arial"/>
          <w:color w:val="000000" w:themeColor="text1"/>
          <w:szCs w:val="16"/>
        </w:rPr>
        <w:br/>
        <w:t xml:space="preserve">Hispanic/Latino: 11.7% of </w:t>
      </w:r>
      <w:proofErr w:type="spellStart"/>
      <w:r w:rsidRPr="005C29F8">
        <w:rPr>
          <w:rFonts w:cs="Arial"/>
          <w:color w:val="000000" w:themeColor="text1"/>
          <w:szCs w:val="16"/>
        </w:rPr>
        <w:t>exiters</w:t>
      </w:r>
      <w:proofErr w:type="spellEnd"/>
      <w:r w:rsidRPr="005C29F8">
        <w:rPr>
          <w:rFonts w:cs="Arial"/>
          <w:color w:val="000000" w:themeColor="text1"/>
          <w:szCs w:val="16"/>
        </w:rPr>
        <w:t>; 10.1% of respondents (no significant difference)</w:t>
      </w:r>
      <w:r w:rsidRPr="005C29F8">
        <w:rPr>
          <w:rFonts w:cs="Arial"/>
          <w:color w:val="000000" w:themeColor="text1"/>
          <w:szCs w:val="16"/>
        </w:rPr>
        <w:br/>
        <w:t xml:space="preserve">Native American: 19.4% of </w:t>
      </w:r>
      <w:proofErr w:type="spellStart"/>
      <w:r w:rsidRPr="005C29F8">
        <w:rPr>
          <w:rFonts w:cs="Arial"/>
          <w:color w:val="000000" w:themeColor="text1"/>
          <w:szCs w:val="16"/>
        </w:rPr>
        <w:t>exiters</w:t>
      </w:r>
      <w:proofErr w:type="spellEnd"/>
      <w:r w:rsidRPr="005C29F8">
        <w:rPr>
          <w:rFonts w:cs="Arial"/>
          <w:color w:val="000000" w:themeColor="text1"/>
          <w:szCs w:val="16"/>
        </w:rPr>
        <w:t>; 19.5% of respondents (no significant difference)</w:t>
      </w:r>
      <w:r w:rsidRPr="005C29F8">
        <w:rPr>
          <w:rFonts w:cs="Arial"/>
          <w:color w:val="000000" w:themeColor="text1"/>
          <w:szCs w:val="16"/>
        </w:rPr>
        <w:br/>
        <w:t xml:space="preserve">Pacific Islander/Native Hawaiian: 0.09% of </w:t>
      </w:r>
      <w:proofErr w:type="spellStart"/>
      <w:r w:rsidRPr="005C29F8">
        <w:rPr>
          <w:rFonts w:cs="Arial"/>
          <w:color w:val="000000" w:themeColor="text1"/>
          <w:szCs w:val="16"/>
        </w:rPr>
        <w:t>exiters</w:t>
      </w:r>
      <w:proofErr w:type="spellEnd"/>
      <w:r w:rsidRPr="005C29F8">
        <w:rPr>
          <w:rFonts w:cs="Arial"/>
          <w:color w:val="000000" w:themeColor="text1"/>
          <w:szCs w:val="16"/>
        </w:rPr>
        <w:t>; 0.09% of respondents (no significant difference)</w:t>
      </w:r>
      <w:r w:rsidRPr="005C29F8">
        <w:rPr>
          <w:rFonts w:cs="Arial"/>
          <w:color w:val="000000" w:themeColor="text1"/>
          <w:szCs w:val="16"/>
        </w:rPr>
        <w:br/>
        <w:t xml:space="preserve">Two or more races: 7.7% of </w:t>
      </w:r>
      <w:proofErr w:type="spellStart"/>
      <w:r w:rsidRPr="005C29F8">
        <w:rPr>
          <w:rFonts w:cs="Arial"/>
          <w:color w:val="000000" w:themeColor="text1"/>
          <w:szCs w:val="16"/>
        </w:rPr>
        <w:t>exiters</w:t>
      </w:r>
      <w:proofErr w:type="spellEnd"/>
      <w:r w:rsidRPr="005C29F8">
        <w:rPr>
          <w:rFonts w:cs="Arial"/>
          <w:color w:val="000000" w:themeColor="text1"/>
          <w:szCs w:val="16"/>
        </w:rPr>
        <w:t>; 8.1% of respondents (no significant difference)</w:t>
      </w:r>
      <w:r w:rsidRPr="005C29F8">
        <w:rPr>
          <w:rFonts w:cs="Arial"/>
          <w:color w:val="000000" w:themeColor="text1"/>
          <w:szCs w:val="16"/>
        </w:rPr>
        <w:br/>
        <w:t xml:space="preserve">White: 49.5% of </w:t>
      </w:r>
      <w:proofErr w:type="spellStart"/>
      <w:r w:rsidRPr="005C29F8">
        <w:rPr>
          <w:rFonts w:cs="Arial"/>
          <w:color w:val="000000" w:themeColor="text1"/>
          <w:szCs w:val="16"/>
        </w:rPr>
        <w:t>exiters</w:t>
      </w:r>
      <w:proofErr w:type="spellEnd"/>
      <w:r w:rsidRPr="005C29F8">
        <w:rPr>
          <w:rFonts w:cs="Arial"/>
          <w:color w:val="000000" w:themeColor="text1"/>
          <w:szCs w:val="16"/>
        </w:rPr>
        <w:t>; 53.1% of respondents (significant difference)</w:t>
      </w:r>
      <w:r w:rsidRPr="005C29F8">
        <w:rPr>
          <w:rFonts w:cs="Arial"/>
          <w:color w:val="000000" w:themeColor="text1"/>
          <w:szCs w:val="16"/>
        </w:rPr>
        <w:br/>
      </w:r>
      <w:r w:rsidRPr="005C29F8">
        <w:rPr>
          <w:rFonts w:cs="Arial"/>
          <w:color w:val="000000" w:themeColor="text1"/>
          <w:szCs w:val="16"/>
        </w:rPr>
        <w:br/>
        <w:t xml:space="preserve">Dropouts: 4.2% of </w:t>
      </w:r>
      <w:proofErr w:type="spellStart"/>
      <w:r w:rsidRPr="005C29F8">
        <w:rPr>
          <w:rFonts w:cs="Arial"/>
          <w:color w:val="000000" w:themeColor="text1"/>
          <w:szCs w:val="16"/>
        </w:rPr>
        <w:t>exiters</w:t>
      </w:r>
      <w:proofErr w:type="spellEnd"/>
      <w:r w:rsidRPr="005C29F8">
        <w:rPr>
          <w:rFonts w:cs="Arial"/>
          <w:color w:val="000000" w:themeColor="text1"/>
          <w:szCs w:val="16"/>
        </w:rPr>
        <w:t>; 1.6% of respondents (significant difference)</w:t>
      </w:r>
      <w:r w:rsidRPr="005C29F8">
        <w:rPr>
          <w:rFonts w:cs="Arial"/>
          <w:color w:val="000000" w:themeColor="text1"/>
          <w:szCs w:val="16"/>
        </w:rPr>
        <w:br/>
        <w:t xml:space="preserve">Graduates: 88.3% of </w:t>
      </w:r>
      <w:proofErr w:type="spellStart"/>
      <w:r w:rsidRPr="005C29F8">
        <w:rPr>
          <w:rFonts w:cs="Arial"/>
          <w:color w:val="000000" w:themeColor="text1"/>
          <w:szCs w:val="16"/>
        </w:rPr>
        <w:t>exiters</w:t>
      </w:r>
      <w:proofErr w:type="spellEnd"/>
      <w:r w:rsidRPr="005C29F8">
        <w:rPr>
          <w:rFonts w:cs="Arial"/>
          <w:color w:val="000000" w:themeColor="text1"/>
          <w:szCs w:val="16"/>
        </w:rPr>
        <w:t>; 95.4% of respondents (significant difference)</w:t>
      </w:r>
      <w:r w:rsidRPr="005C29F8">
        <w:rPr>
          <w:rFonts w:cs="Arial"/>
          <w:color w:val="000000" w:themeColor="text1"/>
          <w:szCs w:val="16"/>
        </w:rPr>
        <w:br/>
        <w:t xml:space="preserve">Other: 8.5% of </w:t>
      </w:r>
      <w:proofErr w:type="spellStart"/>
      <w:r w:rsidRPr="005C29F8">
        <w:rPr>
          <w:rFonts w:cs="Arial"/>
          <w:color w:val="000000" w:themeColor="text1"/>
          <w:szCs w:val="16"/>
        </w:rPr>
        <w:t>exiters</w:t>
      </w:r>
      <w:proofErr w:type="spellEnd"/>
      <w:r w:rsidRPr="005C29F8">
        <w:rPr>
          <w:rFonts w:cs="Arial"/>
          <w:color w:val="000000" w:themeColor="text1"/>
          <w:szCs w:val="16"/>
        </w:rPr>
        <w:t>; 3.0% of respondents (significant difference)</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 xml:space="preserve">OSDE-SES has directed its polling organization to conduct surveys equitably, regardless of student demographics. All </w:t>
      </w:r>
      <w:proofErr w:type="spellStart"/>
      <w:r w:rsidRPr="005C29F8">
        <w:rPr>
          <w:rFonts w:cs="Arial"/>
          <w:color w:val="000000" w:themeColor="text1"/>
          <w:szCs w:val="16"/>
        </w:rPr>
        <w:t>exiters</w:t>
      </w:r>
      <w:proofErr w:type="spellEnd"/>
      <w:r w:rsidRPr="005C29F8">
        <w:rPr>
          <w:rFonts w:cs="Arial"/>
          <w:color w:val="000000" w:themeColor="text1"/>
          <w:szCs w:val="16"/>
        </w:rPr>
        <w:t xml:space="preserve"> are contacted in a variety of ways, and weighted sampling is not conducted. The polling organization attempts to contact </w:t>
      </w:r>
      <w:proofErr w:type="gramStart"/>
      <w:r w:rsidRPr="005C29F8">
        <w:rPr>
          <w:rFonts w:cs="Arial"/>
          <w:color w:val="000000" w:themeColor="text1"/>
          <w:szCs w:val="16"/>
        </w:rPr>
        <w:t>students</w:t>
      </w:r>
      <w:proofErr w:type="gramEnd"/>
      <w:r w:rsidRPr="005C29F8">
        <w:rPr>
          <w:rFonts w:cs="Arial"/>
          <w:color w:val="000000" w:themeColor="text1"/>
          <w:szCs w:val="16"/>
        </w:rPr>
        <w:t xml:space="preserve"> multiple times if the contact information is not "unreachable." We expect that if the response rate increases through the efforts described previously, then the respondent pool will continue to become more representative (as it did this year </w:t>
      </w:r>
      <w:proofErr w:type="gramStart"/>
      <w:r w:rsidRPr="005C29F8">
        <w:rPr>
          <w:rFonts w:cs="Arial"/>
          <w:color w:val="000000" w:themeColor="text1"/>
          <w:szCs w:val="16"/>
        </w:rPr>
        <w:t>with regard to</w:t>
      </w:r>
      <w:proofErr w:type="gramEnd"/>
      <w:r w:rsidRPr="005C29F8">
        <w:rPr>
          <w:rFonts w:cs="Arial"/>
          <w:color w:val="000000" w:themeColor="text1"/>
          <w:szCs w:val="16"/>
        </w:rPr>
        <w:t xml:space="preserve"> Hispanic students). Unfortunately, if under-represented students (such as drop-outs) are more likely to have their contact information change after exiting high school, those students will be less likely to respond to the survey, and those groups will continue to be under-represented. </w:t>
      </w:r>
    </w:p>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The State does not believe that the quality or validity of the data collected for indicator 14 were affected by the pandemic.</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This has been completed in the demographic review in the previous section for indicator 14.</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7</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2012</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62.50%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65.00% - 70.00%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65.00% - 70.00%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66.67%</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78.57%</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65.00%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70.00%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7</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65.00%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70.00%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87.50%</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The State does not believe the quality or validity of the data for indicator 15 were affected by the pandemic.</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8</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92.31%</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82.75%</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83.50%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84.25%</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85.00%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95.65%</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75.00%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85.71%</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60.00%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84.62%</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85.00%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lastRenderedPageBreak/>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8</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9</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84.62%</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85.00%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88.89%</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The State does not believe the quality or validity of the data for indicator 16 were affected by the pandemic.</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mediations held in FFY 2019. The State is not required to meet its targets until any fiscal year in which ten or more mediations were held.</w:t>
      </w:r>
    </w:p>
    <w:p w14:paraId="55A8CDDB" w14:textId="4DD748AC" w:rsidR="00913A33" w:rsidRDefault="001C46DC" w:rsidP="00123D76">
      <w:pPr>
        <w:pStyle w:val="Heading2"/>
      </w:pPr>
      <w:r w:rsidRPr="0033429D">
        <w:t>16 - Required Actions</w:t>
      </w:r>
    </w:p>
    <w:p w14:paraId="570BC7F3" w14:textId="7A028A78" w:rsidR="00E440C2" w:rsidRDefault="00E440C2" w:rsidP="00E440C2"/>
    <w:p w14:paraId="643F52F2" w14:textId="77777777" w:rsidR="00474E29" w:rsidRDefault="00474E29">
      <w:pPr>
        <w:spacing w:before="0" w:after="200" w:line="276" w:lineRule="auto"/>
        <w:rPr>
          <w:rFonts w:eastAsiaTheme="majorEastAsia" w:cstheme="majorBidi"/>
          <w:b/>
          <w:bCs/>
          <w:sz w:val="20"/>
          <w:szCs w:val="28"/>
        </w:rPr>
      </w:pPr>
      <w:r>
        <w:br w:type="page"/>
      </w:r>
    </w:p>
    <w:p w14:paraId="4E870B97" w14:textId="37236751" w:rsidR="00E440C2" w:rsidRDefault="007A1F41" w:rsidP="007A1F41">
      <w:pPr>
        <w:pStyle w:val="Heading1"/>
      </w:pPr>
      <w:r w:rsidRPr="00954EC4">
        <w:lastRenderedPageBreak/>
        <w:t>Indicator 17: State Systemic Improvement Plan</w:t>
      </w:r>
    </w:p>
    <w:p w14:paraId="2BD2FF4E" w14:textId="58992322" w:rsidR="007A1F41" w:rsidRDefault="007A1F41" w:rsidP="007A1F41"/>
    <w:p w14:paraId="05E5BA5A" w14:textId="5D5A424B" w:rsidR="007A1F41" w:rsidRPr="007A1F41" w:rsidRDefault="00D3293B" w:rsidP="00954EC4">
      <w:r>
        <w:object w:dxaOrig="1376" w:dyaOrig="893" w14:anchorId="46EFB7F5">
          <v:shape id="_x0000_i1032" type="#_x0000_t75" alt="FFY19_SSIP_B_Template_Report" style="width:69pt;height:44.25pt" o:ole="">
            <v:imagedata r:id="rId12" o:title=""/>
          </v:shape>
          <o:OLEObject Type="Embed" ProgID="Acrobat.Document.DC" ShapeID="_x0000_i1032" DrawAspect="Icon" ObjectID="_1689091702" r:id="rId13"/>
        </w:object>
      </w:r>
    </w:p>
    <w:p w14:paraId="72813E4E" w14:textId="532E1944" w:rsidR="00293C7E" w:rsidRPr="005C29F8" w:rsidRDefault="00293C7E" w:rsidP="001F692C">
      <w:pPr>
        <w:rPr>
          <w:rFonts w:cs="Arial"/>
          <w:color w:val="000000" w:themeColor="text1"/>
          <w:szCs w:val="16"/>
        </w:rPr>
      </w:pPr>
    </w:p>
    <w:p w14:paraId="54E94584" w14:textId="26CAD3FC" w:rsidR="00066BAA" w:rsidRDefault="00066BAA">
      <w:pPr>
        <w:spacing w:before="0" w:after="200" w:line="276" w:lineRule="auto"/>
        <w:rPr>
          <w:rFonts w:eastAsiaTheme="majorEastAsia" w:cstheme="majorBidi"/>
          <w:b/>
          <w:bCs/>
          <w:color w:val="000000" w:themeColor="text1"/>
          <w:sz w:val="20"/>
          <w:szCs w:val="28"/>
        </w:rPr>
      </w:pPr>
    </w:p>
    <w:p w14:paraId="27450BA2" w14:textId="77777777" w:rsidR="00512A0E" w:rsidRDefault="00512A0E">
      <w:pPr>
        <w:spacing w:before="0" w:after="200" w:line="276" w:lineRule="auto"/>
        <w:rPr>
          <w:rStyle w:val="normaltextrun"/>
          <w:rFonts w:eastAsiaTheme="majorEastAsia" w:cs="Arial"/>
          <w:color w:val="000000"/>
          <w:sz w:val="20"/>
          <w:szCs w:val="28"/>
          <w:shd w:val="clear" w:color="auto" w:fill="FFFFFF"/>
        </w:rPr>
      </w:pPr>
      <w:r>
        <w:rPr>
          <w:rStyle w:val="normaltextrun"/>
          <w:rFonts w:cs="Arial"/>
          <w:b/>
          <w:bCs/>
          <w:color w:val="000000"/>
          <w:shd w:val="clear" w:color="auto" w:fill="FFFFFF"/>
        </w:rPr>
        <w:br w:type="page"/>
      </w:r>
    </w:p>
    <w:p w14:paraId="4E333181" w14:textId="3B5AD909" w:rsidR="00512A0E" w:rsidRPr="005C29F8" w:rsidRDefault="00512A0E" w:rsidP="00512A0E">
      <w:pPr>
        <w:pStyle w:val="Heading1"/>
        <w:rPr>
          <w:color w:val="000000" w:themeColor="text1"/>
        </w:rPr>
      </w:pPr>
      <w:r>
        <w:rPr>
          <w:rStyle w:val="normaltextrun"/>
          <w:rFonts w:cs="Arial"/>
          <w:b w:val="0"/>
          <w:bCs w:val="0"/>
          <w:color w:val="000000"/>
          <w:shd w:val="clear" w:color="auto" w:fill="FFFFFF"/>
        </w:rPr>
        <w:lastRenderedPageBreak/>
        <w:t>Overall State APR Attachments</w:t>
      </w:r>
    </w:p>
    <w:p w14:paraId="24B10BEE" w14:textId="53B96F0D" w:rsidR="00474E29" w:rsidRDefault="002109FD">
      <w:pPr>
        <w:spacing w:before="0" w:after="200" w:line="276" w:lineRule="auto"/>
        <w:rPr>
          <w:rFonts w:eastAsiaTheme="majorEastAsia" w:cstheme="majorBidi"/>
          <w:b/>
          <w:bCs/>
          <w:color w:val="000000" w:themeColor="text1"/>
          <w:sz w:val="20"/>
          <w:szCs w:val="28"/>
        </w:rPr>
      </w:pPr>
      <w:r>
        <w:object w:dxaOrig="1508" w:dyaOrig="983" w14:anchorId="2D842488">
          <v:shape id="_x0000_i1033" type="#_x0000_t75" alt="Part B APR-Certification (signed v2) FFY2019" style="width:75.75pt;height:48.75pt" o:ole="">
            <v:imagedata r:id="rId14" o:title=""/>
          </v:shape>
          <o:OLEObject Type="Embed" ProgID="Acrobat.Document.DC" ShapeID="_x0000_i1033" DrawAspect="Icon" ObjectID="_1689091703" r:id="rId15"/>
        </w:object>
      </w:r>
      <w:r w:rsidR="00474E29">
        <w:rPr>
          <w:color w:val="000000" w:themeColor="text1"/>
        </w:rPr>
        <w:br w:type="page"/>
      </w:r>
    </w:p>
    <w:p w14:paraId="47A15380" w14:textId="1FC35C1A" w:rsidR="00251CC0" w:rsidRDefault="00755AF7" w:rsidP="00D01281">
      <w:pPr>
        <w:pStyle w:val="Heading1"/>
        <w:rPr>
          <w:color w:val="000000" w:themeColor="text1"/>
        </w:rPr>
      </w:pPr>
      <w:r w:rsidRPr="005C29F8">
        <w:rPr>
          <w:color w:val="000000" w:themeColor="text1"/>
        </w:rPr>
        <w:lastRenderedPageBreak/>
        <w:t>Certification</w:t>
      </w:r>
    </w:p>
    <w:p w14:paraId="1D264A2D" w14:textId="77777777" w:rsidR="00315004" w:rsidRPr="00954EC4" w:rsidRDefault="00315004" w:rsidP="00954EC4"/>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Ginger L. Elliott-Teague</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Director of Data Analysis</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ginger.elliott-teague@sde.ok.gov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405-521-4871</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34B1B239"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04/29/21 10:46:54 AM</w:t>
      </w:r>
    </w:p>
    <w:p w14:paraId="79D607B7" w14:textId="77777777" w:rsidR="00512A0E" w:rsidRDefault="00512A0E">
      <w:pPr>
        <w:spacing w:before="0" w:after="200" w:line="276" w:lineRule="auto"/>
        <w:rPr>
          <w:rFonts w:eastAsiaTheme="majorEastAsia" w:cstheme="majorBidi"/>
          <w:b/>
          <w:bCs/>
          <w:sz w:val="20"/>
          <w:szCs w:val="28"/>
        </w:rPr>
      </w:pPr>
      <w:r>
        <w:br w:type="page"/>
      </w:r>
    </w:p>
    <w:p w14:paraId="49F54365" w14:textId="1EDC05C5" w:rsidR="000D060C" w:rsidRDefault="001E4199" w:rsidP="001E4199">
      <w:pPr>
        <w:pStyle w:val="Heading1"/>
      </w:pPr>
      <w:r>
        <w:lastRenderedPageBreak/>
        <w:t>ED Attachments</w:t>
      </w:r>
    </w:p>
    <w:p w14:paraId="60DFB8C4" w14:textId="01C016E4" w:rsidR="001E4199" w:rsidRDefault="001E4199" w:rsidP="001E4199"/>
    <w:p w14:paraId="413ADA95" w14:textId="6D673652" w:rsidR="001E4199" w:rsidRPr="001E4199" w:rsidRDefault="0066458A" w:rsidP="00954EC4">
      <w:r>
        <w:object w:dxaOrig="1376" w:dyaOrig="893" w14:anchorId="2E9E84B6">
          <v:shape id="_x0000_i1037" type="#_x0000_t75" alt="ok-resultsmatrix-2021b" style="width:69pt;height:44.25pt" o:ole="">
            <v:imagedata r:id="rId16" o:title=""/>
          </v:shape>
          <o:OLEObject Type="Embed" ProgID="Acrobat.Document.DC" ShapeID="_x0000_i1037" DrawAspect="Icon" ObjectID="_1689091704" r:id="rId17"/>
        </w:object>
      </w:r>
      <w:r w:rsidR="002109FD">
        <w:tab/>
      </w:r>
      <w:r w:rsidR="00B96CA3">
        <w:t xml:space="preserve"> </w:t>
      </w:r>
      <w:r>
        <w:tab/>
      </w:r>
      <w:r w:rsidR="00954EC4">
        <w:object w:dxaOrig="1508" w:dyaOrig="983" w14:anchorId="26BB9BE3">
          <v:shape id="_x0000_i1028" type="#_x0000_t75" alt="OK-B-Dispute-Resolution-2019-20" style="width:75.75pt;height:48.75pt" o:ole="">
            <v:imagedata r:id="rId18" o:title=""/>
          </v:shape>
          <o:OLEObject Type="Embed" ProgID="Acrobat.Document.DC" ShapeID="_x0000_i1028" DrawAspect="Icon" ObjectID="_1689091705" r:id="rId19"/>
        </w:object>
      </w:r>
      <w:r w:rsidR="00B96CA3">
        <w:t xml:space="preserve"> </w:t>
      </w:r>
      <w:r w:rsidR="002109FD">
        <w:tab/>
      </w:r>
      <w:r w:rsidR="00954EC4">
        <w:object w:dxaOrig="1508" w:dyaOrig="983" w14:anchorId="659F0CC9">
          <v:shape id="_x0000_i1029" type="#_x0000_t75" alt="OK-2021DataRubricPartB" style="width:75.75pt;height:48.75pt" o:ole="">
            <v:imagedata r:id="rId20" o:title=""/>
          </v:shape>
          <o:OLEObject Type="Embed" ProgID="Excel.Sheet.12" ShapeID="_x0000_i1029" DrawAspect="Icon" ObjectID="_1689091706" r:id="rId21"/>
        </w:object>
      </w:r>
      <w:r w:rsidR="00126A47">
        <w:t xml:space="preserve"> </w:t>
      </w:r>
    </w:p>
    <w:p w14:paraId="596B3C30" w14:textId="09465E6F" w:rsidR="00755AF7" w:rsidRPr="005C29F8" w:rsidRDefault="00755AF7" w:rsidP="00EE4B59">
      <w:pPr>
        <w:rPr>
          <w:rFonts w:cs="Arial"/>
          <w:color w:val="000000" w:themeColor="text1"/>
          <w:szCs w:val="16"/>
        </w:rPr>
      </w:pPr>
    </w:p>
    <w:sectPr w:rsidR="00755AF7" w:rsidRPr="005C29F8" w:rsidSect="00651E83">
      <w:footerReference w:type="default" r:id="rId2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91F52" w14:textId="77777777" w:rsidR="0097099D" w:rsidRDefault="0097099D" w:rsidP="000802F7">
      <w:pPr>
        <w:spacing w:before="0" w:after="0"/>
      </w:pPr>
      <w:r>
        <w:separator/>
      </w:r>
    </w:p>
  </w:endnote>
  <w:endnote w:type="continuationSeparator" w:id="0">
    <w:p w14:paraId="7AAEA4D4" w14:textId="77777777" w:rsidR="0097099D" w:rsidRDefault="0097099D" w:rsidP="000802F7">
      <w:pPr>
        <w:spacing w:before="0" w:after="0"/>
      </w:pPr>
      <w:r>
        <w:continuationSeparator/>
      </w:r>
    </w:p>
  </w:endnote>
  <w:endnote w:type="continuationNotice" w:id="1">
    <w:p w14:paraId="3DF78906" w14:textId="77777777" w:rsidR="0097099D" w:rsidRDefault="0097099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E11C5" w14:textId="77777777" w:rsidR="0097099D" w:rsidRDefault="0097099D" w:rsidP="000802F7">
      <w:pPr>
        <w:spacing w:before="0" w:after="0"/>
      </w:pPr>
      <w:r>
        <w:separator/>
      </w:r>
    </w:p>
  </w:footnote>
  <w:footnote w:type="continuationSeparator" w:id="0">
    <w:p w14:paraId="72C20EA1" w14:textId="77777777" w:rsidR="0097099D" w:rsidRDefault="0097099D" w:rsidP="000802F7">
      <w:pPr>
        <w:spacing w:before="0" w:after="0"/>
      </w:pPr>
      <w:r>
        <w:continuationSeparator/>
      </w:r>
    </w:p>
  </w:footnote>
  <w:footnote w:type="continuationNotice" w:id="1">
    <w:p w14:paraId="49568A39" w14:textId="77777777" w:rsidR="0097099D" w:rsidRDefault="0097099D">
      <w:pPr>
        <w:spacing w:before="0" w:after="0"/>
      </w:pPr>
    </w:p>
  </w:footnote>
  <w:footnote w:id="2">
    <w:p w14:paraId="47BF1B0F" w14:textId="3D711597" w:rsidR="00553417" w:rsidRPr="00553417" w:rsidRDefault="00553417">
      <w:pPr>
        <w:pStyle w:val="FootnoteText"/>
        <w:rPr>
          <w:sz w:val="16"/>
          <w:szCs w:val="16"/>
        </w:rPr>
      </w:pPr>
      <w:r w:rsidRPr="00553417">
        <w:rPr>
          <w:rStyle w:val="FootnoteReference"/>
          <w:sz w:val="16"/>
          <w:szCs w:val="16"/>
        </w:rPr>
        <w:footnoteRef/>
      </w:r>
      <w:r w:rsidRPr="00553417">
        <w:rPr>
          <w:sz w:val="16"/>
          <w:szCs w:val="16"/>
        </w:rPr>
        <w:t xml:space="preserve"> Data suppressed due to privacy protection</w:t>
      </w:r>
    </w:p>
  </w:footnote>
  <w:footnote w:id="3">
    <w:p w14:paraId="7A9E90FE" w14:textId="72875A88" w:rsidR="00553417" w:rsidRDefault="00553417">
      <w:pPr>
        <w:pStyle w:val="FootnoteText"/>
      </w:pPr>
      <w:r w:rsidRPr="00553417">
        <w:rPr>
          <w:rStyle w:val="FootnoteReference"/>
          <w:sz w:val="16"/>
          <w:szCs w:val="16"/>
        </w:rPr>
        <w:footnoteRef/>
      </w:r>
      <w:r w:rsidRPr="00553417">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7"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60C"/>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A47"/>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199"/>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9FD"/>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A7D75"/>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004"/>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4A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4E29"/>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2A0E"/>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417"/>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58A"/>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B7D3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1F41"/>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345"/>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C4"/>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9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6CA3"/>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AFC"/>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3B"/>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0C2"/>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512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C58414D1-0BD4-4254-B6D2-39D6C3C89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60</Pages>
  <Words>27622</Words>
  <Characters>157448</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10</cp:revision>
  <cp:lastPrinted>2014-08-19T16:56:00Z</cp:lastPrinted>
  <dcterms:created xsi:type="dcterms:W3CDTF">2021-07-23T20:47:00Z</dcterms:created>
  <dcterms:modified xsi:type="dcterms:W3CDTF">2021-07-29T23:09:00Z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cdad0983-bd7f-4aff-9929-8965a8a2f2ec</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