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431A908E"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New Mexico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Federal Fiscal Year (FFY) 2021, the State of New Mexico has made great gains, as the State continues to move forward from the COVID-19 pandemic. Of the 17 indicators that are in this State Performance Plan (SPP)/Annual Performance Report (APR), 5 have sub-indicators making it a total of 51 indicators when sub-indicators are included. In FFY 2021, the State rates for 33 indicators/sub-indicators improved from the rates in FYY2020. The state rates for 11 indicators/sub-indicators did decrease over the FFY2020 rates. While the rates for 3 compliance indicators, 4B Suspension and Expulsion, 9 Disproportionate Representation and 10 Disproportionate Representation by Disability Category remained the same and the state fully complied with requirements for these indicators.</w:t>
      </w:r>
      <w:r w:rsidRPr="00781112">
        <w:rPr>
          <w:rFonts w:cs="Arial"/>
          <w:color w:val="000000" w:themeColor="text1"/>
          <w:szCs w:val="16"/>
        </w:rPr>
        <w:br/>
      </w:r>
      <w:r w:rsidRPr="00781112">
        <w:rPr>
          <w:rFonts w:cs="Arial"/>
          <w:color w:val="000000" w:themeColor="text1"/>
          <w:szCs w:val="16"/>
        </w:rPr>
        <w:br/>
        <w:t>A few of the highlights in this SPP/APR are below:</w:t>
      </w:r>
      <w:r w:rsidRPr="00781112">
        <w:rPr>
          <w:rFonts w:cs="Arial"/>
          <w:color w:val="000000" w:themeColor="text1"/>
          <w:szCs w:val="16"/>
        </w:rPr>
        <w:br/>
        <w:t>- Indicator 1 Graduation: The State's graduation rate for youth with IEPs increased from 86.46% in FFY2020 to 90.98% in FFY2021. The target of 73.83% was surpassed.</w:t>
      </w:r>
      <w:r w:rsidRPr="00781112">
        <w:rPr>
          <w:rFonts w:cs="Arial"/>
          <w:color w:val="000000" w:themeColor="text1"/>
          <w:szCs w:val="16"/>
        </w:rPr>
        <w:br/>
        <w:t>- Indicator 2 Drop Out: The State's dropout rate for youth with IEPs decreased from 10.57% in FFY2020 to 7.21% in FFY2021. The target of 22.75% was surpassed.</w:t>
      </w:r>
      <w:r w:rsidRPr="00781112">
        <w:rPr>
          <w:rFonts w:cs="Arial"/>
          <w:color w:val="000000" w:themeColor="text1"/>
          <w:szCs w:val="16"/>
        </w:rPr>
        <w:br/>
        <w:t>- Indicator 3D Gap in Proficiency Rates: In reading and math, the gap in proficiency rates between all students and those with IEPs as performed on the statewide assessment, decreased as follows:</w:t>
      </w:r>
      <w:r w:rsidRPr="00781112">
        <w:rPr>
          <w:rFonts w:cs="Arial"/>
          <w:color w:val="000000" w:themeColor="text1"/>
          <w:szCs w:val="16"/>
        </w:rPr>
        <w:br/>
        <w:t xml:space="preserve"> 1. Reading, Grade 4 gap in proficiency rates decreased from 39.82 in FFY 2020 to 27.02. </w:t>
      </w:r>
      <w:r w:rsidRPr="00781112">
        <w:rPr>
          <w:rFonts w:cs="Arial"/>
          <w:color w:val="000000" w:themeColor="text1"/>
          <w:szCs w:val="16"/>
        </w:rPr>
        <w:br/>
        <w:t xml:space="preserve"> 2. Reading, Grade 8 gap in proficiency rates decreased from 31.27 in FFY 2020 to 26.27.</w:t>
      </w:r>
      <w:r w:rsidRPr="00781112">
        <w:rPr>
          <w:rFonts w:cs="Arial"/>
          <w:color w:val="000000" w:themeColor="text1"/>
          <w:szCs w:val="16"/>
        </w:rPr>
        <w:br/>
        <w:t xml:space="preserve"> 3. Reading, High School in New Mexico this is grade 11, gap in proficiency rates decreased from 39.45 in FFY 2020 to 26.79.</w:t>
      </w:r>
      <w:r w:rsidRPr="00781112">
        <w:rPr>
          <w:rFonts w:cs="Arial"/>
          <w:color w:val="000000" w:themeColor="text1"/>
          <w:szCs w:val="16"/>
        </w:rPr>
        <w:br/>
        <w:t xml:space="preserve"> 4. Math, High School/grade 11, gap in proficiency rates decreased from 28.86 in FFY 2020 to 13.81.</w:t>
      </w:r>
      <w:r w:rsidRPr="00781112">
        <w:rPr>
          <w:rFonts w:cs="Arial"/>
          <w:color w:val="000000" w:themeColor="text1"/>
          <w:szCs w:val="16"/>
        </w:rPr>
        <w:br/>
        <w:t>- Indicator 4A Suspension/Expulsion Rates greater than 10 days: Rate improved from .71% in 2020 to 0%.</w:t>
      </w:r>
      <w:r w:rsidRPr="00781112">
        <w:rPr>
          <w:rFonts w:cs="Arial"/>
          <w:color w:val="000000" w:themeColor="text1"/>
          <w:szCs w:val="16"/>
        </w:rPr>
        <w:br/>
        <w:t>- Indicator 7 Preschool Outcomes, three areas which include the following, A-B below, all improved from FFY2020 rates and met the established targets.</w:t>
      </w:r>
      <w:r w:rsidRPr="00781112">
        <w:rPr>
          <w:rFonts w:cs="Arial"/>
          <w:color w:val="000000" w:themeColor="text1"/>
          <w:szCs w:val="16"/>
        </w:rPr>
        <w:br/>
        <w:t xml:space="preserve"> A. Positive social-emotional skills </w:t>
      </w:r>
      <w:r w:rsidRPr="00781112">
        <w:rPr>
          <w:rFonts w:cs="Arial"/>
          <w:color w:val="000000" w:themeColor="text1"/>
          <w:szCs w:val="16"/>
        </w:rPr>
        <w:br/>
        <w:t xml:space="preserve"> B. Acquisition and use of knowledge and skills</w:t>
      </w:r>
      <w:r w:rsidRPr="00781112">
        <w:rPr>
          <w:rFonts w:cs="Arial"/>
          <w:color w:val="000000" w:themeColor="text1"/>
          <w:szCs w:val="16"/>
        </w:rPr>
        <w:br/>
        <w:t xml:space="preserve"> C. Use of appropriate behaviors to meet needs </w:t>
      </w:r>
      <w:r w:rsidRPr="00781112">
        <w:rPr>
          <w:rFonts w:cs="Arial"/>
          <w:color w:val="000000" w:themeColor="text1"/>
          <w:szCs w:val="16"/>
        </w:rPr>
        <w:br/>
      </w:r>
      <w:r w:rsidRPr="00781112">
        <w:rPr>
          <w:rFonts w:cs="Arial"/>
          <w:color w:val="000000" w:themeColor="text1"/>
          <w:szCs w:val="16"/>
        </w:rPr>
        <w:br/>
        <w:t>That State will continue to strive for excellence and importantly, improve student outcomes.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Number of Local Education Agencies (LEAs):</w:t>
      </w:r>
      <w:r w:rsidRPr="00781112">
        <w:rPr>
          <w:color w:val="000000" w:themeColor="text1"/>
        </w:rPr>
        <w:br/>
        <w:t xml:space="preserve">LEA groups in the state are comprised of school districts, state charter schools and State Supported Schools (SSSs). The number of LEAs fluctuate each year due to the number of state charter schools which open, close, or convert to local charter schools in a particular year. In Federal Fiscal Year (FFY) 2021, the number of LEAs increased by one as an additional state charter school opened. The number of school districts and SSSs remained the same. In total, the State had 148 LEAs of which 89 were school districts, 53 were state charter schools and 6 were SSSs. </w:t>
      </w:r>
      <w:r w:rsidRPr="00781112">
        <w:rPr>
          <w:color w:val="000000" w:themeColor="text1"/>
        </w:rPr>
        <w:br/>
      </w:r>
      <w:r w:rsidRPr="00781112">
        <w:rPr>
          <w:color w:val="000000" w:themeColor="text1"/>
        </w:rPr>
        <w:br/>
        <w:t>Date Reporting:</w:t>
      </w:r>
      <w:r w:rsidRPr="00781112">
        <w:rPr>
          <w:color w:val="000000" w:themeColor="text1"/>
        </w:rPr>
        <w:br/>
        <w:t xml:space="preserve">State statute identifies the dates LEAs must report data to the State via the Student Teacher Accountability and Reporting System (STARS), which is the State’s database. LEAs are required to report data four times each school year, which are identified as the 40-day, 80-day, 120-day and End of Year (EOY) reporting periods. 40-day reporting occurs the second Wednesday in October, 80-day reporting occurs the first Wednesday in December, 120 day occurs the second Wednesday in February and EOY occurs the last day of each LEA’s school year. </w:t>
      </w:r>
      <w:r w:rsidRPr="00781112">
        <w:rPr>
          <w:color w:val="000000" w:themeColor="text1"/>
        </w:rPr>
        <w:br/>
      </w:r>
      <w:r w:rsidRPr="00781112">
        <w:rPr>
          <w:color w:val="000000" w:themeColor="text1"/>
        </w:rPr>
        <w:br/>
        <w:t>Once LEAs submit data into the STARS database, State staff complete a review of the data to ensure there are no errors and the data is valid. The timeliness of the data is also monitored to ensure State established submission timelines are met. These reviews are completed for each of the State’s four reporting periods. A general supervision/monitoring review of the data is also completed to ensure that LEAs are complying with the requirements of the Individuals with Disabilities Education Act (IDEA), Part B as well as state requirements.</w:t>
      </w:r>
      <w:r w:rsidRPr="00781112">
        <w:rPr>
          <w:color w:val="000000" w:themeColor="text1"/>
        </w:rPr>
        <w:br/>
      </w:r>
      <w:r w:rsidRPr="00781112">
        <w:rPr>
          <w:color w:val="000000" w:themeColor="text1"/>
        </w:rPr>
        <w:br/>
        <w:t>While most data reported to OSEP and the U.S. Department of Education originates from STARS, some of the data is compiled outside of the STARS database, the mandated reporting periods, and outside of the Special Education Division (SED). Various departments within the State Education Agency (SEA) compile and report data on students with disabilities. Graduation and assessment data is compiled and reported by the Accountability Division. Dropout data is compiled and reported by the Information Technology (IT) department. The EdFacts Coordinator for our State is a member of the IT team. Resolution Session and Mediation data is compiled by the Office of General Counsel. The SEA also utilizes contractors for Indicators, 4, 9, 8, 10 and 14. The contractors administer the indicator 8 and 14 surveys used for data collection, they compile the data, and then provide a report to the SED.</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148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In the State of New Mexico, the New Mexico Public Education Department (NMPED) is the State Education Agency (SEA) and is responsible for implementing the requirements of the Individuals with Disabilities Education Act (IDEA), Part B. This responsibility is carried out mainly by the Special Education Division (SED), within the NMPED. The SED also collaborates with other divisions and departments in serving students with disabilities. These collaborations ensure that all  requirements are implemented, including the oversight of Local Education Agencies (LEAs) and improved outcomes for students with disabilities are supported.</w:t>
      </w:r>
      <w:r w:rsidRPr="00781112">
        <w:rPr>
          <w:rFonts w:cs="Arial"/>
          <w:color w:val="000000" w:themeColor="text1"/>
          <w:szCs w:val="16"/>
        </w:rPr>
        <w:br/>
      </w:r>
      <w:r w:rsidRPr="00781112">
        <w:rPr>
          <w:rFonts w:cs="Arial"/>
          <w:color w:val="000000" w:themeColor="text1"/>
          <w:szCs w:val="16"/>
        </w:rPr>
        <w:br/>
        <w:t xml:space="preserve">The State has systems established to ensure that the IDEA Part B requirements are met. The main monitoring system is data reviews of LEA data. Reviews are completed four times each school year for all the compliance indicators and many of the results indicators. The STARS system, the State’s </w:t>
      </w:r>
      <w:r w:rsidRPr="00781112">
        <w:rPr>
          <w:rFonts w:cs="Arial"/>
          <w:color w:val="000000" w:themeColor="text1"/>
          <w:szCs w:val="16"/>
        </w:rPr>
        <w:lastRenderedPageBreak/>
        <w:t>database, has business rules built in to identify violations or potential violations of the requirements of IDEA Part B and the state’s requirements by causing errors or warnings in reports to occur for each indicator. When an error is identified during the data monitoring reviews, LEAs must immediately address the issue(s), either by correcting the data in STARS or providing an explanation for the error. Some are data entry issues, and the LEA corrects the issue within the timeframe allotted, while others are issues of non-compliance. Once non-compliance is identified, the LEA must demonstrate correction of the individual case of non-compliance, as well as compliance with the regulatory requirements, as soon as possible and at the maximum, within one year.</w:t>
      </w:r>
      <w:r w:rsidRPr="00781112">
        <w:rPr>
          <w:rFonts w:cs="Arial"/>
          <w:color w:val="000000" w:themeColor="text1"/>
          <w:szCs w:val="16"/>
        </w:rPr>
        <w:br/>
      </w:r>
      <w:r w:rsidRPr="00781112">
        <w:rPr>
          <w:rFonts w:cs="Arial"/>
          <w:color w:val="000000" w:themeColor="text1"/>
          <w:szCs w:val="16"/>
        </w:rPr>
        <w:br/>
        <w:t xml:space="preserve">Non-compliance is also identified through the dispute resolution processes, desk-top monitoring, reviews of Individualized Education Programs (IEPs) and reviews conducted by other divisions or bureaus within the NMPED. Once non-compliance is identified, regardless of the source, LEAs enter into a cycle of correcting the individual case of non-compliance and the regulatory requirements. The correction cycle consists of the following: LEAs are asked to complete a Root Cause Analysis (RCA) or Self-Assessment (SA) depending on the indicator the LEA is non-compliant with. Once the LEA submits the completed RCA or SA, SED staff review the information in the RCA to get a complete picture of the issues which may be causing the non-compliance. SED staff then develop a corrective action plan (CAP) which identifies the steps the LEA must take to correct the issues causing non-compliance with the regulatory requirements. In addition, a review of LEAs updated data is completed to verify that the individual case of non-compliance are corrected and subsequent data is reviewed to confirm that the regulatory requirements are being properly implemented. </w:t>
      </w:r>
      <w:r w:rsidRPr="00781112">
        <w:rPr>
          <w:rFonts w:cs="Arial"/>
          <w:color w:val="000000" w:themeColor="text1"/>
          <w:szCs w:val="16"/>
        </w:rPr>
        <w:br/>
      </w:r>
      <w:r w:rsidRPr="00781112">
        <w:rPr>
          <w:rFonts w:cs="Arial"/>
          <w:color w:val="000000" w:themeColor="text1"/>
          <w:szCs w:val="16"/>
        </w:rPr>
        <w:br/>
        <w:t>The CAP also identifies technical assistance and professional development the LEA may need and sets timelines for the LEA to ensure the needed support is received. This is important to ensure that LEAs have a full understanding of the requirements and are appropriately implementing the requirements. These items must also be completed for the LEA to demonstrate they are meeting the regulatory requirements. Additional information specific to each indicator can be found in each section of this SPP/APR.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State’s Targeted Technical Assistance System (TTAS) is designed to ensure timely delivery of high quality, evidenced based technical assistance and support to LEAs. The goals of the State’s TTAS are to improve LEA special education programs, systems and operations while sustaining compliance and cultivating performance. The TTAS is also designed to inform the need for other technical assistance and new initiatives to respond to LEA needs.</w:t>
      </w:r>
      <w:r w:rsidRPr="00781112">
        <w:rPr>
          <w:rFonts w:cs="Arial"/>
          <w:color w:val="000000" w:themeColor="text1"/>
          <w:szCs w:val="16"/>
        </w:rPr>
        <w:br/>
      </w:r>
      <w:r w:rsidRPr="00781112">
        <w:rPr>
          <w:rFonts w:cs="Arial"/>
          <w:color w:val="000000" w:themeColor="text1"/>
          <w:szCs w:val="16"/>
        </w:rPr>
        <w:br/>
        <w:t>The data gathered through the various systems (monitoring, self-assessment, Student Teacher Accountability Reporting System (STARS), due process hearings, state complaints, etc.) are used to identify the need for specific statewide technical assistance. Data are examined by State SED staff to gain a full understanding of statewide trends and to determine the type of technical assistance needed. Statewide technical assistance is provided regionally with the support of Regional Education Cooperatives (RECs), which provide evidence-based targeted technical assistance to LEAs within each REC region.</w:t>
      </w:r>
      <w:r w:rsidRPr="00781112">
        <w:rPr>
          <w:rFonts w:cs="Arial"/>
          <w:color w:val="000000" w:themeColor="text1"/>
          <w:szCs w:val="16"/>
        </w:rPr>
        <w:br/>
      </w:r>
      <w:r w:rsidRPr="00781112">
        <w:rPr>
          <w:rFonts w:cs="Arial"/>
          <w:color w:val="000000" w:themeColor="text1"/>
          <w:szCs w:val="16"/>
        </w:rPr>
        <w:br/>
        <w:t>Individual LEA data is also examined by State SED staff to determine LEA specific issues which require targeted technical assistance. The LEA’s annual determination along with any issues with significant disproportionality, are key factors in determining an LEA’s need for targeted technical assistance. Once an LEA's need is determined, State staff identify evidence-based technical assistance to provide to the LEA and include this information within a CAP if the LEA has one, or otherwise a technical assistance plan is developed. The State has many state and national organizations that provide technical assistance on evidence-based practices to draw support from. State SED staff work with the LEA to coordinate these efforts and monitor the supports provided to ensure the technical assistance needed by LEAs is received.</w:t>
      </w:r>
      <w:r w:rsidRPr="00781112">
        <w:rPr>
          <w:rFonts w:cs="Arial"/>
          <w:color w:val="000000" w:themeColor="text1"/>
          <w:szCs w:val="16"/>
        </w:rPr>
        <w:br/>
      </w:r>
      <w:r w:rsidRPr="00781112">
        <w:rPr>
          <w:rFonts w:cs="Arial"/>
          <w:color w:val="000000" w:themeColor="text1"/>
          <w:szCs w:val="16"/>
        </w:rPr>
        <w:br/>
        <w:t>As another resource of technical assistance for LEAs, the State develops numerous manuals and guidance documents to assist LEAs in implementing the requirements of IDEA Part B. These manuals are available on the SED website.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State’s professional development system provides opportunities for LEA staff, serving students with disabilities, to gain skills to effectively provide services that improve results for students with disabilities. Professional development is provided year-round for special education directors, special education teachers, general education teachers and related service providers. The topics of the professional development provided are targeted to areas of need identified to ensure needed skills are developed. In addition, various divisions within the State collaborate to provide professional development opportunities for LEA staff, which is especially important as students with disabilities are integrated into all areas. The trainings are usually held as webinars, are recorded and made available on the website for LEA staff to refer to as needed or view if they did not have the opportunity to participate during the live session.</w:t>
      </w:r>
      <w:r w:rsidRPr="00781112">
        <w:rPr>
          <w:rFonts w:cs="Arial"/>
          <w:color w:val="000000" w:themeColor="text1"/>
          <w:szCs w:val="16"/>
        </w:rPr>
        <w:br/>
      </w:r>
      <w:r w:rsidRPr="00781112">
        <w:rPr>
          <w:rFonts w:cs="Arial"/>
          <w:color w:val="000000" w:themeColor="text1"/>
          <w:szCs w:val="16"/>
        </w:rPr>
        <w:br/>
        <w:t>Two Special Education Director Conferences are held each year. This is usually done in person; however, due to the COVID-19 pandemic these were held online via Zoom. A year-long webinar series is held on various special education topics. If staff are unable to attend a particular webinar or if any would like to refer to the information, the presentations are recorded and available to be accessed at a later date and time. Each year, a STARS training on special education data is provided at the annual STARS conference.</w:t>
      </w:r>
      <w:r w:rsidRPr="00781112">
        <w:rPr>
          <w:rFonts w:cs="Arial"/>
          <w:color w:val="000000" w:themeColor="text1"/>
          <w:szCs w:val="16"/>
        </w:rPr>
        <w:br/>
      </w:r>
      <w:r w:rsidRPr="00781112">
        <w:rPr>
          <w:rFonts w:cs="Arial"/>
          <w:color w:val="000000" w:themeColor="text1"/>
          <w:szCs w:val="16"/>
        </w:rPr>
        <w:br/>
        <w:t>LEAs also have the opportunity to request training from the SED. This can be provided as an individual training specifically to the LEA or can be offered to all LEAs depending on the need and preference of the requesting LEA.</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Mechanism for Broad Stakeholder Input:</w:t>
      </w:r>
      <w:r w:rsidRPr="00781112">
        <w:rPr>
          <w:rFonts w:cs="Arial"/>
          <w:color w:val="000000" w:themeColor="text1"/>
          <w:szCs w:val="16"/>
        </w:rPr>
        <w:br/>
        <w:t>During FFY2021, the State held stakeholder meetings as the mechanism for soliciting broad stakeholder input on the State’s targets in the SPP/APR and any subsequent revisions. The meetings were grouped by indicators which have an impact on one another. Stakeholder groups reviewed the FFY2020 data, and the baselines and targets established for FFY 2020-2025. The groups analyzed the data to determine if established baselines and targets established in the prior year, were still an accurate depiction of the state’s performance trajectory, with the exception on Indicator 3B. The baselines and targets were re-established due to changes in assessments and the unavailability of data necessary to previously establish baselines and targets for this indicator. The meeting information for these targeted groups was available on the Special Education Division (SED) website. Flyers were created and LEAs were asked to disseminate the information to their staff, parents, and students. Other groups were sent individual invitations to each of the meetings, such as parent advocacy groups and tribes.</w:t>
      </w:r>
      <w:r w:rsidRPr="00781112">
        <w:rPr>
          <w:rFonts w:cs="Arial"/>
          <w:color w:val="000000" w:themeColor="text1"/>
          <w:szCs w:val="16"/>
        </w:rPr>
        <w:br/>
      </w:r>
      <w:r w:rsidRPr="00781112">
        <w:rPr>
          <w:rFonts w:cs="Arial"/>
          <w:color w:val="000000" w:themeColor="text1"/>
          <w:szCs w:val="16"/>
        </w:rPr>
        <w:br/>
        <w:t xml:space="preserve">The stakeholder groups consisted of parents, parent advocacy groups, LEA staff and professionals with experience in the focus area. In total, there were </w:t>
      </w:r>
      <w:r w:rsidRPr="00781112">
        <w:rPr>
          <w:rFonts w:cs="Arial"/>
          <w:color w:val="000000" w:themeColor="text1"/>
          <w:szCs w:val="16"/>
        </w:rPr>
        <w:lastRenderedPageBreak/>
        <w:t xml:space="preserve">5 targeted stakeholder groups as follows: </w:t>
      </w:r>
      <w:r w:rsidRPr="00781112">
        <w:rPr>
          <w:rFonts w:cs="Arial"/>
          <w:color w:val="000000" w:themeColor="text1"/>
          <w:szCs w:val="16"/>
        </w:rPr>
        <w:br/>
        <w:t xml:space="preserve">- Group one worked on graduation, drop-out and post-school outcomes data (Indicators 1, 2 and 14). </w:t>
      </w:r>
      <w:r w:rsidRPr="00781112">
        <w:rPr>
          <w:rFonts w:cs="Arial"/>
          <w:color w:val="000000" w:themeColor="text1"/>
          <w:szCs w:val="16"/>
        </w:rPr>
        <w:br/>
        <w:t xml:space="preserve">- Group two worked on statewide assessments and learning environments data (Indicators 3 and 5). </w:t>
      </w:r>
      <w:r w:rsidRPr="00781112">
        <w:rPr>
          <w:rFonts w:cs="Arial"/>
          <w:color w:val="000000" w:themeColor="text1"/>
          <w:szCs w:val="16"/>
        </w:rPr>
        <w:br/>
        <w:t xml:space="preserve">- Group three worked on preschool learning environments and outcomes data (Indicators 6 and 7). </w:t>
      </w:r>
      <w:r w:rsidRPr="00781112">
        <w:rPr>
          <w:rFonts w:cs="Arial"/>
          <w:color w:val="000000" w:themeColor="text1"/>
          <w:szCs w:val="16"/>
        </w:rPr>
        <w:br/>
        <w:t xml:space="preserve">- Group four worked on suspension and expulsions (Indicators 4a) and parent involvement data (Indicator 8). </w:t>
      </w:r>
      <w:r w:rsidRPr="00781112">
        <w:rPr>
          <w:rFonts w:cs="Arial"/>
          <w:color w:val="000000" w:themeColor="text1"/>
          <w:szCs w:val="16"/>
        </w:rPr>
        <w:br/>
        <w:t xml:space="preserve">- Group five worked mediations and resolution sessions (Indicators 15 and 16). </w:t>
      </w:r>
      <w:r w:rsidRPr="00781112">
        <w:rPr>
          <w:rFonts w:cs="Arial"/>
          <w:color w:val="000000" w:themeColor="text1"/>
          <w:szCs w:val="16"/>
        </w:rPr>
        <w:br/>
      </w:r>
      <w:r w:rsidRPr="00781112">
        <w:rPr>
          <w:rFonts w:cs="Arial"/>
          <w:color w:val="000000" w:themeColor="text1"/>
          <w:szCs w:val="16"/>
        </w:rPr>
        <w:br/>
        <w:t xml:space="preserve">In addition to the stakeholder meetings indicated above, separate meetings were held for the IDEA State Advisory Panel and tribes. These two groups separately reviewed data, targets and baselines and provided input for all indicators. </w:t>
      </w:r>
      <w:r w:rsidRPr="00781112">
        <w:rPr>
          <w:rFonts w:cs="Arial"/>
          <w:color w:val="000000" w:themeColor="text1"/>
          <w:szCs w:val="16"/>
        </w:rPr>
        <w:br/>
      </w:r>
      <w:r w:rsidRPr="00781112">
        <w:rPr>
          <w:rFonts w:cs="Arial"/>
          <w:color w:val="000000" w:themeColor="text1"/>
          <w:szCs w:val="16"/>
        </w:rPr>
        <w:br/>
        <w:t>Feedback Summary:</w:t>
      </w:r>
      <w:r w:rsidRPr="00781112">
        <w:rPr>
          <w:rFonts w:cs="Arial"/>
          <w:color w:val="000000" w:themeColor="text1"/>
          <w:szCs w:val="16"/>
        </w:rPr>
        <w:br/>
        <w:t>Stakeholders were engaged in setting targets, analyzing data, developing improvement strategies, and evaluating progress during each Stakeholder Engagement meeting.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ECLIPSE is a New Mexico Public Education Department, Special Education Division (SED) Program that addresses the State Performance Plan (SPP) Indicator 17, Results Driven Accountability (RDA) program administered by the SED. The purpose of Indicator 17 is to improve academic results for children with disabilities in grades Kindergarten through third grade. The Indicator 17 program is characterized in its name Excellence from Coaching in Literacy for Intensive Preparation in Special Education (ECLIPSE). The ECLIPSE program engaged stakeholders in key improvement efforts with the following strategies:</w:t>
      </w:r>
      <w:r w:rsidRPr="00781112">
        <w:rPr>
          <w:rFonts w:cs="Arial"/>
          <w:color w:val="000000" w:themeColor="text1"/>
          <w:szCs w:val="16"/>
        </w:rPr>
        <w:br/>
        <w:t>1. ECLIPSE program coordinators presented data and program updates to the state IDEA Panel (members include: parents, advocates, state staff, and educators) during the 2021-2022 school year. IDEA Panel members participated and were engaged in the ECLIPSE program presentations. An ECLIPSE IDEA Panel committee met as a small group to discuss the program at the conclusion of the day. The ECLIPSE IDEA Panel committee provided EOY qualitative program feedback via a Google survey. Survey results indicated that panel members felt the program is making good progress in improving literacy outcomes for students with disabilities. A consistent recommendation among responses included increasing parent involvement in the program.</w:t>
      </w:r>
      <w:r w:rsidRPr="00781112">
        <w:rPr>
          <w:rFonts w:cs="Arial"/>
          <w:color w:val="000000" w:themeColor="text1"/>
          <w:szCs w:val="16"/>
        </w:rPr>
        <w:br/>
        <w:t>2. One ECLIPSE stakeholder meeting was held during 2021-2022 via the Zoom online platform. Stakeholders included the ECLIPSE staff, Regional Education Cooperative Executive Directors (REC'S), Special Education Directors, ECLIPSE Principals, ECLIPSE Special Education Teachers, CORE NMSU Director, and Regional Education Cooperative Contractors. Stakeholders were provided with ECLIPSE program details for the school year and stakeholders provided verbal feedback about the ECLIPSE program at the conclusion of the meeting.</w:t>
      </w:r>
      <w:r w:rsidRPr="00781112">
        <w:rPr>
          <w:rFonts w:cs="Arial"/>
          <w:color w:val="000000" w:themeColor="text1"/>
          <w:szCs w:val="16"/>
        </w:rPr>
        <w:br/>
        <w:t>3. Parent engagement stakeholder meetings were held via online platforms and in person events to provide direct explicit literacy training to parents via hands-on activities. Once trained, parents could engage their students' in fun literacy activities at home. Regional Education Cooperative (REC) contractors dropped off tote bags with the hands-on literacy materials to each school prior to the online parent training. Parent survey data following the training indicated favorable results; parents were pleased with the literacy tools that could be utilized at home with their child. Since some of the training was online, many parents along with their child/ren attended the interactive family literacy event.</w:t>
      </w:r>
      <w:r w:rsidRPr="00781112">
        <w:rPr>
          <w:rFonts w:cs="Arial"/>
          <w:color w:val="000000" w:themeColor="text1"/>
          <w:szCs w:val="16"/>
        </w:rPr>
        <w:br/>
        <w:t>4.</w:t>
      </w:r>
      <w:r w:rsidRPr="00781112">
        <w:rPr>
          <w:rFonts w:cs="Arial"/>
          <w:color w:val="000000" w:themeColor="text1"/>
          <w:szCs w:val="16"/>
        </w:rPr>
        <w:tab/>
        <w:t xml:space="preserve">The ECLIPSE team interviewed 6 school participants – 4 administrators and two teachers. The interviews were coded and added for recurrent themes. Common themes for improving the program included communicating clearer participation expectations and sharing timelines earlier in the school year. Administrators felt teachers needed more support with data analysis. Special education teachers felt they did not have enough time to collaborate with general education teachers, which limited their ability to support students effectively. </w:t>
      </w:r>
      <w:r w:rsidRPr="00781112">
        <w:rPr>
          <w:rFonts w:cs="Arial"/>
          <w:color w:val="000000" w:themeColor="text1"/>
          <w:szCs w:val="16"/>
        </w:rPr>
        <w:br/>
        <w:t>5. An online end of year survey was sent to all ECLIPSE stakeholders as the 2021-2022 school year ended. The feedback from this survey supported the ongoing development of an ECLIPSE strategic plan focused on short-term goals, intermediate goals, and longer-term goals.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Parents were invited to all five Stakeholder Engagement meetings described in the previous section. State staff reached out to staff from the Parent Training Center staff to assist the state in disseminating meeting information to parents. Staff from the two Parent Training Centers in the state, the Education for Parents of Indian Children with Special Needs (EPICS) and Parents Reaching Out (PRO) were also invited to participate in the Stakeholder meetings. The Native American Disability Law Center was also asked to assist in sharing the stakeholder meeting information with parents as well and their staff was also invited to be a part of the meetings. A separate meeting for the State Advisory Panel members, which include the parents that service on the panel was also held.</w:t>
      </w:r>
      <w:r w:rsidRPr="00781112">
        <w:rPr>
          <w:color w:val="000000" w:themeColor="text1"/>
          <w:szCs w:val="16"/>
        </w:rPr>
        <w:br/>
      </w:r>
      <w:r w:rsidRPr="00781112">
        <w:rPr>
          <w:color w:val="000000" w:themeColor="text1"/>
          <w:szCs w:val="16"/>
        </w:rPr>
        <w:br/>
        <w:t xml:space="preserve">All parents that participated in the stakeholder meetings were engaged in setting targets, analyzing data, developing improvement strategies and evaluating progress. These activities were completed at each stakeholder meeting. At the beginning of each meeting, the indicator and data are explained. Next, stakeholders had the opportunity to analyze data, evaluate progress, develop improvement strategies and set targets. At every meeting, parents are always given the opportunity to speak first. If no parent has input, the floor is then opened up to the rest of the stakeholders.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state conducted the following activities to increase the capacity of diverse groups of parents to support the development of implementation activities designed to improve outcomes for children with disabilities:</w:t>
      </w:r>
      <w:r w:rsidRPr="00781112">
        <w:rPr>
          <w:color w:val="000000" w:themeColor="text1"/>
          <w:szCs w:val="16"/>
        </w:rPr>
        <w:br/>
        <w:t>- The state held a parent summit. The summit included various training sessions for increasing parents' capacity and knowledge of special education and parental rights.</w:t>
      </w:r>
      <w:r w:rsidRPr="00781112">
        <w:rPr>
          <w:color w:val="000000" w:themeColor="text1"/>
          <w:szCs w:val="16"/>
        </w:rPr>
        <w:br/>
        <w:t>- State staff participated and presented at the two Parent Training Center conferences. The indicators were presented and parents provided input.</w:t>
      </w:r>
      <w:r w:rsidRPr="00781112">
        <w:rPr>
          <w:color w:val="000000" w:themeColor="text1"/>
          <w:szCs w:val="16"/>
        </w:rPr>
        <w:br/>
        <w:t>- During each stakeholder meeting, the data was presented and explained prior to the input sessions allowing parents to build capacity.</w:t>
      </w:r>
      <w:r w:rsidRPr="00781112">
        <w:rPr>
          <w:color w:val="000000" w:themeColor="text1"/>
          <w:szCs w:val="16"/>
        </w:rPr>
        <w:br/>
        <w:t xml:space="preserve">- Information is posted on the Special Education Division website for parents to review on the State Performance Plan/Annual Performance Report and </w:t>
      </w:r>
      <w:r w:rsidRPr="00781112">
        <w:rPr>
          <w:color w:val="000000" w:themeColor="text1"/>
          <w:szCs w:val="16"/>
        </w:rPr>
        <w:lastRenderedPageBreak/>
        <w:t>refer to.</w:t>
      </w:r>
      <w:r w:rsidRPr="00781112">
        <w:rPr>
          <w:color w:val="000000" w:themeColor="text1"/>
          <w:szCs w:val="16"/>
        </w:rPr>
        <w:br/>
        <w:t>- Parent engagement stakeholder meetings were held via online platforms and in-person events to provide direct explicit literacy training to parents via hands-on activities. Once trained, parents could engage their students in fun literacy activities at home. Parent survey data following the training indicated favorable results; parents were pleased with the literacy tools that could be utilized at home with their child. Since some of the training was online, many parents along with their children attended the interactive family literacy event.</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From March to May 2022, the State conducted five meetings via Zoom with stakeholders. The Zoom platform was used rather than in-person meetings due to hesitancy for in-person meeting due to the COVID-19 pandemic. As indicated in previous sections, the target indicators were divided into 5 groups and organized based on relationship. To see how the groups were organized for the stakeholder engagement process, please refer to the Broad Stakeholder input section of this SPP/APR. At each meeting, input was sought on the required components of setting targets, analyzing data, developing improvement strategies, and evaluating progress. Information for each of the meetings including topics, dates, times and links to each of the five meetings was made available on the stakeholder engagement webpage of the SED website. Identified stakeholders such as parent advocacy groups, associations and other stakeholder such as LEA staff were sent invitations to the meeting. </w:t>
      </w:r>
      <w:r w:rsidRPr="00781112">
        <w:rPr>
          <w:color w:val="000000" w:themeColor="text1"/>
          <w:szCs w:val="16"/>
        </w:rPr>
        <w:br/>
      </w:r>
      <w:r w:rsidRPr="00781112">
        <w:rPr>
          <w:color w:val="000000" w:themeColor="text1"/>
          <w:szCs w:val="16"/>
        </w:rPr>
        <w:br/>
        <w:t>June to November 2022, the state aggregated and disaggregated the data, synthesized and analyzed the data, reviewed quantitative and qualitative data and worked with internal stakeholders in preparation for the upcoming FFY2021 SPP/APR. The final data was compiled, reviewed by the State's Special Education Division, management team, who accepted the final targets and baselines as established in the FFY2020 SPP/APR for FFY2021. The accepted baseline year data and targets are used in this APR.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All the data collected over the course of the stakeholder engagement process, is available and will be made available on the Special Education Division's, Stakeholder Engagement webpage https://webnew.ped.state.nm.us/bureaus/special-education/stakeholder-engagement/. This site includes PowerPoint presentations and other information collected during the engagement process.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 has a District Profile Reporting System (DPRS) for publicly reporting the performance of each LEA on the targets in the SPP/APR. The DPRS contains data starting from FFY2019 data and will soon include FFY2021. The system contains two levels of data, one level is the general public view which contains suppressed (masked) data for indicators with less than 10 students reported. The general public can look at this level of data for each LEA. The second level of data views is the LEA view. This view requires a login and password as the data is not suppressed (unmasked). Having non-suppressed data available for LEAs is beneficial as they are able to track the LEA's performance over time and can analyze data for program improvement purposes. </w:t>
      </w:r>
      <w:r w:rsidRPr="00781112">
        <w:rPr>
          <w:rFonts w:cs="Arial"/>
          <w:color w:val="000000" w:themeColor="text1"/>
          <w:szCs w:val="16"/>
        </w:rPr>
        <w:br/>
      </w:r>
      <w:r w:rsidRPr="00781112">
        <w:rPr>
          <w:rFonts w:cs="Arial"/>
          <w:color w:val="000000" w:themeColor="text1"/>
          <w:szCs w:val="16"/>
        </w:rPr>
        <w:br/>
        <w:t xml:space="preserve">Once on the DPRS site, general public users must click on General Public Data View. In the General Public Data View, users can select a Local Education Agency (LEA) to view data for that LEA. Once the LEA is selected, there are two buttons available, a Results Indicator Button and a Compliance Indicator Button. When the Results Indicator button is clicked, the data for the results (target) indicators are displayed. When the Compliance Indicator button is clicked, the data for the compliance indicators will be displayed. Each indicator contains the state target, district (LEA) rate and if the State target was met. </w:t>
      </w:r>
      <w:r w:rsidRPr="00781112">
        <w:rPr>
          <w:rFonts w:cs="Arial"/>
          <w:color w:val="000000" w:themeColor="text1"/>
          <w:szCs w:val="16"/>
        </w:rPr>
        <w:br/>
      </w:r>
      <w:r w:rsidRPr="00781112">
        <w:rPr>
          <w:rFonts w:cs="Arial"/>
          <w:color w:val="000000" w:themeColor="text1"/>
          <w:szCs w:val="16"/>
        </w:rPr>
        <w:br/>
        <w:t>The DPRS can be found at: http://webed.ped.state.nm.us/sites/DPR/SitePages/DPRHome.aspx. To get to the site, go the New Mexico Public Education Department website, click on Offices/Programs in the banner at the top of the page, click on Special Education, click on the gold button labeled "Visit the District Profile Reporting System" in the middle of the Special Education page. FFY2021 data will be made available in the DPR site within 120 days following the submission of this SPP/APR.</w:t>
      </w:r>
      <w:r w:rsidRPr="00781112">
        <w:rPr>
          <w:rFonts w:cs="Arial"/>
          <w:color w:val="000000" w:themeColor="text1"/>
          <w:szCs w:val="16"/>
        </w:rPr>
        <w:br/>
      </w:r>
      <w:r w:rsidRPr="00781112">
        <w:rPr>
          <w:rFonts w:cs="Arial"/>
          <w:color w:val="000000" w:themeColor="text1"/>
          <w:szCs w:val="16"/>
        </w:rPr>
        <w:br/>
        <w:t>A complete copy of the FFY2021 SPP/APR will also be posted on the SED webpage located at: https://webnew.ped.state.nm.us/bureaus/special-education/district-data/. To get to the site, go the New Mexico Public Education Department Website, click on Offices/Programs in the banner at the top of the page, click on Special Education, on the left banner, click on District Data, click on FFY2021 Annual Performance Report. FFY2021 DPR data will be made available in the DPR site on May 1, 2023.</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 State received technical assistance from the following technical assistance resources and the actions taken are also listed below.</w:t>
      </w:r>
      <w:r w:rsidRPr="00781112">
        <w:rPr>
          <w:rFonts w:cs="Arial"/>
          <w:color w:val="000000" w:themeColor="text1"/>
          <w:szCs w:val="16"/>
        </w:rPr>
        <w:br/>
        <w:t xml:space="preserve">1. Office of Special Education Programs (OSEP): State staff have monthly calls with the OSEP lead assigned to the State. The meetings are targeted to areas need identified by the State or by OSEP. Staff from other departments within OSEP are brought in to support the State as well. The information provided by OSEP helped State staff to identify strategies and to make sound decisions for improving outcomes for students with disabilities. </w:t>
      </w:r>
      <w:r w:rsidRPr="00781112">
        <w:rPr>
          <w:rFonts w:cs="Arial"/>
          <w:color w:val="000000" w:themeColor="text1"/>
          <w:szCs w:val="16"/>
        </w:rPr>
        <w:br/>
      </w:r>
      <w:r w:rsidRPr="00781112">
        <w:rPr>
          <w:rFonts w:cs="Arial"/>
          <w:color w:val="000000" w:themeColor="text1"/>
          <w:szCs w:val="16"/>
        </w:rPr>
        <w:br/>
        <w:t xml:space="preserve">2. OSEP, State Personnel Development Grant Support: Monthly meetings with program officer. At these meetings, State staff are informed of our grant balances on which the State we can draw down funds. Also, the staff are connected with staff from other States to learn about how the State has </w:t>
      </w:r>
      <w:r w:rsidRPr="00781112">
        <w:rPr>
          <w:rFonts w:cs="Arial"/>
          <w:color w:val="000000" w:themeColor="text1"/>
          <w:szCs w:val="16"/>
        </w:rPr>
        <w:lastRenderedPageBreak/>
        <w:t xml:space="preserve">implemented the SPDG; which in turn supported New Mexico in developing a reworked SPDG program. The program officer links the State to resources to support any challenges or barriers the State may encounter.  </w:t>
      </w:r>
      <w:r w:rsidRPr="00781112">
        <w:rPr>
          <w:rFonts w:cs="Arial"/>
          <w:color w:val="000000" w:themeColor="text1"/>
          <w:szCs w:val="16"/>
        </w:rPr>
        <w:br/>
      </w:r>
      <w:r w:rsidRPr="00781112">
        <w:rPr>
          <w:rFonts w:cs="Arial"/>
          <w:color w:val="000000" w:themeColor="text1"/>
          <w:szCs w:val="16"/>
        </w:rPr>
        <w:br/>
        <w:t>3. IDEA Data Center (IDC): State staff have monthly calls with IDC staff to guide the State Systemic Improvement Plan (SSIP) implementation process including support in developing an appropriate New Mexico SSIP Evaluation Plan for FFY 2021. State SSIP staff also belong to the IDC SSIP Data Quality Peer Group and the Data Supervisor belongs to the Data Manager Data Quality Peer Group. These groups help State staff to learn more on the requirements and how to correctly implement the requirements of IDEA as well as meeting the reporting requirements. The IDC State lead is always available for questions and this support further enhances the State's ability to implement improvement efforts.  The actions the state took were utilizing the tools, resources available and implement into the work completed by the SED.</w:t>
      </w:r>
      <w:r w:rsidRPr="00781112">
        <w:rPr>
          <w:rFonts w:cs="Arial"/>
          <w:color w:val="000000" w:themeColor="text1"/>
          <w:szCs w:val="16"/>
        </w:rPr>
        <w:br/>
      </w:r>
      <w:r w:rsidRPr="00781112">
        <w:rPr>
          <w:rFonts w:cs="Arial"/>
          <w:color w:val="000000" w:themeColor="text1"/>
          <w:szCs w:val="16"/>
        </w:rPr>
        <w:br/>
        <w:t>4. National Technical Assistance Center on Transition (NTACT): The Collaborative (NTACT:C): State staff have bimonthly meetings with NTACT:C staff to discuss transition services and tools that are available which the State can implement. In addition, support on ways to improve transition methods is offered. Training opportunities are also made available to State staff which they attend.  The state will begin implementing a quality IEP review in FFY2022 in addition to the compliance reviews already completed.</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While the State has publicly reported on the FFY 2020 (July 1, 2020-June 30, 2021 performance of each local educational agency (LEA) located in the State on the targets in the State's performance plan as required by section 616(b)(2)(C)(ii)(I) of the IDEA, those reports do not contain the required information.  Specifically, the state has not publicly reported the participation and performance of children with IEPs on statewide assessments, the gaps in proficiency rates for children with IEPs and for all students against grade level academic achievement standards, the percent of children with IEPs aged 3,4, and aged 5 who are enrolled in a preschool program attending a Separate special education class, separate school, residential facility, and home. </w:t>
      </w:r>
      <w:r w:rsidRPr="00781112">
        <w:rPr>
          <w:rFonts w:cs="Arial"/>
          <w:color w:val="000000" w:themeColor="text1"/>
          <w:szCs w:val="16"/>
        </w:rPr>
        <w:br/>
      </w:r>
      <w:r w:rsidRPr="00781112">
        <w:rPr>
          <w:rFonts w:cs="Arial"/>
          <w:color w:val="000000" w:themeColor="text1"/>
          <w:szCs w:val="16"/>
        </w:rPr>
        <w:b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While the State has publicly reported on the FFY 2020 (July 1, 2020-June 30, 2021) performance of each LEA located in the State on the targets in the State's performance plan as required by section 616(b)(2)(C)(ii)(I) of IDEA, those reports did not contain, as specified in the OSEP Response, all of the required information. With its FFY 2022 SPP/APR, the State must provide a Web link demonstrating that the State has fully reported to the public on the performance of each LEA located in the State on the targets in the SPP/APR for FFY 2020. In addition, the State must report, with its FFY 2022 SPP/APR, how and where the State reported to the public on the FFY 2021 performance of each LEA located in the State on the targets in the SPP/APR.</w:t>
      </w:r>
      <w:r w:rsidRPr="00781112">
        <w:rPr>
          <w:rFonts w:cs="Arial"/>
          <w:color w:val="000000" w:themeColor="text1"/>
          <w:szCs w:val="16"/>
        </w:rPr>
        <w:br/>
      </w:r>
      <w:r w:rsidRPr="00781112">
        <w:rPr>
          <w:rFonts w:cs="Arial"/>
          <w:color w:val="000000" w:themeColor="text1"/>
          <w:szCs w:val="16"/>
        </w:rPr>
        <w:b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B79A86E" w:rsidR="005E59DB" w:rsidRPr="00781112" w:rsidRDefault="005E59DB" w:rsidP="00B65C2C">
      <w:pPr>
        <w:rPr>
          <w:b/>
          <w:color w:val="000000" w:themeColor="text1"/>
        </w:rPr>
      </w:pPr>
      <w:r w:rsidRPr="00781112">
        <w:rPr>
          <w:b/>
          <w:color w:val="000000" w:themeColor="text1"/>
        </w:rPr>
        <w:t>Historical Data</w:t>
      </w:r>
      <w:r w:rsidR="00803B3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2017</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72.83%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77.40%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77.40%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77.40%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77.40%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73.33%</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61.85%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61.54%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65.60%</w:t>
            </w:r>
          </w:p>
        </w:tc>
        <w:tc>
          <w:tcPr>
            <w:tcW w:w="833" w:type="pct"/>
            <w:tcBorders>
              <w:bottom w:val="single" w:sz="4" w:space="0" w:color="auto"/>
            </w:tcBorders>
            <w:shd w:val="clear" w:color="auto" w:fill="auto"/>
            <w:vAlign w:val="center"/>
          </w:tcPr>
          <w:p w14:paraId="180CBFE9" w14:textId="6D1C6A65" w:rsidR="007F24E2" w:rsidRPr="00781112" w:rsidRDefault="002B7490" w:rsidP="00E0321D">
            <w:pPr>
              <w:jc w:val="center"/>
              <w:rPr>
                <w:rFonts w:cs="Arial"/>
                <w:color w:val="000000" w:themeColor="text1"/>
                <w:szCs w:val="16"/>
              </w:rPr>
            </w:pPr>
            <w:r w:rsidRPr="00781112">
              <w:rPr>
                <w:rFonts w:cs="Arial"/>
                <w:color w:val="000000" w:themeColor="text1"/>
                <w:szCs w:val="16"/>
              </w:rPr>
              <w:t>64.</w:t>
            </w:r>
            <w:r w:rsidR="001D2E53">
              <w:rPr>
                <w:rFonts w:cs="Arial"/>
                <w:color w:val="000000" w:themeColor="text1"/>
                <w:szCs w:val="16"/>
              </w:rPr>
              <w:t>7</w:t>
            </w:r>
            <w:r w:rsidRPr="00781112">
              <w:rPr>
                <w:rFonts w:cs="Arial"/>
                <w:color w:val="000000" w:themeColor="text1"/>
                <w:szCs w:val="16"/>
              </w:rPr>
              <w:t>%</w:t>
            </w:r>
            <w:r w:rsidR="001D2E53">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61982E5E" w:rsidR="007F24E2" w:rsidRPr="00781112" w:rsidRDefault="001D2E53" w:rsidP="00E0321D">
            <w:pPr>
              <w:jc w:val="center"/>
              <w:rPr>
                <w:rFonts w:cs="Arial"/>
                <w:color w:val="000000" w:themeColor="text1"/>
                <w:szCs w:val="16"/>
              </w:rPr>
            </w:pPr>
            <w:r>
              <w:rPr>
                <w:rFonts w:cs="Arial"/>
                <w:color w:val="000000" w:themeColor="text1"/>
                <w:szCs w:val="16"/>
              </w:rPr>
              <w:t>x</w:t>
            </w:r>
            <w:bookmarkStart w:id="6" w:name="_Ref141181353"/>
            <w:r>
              <w:rPr>
                <w:rStyle w:val="FootnoteReference"/>
                <w:rFonts w:cs="Arial"/>
                <w:color w:val="000000" w:themeColor="text1"/>
                <w:szCs w:val="16"/>
              </w:rPr>
              <w:footnoteReference w:id="4"/>
            </w:r>
            <w:bookmarkEnd w:id="6"/>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73.83%</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74.83%</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76.33%</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78.33%</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80.83%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1, Graduation was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1,855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37</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147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1,855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2,039</w:t>
            </w:r>
          </w:p>
        </w:tc>
        <w:tc>
          <w:tcPr>
            <w:tcW w:w="623" w:type="pct"/>
            <w:shd w:val="clear" w:color="auto" w:fill="auto"/>
          </w:tcPr>
          <w:p w14:paraId="02406DF0" w14:textId="0DE9EC0D" w:rsidR="0098478C" w:rsidRPr="00781112" w:rsidRDefault="001D2E53"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5"/>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73.83%</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90.98%</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New Mexico statute 22-13-1.1 establishes the requirements for graduating from high school with a regular high school diploma. A cohort system is used which is based on the year a student enters grade nine, for both coursework and competency in five content areas: reading, writing, mathematics, science, and social studies. Students must complete 24 credits of high school coursework in math (4), English (4), science (3), social studies (3.5), PE (1), career or foreign language(1), and electives (7.5). Beginning in school year 2019-2020, students may demonstrate competency by any of the methods from approved options which include: grade 11 required assessments (e.g., SBA, Transition, PARCC scores from previous years, the SAT in spring 2020 and beyond); nationally recognized tests like ACT, ACCUPLACER, ASVAB, AP, etc. For Cohorts 2020 and 2021, school districts may use locally determined demonstrations of competency. New Mexico Administrative Code 6.19.7 and 6.29.1.9 provides the specific requirements.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7"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Students with Disabilities have three graduation options. These graduation options enable IEP teams to develop a program of study that is the most appropriate for preparing a student to achieve post-secondary goals and maintain the integrity of the high school diploma. The first graduation option is the Standard Option as described in the previous section. The second is the Modified Option. Students on the Modified Option will take general assessments, with accommodations as indicated in the student’s IEP. The students IEP team will also establish individualized passing scores for determining demonstration of competency. End of Course (EoC) exams can be used to demonstrate graduation competency. The third is the Ability Option. Students following the Ability Option will take the state’s alternative assessment as the academic achievement assessment rather than the general assessment. IEP teams will set individualized cut scores for demonstrating competency.</w:t>
      </w:r>
      <w:bookmarkStart w:id="8"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Special Education Division (SED) continues to strive to support students with disabilities to complete high school with a regular high school diploma. The SED successfully implemented the Stay in School Project at two Local Education Agencies (LEAs) with the lowest graduation rates among students with disabilities in the state. These particular LEAs also had large Native American and Hispanic student populations, respectively. The graduation rates for these LEAs have increased since the LEA's have participated in the project. The State is considering further investments of state funds to continue and expand the project to include additional LEAs throughout the state.</w:t>
      </w:r>
    </w:p>
    <w:p w14:paraId="7D2A5658" w14:textId="39995CE7" w:rsidR="000C60E1" w:rsidRPr="00781112" w:rsidRDefault="00B0742B" w:rsidP="008645AD">
      <w:pPr>
        <w:pStyle w:val="Heading2"/>
      </w:pPr>
      <w:bookmarkStart w:id="9" w:name="_Toc382082358"/>
      <w:bookmarkEnd w:id="7"/>
      <w:bookmarkEnd w:id="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10" w:name="_Hlk21352084"/>
      <w:r w:rsidRPr="00781112">
        <w:t xml:space="preserve">1 - </w:t>
      </w:r>
      <w:bookmarkEnd w:id="10"/>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1"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9"/>
      <w:bookmarkEnd w:id="11"/>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2"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3"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3"/>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2"/>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2013</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24.75%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22.97%</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22.97%</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22.97%</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22.97%</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23.75%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26.94%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22.84%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25.79%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23.78%</w:t>
            </w:r>
          </w:p>
        </w:tc>
        <w:tc>
          <w:tcPr>
            <w:tcW w:w="834" w:type="pct"/>
            <w:tcBorders>
              <w:bottom w:val="single" w:sz="4" w:space="0" w:color="auto"/>
            </w:tcBorders>
            <w:shd w:val="clear" w:color="auto" w:fill="auto"/>
            <w:vAlign w:val="center"/>
          </w:tcPr>
          <w:p w14:paraId="32A53100" w14:textId="253973ED" w:rsidR="00907A35" w:rsidRPr="00781112" w:rsidRDefault="004A1FCB" w:rsidP="00E0321D">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6"/>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22.75%</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21.75%</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20.75%</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19.75%</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18.75%</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2, Dropout was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1,855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37</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147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2,039</w:t>
            </w:r>
          </w:p>
        </w:tc>
        <w:tc>
          <w:tcPr>
            <w:tcW w:w="633" w:type="pct"/>
            <w:shd w:val="clear" w:color="auto" w:fill="auto"/>
          </w:tcPr>
          <w:p w14:paraId="77541D8A" w14:textId="7BC67D58" w:rsidR="00C96339" w:rsidRPr="00781112" w:rsidRDefault="004A1FCB"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7"/>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22.75%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7.21%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New Mexico Administrative Code (NMAC), 6.29.1.9(K)(13)(j) Procedural Requirements defines a dropout as a student who does not return to complete the program of study.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For data collection purposes, the state includes students in the following categories as a dropout: dropouts, runaways, GED recipients (in New Mexico students are required to drop out of the secondary educational program in order to pursue the GED certificate), expulsions, status unknown, students who moved and are not known to be continuing in another educational program, and other students who exited from special education without a valid exit reason.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4" w:name="_Toc382082362"/>
      <w:bookmarkStart w:id="15" w:name="_Toc392159270"/>
      <w:bookmarkStart w:id="16"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Special Education Division (SED) continues to strive to support students with disabilities to complete high school with a regular high school diploma. The SED successfully implemented the Stay in School Project at two Local Education Agencies (LEAs) with the lowest graduation rates and highest drop-out rates among students with disabilities in the state. These particular LEAs also had large Native American and Hispanic student populations, respectively. The drop-put rate for these LEAs has decreased and graduation rates have increased since the LEA's have participated in the project. The State is considering further investments of state funds to continue and expand the project to include additional LEAs throughout the state.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A04ECA" w:rsidRPr="00781112" w14:paraId="640BEE62" w14:textId="0ABABB4E" w:rsidTr="009725F4">
        <w:trPr>
          <w:trHeight w:val="368"/>
          <w:tblHeader/>
        </w:trPr>
        <w:tc>
          <w:tcPr>
            <w:tcW w:w="736" w:type="pct"/>
            <w:tcBorders>
              <w:top w:val="single" w:sz="4" w:space="0" w:color="auto"/>
            </w:tcBorders>
            <w:vAlign w:val="center"/>
          </w:tcPr>
          <w:p w14:paraId="41D9612B" w14:textId="0781C7FB" w:rsidR="00A04ECA" w:rsidRPr="00781112" w:rsidRDefault="00A04ECA" w:rsidP="00A04ECA">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239BC2DE" w:rsidR="00A04ECA" w:rsidRPr="00781112" w:rsidRDefault="00A04ECA" w:rsidP="00A04ECA">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0321F8DF" w:rsidR="00A04ECA" w:rsidRPr="00781112" w:rsidRDefault="00A04ECA" w:rsidP="00A04ECA">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6787EF05" w:rsidR="00A04ECA" w:rsidRPr="00781112" w:rsidRDefault="00A04ECA" w:rsidP="00A04ECA">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6B926856" w:rsidR="00A04ECA" w:rsidRPr="00781112" w:rsidRDefault="00A04ECA" w:rsidP="00A04ECA">
            <w:pPr>
              <w:jc w:val="center"/>
              <w:rPr>
                <w:rFonts w:cs="Arial"/>
                <w:b/>
                <w:color w:val="000000" w:themeColor="text1"/>
                <w:szCs w:val="16"/>
              </w:rPr>
            </w:pPr>
            <w:r w:rsidRPr="00781112">
              <w:rPr>
                <w:rFonts w:cs="Arial"/>
                <w:b/>
                <w:color w:val="000000" w:themeColor="text1"/>
                <w:szCs w:val="16"/>
              </w:rPr>
              <w:t>Baseline Data</w:t>
            </w:r>
          </w:p>
        </w:tc>
      </w:tr>
      <w:tr w:rsidR="00A04ECA" w:rsidRPr="00781112" w14:paraId="24FC0173" w14:textId="04F4BEEC" w:rsidTr="00360DD6">
        <w:trPr>
          <w:trHeight w:val="368"/>
        </w:trPr>
        <w:tc>
          <w:tcPr>
            <w:tcW w:w="736" w:type="pct"/>
            <w:vAlign w:val="center"/>
          </w:tcPr>
          <w:p w14:paraId="5EFBA3AC" w14:textId="6E6C17BF" w:rsidR="00A04ECA" w:rsidRPr="00781112" w:rsidRDefault="00A04ECA" w:rsidP="00A04EC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E70734A"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B7D856A" w:rsidR="00A04ECA" w:rsidRPr="00781112" w:rsidRDefault="00A04ECA" w:rsidP="00A04EC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A15FD1D" w:rsidR="00A04ECA" w:rsidRPr="00781112" w:rsidRDefault="00A04ECA" w:rsidP="00A04EC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473CD201" w:rsidR="00A04ECA" w:rsidRPr="00781112" w:rsidRDefault="00A04ECA" w:rsidP="00A04ECA">
            <w:pPr>
              <w:spacing w:before="0" w:after="0"/>
              <w:jc w:val="center"/>
              <w:rPr>
                <w:color w:val="000000" w:themeColor="text1"/>
              </w:rPr>
            </w:pPr>
            <w:r>
              <w:rPr>
                <w:rFonts w:cs="Arial"/>
                <w:color w:val="000000" w:themeColor="text1"/>
                <w:szCs w:val="16"/>
              </w:rPr>
              <w:t>*</w:t>
            </w:r>
            <w:r>
              <w:rPr>
                <w:rStyle w:val="FootnoteReference"/>
                <w:color w:val="000000" w:themeColor="text1"/>
              </w:rPr>
              <w:footnoteReference w:id="8"/>
            </w:r>
          </w:p>
        </w:tc>
      </w:tr>
      <w:tr w:rsidR="00A04ECA" w:rsidRPr="00781112" w14:paraId="4F9BC9D4" w14:textId="17B65B8C" w:rsidTr="00360DD6">
        <w:trPr>
          <w:trHeight w:val="368"/>
        </w:trPr>
        <w:tc>
          <w:tcPr>
            <w:tcW w:w="736" w:type="pct"/>
            <w:vAlign w:val="center"/>
          </w:tcPr>
          <w:p w14:paraId="7AB33ACC" w14:textId="68BD90C5" w:rsidR="00A04ECA" w:rsidRPr="00781112" w:rsidRDefault="00A04ECA" w:rsidP="00A04EC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65536858"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0B0C506"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09C64F31" w:rsidR="00A04ECA" w:rsidRPr="00781112" w:rsidRDefault="00A04ECA" w:rsidP="00A04EC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71253A2B"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6.17%</w:t>
            </w:r>
          </w:p>
        </w:tc>
      </w:tr>
      <w:tr w:rsidR="00A04ECA" w:rsidRPr="00781112" w14:paraId="0B899335" w14:textId="7CB02598" w:rsidTr="00360DD6">
        <w:trPr>
          <w:trHeight w:val="368"/>
        </w:trPr>
        <w:tc>
          <w:tcPr>
            <w:tcW w:w="736" w:type="pct"/>
            <w:vAlign w:val="center"/>
          </w:tcPr>
          <w:p w14:paraId="6148FD1E" w14:textId="6B908D16" w:rsidR="00A04ECA" w:rsidRPr="00781112" w:rsidRDefault="00A04ECA" w:rsidP="00A04EC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A4747D7"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05BA1E9E" w:rsidR="00A04ECA" w:rsidRPr="00781112" w:rsidRDefault="00A04ECA" w:rsidP="00A04ECA">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2426D0FE" w:rsidR="00A04ECA" w:rsidRPr="00781112" w:rsidRDefault="00A04ECA" w:rsidP="00A04EC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42953BE4"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4.06%</w:t>
            </w:r>
          </w:p>
        </w:tc>
      </w:tr>
      <w:tr w:rsidR="00A04ECA" w:rsidRPr="00781112" w14:paraId="3D1AAF73" w14:textId="678EC166" w:rsidTr="00360DD6">
        <w:trPr>
          <w:trHeight w:val="368"/>
        </w:trPr>
        <w:tc>
          <w:tcPr>
            <w:tcW w:w="736" w:type="pct"/>
            <w:vAlign w:val="center"/>
          </w:tcPr>
          <w:p w14:paraId="49AF9334" w14:textId="705092DF" w:rsidR="00A04ECA" w:rsidRPr="00781112" w:rsidRDefault="00A04ECA" w:rsidP="00A04ECA">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77E090B9"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5EF8E7B7"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202267F2" w:rsidR="00A04ECA" w:rsidRPr="00781112" w:rsidRDefault="00A04ECA" w:rsidP="00A04EC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3DD38303"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7.71%</w:t>
            </w:r>
          </w:p>
        </w:tc>
      </w:tr>
      <w:tr w:rsidR="00A04ECA" w:rsidRPr="00781112" w14:paraId="4B0C895C" w14:textId="6CF5FA93" w:rsidTr="00360DD6">
        <w:trPr>
          <w:trHeight w:val="368"/>
        </w:trPr>
        <w:tc>
          <w:tcPr>
            <w:tcW w:w="736" w:type="pct"/>
            <w:vAlign w:val="center"/>
          </w:tcPr>
          <w:p w14:paraId="6ED5896C" w14:textId="599CE18B" w:rsidR="00A04ECA" w:rsidRPr="00781112" w:rsidRDefault="00A04ECA" w:rsidP="00A04ECA">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05A6FA92"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54F8ABC3" w:rsidR="00A04ECA" w:rsidRPr="00781112" w:rsidRDefault="00A04ECA" w:rsidP="00A04ECA">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D11156F" w:rsidR="00A04ECA" w:rsidRPr="00781112" w:rsidRDefault="00A04ECA" w:rsidP="00A04EC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6B67109B"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6.23%</w:t>
            </w:r>
          </w:p>
        </w:tc>
      </w:tr>
      <w:tr w:rsidR="00A04ECA" w:rsidRPr="00781112" w14:paraId="43BF7697" w14:textId="58F9CE70" w:rsidTr="00360DD6">
        <w:trPr>
          <w:trHeight w:val="368"/>
        </w:trPr>
        <w:tc>
          <w:tcPr>
            <w:tcW w:w="736" w:type="pct"/>
            <w:vAlign w:val="center"/>
          </w:tcPr>
          <w:p w14:paraId="10E5C656" w14:textId="2F653A95" w:rsidR="00A04ECA" w:rsidRPr="00781112" w:rsidRDefault="00A04ECA" w:rsidP="00A04ECA">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6894D785"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41DAC6CD"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61A0F05B" w:rsidR="00A04ECA" w:rsidRPr="00781112" w:rsidRDefault="00A04ECA" w:rsidP="00A04ECA">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7009D3E8" w:rsidR="00A04ECA" w:rsidRPr="00781112" w:rsidRDefault="00A04ECA" w:rsidP="00A04ECA">
            <w:pPr>
              <w:spacing w:before="0" w:after="0"/>
              <w:jc w:val="center"/>
              <w:rPr>
                <w:rFonts w:cs="Arial"/>
                <w:color w:val="000000" w:themeColor="text1"/>
                <w:szCs w:val="16"/>
              </w:rPr>
            </w:pPr>
            <w:r w:rsidRPr="00781112">
              <w:rPr>
                <w:rFonts w:cs="Arial"/>
                <w:color w:val="000000" w:themeColor="text1"/>
                <w:szCs w:val="16"/>
              </w:rPr>
              <w:t>4.07%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41D40763" w:rsidR="00480083" w:rsidRPr="00486457" w:rsidRDefault="00480083" w:rsidP="00486457">
      <w:pPr>
        <w:spacing w:before="0" w:after="200" w:line="276" w:lineRule="auto"/>
        <w:rPr>
          <w:b/>
          <w:color w:val="000000" w:themeColor="text1"/>
        </w:rPr>
      </w:pPr>
      <w:r w:rsidRPr="00781112">
        <w:rPr>
          <w:b/>
          <w:color w:val="000000" w:themeColor="text1"/>
        </w:rPr>
        <w:t xml:space="preserve">Targets: Description of Stakeholder Input </w:t>
      </w:r>
      <w:r w:rsidR="00486457">
        <w:rPr>
          <w:b/>
          <w:color w:val="000000" w:themeColor="text1"/>
        </w:rPr>
        <w:br/>
      </w: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3, Academic Achievement Standards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4,103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4,678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3,617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881</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985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767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2,696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2,940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1,719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217</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256</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243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4,103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4,678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3,617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864</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954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767</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2,718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2,961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1,720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217</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256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243</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A04ECA" w:rsidRPr="00781112" w14:paraId="3BAF6B00" w14:textId="77777777" w:rsidTr="0047313F">
        <w:trPr>
          <w:tblHeader/>
        </w:trPr>
        <w:tc>
          <w:tcPr>
            <w:tcW w:w="355" w:type="pct"/>
            <w:shd w:val="clear" w:color="auto" w:fill="auto"/>
            <w:vAlign w:val="bottom"/>
          </w:tcPr>
          <w:p w14:paraId="3F94C694" w14:textId="73FC2832" w:rsidR="00A04ECA" w:rsidRPr="00781112" w:rsidRDefault="00A04ECA" w:rsidP="00A04ECA">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0C9C2EBB" w:rsidR="00A04ECA" w:rsidRPr="00781112" w:rsidRDefault="00A04ECA" w:rsidP="00A04ECA">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09C60E66" w:rsidR="00A04ECA" w:rsidRPr="00781112" w:rsidRDefault="00A04ECA" w:rsidP="00A04ECA">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74148B5C" w:rsidR="00A04ECA" w:rsidRPr="00781112" w:rsidRDefault="00A04ECA" w:rsidP="00A04ECA">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6D45C42F" w:rsidR="00A04ECA" w:rsidRPr="00781112" w:rsidRDefault="00A04ECA" w:rsidP="00A04ECA">
            <w:pPr>
              <w:jc w:val="center"/>
              <w:rPr>
                <w:b/>
                <w:color w:val="000000" w:themeColor="text1"/>
              </w:rPr>
            </w:pPr>
            <w:r w:rsidRPr="00073BD7">
              <w:rPr>
                <w:b/>
                <w:bCs/>
              </w:rPr>
              <w:t>FFY 2020 Data</w:t>
            </w:r>
          </w:p>
        </w:tc>
        <w:tc>
          <w:tcPr>
            <w:tcW w:w="467" w:type="pct"/>
            <w:shd w:val="clear" w:color="auto" w:fill="auto"/>
            <w:vAlign w:val="bottom"/>
          </w:tcPr>
          <w:p w14:paraId="2D0B1710" w14:textId="71269F06" w:rsidR="00A04ECA" w:rsidRPr="00781112" w:rsidRDefault="00A04ECA" w:rsidP="00A04ECA">
            <w:pPr>
              <w:jc w:val="center"/>
              <w:rPr>
                <w:b/>
                <w:color w:val="000000" w:themeColor="text1"/>
              </w:rPr>
            </w:pPr>
            <w:r w:rsidRPr="00073BD7">
              <w:rPr>
                <w:b/>
                <w:bCs/>
              </w:rPr>
              <w:t>FFY 2021 Target</w:t>
            </w:r>
          </w:p>
        </w:tc>
        <w:tc>
          <w:tcPr>
            <w:tcW w:w="467" w:type="pct"/>
            <w:shd w:val="clear" w:color="auto" w:fill="auto"/>
            <w:vAlign w:val="bottom"/>
          </w:tcPr>
          <w:p w14:paraId="1D807DE2" w14:textId="76BAB7B2" w:rsidR="00A04ECA" w:rsidRPr="00781112" w:rsidRDefault="00A04ECA" w:rsidP="00A04ECA">
            <w:pPr>
              <w:jc w:val="center"/>
              <w:rPr>
                <w:b/>
                <w:color w:val="000000" w:themeColor="text1"/>
              </w:rPr>
            </w:pPr>
            <w:r w:rsidRPr="00073BD7">
              <w:rPr>
                <w:b/>
                <w:bCs/>
              </w:rPr>
              <w:t>FFY 2021 Data</w:t>
            </w:r>
          </w:p>
        </w:tc>
        <w:tc>
          <w:tcPr>
            <w:tcW w:w="467" w:type="pct"/>
            <w:shd w:val="clear" w:color="auto" w:fill="auto"/>
            <w:vAlign w:val="bottom"/>
          </w:tcPr>
          <w:p w14:paraId="6569FC00" w14:textId="72B270FC" w:rsidR="00A04ECA" w:rsidRPr="00781112" w:rsidRDefault="00A04ECA" w:rsidP="00A04ECA">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5EA17227" w:rsidR="00A04ECA" w:rsidRPr="00781112" w:rsidRDefault="00A04ECA" w:rsidP="00A04ECA">
            <w:pPr>
              <w:jc w:val="center"/>
              <w:rPr>
                <w:b/>
                <w:color w:val="000000" w:themeColor="text1"/>
              </w:rPr>
            </w:pPr>
            <w:r w:rsidRPr="00781112">
              <w:rPr>
                <w:b/>
                <w:color w:val="000000" w:themeColor="text1"/>
              </w:rPr>
              <w:t>Slippage</w:t>
            </w:r>
          </w:p>
        </w:tc>
      </w:tr>
      <w:tr w:rsidR="00A04ECA" w:rsidRPr="00781112" w14:paraId="376FC28A" w14:textId="77777777" w:rsidTr="0047313F">
        <w:tc>
          <w:tcPr>
            <w:tcW w:w="355" w:type="pct"/>
            <w:shd w:val="clear" w:color="auto" w:fill="auto"/>
            <w:vAlign w:val="center"/>
          </w:tcPr>
          <w:p w14:paraId="53A8B458" w14:textId="460D496C" w:rsidR="00A04ECA" w:rsidRPr="00781112" w:rsidRDefault="00A04ECA" w:rsidP="00A04ECA">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07F51B38" w:rsidR="00A04ECA" w:rsidRPr="00781112" w:rsidDel="00DE5045" w:rsidRDefault="00A04ECA" w:rsidP="00A04ECA">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6D4D5033" w:rsidR="00A04ECA" w:rsidRPr="00781112" w:rsidRDefault="00A04ECA" w:rsidP="00A04ECA">
            <w:pPr>
              <w:jc w:val="center"/>
              <w:rPr>
                <w:rFonts w:cs="Arial"/>
                <w:color w:val="000000" w:themeColor="text1"/>
                <w:szCs w:val="16"/>
              </w:rPr>
            </w:pPr>
            <w:r w:rsidRPr="00781112">
              <w:rPr>
                <w:rFonts w:cs="Arial"/>
                <w:color w:val="000000"/>
                <w:szCs w:val="16"/>
              </w:rPr>
              <w:t>3,794</w:t>
            </w:r>
          </w:p>
        </w:tc>
        <w:tc>
          <w:tcPr>
            <w:tcW w:w="918" w:type="pct"/>
            <w:shd w:val="clear" w:color="auto" w:fill="auto"/>
            <w:vAlign w:val="center"/>
          </w:tcPr>
          <w:p w14:paraId="703303A1" w14:textId="152399F2" w:rsidR="00A04ECA" w:rsidRPr="00781112" w:rsidRDefault="00A04ECA" w:rsidP="00A04ECA">
            <w:pPr>
              <w:jc w:val="center"/>
              <w:rPr>
                <w:rFonts w:cs="Arial"/>
                <w:color w:val="000000" w:themeColor="text1"/>
                <w:szCs w:val="16"/>
              </w:rPr>
            </w:pPr>
            <w:r w:rsidRPr="00781112">
              <w:rPr>
                <w:rFonts w:cs="Arial"/>
                <w:color w:val="000000" w:themeColor="text1"/>
                <w:szCs w:val="16"/>
              </w:rPr>
              <w:t>4,103</w:t>
            </w:r>
          </w:p>
        </w:tc>
        <w:tc>
          <w:tcPr>
            <w:tcW w:w="466" w:type="pct"/>
            <w:shd w:val="clear" w:color="auto" w:fill="auto"/>
            <w:vAlign w:val="center"/>
          </w:tcPr>
          <w:p w14:paraId="701F3D15" w14:textId="76C5825F" w:rsidR="00A04ECA" w:rsidRPr="00781112" w:rsidRDefault="00A04ECA" w:rsidP="00A04ECA">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id="9"/>
            </w:r>
          </w:p>
        </w:tc>
        <w:tc>
          <w:tcPr>
            <w:tcW w:w="467" w:type="pct"/>
            <w:shd w:val="clear" w:color="auto" w:fill="auto"/>
            <w:vAlign w:val="center"/>
          </w:tcPr>
          <w:p w14:paraId="797749BC" w14:textId="10036050" w:rsidR="00A04ECA" w:rsidRPr="00781112" w:rsidRDefault="00A04ECA" w:rsidP="00A04ECA">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4C611F95" w:rsidR="00A04ECA" w:rsidRPr="00781112" w:rsidRDefault="00A04ECA" w:rsidP="00A04ECA">
            <w:pPr>
              <w:jc w:val="center"/>
              <w:rPr>
                <w:rFonts w:cs="Arial"/>
                <w:color w:val="000000" w:themeColor="text1"/>
                <w:szCs w:val="16"/>
              </w:rPr>
            </w:pPr>
            <w:r w:rsidRPr="00781112">
              <w:rPr>
                <w:rFonts w:cs="Arial"/>
                <w:color w:val="000000" w:themeColor="text1"/>
                <w:szCs w:val="16"/>
              </w:rPr>
              <w:t>92.47%</w:t>
            </w:r>
          </w:p>
        </w:tc>
        <w:tc>
          <w:tcPr>
            <w:tcW w:w="467" w:type="pct"/>
            <w:shd w:val="clear" w:color="auto" w:fill="auto"/>
            <w:vAlign w:val="center"/>
          </w:tcPr>
          <w:p w14:paraId="78EE727D" w14:textId="7D55A58E" w:rsidR="00A04ECA" w:rsidRPr="00781112" w:rsidRDefault="00A04ECA" w:rsidP="00A04ECA">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4A413A40" w:rsidR="00A04ECA" w:rsidRPr="00781112" w:rsidRDefault="00A04ECA" w:rsidP="00A04ECA">
            <w:pPr>
              <w:jc w:val="center"/>
              <w:rPr>
                <w:rFonts w:cs="Arial"/>
                <w:color w:val="000000" w:themeColor="text1"/>
                <w:szCs w:val="16"/>
              </w:rPr>
            </w:pPr>
            <w:r w:rsidRPr="00781112">
              <w:rPr>
                <w:rFonts w:cs="Arial"/>
                <w:color w:val="000000" w:themeColor="text1"/>
                <w:szCs w:val="16"/>
              </w:rPr>
              <w:t>No Slippage</w:t>
            </w:r>
          </w:p>
        </w:tc>
      </w:tr>
      <w:tr w:rsidR="00A04ECA" w:rsidRPr="00781112" w14:paraId="56F1A9B2" w14:textId="77777777" w:rsidTr="0047313F">
        <w:tc>
          <w:tcPr>
            <w:tcW w:w="355" w:type="pct"/>
            <w:shd w:val="clear" w:color="auto" w:fill="auto"/>
            <w:vAlign w:val="center"/>
          </w:tcPr>
          <w:p w14:paraId="558707F7" w14:textId="045EA001" w:rsidR="00A04ECA" w:rsidRPr="00781112" w:rsidRDefault="00A04ECA" w:rsidP="00A04ECA">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7ED03D6D" w:rsidR="00A04ECA" w:rsidRPr="00781112" w:rsidDel="00DE5045" w:rsidRDefault="00A04ECA" w:rsidP="00A04ECA">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1DCCD4BF" w:rsidR="00A04ECA" w:rsidRPr="00781112" w:rsidRDefault="00A04ECA" w:rsidP="00A04ECA">
            <w:pPr>
              <w:jc w:val="center"/>
              <w:rPr>
                <w:rFonts w:cs="Arial"/>
                <w:color w:val="000000" w:themeColor="text1"/>
                <w:szCs w:val="16"/>
              </w:rPr>
            </w:pPr>
            <w:r w:rsidRPr="00781112">
              <w:rPr>
                <w:rFonts w:cs="Arial"/>
                <w:color w:val="000000"/>
                <w:szCs w:val="16"/>
              </w:rPr>
              <w:t>4,181</w:t>
            </w:r>
          </w:p>
        </w:tc>
        <w:tc>
          <w:tcPr>
            <w:tcW w:w="918" w:type="pct"/>
            <w:shd w:val="clear" w:color="auto" w:fill="auto"/>
            <w:vAlign w:val="center"/>
          </w:tcPr>
          <w:p w14:paraId="4F6EDDAF" w14:textId="67EF3438" w:rsidR="00A04ECA" w:rsidRPr="00781112" w:rsidRDefault="00A04ECA" w:rsidP="00A04ECA">
            <w:pPr>
              <w:jc w:val="center"/>
              <w:rPr>
                <w:rFonts w:cs="Arial"/>
                <w:color w:val="000000" w:themeColor="text1"/>
                <w:szCs w:val="16"/>
              </w:rPr>
            </w:pPr>
            <w:r w:rsidRPr="00781112">
              <w:rPr>
                <w:rFonts w:cs="Arial"/>
                <w:color w:val="000000" w:themeColor="text1"/>
                <w:szCs w:val="16"/>
              </w:rPr>
              <w:t>4,678</w:t>
            </w:r>
          </w:p>
        </w:tc>
        <w:tc>
          <w:tcPr>
            <w:tcW w:w="466" w:type="pct"/>
            <w:shd w:val="clear" w:color="auto" w:fill="auto"/>
            <w:vAlign w:val="center"/>
          </w:tcPr>
          <w:p w14:paraId="6B3B6780" w14:textId="1CB6EE45" w:rsidR="00A04ECA" w:rsidRPr="00781112" w:rsidRDefault="00A04ECA" w:rsidP="00A04ECA">
            <w:pPr>
              <w:jc w:val="center"/>
              <w:rPr>
                <w:rFonts w:cs="Arial"/>
                <w:color w:val="000000" w:themeColor="text1"/>
                <w:szCs w:val="16"/>
              </w:rPr>
            </w:pPr>
            <w:r w:rsidRPr="00781112">
              <w:rPr>
                <w:rFonts w:cs="Arial"/>
                <w:color w:val="000000" w:themeColor="text1"/>
                <w:szCs w:val="16"/>
              </w:rPr>
              <w:t>6.17%</w:t>
            </w:r>
          </w:p>
        </w:tc>
        <w:tc>
          <w:tcPr>
            <w:tcW w:w="467" w:type="pct"/>
            <w:shd w:val="clear" w:color="auto" w:fill="auto"/>
            <w:vAlign w:val="center"/>
          </w:tcPr>
          <w:p w14:paraId="60FE8D0A" w14:textId="0B6CADFD" w:rsidR="00A04ECA" w:rsidRPr="00781112" w:rsidRDefault="00A04ECA" w:rsidP="00A04ECA">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4646EC3B" w:rsidR="00A04ECA" w:rsidRPr="00781112" w:rsidRDefault="00A04ECA" w:rsidP="00A04ECA">
            <w:pPr>
              <w:jc w:val="center"/>
              <w:rPr>
                <w:rFonts w:cs="Arial"/>
                <w:color w:val="000000" w:themeColor="text1"/>
                <w:szCs w:val="16"/>
              </w:rPr>
            </w:pPr>
            <w:r w:rsidRPr="00781112">
              <w:rPr>
                <w:rFonts w:cs="Arial"/>
                <w:color w:val="000000" w:themeColor="text1"/>
                <w:szCs w:val="16"/>
              </w:rPr>
              <w:t>89.38%</w:t>
            </w:r>
          </w:p>
        </w:tc>
        <w:tc>
          <w:tcPr>
            <w:tcW w:w="467" w:type="pct"/>
            <w:shd w:val="clear" w:color="auto" w:fill="auto"/>
            <w:vAlign w:val="center"/>
          </w:tcPr>
          <w:p w14:paraId="5A0AF76C" w14:textId="4AD8E931" w:rsidR="00A04ECA" w:rsidRPr="00781112" w:rsidRDefault="00A04ECA" w:rsidP="00A04ECA">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31E3EE6E" w:rsidR="00A04ECA" w:rsidRPr="00781112" w:rsidRDefault="00A04ECA" w:rsidP="00A04ECA">
            <w:pPr>
              <w:jc w:val="center"/>
              <w:rPr>
                <w:rFonts w:cs="Arial"/>
                <w:color w:val="000000" w:themeColor="text1"/>
                <w:szCs w:val="16"/>
              </w:rPr>
            </w:pPr>
            <w:r w:rsidRPr="00781112">
              <w:rPr>
                <w:rFonts w:cs="Arial"/>
                <w:color w:val="000000" w:themeColor="text1"/>
                <w:szCs w:val="16"/>
              </w:rPr>
              <w:t>No Slippage</w:t>
            </w:r>
          </w:p>
        </w:tc>
      </w:tr>
      <w:tr w:rsidR="00A04ECA" w:rsidRPr="00781112" w14:paraId="7455692E" w14:textId="77777777" w:rsidTr="0047313F">
        <w:tc>
          <w:tcPr>
            <w:tcW w:w="355" w:type="pct"/>
            <w:shd w:val="clear" w:color="auto" w:fill="auto"/>
            <w:vAlign w:val="center"/>
          </w:tcPr>
          <w:p w14:paraId="1007F433" w14:textId="525CDD52" w:rsidR="00A04ECA" w:rsidRPr="00781112" w:rsidRDefault="00A04ECA" w:rsidP="00A04ECA">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4A157EF9" w:rsidR="00A04ECA" w:rsidRPr="00781112" w:rsidDel="00DE5045" w:rsidRDefault="00A04ECA" w:rsidP="00A04ECA">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792E6862" w:rsidR="00A04ECA" w:rsidRPr="00781112" w:rsidRDefault="00A04ECA" w:rsidP="00A04ECA">
            <w:pPr>
              <w:jc w:val="center"/>
              <w:rPr>
                <w:rFonts w:cs="Arial"/>
                <w:color w:val="000000" w:themeColor="text1"/>
                <w:szCs w:val="16"/>
              </w:rPr>
            </w:pPr>
            <w:r w:rsidRPr="00781112">
              <w:rPr>
                <w:rFonts w:cs="Arial"/>
                <w:color w:val="000000"/>
                <w:szCs w:val="16"/>
              </w:rPr>
              <w:t>2,729</w:t>
            </w:r>
          </w:p>
        </w:tc>
        <w:tc>
          <w:tcPr>
            <w:tcW w:w="918" w:type="pct"/>
            <w:shd w:val="clear" w:color="auto" w:fill="auto"/>
            <w:vAlign w:val="center"/>
          </w:tcPr>
          <w:p w14:paraId="7C38F4A3" w14:textId="0DEDC84C" w:rsidR="00A04ECA" w:rsidRPr="00781112" w:rsidRDefault="00A04ECA" w:rsidP="00A04ECA">
            <w:pPr>
              <w:jc w:val="center"/>
              <w:rPr>
                <w:rFonts w:cs="Arial"/>
                <w:color w:val="000000" w:themeColor="text1"/>
                <w:szCs w:val="16"/>
              </w:rPr>
            </w:pPr>
            <w:r w:rsidRPr="00781112">
              <w:rPr>
                <w:rFonts w:cs="Arial"/>
                <w:color w:val="000000" w:themeColor="text1"/>
                <w:szCs w:val="16"/>
              </w:rPr>
              <w:t>3,617</w:t>
            </w:r>
          </w:p>
        </w:tc>
        <w:tc>
          <w:tcPr>
            <w:tcW w:w="466" w:type="pct"/>
            <w:shd w:val="clear" w:color="auto" w:fill="auto"/>
            <w:vAlign w:val="center"/>
          </w:tcPr>
          <w:p w14:paraId="300E10D2" w14:textId="3AAE5F80" w:rsidR="00A04ECA" w:rsidRPr="00781112" w:rsidRDefault="00A04ECA" w:rsidP="00A04ECA">
            <w:pPr>
              <w:jc w:val="center"/>
              <w:rPr>
                <w:rFonts w:cs="Arial"/>
                <w:color w:val="000000" w:themeColor="text1"/>
                <w:szCs w:val="16"/>
              </w:rPr>
            </w:pPr>
            <w:r w:rsidRPr="00781112">
              <w:rPr>
                <w:rFonts w:cs="Arial"/>
                <w:color w:val="000000" w:themeColor="text1"/>
                <w:szCs w:val="16"/>
              </w:rPr>
              <w:t>4.06%</w:t>
            </w:r>
          </w:p>
        </w:tc>
        <w:tc>
          <w:tcPr>
            <w:tcW w:w="467" w:type="pct"/>
            <w:shd w:val="clear" w:color="auto" w:fill="auto"/>
            <w:vAlign w:val="center"/>
          </w:tcPr>
          <w:p w14:paraId="26A808A8" w14:textId="671AD8B9" w:rsidR="00A04ECA" w:rsidRPr="00781112" w:rsidRDefault="00A04ECA" w:rsidP="00A04ECA">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02EAEBB" w:rsidR="00A04ECA" w:rsidRPr="00781112" w:rsidRDefault="00A04ECA" w:rsidP="00A04ECA">
            <w:pPr>
              <w:jc w:val="center"/>
              <w:rPr>
                <w:rFonts w:cs="Arial"/>
                <w:color w:val="000000" w:themeColor="text1"/>
                <w:szCs w:val="16"/>
              </w:rPr>
            </w:pPr>
            <w:r w:rsidRPr="00781112">
              <w:rPr>
                <w:rFonts w:cs="Arial"/>
                <w:color w:val="000000" w:themeColor="text1"/>
                <w:szCs w:val="16"/>
              </w:rPr>
              <w:t>75.45%</w:t>
            </w:r>
          </w:p>
        </w:tc>
        <w:tc>
          <w:tcPr>
            <w:tcW w:w="467" w:type="pct"/>
            <w:shd w:val="clear" w:color="auto" w:fill="auto"/>
            <w:vAlign w:val="center"/>
          </w:tcPr>
          <w:p w14:paraId="772412F5" w14:textId="6A47FB7F" w:rsidR="00A04ECA" w:rsidRPr="00781112" w:rsidRDefault="00A04ECA" w:rsidP="00A04ECA">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1277F983" w:rsidR="00A04ECA" w:rsidRPr="00781112" w:rsidRDefault="00A04ECA" w:rsidP="00A04ECA">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3,799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4,103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7.71%</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92.59%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4,171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4,678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6.23%</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89.16%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2,730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3,617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4.07%</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75.48%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Assessment data for students with disabilities can be found on the Special Education Division page under District Data: https://webnew.ped.state.nm.us/bureaus/special-education/district-data/. The data on this webpage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color w:val="000000" w:themeColor="text1"/>
          <w:szCs w:val="16"/>
        </w:rPr>
        <w:br/>
      </w:r>
      <w:r w:rsidRPr="00781112">
        <w:rPr>
          <w:rFonts w:cs="Arial"/>
          <w:color w:val="000000" w:themeColor="text1"/>
          <w:szCs w:val="16"/>
        </w:rPr>
        <w:br/>
        <w:t>Assessment data for students without disabilities can be found on the Accountability Division webpage at https://webnew.ped.state.nm.us/bureaus/accountability/achievement-data/</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This indicator has been greatly impacted by the COVID-19 pandemic over the past two years. In 2019-2020, the State received a waiver from the U.S. Department of Education (DOE), waiving the requirement to administer the statewide assessments to all students due to the pandemic. In 2020-2021, the State received another waiver from the U.S. DOE. from meeting the Every Student Succeeds Act (ESSA), 95% statewide assessment participation rate requirement for all students. The State then gave LEAs the opportunity to self-elect to administer or not administer the statewide assessments. The majority of the LEAs elected to not administer the statewide assessment in school year 2020-2021. In FFY2021, the participation rates have improved from the prior year.</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r w:rsidRPr="00781112">
        <w:rPr>
          <w:rFonts w:cs="Arial"/>
          <w:color w:val="000000" w:themeColor="text1"/>
          <w:szCs w:val="16"/>
        </w:rPr>
        <w:br/>
      </w:r>
      <w:r w:rsidRPr="00781112">
        <w:rPr>
          <w:rFonts w:cs="Arial"/>
          <w:color w:val="000000" w:themeColor="text1"/>
          <w:szCs w:val="16"/>
        </w:rPr>
        <w:br/>
        <w:t>In its FFY 2021 SPP/APR, the State must clarify the baseline year and data being used to report on this indicator.</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The FFY2020 data is posted on the New Mexico Public Education Department website, Special Education Division page. The link to the page is here: https://webnew.ped.state.nm.us/bureaus/special-education/district-data/. The following wording, "Assessment Data for FFY2020 OSEP Required Actions", must be clicked on to access the data. Depending on computer set-up, the Excel spreadsheet containing the data may need to be opened.</w:t>
      </w:r>
      <w:r w:rsidRPr="00781112">
        <w:rPr>
          <w:rFonts w:cs="Arial"/>
          <w:color w:val="000000" w:themeColor="text1"/>
          <w:szCs w:val="16"/>
        </w:rPr>
        <w:br/>
      </w:r>
      <w:r w:rsidRPr="00781112">
        <w:rPr>
          <w:rFonts w:cs="Arial"/>
          <w:color w:val="000000" w:themeColor="text1"/>
          <w:szCs w:val="16"/>
        </w:rPr>
        <w:br/>
        <w:t>District Profile Reports can be found on the District Profile Report site at this link:  https://webed.ped.state.nm.us/sites/DPR/SitePages/DPRHome.aspx.</w:t>
      </w:r>
      <w:r w:rsidRPr="00781112">
        <w:rPr>
          <w:rFonts w:cs="Arial"/>
          <w:color w:val="000000" w:themeColor="text1"/>
          <w:szCs w:val="16"/>
        </w:rPr>
        <w:br/>
      </w:r>
      <w:r w:rsidRPr="00781112">
        <w:rPr>
          <w:rFonts w:cs="Arial"/>
          <w:color w:val="000000" w:themeColor="text1"/>
          <w:szCs w:val="16"/>
        </w:rPr>
        <w:br/>
        <w:t>The data reported in the FFY2021 SPP/APR is based on data from school year 2021-2022. It is important to note, the data for this indicator is automatically populated with data reported in school year 2021-2022, EdFacts data submissions.</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if any, participating in alternate assessments based on alternate academic achievement standards,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4"/>
      <w:bookmarkEnd w:id="15"/>
    </w:p>
    <w:p w14:paraId="66C662B8" w14:textId="77777777" w:rsidR="007C3C89" w:rsidRPr="00781112" w:rsidRDefault="007C3C89" w:rsidP="00A018D4">
      <w:pPr>
        <w:rPr>
          <w:color w:val="000000" w:themeColor="text1"/>
          <w:szCs w:val="20"/>
        </w:rPr>
      </w:pPr>
      <w:bookmarkStart w:id="17"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7"/>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8.41%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7.06%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6.32%</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6.00%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2.84%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1.99%</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8.41%</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8.86%</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9.31%</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9.76%</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10.21%</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7.06%</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7.51%</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7.96%</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8.41%</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8.86%</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3.32%</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3.77%</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4.42%</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5.37%</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6.37%</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6.41%</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6.82%</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7.23%</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7.64%</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2.84%</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3.25%</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3.66%</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4.07%</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4.48%</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1.99%</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2.40%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2.81%</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3.22%</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3.63%</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3, Academic Achievement Standards were discussed. The data for this indicator was a concern for stakeholders due to the following:</w:t>
      </w:r>
      <w:r w:rsidRPr="00781112">
        <w:rPr>
          <w:rFonts w:cs="Arial"/>
          <w:color w:val="000000" w:themeColor="text1"/>
          <w:szCs w:val="16"/>
        </w:rPr>
        <w:br/>
        <w:t>1. The State changed assessments from the TAMELA to the Interim-New Mexico Measures of Student Success &amp; Achievement (I-MSSA) for reading and Math for grades 4 and 8. For High School, the assessments for reading and math was changed to the SAT. The first year these assessments were administered to students was the 2020-2021 school year.</w:t>
      </w:r>
      <w:r w:rsidRPr="00781112">
        <w:rPr>
          <w:rFonts w:cs="Arial"/>
          <w:color w:val="000000" w:themeColor="text1"/>
          <w:szCs w:val="16"/>
        </w:rPr>
        <w:br/>
        <w:t xml:space="preserve">2. In school year 2020-2021, the State received a waiver from meeting the 95% participate rate requirement as required by ESSA. The state allowed LEAs to make local decisions to administer or not administer the assessment. </w:t>
      </w:r>
      <w:r w:rsidRPr="00781112">
        <w:rPr>
          <w:rFonts w:cs="Arial"/>
          <w:color w:val="000000" w:themeColor="text1"/>
          <w:szCs w:val="16"/>
        </w:rPr>
        <w:br/>
        <w:t>3. New baselines and targets for this indicator were established in FFY2020 using FFY2020 data, which only included data from LEAs that elected to administer the statewide assessment.</w:t>
      </w:r>
      <w:r w:rsidRPr="00781112">
        <w:rPr>
          <w:rFonts w:cs="Arial"/>
          <w:color w:val="000000" w:themeColor="text1"/>
          <w:szCs w:val="16"/>
        </w:rPr>
        <w:br/>
        <w:t>4. OSEP did not accept the proposed baselines and targets established in the FYY2020 APR using FFY2020 data.</w:t>
      </w:r>
      <w:r w:rsidRPr="00781112">
        <w:rPr>
          <w:rFonts w:cs="Arial"/>
          <w:color w:val="000000" w:themeColor="text1"/>
          <w:szCs w:val="16"/>
        </w:rPr>
        <w:br/>
      </w:r>
      <w:r w:rsidRPr="00781112">
        <w:rPr>
          <w:rFonts w:cs="Arial"/>
          <w:color w:val="000000" w:themeColor="text1"/>
          <w:szCs w:val="16"/>
        </w:rPr>
        <w:lastRenderedPageBreak/>
        <w:br/>
        <w:t>With these concerns in mind, stakeholders proposed to revise baselines and targets for FFY2021, using FFY2021. It is also important to note that stakeholders are still concerned with the lingering impacts the COVID-19 pandemic will have on student outcomes, including State and LEA performance on the SPP/APR indicators. Stakeholders recommend that the targets hold steady for two more years as the pandemic impacts State and LEA rates. The stakeholder groups will review the data each year and prior to the submission of the FFY2022 SPP/APR, to reestablish baseline and targets. Stakeholders are reserving the right to re-establish baselines and targets in FFY2022, due to the concerns listed above.</w:t>
      </w:r>
    </w:p>
    <w:p w14:paraId="2446B7C2" w14:textId="77777777" w:rsidR="00F20369" w:rsidRPr="00781112" w:rsidRDefault="00F20369" w:rsidP="004369B2">
      <w:pPr>
        <w:rPr>
          <w:color w:val="000000" w:themeColor="text1"/>
        </w:rPr>
      </w:pPr>
      <w:bookmarkStart w:id="18"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3,577</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3,925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2,486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186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124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115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153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99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3,582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3,915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2,487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136</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54</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79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57</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29</w:t>
            </w:r>
          </w:p>
        </w:tc>
      </w:tr>
      <w:bookmarkEnd w:id="18"/>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301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3,577</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23.57%</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8.41%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8.41%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277</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3,925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11.44%</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7.06%</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7.06%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157</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2,486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21.34%</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3.32%</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6.32%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215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3,582</w:t>
            </w:r>
          </w:p>
        </w:tc>
        <w:tc>
          <w:tcPr>
            <w:tcW w:w="500" w:type="pct"/>
            <w:shd w:val="clear" w:color="auto" w:fill="auto"/>
            <w:vAlign w:val="center"/>
          </w:tcPr>
          <w:p w14:paraId="044B076F" w14:textId="4540370C" w:rsidR="00242D8A" w:rsidRPr="00781112" w:rsidRDefault="00CB00CB" w:rsidP="00242D8A">
            <w:pPr>
              <w:jc w:val="center"/>
              <w:rPr>
                <w:rFonts w:cs="Arial"/>
                <w:color w:val="000000" w:themeColor="text1"/>
                <w:szCs w:val="16"/>
              </w:rPr>
            </w:pPr>
            <w:r>
              <w:rPr>
                <w:rFonts w:cs="Arial"/>
                <w:color w:val="000000" w:themeColor="text1"/>
                <w:szCs w:val="16"/>
              </w:rPr>
              <w:t>x</w:t>
            </w:r>
            <w:bookmarkStart w:id="19" w:name="_Ref141251520"/>
            <w:r w:rsidR="007F2D67">
              <w:rPr>
                <w:rStyle w:val="FootnoteReference"/>
                <w:rFonts w:cs="Arial"/>
                <w:color w:val="000000" w:themeColor="text1"/>
                <w:szCs w:val="16"/>
              </w:rPr>
              <w:footnoteReference w:id="10"/>
            </w:r>
            <w:bookmarkEnd w:id="19"/>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111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3,915</w:t>
            </w:r>
          </w:p>
        </w:tc>
        <w:tc>
          <w:tcPr>
            <w:tcW w:w="500" w:type="pct"/>
            <w:shd w:val="clear" w:color="auto" w:fill="auto"/>
            <w:vAlign w:val="center"/>
          </w:tcPr>
          <w:p w14:paraId="272455FD" w14:textId="04DCD64D" w:rsidR="00242D8A" w:rsidRPr="00781112" w:rsidRDefault="007F2D6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_Ref141251520 \f \h </w:instrText>
            </w:r>
            <w:r>
              <w:rPr>
                <w:rFonts w:cs="Arial"/>
                <w:color w:val="000000" w:themeColor="text1"/>
                <w:szCs w:val="16"/>
              </w:rPr>
            </w:r>
            <w:r>
              <w:rPr>
                <w:rFonts w:cs="Arial"/>
                <w:color w:val="000000" w:themeColor="text1"/>
                <w:szCs w:val="16"/>
              </w:rPr>
              <w:fldChar w:fldCharType="separate"/>
            </w:r>
            <w:r w:rsidR="00171482" w:rsidRPr="00171482">
              <w:rPr>
                <w:rStyle w:val="FootnoteReference"/>
              </w:rPr>
              <w:t>9</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2.84%</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2.84%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2,487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9.35%</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1.99%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1.93%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3C6B4961" w14:textId="145F428C" w:rsidR="00497DE4" w:rsidRPr="00486457" w:rsidRDefault="00497DE4" w:rsidP="00486457">
      <w:pPr>
        <w:spacing w:before="0" w:after="200" w:line="276" w:lineRule="auto"/>
        <w:rPr>
          <w:color w:val="000000" w:themeColor="text1"/>
        </w:rPr>
      </w:pPr>
      <w:r w:rsidRPr="00781112">
        <w:rPr>
          <w:b/>
          <w:color w:val="000000" w:themeColor="text1"/>
        </w:rPr>
        <w:t>Regulatory Information</w:t>
      </w:r>
      <w:r w:rsidR="00486457">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Assessment data for students with disabilities can be found on the Special Education Division page under District Data: https://webnew.ped.state.nm.us/bureaus/special-education/district-data/. The data on this webpage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color w:val="000000" w:themeColor="text1"/>
          <w:szCs w:val="16"/>
        </w:rPr>
        <w:br/>
      </w:r>
      <w:r w:rsidRPr="00781112">
        <w:rPr>
          <w:rFonts w:cs="Arial"/>
          <w:color w:val="000000" w:themeColor="text1"/>
          <w:szCs w:val="16"/>
        </w:rPr>
        <w:br/>
        <w:t>Assessment data for students without disabilities can be found on the Accountability Division webpage at https://webnew.ped.state.nm.us/bureaus/accountability/achievement-data/</w:t>
      </w:r>
    </w:p>
    <w:p w14:paraId="2BE473B4" w14:textId="77777777" w:rsidR="00053391" w:rsidRPr="00781112" w:rsidRDefault="00053391" w:rsidP="004369B2">
      <w:pPr>
        <w:rPr>
          <w:b/>
          <w:color w:val="000000" w:themeColor="text1"/>
        </w:rPr>
      </w:pPr>
      <w:bookmarkStart w:id="20" w:name="_Toc382082367"/>
      <w:bookmarkStart w:id="21"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This indicator has been greatly impacted by the COVID-19 pandemic over the past two years. In 2019-2020, the state received a waiver from the U.S. Department of Education (DOE), waiving the requirement to administer the statewide assessments to all students due to the pandemic. In 2020-2021, the state received another waiver from the U.S. DOE. from meeting the Every Student Succeeds Act (ESEA), 95% statewide assessment participation rate requirement for all students. The state then gave LEAs the opportunity to self-elect to administer or not administer the statewide assessments. The majority of the LEAs elected to not administer the statewide assessment. The data reported in this APR is the first to reflect pre-pandemic conditions with the exception of the learning loss which occurred and the change in the assessment administered.</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The FFY2020 data is posted on the New Mexico Public Education Department website, Special Education Division page. The link to the page is here: https://webnew.ped.state.nm.us/bureaus/special-education/district-data/. The following wording, "Assessment Data for FFY2020 OSEP Required Actions", must be clicked on to access the data. Depending on computer set-up, the Excel spreadsheet containing the data may need to be opened.</w:t>
      </w:r>
      <w:r w:rsidRPr="00781112">
        <w:rPr>
          <w:rFonts w:cs="Arial"/>
          <w:color w:val="000000" w:themeColor="text1"/>
          <w:szCs w:val="16"/>
        </w:rPr>
        <w:br/>
      </w:r>
      <w:r w:rsidRPr="00781112">
        <w:rPr>
          <w:rFonts w:cs="Arial"/>
          <w:color w:val="000000" w:themeColor="text1"/>
          <w:szCs w:val="16"/>
        </w:rPr>
        <w:br/>
        <w:t>District Profile Reports can be found on the District Profile Report site at this link: https://webed.ped.state.nm.us/sites/DPR/SitePages/DPRHome.aspx.</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this indicator for FFY 2023, 2024, and 2025 for H.S. Reading,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20"/>
      <w:bookmarkEnd w:id="21"/>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2" w:name="_Toc384383330"/>
      <w:bookmarkStart w:id="23" w:name="_Toc392159282"/>
      <w:bookmarkStart w:id="24"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12C928FE" w:rsidR="00537221" w:rsidRPr="00781112" w:rsidRDefault="0066067F" w:rsidP="00827FF4">
            <w:pPr>
              <w:spacing w:before="0" w:after="0"/>
              <w:jc w:val="center"/>
              <w:rPr>
                <w:color w:val="000000" w:themeColor="text1"/>
              </w:rPr>
            </w:pPr>
            <w:r>
              <w:rPr>
                <w:color w:val="000000" w:themeColor="text1"/>
              </w:rPr>
              <w:t>*</w:t>
            </w:r>
            <w:r>
              <w:rPr>
                <w:rStyle w:val="FootnoteReference"/>
                <w:color w:val="000000" w:themeColor="text1"/>
              </w:rPr>
              <w:footnoteReference w:id="11"/>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7.55%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35.71%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13.21%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E65FE9" w:rsidR="00537221" w:rsidRPr="00781112" w:rsidRDefault="0066067F" w:rsidP="00827FF4">
            <w:pPr>
              <w:spacing w:before="0" w:after="0"/>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12"/>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29.63%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8.14%</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8.59%</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9.04%</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9.49%</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9.94%</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8.45%</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8.90%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9.35%</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9.80%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36.16%</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36.61%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37.06%</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37.51%</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37.96%</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13.62%</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14.03%</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14.44%</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14.85%</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15.26%</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2.33%</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2.74%</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3.15%</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3.56%</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3.97%</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30.04%</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30.45%</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30.86%</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31.27%</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31.68%</w:t>
            </w:r>
          </w:p>
        </w:tc>
      </w:tr>
    </w:tbl>
    <w:p w14:paraId="5217EFAD" w14:textId="77777777" w:rsidR="00486457" w:rsidRDefault="00486457" w:rsidP="00486457">
      <w:pPr>
        <w:spacing w:before="0" w:after="200" w:line="276" w:lineRule="auto"/>
        <w:rPr>
          <w:b/>
          <w:color w:val="000000" w:themeColor="text1"/>
        </w:rPr>
      </w:pPr>
    </w:p>
    <w:p w14:paraId="2261CE05" w14:textId="2BFE39AE" w:rsidR="002D145D" w:rsidRPr="00486457" w:rsidRDefault="002D145D" w:rsidP="00486457">
      <w:pPr>
        <w:spacing w:before="0" w:after="200" w:line="276" w:lineRule="auto"/>
        <w:rPr>
          <w:b/>
          <w:color w:val="000000" w:themeColor="text1"/>
        </w:rPr>
      </w:pPr>
      <w:r w:rsidRPr="00781112">
        <w:rPr>
          <w:b/>
          <w:color w:val="000000" w:themeColor="text1"/>
        </w:rPr>
        <w:t xml:space="preserve">Targets: Description of Stakeholder Input </w:t>
      </w:r>
      <w:r w:rsidR="00486457">
        <w:rPr>
          <w:b/>
          <w:color w:val="000000" w:themeColor="text1"/>
        </w:rPr>
        <w:br/>
      </w:r>
      <w:r w:rsidR="002B7490" w:rsidRPr="00781112">
        <w:rPr>
          <w:rFonts w:cs="Arial"/>
          <w:color w:val="000000" w:themeColor="text1"/>
          <w:szCs w:val="16"/>
        </w:rPr>
        <w:t xml:space="preserve">Stakeholders were engaged in setting targets, analyzing data, developing improvement strategies, and evaluating progress during each Stakeholder Engagement meeting, including where Indicator 3, Academic Achievement Standards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w:t>
      </w:r>
      <w:r w:rsidR="002B7490" w:rsidRPr="00781112">
        <w:rPr>
          <w:rFonts w:cs="Arial"/>
          <w:color w:val="000000" w:themeColor="text1"/>
          <w:szCs w:val="16"/>
        </w:rPr>
        <w:lastRenderedPageBreak/>
        <w:t>incremental increases, as the pandemic impacts State and LEA rates. The stakeholder groups will review the data each year and prior to the submission of the FFY2022 SPP/APR, to reestablish baseline and targets if needed.</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217</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256</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243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65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80</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217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256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243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88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19</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64</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217</w:t>
            </w:r>
          </w:p>
        </w:tc>
        <w:tc>
          <w:tcPr>
            <w:tcW w:w="541" w:type="pct"/>
            <w:shd w:val="clear" w:color="auto" w:fill="auto"/>
          </w:tcPr>
          <w:p w14:paraId="6BA58310" w14:textId="21486093" w:rsidR="00566725" w:rsidRPr="00781112" w:rsidRDefault="0066067F" w:rsidP="00566725">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id="13"/>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8.14%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15.21%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65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256</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7.55%</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8.00%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25.39%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80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243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35.71%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36.16%</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32.92%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The data for Group C has been analyzed and the data suggests the slippage is due to the effects of the COVID-19 pandemic on student assessment data.  New Mexico has elected 11th graders to be utilized for High School data; therefore, it is important to note, the last time these students participated in statewide assessments non impacted by the pandemic was in grade 8.  This is also a contributor to the decline in student performance on assessments.  The state will continue to work to close the learning loss gap created by the COVID-19 pandemic.</w:t>
      </w:r>
    </w:p>
    <w:p w14:paraId="493A373E" w14:textId="77777777" w:rsidR="00445640" w:rsidRPr="00781112" w:rsidRDefault="00445640" w:rsidP="000C3A20">
      <w:pPr>
        <w:rPr>
          <w:color w:val="000000" w:themeColor="text1"/>
        </w:rPr>
      </w:pPr>
    </w:p>
    <w:p w14:paraId="7CC0D00D" w14:textId="77777777" w:rsidR="00486457" w:rsidRDefault="00486457">
      <w:pPr>
        <w:spacing w:before="0" w:after="200" w:line="276" w:lineRule="auto"/>
        <w:rPr>
          <w:b/>
          <w:color w:val="000000" w:themeColor="text1"/>
        </w:rPr>
      </w:pPr>
      <w:r>
        <w:rPr>
          <w:b/>
          <w:color w:val="000000" w:themeColor="text1"/>
        </w:rPr>
        <w:br w:type="page"/>
      </w:r>
    </w:p>
    <w:p w14:paraId="73E73F7F" w14:textId="52F78547"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88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217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13.21%</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13.62%</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40.55%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19</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256</w:t>
            </w:r>
          </w:p>
        </w:tc>
        <w:tc>
          <w:tcPr>
            <w:tcW w:w="541" w:type="pct"/>
            <w:shd w:val="clear" w:color="auto" w:fill="auto"/>
            <w:vAlign w:val="center"/>
          </w:tcPr>
          <w:p w14:paraId="0DB348C5" w14:textId="2F3AEE8A" w:rsidR="00A31E8A" w:rsidRPr="00781112" w:rsidRDefault="0066067F" w:rsidP="00A31E8A">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14"/>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2.33%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7.42%</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64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243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29.63%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30.04%</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26.34%</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The data for Group C has been analyzed and the data suggests the slippage is due to the effects of the COVID-19 pandemic on student assessment data.  New Mexico has elected 11th graders to be utilized for High School data; therefore, it is important to note, the last time these students participated in statewide assessments non impacted by the pandemic was in grade 8.  This is also a contributor to the decline in student performance on assessments.  The state will continue to work to close the learning loss gap created by the COVID-19 pandemic.</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Assessment data for students with disabilities can be found on the Special Education Division page under District Data: https://webnew.ped.state.nm.us/bureaus/special-education/district-data/. The data on this webpage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Assessment data for students without disabilities can be found on the Accountability Division webpage at https://webnew.ped.state.nm.us/bureaus/accountability/achievement-data/</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This indicator has been greatly impacted by the COVID-19 pandemic over the past two years. In 2019-2020, the state received a waiver from the U.S. Department of Education (DOE), waiving the requirement to administer the statewide assessments to all students due to the pandemic. In 2020-2021, the state received another waiver from the U.S. DOE. from meeting the Every Student Succeeds Act (ESEA), 95% statewide assessment participation rate requirement for all students. The state then gave LEAs the opportunity to self-elect to administer or not administer the statewide assessments. The majority of the LEAs elected to not administer the statewide assessment. The data reported in this APR is the first to reflect pre-pandemic conditions with the exception of the learning loss which occurred.</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0EFAA7F7" w14:textId="0BFA8C12" w:rsidR="00247959" w:rsidRPr="00781112" w:rsidRDefault="002B7490" w:rsidP="000A2C83">
      <w:pPr>
        <w:rPr>
          <w:rFonts w:cs="Arial"/>
          <w:color w:val="000000" w:themeColor="text1"/>
          <w:szCs w:val="16"/>
        </w:rPr>
      </w:pPr>
      <w:r w:rsidRPr="00781112">
        <w:rPr>
          <w:rFonts w:cs="Arial"/>
          <w:color w:val="000000" w:themeColor="text1"/>
          <w:szCs w:val="16"/>
        </w:rPr>
        <w:t>None</w:t>
      </w: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on alternate assessments based on alternate academic achievement standards, at the State, district and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933CC1B" w14:textId="33153724" w:rsidR="00A63347" w:rsidRPr="00781112" w:rsidRDefault="003D7F56" w:rsidP="00486457">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r w:rsidR="00A63347"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39.82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31.27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39.45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11.15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10.07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28.86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39.42</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38.97</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38.52</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38.07</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37.62</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31.27</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30.82</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30.37</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29.92</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29.47</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39.45</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38.55</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38.10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37.65</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11.15</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10.74</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10.33</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9.92</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9.51</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10.07</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9.66</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9.25</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8.84</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8.43</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28.86</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28.45</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28.04</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27.63</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27.22</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3, Academic Achievement Standards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21,507</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23,871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19,982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3,577</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3,925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2,486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6,497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7,282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6,403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1,123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673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213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186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124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115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153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99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21,517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23,860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19,939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3,582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3,915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2,487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4,477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4,375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3,053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750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361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86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136</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54</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79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57</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29</w:t>
            </w:r>
          </w:p>
        </w:tc>
      </w:tr>
    </w:tbl>
    <w:p w14:paraId="1EA160DB" w14:textId="77777777" w:rsidR="00DD5B7A" w:rsidRPr="00781112" w:rsidRDefault="00DD5B7A" w:rsidP="00DD5B7A">
      <w:pPr>
        <w:rPr>
          <w:color w:val="000000" w:themeColor="text1"/>
        </w:rPr>
      </w:pPr>
    </w:p>
    <w:p w14:paraId="73C943BB" w14:textId="77777777" w:rsidR="00486457" w:rsidRDefault="00486457">
      <w:pPr>
        <w:spacing w:before="0" w:after="200" w:line="276" w:lineRule="auto"/>
        <w:rPr>
          <w:b/>
          <w:color w:val="000000" w:themeColor="text1"/>
        </w:rPr>
      </w:pPr>
      <w:r>
        <w:rPr>
          <w:b/>
          <w:color w:val="000000" w:themeColor="text1"/>
        </w:rPr>
        <w:br w:type="page"/>
      </w:r>
    </w:p>
    <w:p w14:paraId="300D6CD4" w14:textId="4FF1369F"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8.41%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35.43%</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39.82</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39.42</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27.02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7.06%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33.32%</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31.27</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31.27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26.27</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6.32%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33.11%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39.45</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39.45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26.79</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6.00%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24.29%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11.15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11.15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18.29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2.84%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19.85%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10.07</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10.07</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17.01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1.93%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15.74%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28.86</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28.86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13.81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The data for Group A has been analyzed and the data suggests the slippage is due to the effects of the COVID-19 pandemic on student assessment data.  School year 2021-2022, was the first school year in the state where students were assessed.  In 2019-2020, the state received a waiver from administering the assessment.  In 2020-2021, the state received a participation waiver and only some LEAs administered the statewide assessments.  This lack of exposure to assessments also contributed to the decline in student performance on assessments.  The state will continue to work to close the learning loss gap created by the COVID-19 pandemic.</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The data for Group B has been analyzed and the data suggests the slippage is due to the effects of the COVID-19 pandemic on student assessment data.  School year 2021-2022, was the first school year in the state where students were assessed.  In 2019-2020, the state received a waiver from administering the assessment.  In 2020-2021, the state received a participation waiver and only some LEAs administered the statewide assessments.  This lack of exposure to assessments also contributed to the decline in student performance on assessments.  The state will continue to work to close the learning loss gap created by the COVID-19 pandemic.</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This indicator has been greatly impacted by the COVID-19 pandemic over the past two years. In 2019-2020, the state received a waiver from the U.S. Department of Education (DOE), waiving the requirement to administer the statewide assessments to all students due to the pandemic. In 2020-2021, the state received another waiver from the U.S. DOE. from meeting the Every Student Succeeds Act (ESEA), 95% statewide assessment participation rate requirement for all students. The state then gave LEAs the opportunity to self-elect to administer or not administer the statewide assessments. The majority of the LEAs elected to not administer the statewide assessment. The data reported in this APR is the first to reflect pre-pandemic conditions with the exception of the learning loss which occurred.</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2"/>
      <w:bookmarkEnd w:id="23"/>
    </w:p>
    <w:p w14:paraId="6B24B370" w14:textId="77777777" w:rsidR="006E5AE4" w:rsidRPr="00781112" w:rsidRDefault="006E5AE4" w:rsidP="00A018D4">
      <w:pPr>
        <w:rPr>
          <w:color w:val="000000" w:themeColor="text1"/>
          <w:szCs w:val="20"/>
        </w:rPr>
      </w:pPr>
      <w:bookmarkStart w:id="25" w:name="_Toc384383331"/>
      <w:bookmarkStart w:id="26"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7" w:name="_Toc384383332"/>
      <w:bookmarkStart w:id="28" w:name="_Toc392159284"/>
      <w:bookmarkEnd w:id="25"/>
      <w:bookmarkEnd w:id="26"/>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0.81%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0.80%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0.80%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0.71%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0.71%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0.68%</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0.55%</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0.42%</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0.29%</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0.16%</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4, Suspensions/Expulsions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2AE297AB" w14:textId="77777777" w:rsidR="007E6F97" w:rsidRPr="00781112" w:rsidRDefault="007E6F97" w:rsidP="004369B2">
      <w:pPr>
        <w:rPr>
          <w:color w:val="000000" w:themeColor="text1"/>
        </w:rPr>
      </w:pPr>
    </w:p>
    <w:bookmarkEnd w:id="27"/>
    <w:bookmarkEnd w:id="28"/>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147</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146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0.71%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0.68%</w:t>
            </w:r>
          </w:p>
        </w:tc>
        <w:tc>
          <w:tcPr>
            <w:tcW w:w="584" w:type="pct"/>
            <w:shd w:val="clear" w:color="auto" w:fill="auto"/>
          </w:tcPr>
          <w:p w14:paraId="411F4E7C" w14:textId="3F91560C" w:rsidR="00A862C3" w:rsidRPr="00781112" w:rsidRDefault="005C4EF3"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Data on the suspensions and expulsions of children with disabilities was derived from the IDEA Section 618 data submitted by LEAs via the State data collection system and database, STARS. The information was submitted in STARS using unique student identification numbers for each student and infraction. The data uploaded in the STARS system was validated by State staff.</w:t>
      </w:r>
      <w:r w:rsidRPr="00781112">
        <w:rPr>
          <w:rFonts w:cs="Arial"/>
          <w:color w:val="000000" w:themeColor="text1"/>
          <w:szCs w:val="16"/>
        </w:rPr>
        <w:br/>
      </w:r>
      <w:r w:rsidRPr="00781112">
        <w:rPr>
          <w:rFonts w:cs="Arial"/>
          <w:color w:val="000000" w:themeColor="text1"/>
          <w:szCs w:val="16"/>
        </w:rPr>
        <w:br/>
        <w:t xml:space="preserve"> This validated data was used to populate the Information Collection 1820-0621 (Report of Children with Disabilities Unilaterally Removed or Suspended/Expelled for More than 10 Days) for the school year 2020-21 due in November 2021. Information Collection 1820-0621 (Report of Children with Disabilities Unilaterally Removed or Suspended/Expelled for More than 10 Days) was used to determine significant discrepancy.</w:t>
      </w:r>
      <w:r w:rsidRPr="00781112">
        <w:rPr>
          <w:rFonts w:cs="Arial"/>
          <w:color w:val="000000" w:themeColor="text1"/>
          <w:szCs w:val="16"/>
        </w:rPr>
        <w:br/>
      </w:r>
      <w:r w:rsidRPr="00781112">
        <w:rPr>
          <w:rFonts w:cs="Arial"/>
          <w:color w:val="000000" w:themeColor="text1"/>
          <w:szCs w:val="16"/>
        </w:rPr>
        <w:br/>
        <w:t xml:space="preserve">The State uses the “state bar” method for defining significant discrepancy. The State compared the rates of suspensions and expulsions of greater than 10 days in a school year for children with IEPs among LEAs in the State. The FFY2021 state rate (based on 2020-21 data) for suspending/expelling students with disabilities for more than ten days is 0.0074%. The State sets the state bar as one percentage points higher than the state rate. Thus, any LEA that suspends or expels 1.0074% or more of its students with disabilities for more than ten days is flagged for significant discrepancy. The LEA must have a “cell” size of greater than 10 with suspensions and expulsions of students with disabilities greater than 10 days in a school year.  </w:t>
      </w:r>
    </w:p>
    <w:p w14:paraId="47F07052" w14:textId="77777777" w:rsidR="00BB504D" w:rsidRPr="00781112" w:rsidRDefault="00BB504D" w:rsidP="004369B2">
      <w:pPr>
        <w:rPr>
          <w:b/>
          <w:color w:val="000000" w:themeColor="text1"/>
        </w:rPr>
      </w:pPr>
      <w:bookmarkStart w:id="29" w:name="_Toc384383334"/>
      <w:bookmarkStart w:id="30"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In FFY 2021 (using 2020-21 data), no LEA in the State was found to have significant discrepancy in the rates of suspensions and expulsions of greater than 10 days in a school year of students with IEPs.  No LEAs met the minimum cell size, therefore, all LEAs were excluded.</w:t>
      </w:r>
      <w:r w:rsidRPr="00781112">
        <w:rPr>
          <w:rFonts w:cs="Arial"/>
          <w:color w:val="000000" w:themeColor="text1"/>
          <w:szCs w:val="16"/>
        </w:rPr>
        <w:br/>
      </w:r>
      <w:r w:rsidRPr="00781112">
        <w:rPr>
          <w:rFonts w:cs="Arial"/>
          <w:color w:val="000000" w:themeColor="text1"/>
          <w:szCs w:val="16"/>
        </w:rPr>
        <w:br/>
        <w:t>The low suspension/expulsion rate was due to many LEAs providing  virtual learning during the majority of the  2020-21 school year. Prior to COVID, the state’s indicator 4 rates were much higher than the school year, .416% (SY 2019-2020) and .251% (SY 2018-2019).  Given this, the threshold set at +1% created a rather conservative definition of significant discrepancy.  Considering the extremely low state rate in the recent years due to the COVID-19 school closures, the thresholds may not look as conservative.  NM will be exploring alternative ways of defining significant discrepancy in the coming year.</w:t>
      </w:r>
    </w:p>
    <w:bookmarkEnd w:id="29"/>
    <w:bookmarkEnd w:id="30"/>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No LEA was found to have significant discrepancy, therefore no review of policies, procedures and practices were required.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31" w:name="_Toc381956335"/>
      <w:bookmarkStart w:id="32" w:name="_Toc384383336"/>
      <w:bookmarkStart w:id="33"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The State reported that 146 districts met the minimum n size requirement, and 147 districts did not meet the minimum n size requirement and were excluded from the calculation. The number of districts excluded from the calculation because they do not meet the minimum “n” size, plus the number of districts that met the State- established minimum “n” size, do not equal the total number of districts the State reported in either the FFY 2020 Introduction (which was 147). Therefore, OSEP could not determine whether the State met its target.</w:t>
      </w:r>
      <w:r w:rsidRPr="00781112">
        <w:rPr>
          <w:rFonts w:cs="Arial"/>
          <w:color w:val="000000" w:themeColor="text1"/>
          <w:szCs w:val="16"/>
        </w:rPr>
        <w:br/>
      </w:r>
      <w:r w:rsidRPr="00781112">
        <w:rPr>
          <w:rFonts w:cs="Arial"/>
          <w:color w:val="000000" w:themeColor="text1"/>
          <w:szCs w:val="16"/>
        </w:rPr>
        <w:br/>
        <w:t>Additionally, 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1"/>
      <w:bookmarkEnd w:id="32"/>
      <w:bookmarkEnd w:id="33"/>
    </w:p>
    <w:p w14:paraId="1BA30D93" w14:textId="77777777" w:rsidR="008637F8" w:rsidRPr="00781112" w:rsidRDefault="008637F8" w:rsidP="00A018D4">
      <w:pPr>
        <w:rPr>
          <w:color w:val="000000" w:themeColor="text1"/>
          <w:szCs w:val="20"/>
        </w:rPr>
      </w:pPr>
      <w:bookmarkStart w:id="34" w:name="_Toc384383338"/>
      <w:bookmarkStart w:id="35"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0AB62C59" w14:textId="77777777" w:rsidR="00486457" w:rsidRPr="00781112" w:rsidRDefault="00486457"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0BA41193" w14:textId="77777777" w:rsidR="00486457" w:rsidRPr="00781112" w:rsidRDefault="00486457"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0.81%</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4"/>
    <w:bookmarkEnd w:id="35"/>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147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146</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45A11020" w:rsidR="00DE45AB" w:rsidRPr="00781112" w:rsidRDefault="005C4EF3"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6"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Data on the suspensions and expulsions of children with disabilities was derived from the IDEA Section 618 data submitted by LEAs via the State data collection system and database, STARS. The information was submitted in STARS using unique student identification numbers for each student and infraction. The data uploaded in the STARS system was validated by State staff.</w:t>
      </w:r>
      <w:r w:rsidRPr="00781112">
        <w:rPr>
          <w:rFonts w:cs="Arial"/>
          <w:color w:val="000000" w:themeColor="text1"/>
          <w:szCs w:val="16"/>
        </w:rPr>
        <w:br/>
      </w:r>
      <w:r w:rsidRPr="00781112">
        <w:rPr>
          <w:rFonts w:cs="Arial"/>
          <w:color w:val="000000" w:themeColor="text1"/>
          <w:szCs w:val="16"/>
        </w:rPr>
        <w:br/>
        <w:t xml:space="preserve"> This validated data was used to populate the Information Collection 1820-0621 (Report of Children with Disabilities Unilaterally Removed or Suspended/Expelled for More than 10 Days) for the school year 2020-21 due in November 2021. Information Collection 1820-0621 (Report of Children with Disabilities Unilaterally Removed or Suspended/Expelled for More than 10 Days) was used to determine significant discrepancy.</w:t>
      </w:r>
      <w:r w:rsidRPr="00781112">
        <w:rPr>
          <w:rFonts w:cs="Arial"/>
          <w:color w:val="000000" w:themeColor="text1"/>
          <w:szCs w:val="16"/>
        </w:rPr>
        <w:br/>
        <w:t xml:space="preserve"> </w:t>
      </w:r>
      <w:r w:rsidRPr="00781112">
        <w:rPr>
          <w:rFonts w:cs="Arial"/>
          <w:color w:val="000000" w:themeColor="text1"/>
          <w:szCs w:val="16"/>
        </w:rPr>
        <w:br/>
        <w:t>The State uses the “state bar” method for defining significant discrepancy. The State compared the rates of suspensions and expulsions of greater than 10 days in a school year for children with IEPs among LEAs in the State. The FFY2021 state rate (based on 2020-21 data) for suspending/expelling students with disabilities for more than ten days is 0.0074%. The State sets the state bar as one percentage points higher than the state rate. Thus, any LEA that suspends or expels 1.0074% or more of its students with disabilities for more than ten days is flagged for significant discrepancy. The LEA must have a “cell” size of greater than 10 with suspensions and expulsions of students with disabilities greater than 10 days in a school year. Note that the State examines significant discrepancy by race and ethnicity. Every LEA has a suspension rate calculated for each of the seven race/ethnicity categories.  Some LEAs don’t have any students with disabilities of a given race/ethnicity, but the State calculates it for every racial/ethnic category that is present at a given LEA.  The state bar that the State uses for each racial/ethnic group is the same state bar that was used for 4A (i.e., the 1.0074%); in other words, the State applies the same state bar to each and every racial/ethnic group. A LEA has significant discrepancy when its suspension/expulsion rate for children with disabilities from any racial/ethnic group is 1.0074% or higher.</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In FFY 2021 (using 2020-21 data), no LEA in the State was found to have significant discrepancy in the rates of suspensions and expulsions of greater than 10 days in a school year of students with IEPs, by race/ethnicity.  No LEAs met the minimum cell size, therefore, all LEAs were excluded.</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lastRenderedPageBreak/>
        <w:t>No LEA was found to have significant discrepancy, therefore no review of policies, procedures and practices were required.</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The State reported that 146 districts met the minimum n size requirement, and 147 districts did not meet the minimum n size requirement and were excluded from the calculation. The number of districts excluded from the calculation because they do not meet the minimum “n” size, plus the number of districts that met the State- established minimum “n” size, do not equal the total number of districts the State reported in either the FFY 2020 Introduction (which was 147). Therefore, OSEP could not determine whether the State met its target.</w:t>
      </w:r>
      <w:r w:rsidRPr="00781112">
        <w:rPr>
          <w:rFonts w:cs="Arial"/>
          <w:color w:val="000000" w:themeColor="text1"/>
          <w:szCs w:val="16"/>
        </w:rPr>
        <w:br/>
      </w:r>
      <w:r w:rsidRPr="00781112">
        <w:rPr>
          <w:rFonts w:cs="Arial"/>
          <w:color w:val="000000" w:themeColor="text1"/>
          <w:szCs w:val="16"/>
        </w:rPr>
        <w:br/>
        <w:t>Additionally, the State’s chosen methodology results in a threshold for measuring significant discrepancy, by race or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6"/>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4"/>
      <w:bookmarkEnd w:id="36"/>
    </w:p>
    <w:p w14:paraId="52AD89A1" w14:textId="77777777" w:rsidR="00775845" w:rsidRPr="00781112" w:rsidRDefault="00775845" w:rsidP="00A018D4">
      <w:pPr>
        <w:rPr>
          <w:color w:val="000000" w:themeColor="text1"/>
          <w:szCs w:val="20"/>
        </w:rPr>
      </w:pPr>
      <w:bookmarkStart w:id="3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51.53%</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51.38%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49.82%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49.93%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48.95%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51.38%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52.51%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16.59%</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17.10%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18.62%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18.14%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17.66%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17.10%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16.42%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0.39%</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0.68%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51.68%</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51.83%</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51.98%</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52.13%</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52.28%</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16.08%</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15.57%</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15.06%</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14.55%</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14.04%</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0.38%</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0.37%</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0.36%</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0.35%</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0.34%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5, Education Environments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 xml:space="preserve">SY 2021-22 Child Count/Educational Environment </w:t>
            </w:r>
            <w:r w:rsidRPr="00781112">
              <w:rPr>
                <w:rFonts w:cs="Arial"/>
                <w:color w:val="000000" w:themeColor="text1"/>
                <w:szCs w:val="16"/>
              </w:rPr>
              <w:lastRenderedPageBreak/>
              <w:t>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lastRenderedPageBreak/>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51,143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26,816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8,197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186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167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26,816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51,143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52.51%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51.68%</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52.43%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8,197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51,143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16.08%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16.03%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381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51,143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0.68%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0.38%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0.74%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When students returned to in-person learning, the State saw an overall increase in the number of parents, who selected to home-school their students. This movement to homeschool included students with disabilities, especially for those students with health conditions. This contributed to the increase in the number of students with disabilities that were in homebound placements and for the State not meeting the target for Indicator 5C.</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52.58%</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41.57%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44.12%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46.13%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52.08%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53.38%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32.33%</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40.49%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25.52%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32.83%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30.19%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6, Preschool Environments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52.08%</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32.83%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25.00%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53.08%</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54.08%</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55.58%</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57.58%</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60.08%</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31.83%</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30.83%</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29.33%</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27.33%</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24.83%</w:t>
            </w:r>
          </w:p>
        </w:tc>
      </w:tr>
    </w:tbl>
    <w:p w14:paraId="27170CED" w14:textId="772C81FC" w:rsidR="00E428BD" w:rsidRDefault="00E428BD" w:rsidP="004369B2">
      <w:pPr>
        <w:rPr>
          <w:color w:val="000000" w:themeColor="text1"/>
        </w:rPr>
      </w:pPr>
      <w:bookmarkStart w:id="39" w:name="_Toc382082378"/>
      <w:bookmarkStart w:id="4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24.00%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23.00%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21.50%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19.50%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17.00%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1,067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1,676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187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2,930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418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971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126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1,515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367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393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789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30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66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1,515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2,930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53.38%</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53.08%</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51.71%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lastRenderedPageBreak/>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855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2,930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30.19%</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31.83%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29.18%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12</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2,930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24.00%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0.41%</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The state anticipated a decline in the number of children with IEPs, ages 3 to 5 in preschool, that would be in a regular early childhood program and receiving the majority of special education and related services in the regular early childhood program since the 5 year old students in Kindergarten were removed from the measurement. This is the reason the state established new baselines and targets for this indicator in Federal Fiscal Year (FFY) 2020. The decline or slippage in the number of children receiving the majority of services in a regular early childhood program is a result of the state not having a universal preschool program for children that are 3 years old. This creates an issue with ensuring that children with IEPs are in a regular early childhood program for this age group.</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9"/>
      <w:bookmarkEnd w:id="40"/>
    </w:p>
    <w:p w14:paraId="1404DCF9" w14:textId="77777777" w:rsidR="00531E54" w:rsidRPr="00781112" w:rsidRDefault="00531E54" w:rsidP="00A018D4">
      <w:pPr>
        <w:rPr>
          <w:color w:val="000000" w:themeColor="text1"/>
          <w:szCs w:val="20"/>
        </w:rPr>
      </w:pPr>
      <w:bookmarkStart w:id="4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69.01%</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69.01%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75.95%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78.16%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72.82%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71.78%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69.01%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41.92%</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41.92%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49.82%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45.17%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44.34%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41.92%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69.03%</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69.03%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75.31%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73.02%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70.81%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69.03%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50.35%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50.35%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37.09%</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37.09%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49.54%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45.19%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40.01%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37.09%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76.85%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76.85%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68.91%</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68.91%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76.84%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74.75%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73.80%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68.91%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62.33%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62.33%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62.35%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62.35%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49.76%</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49.76%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58.18%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53.04%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53.78%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49.76%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69.51%</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70.01%</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71.01%</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72.51%</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74.51%</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42.42%</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42.92%</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43.92%</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45.42%</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47.42%</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69.53%</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70.03%</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71.03%</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72.53%</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74.53%</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37.59%</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38.09%</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39.09%</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40.59%</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42.59%</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69.41%</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69.91%</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70.91%</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72.41%</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74.41%</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50.26%</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50.76%</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51.76%</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53.26%</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55.26%</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7, Preschool Outcomes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3,048</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94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3.08%</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507</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16.63%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1,016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33.33%</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789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25.89%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642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21.06%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w:t>
            </w:r>
            <w:r w:rsidRPr="00781112">
              <w:rPr>
                <w:rFonts w:cs="Arial"/>
                <w:color w:val="000000" w:themeColor="text1"/>
                <w:szCs w:val="16"/>
              </w:rPr>
              <w:lastRenderedPageBreak/>
              <w:t xml:space="preserve">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1,805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2,406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69.01%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69.51%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75.02%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1,431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3,048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41.92%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42.42%</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46.95%</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107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3.51%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541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17.75%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1,070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35.10%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762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25.00%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568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18.64%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1,832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2,480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69.03%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69.53%</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73.87%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1,330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3,048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37.09%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37.59%</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43.64%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84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2.76%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453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14.86%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858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28.15%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25.36%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880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28.87%</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1,631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2,168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68.91%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69.41%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75.23%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1,653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3,048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49.76%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50.26%</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54.23%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2" w:name="_Toc382082381"/>
      <w:bookmarkStart w:id="4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State has four approved instruments from which LEAs can select the instrument they want to use for gathering data for this indicator. The approved instruments are Brigance, Creative Curriculum, Work Sampling, and NM Pre-K Observational Assessment. LEAs may also petition the Special Education Division to request to use a different instrument. The Special Education Division can elect to approve or disapprove the instrument proposed by the LEA. If a non-approved instrument is used by an LEA, the state's database will cause an error notifying the LEA the instrument is not approved.</w:t>
      </w:r>
      <w:r w:rsidRPr="00781112">
        <w:rPr>
          <w:rFonts w:cs="Arial"/>
          <w:color w:val="000000" w:themeColor="text1"/>
          <w:szCs w:val="16"/>
        </w:rPr>
        <w:br/>
      </w:r>
      <w:r w:rsidRPr="00781112">
        <w:rPr>
          <w:rFonts w:cs="Arial"/>
          <w:color w:val="000000" w:themeColor="text1"/>
          <w:szCs w:val="16"/>
        </w:rPr>
        <w:br/>
        <w:t>Students with disabilities, ages 3 to 5, receiving special education and related services must have an entry and exit early childhood assessment completed each year the child is receiving services. The students are assessed in three content areas: Behavior, Social Emotional and Language Acquisition. Students enrolled in an early childhood program for more than 30 days from the end of the school year, are required to have an early childhood entry assessment completed. The early childhood entry assessment is required to be administered within 30 days from the child’s program start date, in the current school year. Early childhood exit assessments are administered at least six months after the entry assessment was administered. An exit assessment is required if the student was enrolled in the program for at least six months.</w:t>
      </w:r>
      <w:r w:rsidRPr="00781112">
        <w:rPr>
          <w:rFonts w:cs="Arial"/>
          <w:color w:val="000000" w:themeColor="text1"/>
          <w:szCs w:val="16"/>
        </w:rPr>
        <w:br/>
      </w:r>
      <w:r w:rsidRPr="00781112">
        <w:rPr>
          <w:rFonts w:cs="Arial"/>
          <w:color w:val="000000" w:themeColor="text1"/>
          <w:szCs w:val="16"/>
        </w:rPr>
        <w:br/>
        <w:t>LEAs utilize the Childhood Outcomes Summary Form (COSF) calculator to identify a Progress Achieved Code which best identifies each child's level of performance. The data from the entry and exit assessments are then reported in the STARS system. The entry and exit data can be reported during any of the four State reporting periods, 40, 80, 120 and End of Year; however, the State requires the data to be reported in STARS at the earliest reporting period after the assessment was administered.</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State has been working with LEAs to improve data submissions and quality of early childhood outcomes data submitted in STARS. Indicator 7 data is reviewed and monitored each of the four state required reporting periods and LEAs must ensure their data is submitted and is complete. Data reports are also connected to the students age and when a student with disabilities that is age 3 to 5 (and in preschool), LEAs must enter preschool outcome data or the report will cause an error prompting the LEA to submit early childhood outcome data to clear the error. These systems have supported the improvement of LEA data submissions for Indicator 7.</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2"/>
      <w:bookmarkEnd w:id="43"/>
    </w:p>
    <w:p w14:paraId="66FBCA03" w14:textId="77777777" w:rsidR="00B654C1" w:rsidRPr="00781112" w:rsidRDefault="00B654C1" w:rsidP="00A018D4">
      <w:pPr>
        <w:rPr>
          <w:color w:val="000000" w:themeColor="text1"/>
          <w:szCs w:val="20"/>
        </w:rPr>
      </w:pPr>
      <w:bookmarkStart w:id="4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5"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5"/>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8, Parent Involvement was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80.20%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80.84%</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82.45%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81.83%</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85.90%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84.08%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81.48%</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82.12%</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82.76%</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83.40%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84.04%</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3,239</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3,911</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84.08%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81.48%</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82.82%</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total sample of parents is drawn at the LEA level from stratified groups prior to the sample being selected. Groups are stratified by 1. race/ethnicity 2. school grade (which includes preschool as a grade) and 3. primary disability. Sample sizes are based on the number of students with disabilities, including preschool, in each LEA.  The SEA addresses problems with response rates by completing two rounds of surveys, an electronic and paper version. The electronic surveys are sent out first. For those parents that do not respond to the electronic survey, a paper survey is mailed out.   Although the survey contains 25 questions, only question one of the survey is included in the numerator calculation for Indicator 8. As long as the parent responds to question one, the information is included in the LEA and state survey results.  To minimize selection bias in the survey, the State utilizes a contractor who independently selects the sample based on the sampling plan.  </w:t>
      </w:r>
      <w:r w:rsidRPr="00781112">
        <w:rPr>
          <w:rFonts w:cs="Arial"/>
          <w:color w:val="000000" w:themeColor="text1"/>
          <w:szCs w:val="16"/>
        </w:rPr>
        <w:br/>
      </w:r>
      <w:r w:rsidRPr="00781112">
        <w:rPr>
          <w:rFonts w:cs="Arial"/>
          <w:color w:val="000000" w:themeColor="text1"/>
          <w:szCs w:val="16"/>
        </w:rPr>
        <w:br/>
        <w:t>In FFY 2021, preschool parents represented about 8% of the total respondents, with 329 parents responding. Results are weighted by LEA to make sure that the overall state parent involvement percentage is an accurate reflection of the experiences of parents of students with disabilities age 3 to 21 across the state.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15,844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24.68%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25.93%</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24.68%</w:t>
            </w:r>
          </w:p>
        </w:tc>
      </w:tr>
      <w:bookmarkEnd w:id="4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strategies that will be implemented which are expected to increase the response rate year over year, particularly for those groups that are underrepresented, are listed below:</w:t>
      </w:r>
      <w:r w:rsidRPr="0061205F">
        <w:rPr>
          <w:rFonts w:cs="Arial"/>
          <w:bCs/>
          <w:color w:val="000000" w:themeColor="text1"/>
          <w:szCs w:val="16"/>
        </w:rPr>
        <w:br/>
        <w:t xml:space="preserve">- Parents selected for the the survey can complete the survey either electronically or on a paper form. The electronic survey is sent via cell phone and email. Parents that do not respond to the electronic survey are mailed out a paper survey for completion. </w:t>
      </w:r>
      <w:r w:rsidRPr="0061205F">
        <w:rPr>
          <w:rFonts w:cs="Arial"/>
          <w:bCs/>
          <w:color w:val="000000" w:themeColor="text1"/>
          <w:szCs w:val="16"/>
        </w:rPr>
        <w:br/>
        <w:t>- The parent survey is available in the Navajo and Spanish languages for those that may need the survey in these versions in order to respond to the survey.</w:t>
      </w:r>
      <w:r w:rsidRPr="0061205F">
        <w:rPr>
          <w:rFonts w:cs="Arial"/>
          <w:bCs/>
          <w:color w:val="000000" w:themeColor="text1"/>
          <w:szCs w:val="16"/>
        </w:rPr>
        <w:br/>
        <w:t xml:space="preserve">- A hotline was available for Spanish speaking parents that have questions or need support in completing the survey. </w:t>
      </w:r>
      <w:r w:rsidRPr="0061205F">
        <w:rPr>
          <w:rFonts w:cs="Arial"/>
          <w:bCs/>
          <w:color w:val="000000" w:themeColor="text1"/>
          <w:szCs w:val="16"/>
        </w:rPr>
        <w:br/>
        <w:t xml:space="preserve">- Data is stratified prior to the sample being selected to ensure that each race/ethnic group is represented appropriately in the sample. </w:t>
      </w:r>
      <w:r w:rsidRPr="0061205F">
        <w:rPr>
          <w:rFonts w:cs="Arial"/>
          <w:bCs/>
          <w:color w:val="000000" w:themeColor="text1"/>
          <w:szCs w:val="16"/>
        </w:rPr>
        <w:br/>
        <w:t xml:space="preserve">- The State is also considering developing an app for parents to use to respond. </w:t>
      </w:r>
      <w:r w:rsidRPr="0061205F">
        <w:rPr>
          <w:rFonts w:cs="Arial"/>
          <w:bCs/>
          <w:color w:val="000000" w:themeColor="text1"/>
          <w:szCs w:val="16"/>
        </w:rPr>
        <w:br/>
        <w:t>- Another consideration is possibly aligning survey administration with IEP meetings.</w:t>
      </w:r>
      <w:r w:rsidRPr="0061205F">
        <w:rPr>
          <w:rFonts w:cs="Arial"/>
          <w:bCs/>
          <w:color w:val="000000" w:themeColor="text1"/>
          <w:szCs w:val="16"/>
        </w:rPr>
        <w:br/>
        <w:t>- Expanding the timeframe which the survey response period is open.</w:t>
      </w:r>
      <w:r w:rsidRPr="0061205F">
        <w:rPr>
          <w:rFonts w:cs="Arial"/>
          <w:bCs/>
          <w:color w:val="000000" w:themeColor="text1"/>
          <w:szCs w:val="16"/>
        </w:rPr>
        <w:br/>
        <w:t>- Develop an advertising campaign to explain what the survey is about and encourage them to complete and return the survey.</w:t>
      </w:r>
      <w:r w:rsidRPr="0061205F">
        <w:rPr>
          <w:rFonts w:cs="Arial"/>
          <w:bCs/>
          <w:color w:val="000000" w:themeColor="text1"/>
          <w:szCs w:val="16"/>
        </w:rPr>
        <w:br/>
        <w:t>- Coordinate with LEAs who are currently not included in the process. Once the sample is selected by the contractor, share with the LEA so they can also encourage participation.</w:t>
      </w:r>
      <w:r w:rsidRPr="0061205F">
        <w:rPr>
          <w:rFonts w:cs="Arial"/>
          <w:bCs/>
          <w:color w:val="000000" w:themeColor="text1"/>
          <w:szCs w:val="16"/>
        </w:rPr>
        <w:br/>
        <w:t>- Separating preschool from school-age parent surveys to obtain feedback to better inform programming.</w:t>
      </w:r>
      <w:r w:rsidRPr="0061205F">
        <w:rPr>
          <w:rFonts w:cs="Arial"/>
          <w:bCs/>
          <w:color w:val="000000" w:themeColor="text1"/>
          <w:szCs w:val="16"/>
        </w:rPr>
        <w:br/>
        <w:t>- Discuss strategies to increase responses from the parents of students with Specific Learning Disability (SLD).</w:t>
      </w:r>
      <w:r w:rsidRPr="0061205F">
        <w:rPr>
          <w:rFonts w:cs="Arial"/>
          <w:bCs/>
          <w:color w:val="000000" w:themeColor="text1"/>
          <w:szCs w:val="16"/>
        </w:rPr>
        <w:br/>
      </w:r>
      <w:r w:rsidRPr="0061205F">
        <w:rPr>
          <w:rFonts w:cs="Arial"/>
          <w:bCs/>
          <w:color w:val="000000" w:themeColor="text1"/>
          <w:szCs w:val="16"/>
        </w:rPr>
        <w:br/>
        <w:t xml:space="preserve">The Special Education Division will continue to explore using multiple administration methods to increase the response rate.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7" w:name="_Hlk81486999"/>
      <w:r w:rsidRPr="0061205F">
        <w:rPr>
          <w:rFonts w:cs="Arial"/>
          <w:b/>
          <w:color w:val="000000" w:themeColor="text1"/>
          <w:szCs w:val="16"/>
        </w:rPr>
        <w:t>of the response rate including any nonresponse bias that was identified,</w:t>
      </w:r>
      <w:bookmarkEnd w:id="4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state analyzed the response rate in two ways:</w:t>
      </w:r>
      <w:r>
        <w:rPr>
          <w:rFonts w:cs="Arial"/>
          <w:szCs w:val="16"/>
        </w:rPr>
        <w:br/>
        <w:t>Race/ethnicity: The representativeness of the responses examined by race/ethnicity revealed that the respondents matched the racial/ethnic make-up of the students with disabilities in the state.</w:t>
      </w:r>
      <w:r>
        <w:rPr>
          <w:rFonts w:cs="Arial"/>
          <w:szCs w:val="16"/>
        </w:rPr>
        <w:br/>
      </w:r>
      <w:r>
        <w:rPr>
          <w:rFonts w:cs="Arial"/>
          <w:szCs w:val="16"/>
        </w:rPr>
        <w:br/>
        <w:t>Early/late responses: Responses of parents who responded early in the process to those who responded later in the process. The idea being that perhaps those who do not immediately respond and needed multiple prompts to respond are different in some meaningful way than those who respond immediately. These results showed no statistically significant differences between parents who responded earlier and parents who responded later. Therefore, we conclude that nonresponse bias is not present.</w:t>
      </w:r>
      <w:r>
        <w:rPr>
          <w:rFonts w:cs="Arial"/>
          <w:szCs w:val="16"/>
        </w:rPr>
        <w:br/>
      </w:r>
      <w:r>
        <w:rPr>
          <w:rFonts w:cs="Arial"/>
          <w:szCs w:val="16"/>
        </w:rPr>
        <w:br/>
        <w:t xml:space="preserve">The steps taken to reduce any identified bias include three attempts to obtain a response from parents. The first and second surveys are sent out simultaneously, via text message and email. If a parent does not respond to the text message and email, a paper survey is mailed out to the parent. The paper survey includes a stamped return envelope, so the parent does not have to pay to return the survey. The survey is also available in three languages, English, Navajo and Spanish. </w:t>
      </w:r>
      <w:r>
        <w:rPr>
          <w:rFonts w:cs="Arial"/>
          <w:szCs w:val="16"/>
        </w:rPr>
        <w:br/>
      </w:r>
      <w:r>
        <w:rPr>
          <w:rFonts w:cs="Arial"/>
          <w:szCs w:val="16"/>
        </w:rPr>
        <w:lastRenderedPageBreak/>
        <w:br/>
        <w:t>The previous section describes the state's steps to promote responses from a broad cross section or parents of children with disabilities.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8" w:name="_Hlk112070690"/>
      <w:bookmarkStart w:id="49"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8"/>
    <w:bookmarkEnd w:id="49"/>
    <w:p w14:paraId="513A1FE6" w14:textId="77777777" w:rsidR="00090132" w:rsidRDefault="00090132" w:rsidP="006F6351">
      <w:pPr>
        <w:rPr>
          <w:b/>
          <w:bCs/>
        </w:rPr>
      </w:pPr>
      <w:r w:rsidRPr="000A2B9F">
        <w:rPr>
          <w:bCs/>
          <w:color w:val="000000" w:themeColor="text1"/>
        </w:rPr>
        <w:t>The State compared the representation by race/ethnicity in the population to the representation in the respondents using a +/- 3% criteria to identify over-or under-representativeness. Using this methodology, no differences were found by race/ethnicity. The children receiving special education services population consists of 10.28% of Native Americans, 63.94% of Hispanics, and 20.75% of Whites in the state. The respondents consist of 10.36% of Native Americans, 61.76% of Hispanics, and 25.52% of Caucasians. The differences for Native Americans and Hispanics were within the +/- 3% criteria. For Caucasians, the difference was +4.77%.</w:t>
      </w:r>
      <w:r w:rsidRPr="000A2B9F">
        <w:rPr>
          <w:bCs/>
          <w:color w:val="000000" w:themeColor="text1"/>
        </w:rPr>
        <w:br/>
      </w:r>
      <w:r w:rsidRPr="000A2B9F">
        <w:rPr>
          <w:bCs/>
          <w:color w:val="000000" w:themeColor="text1"/>
        </w:rPr>
        <w:br/>
        <w:t>Survey representation was also compared by disability category. All disability categories were closely represented by the disability categories in the state using the +/- 3% criteria to identify over-or under-representativeness. Children in the state are receiving special education services in the following disability categories: 16.27% Speech/Language Impairment; 8.60% Autism and 8.37% Developmental Delay. The respondents consist of 19% Speech/Language Impairment; 9% Autism and 10% Developmental Delay. It was found that the category of Other Health Impairment was over-represented by 4.47%, while the Specific Learning Disability category was underrepresented by 9.15%. Although these variances existed, the overall totals matched the total percentages of children receiving services in the state. Specific Learning Disability is the largest disability category at 46.15% and represented the largest respondent group at 37%. Speech/Language was the second largest group and had the second largest group of respondents and so on. Therefore, this signifies that the demographics of parents are representative of the demographics of children receiving special education services by disability category.</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strategies the state will use to ensure that in the future, the response data are representative of demographics of underrepresented groups, are listed below:</w:t>
      </w:r>
      <w:r w:rsidRPr="000A2B9F">
        <w:rPr>
          <w:b w:val="0"/>
          <w:bCs/>
          <w:color w:val="000000" w:themeColor="text1"/>
        </w:rPr>
        <w:br/>
        <w:t xml:space="preserve"> - Institute a phone survey to eliminate accessibility issues.</w:t>
      </w:r>
      <w:r w:rsidRPr="000A2B9F">
        <w:rPr>
          <w:b w:val="0"/>
          <w:bCs/>
          <w:color w:val="000000" w:themeColor="text1"/>
        </w:rPr>
        <w:br/>
        <w:t xml:space="preserve"> - Expand the timeframe in which the survey response period is open.</w:t>
      </w:r>
      <w:r w:rsidRPr="000A2B9F">
        <w:rPr>
          <w:b w:val="0"/>
          <w:bCs/>
          <w:color w:val="000000" w:themeColor="text1"/>
        </w:rPr>
        <w:br/>
        <w:t xml:space="preserve"> - Develop an advertising campaign to explain what the survey is about and encourage Parents to complete and return the survey.</w:t>
      </w:r>
      <w:r w:rsidRPr="000A2B9F">
        <w:rPr>
          <w:b w:val="0"/>
          <w:bCs/>
          <w:color w:val="000000" w:themeColor="text1"/>
        </w:rPr>
        <w:br/>
        <w:t xml:space="preserve"> - Coordinate with LEAs who are currently not included in the process. Once the sample is selected by the contractor, share with the LEA so they can also encourage participation.</w:t>
      </w:r>
      <w:r w:rsidRPr="000A2B9F">
        <w:rPr>
          <w:b w:val="0"/>
          <w:bCs/>
          <w:color w:val="000000" w:themeColor="text1"/>
        </w:rPr>
        <w:br/>
        <w:t xml:space="preserve"> - Separate preschool from school-age parent surveys. </w:t>
      </w:r>
      <w:r w:rsidRPr="000A2B9F">
        <w:rPr>
          <w:b w:val="0"/>
          <w:bCs/>
          <w:color w:val="000000" w:themeColor="text1"/>
        </w:rPr>
        <w:br/>
        <w:t xml:space="preserve">- Discuss strategies to increase responses from the parents of students with Specific Learning Disability (SLD).   </w:t>
      </w:r>
      <w:r w:rsidRPr="000A2B9F">
        <w:rPr>
          <w:b w:val="0"/>
          <w:bCs/>
          <w:color w:val="000000" w:themeColor="text1"/>
        </w:rPr>
        <w:br/>
        <w:t xml:space="preserve">- Increase accessibility by having the survey available options such as Braille, large print, etc. for parents that may have disabilities also. </w:t>
      </w:r>
      <w:r w:rsidRPr="000A2B9F">
        <w:rPr>
          <w:b w:val="0"/>
          <w:bCs/>
          <w:color w:val="000000" w:themeColor="text1"/>
        </w:rPr>
        <w:br/>
      </w:r>
      <w:r w:rsidRPr="000A2B9F">
        <w:rPr>
          <w:b w:val="0"/>
          <w:bCs/>
          <w:color w:val="000000" w:themeColor="text1"/>
        </w:rPr>
        <w:br/>
        <w:t xml:space="preserve">The Special Education Division will continue to explore using multiple administration methods to increase the response rate.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3% discrepancy in the proportion of responders compared to the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The sampling plan submitted to OSEP was implemented. Sampling is completed at the LEA level. A stratified, random sample of students with disabilities are selected from each LEA based on race/ethnicity, school grade and primary disability. When calculating state-level results, responses are weighted by the student with disability population size (e.g., a LEA that has four times the number of students with disabilities as another LEA will receive four times the weight in computing overall state results.) Since the sampling plan is based on a representative sample from each LEA, and the proper weighting is done in the analysis, the State is assured that the Indicator 8 results are reliable and valid.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B5350E" w:rsidP="00A018D4">
            <w:pPr>
              <w:jc w:val="center"/>
              <w:rPr>
                <w:rFonts w:cs="Arial"/>
                <w:color w:val="000000" w:themeColor="text1"/>
                <w:szCs w:val="16"/>
              </w:rPr>
            </w:pP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Although response rates and the number of respondent parents reported schools facilitated parent involvement as a means of improving services and results for children with disabilities both decreased in FFY 2021; the State will continue to strategize and develop plans for improving parent involvement and response rates as described above. </w:t>
      </w:r>
    </w:p>
    <w:p w14:paraId="1CDDE440" w14:textId="050C9555" w:rsidR="000A2C83" w:rsidRPr="00781112" w:rsidRDefault="00752BAF" w:rsidP="008645AD">
      <w:pPr>
        <w:pStyle w:val="Heading2"/>
      </w:pPr>
      <w:r w:rsidRPr="00781112">
        <w:lastRenderedPageBreak/>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In the FFY2021 SPP/APR , the State did report that its FFY2021 data are from a response group this is representative of the demographics of children receiving special education services.  The State stratified the data, as indicated in the State's Sampling plan, to ensure that the data was representative of the demographics of children receiving special education services.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0" w:name="_Toc384383343"/>
      <w:bookmarkStart w:id="5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2" w:name="_Toc384383344"/>
      <w:bookmarkStart w:id="53" w:name="_Toc392159312"/>
      <w:bookmarkEnd w:id="50"/>
      <w:bookmarkEnd w:id="51"/>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2"/>
      <w:bookmarkEnd w:id="53"/>
    </w:tbl>
    <w:p w14:paraId="12089170" w14:textId="77777777" w:rsidR="00486457" w:rsidRDefault="00486457">
      <w:pPr>
        <w:rPr>
          <w:b/>
          <w:color w:val="000000" w:themeColor="text1"/>
        </w:rPr>
      </w:pPr>
    </w:p>
    <w:p w14:paraId="02F1BFAA" w14:textId="77777777" w:rsidR="00486457" w:rsidRDefault="00486457">
      <w:pPr>
        <w:spacing w:before="0" w:after="200" w:line="276" w:lineRule="auto"/>
        <w:rPr>
          <w:b/>
          <w:color w:val="000000" w:themeColor="text1"/>
        </w:rPr>
      </w:pPr>
      <w:r>
        <w:rPr>
          <w:b/>
          <w:color w:val="000000" w:themeColor="text1"/>
        </w:rPr>
        <w:br w:type="page"/>
      </w:r>
    </w:p>
    <w:p w14:paraId="77101B89" w14:textId="6DC03D04"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120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4" w:name="_Hlk494459610"/>
      <w:r w:rsidRPr="00781112">
        <w:rPr>
          <w:rFonts w:cs="Arial"/>
          <w:color w:val="000000" w:themeColor="text1"/>
          <w:szCs w:val="16"/>
        </w:rPr>
        <w:t>For an LEA to be considered as having disproportionate representation of racial and ethnic groups in special education and related services that was the result of inappropriate identification, the following criteria must be met:</w:t>
      </w:r>
      <w:r w:rsidRPr="00781112">
        <w:rPr>
          <w:rFonts w:cs="Arial"/>
          <w:color w:val="000000" w:themeColor="text1"/>
          <w:szCs w:val="16"/>
        </w:rPr>
        <w:br/>
        <w:t xml:space="preserve">• An “n" size of greater than 10 students or more in the racial and ethnic groups; and </w:t>
      </w:r>
      <w:r w:rsidRPr="00781112">
        <w:rPr>
          <w:rFonts w:cs="Arial"/>
          <w:color w:val="000000" w:themeColor="text1"/>
          <w:szCs w:val="16"/>
        </w:rPr>
        <w:br/>
        <w:t>• Risk Ratio (RR) and Alternate Risk Ratio (ARR) of 3.0 or above (over-representation) for students ages 5 in Kindergarten – 21; and</w:t>
      </w:r>
      <w:r w:rsidRPr="00781112">
        <w:rPr>
          <w:rFonts w:cs="Arial"/>
          <w:color w:val="000000" w:themeColor="text1"/>
          <w:szCs w:val="16"/>
        </w:rPr>
        <w:br/>
        <w:t>• Deficient policies, procedures, and/or practices.</w:t>
      </w:r>
      <w:r w:rsidRPr="00781112">
        <w:rPr>
          <w:rFonts w:cs="Arial"/>
          <w:color w:val="000000" w:themeColor="text1"/>
          <w:szCs w:val="16"/>
        </w:rPr>
        <w:br/>
        <w:t>One year of data is used in the calculation.</w:t>
      </w:r>
    </w:p>
    <w:bookmarkEnd w:id="5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No LEAs were identified as demonstrating possible disproportionate representation of racial and ethnic groups in special education and related services. If an LEA(s) were identified through the RR or ARR, the LEA(s) would be notified in writing of the disproportionate representation and be required to complete the Indicator 9 Self-Assessment Protocol. The purpose of the self-assessment is to identify if the LEA(s) has deficient policies, procedures, and practices. The State would examine the self-assessment to determine if the policies, procedures, and practices are deficient and contributed to the inappropriate identification. </w:t>
      </w:r>
      <w:r w:rsidRPr="00781112">
        <w:rPr>
          <w:rFonts w:cs="Arial"/>
          <w:color w:val="000000" w:themeColor="text1"/>
          <w:szCs w:val="16"/>
        </w:rPr>
        <w:br/>
      </w:r>
      <w:r w:rsidRPr="00781112">
        <w:rPr>
          <w:rFonts w:cs="Arial"/>
          <w:color w:val="000000" w:themeColor="text1"/>
          <w:szCs w:val="16"/>
        </w:rPr>
        <w:br/>
        <w:t>In addition, the State would send a list of students to the LEA(s) who may have been inappropriately identified in the "possible disproportionate representation" finding. The LEA(s) is then required to submit the following documents for a review by the State: Student Assistance Team (SAT) paperwork for each flagged student, reason for referral, length of time in SAT, interventions implemented, reason student was sent for testing/evaluation, diagnostic report, and/or Review of Existing Evaluation Data (REED). The information is reviewed to determine what portion(s) of the LEA's policies, procedures, and practices need to be updated and/or revised.</w:t>
      </w:r>
      <w:r w:rsidRPr="00781112">
        <w:rPr>
          <w:rFonts w:cs="Arial"/>
          <w:color w:val="000000" w:themeColor="text1"/>
          <w:szCs w:val="16"/>
        </w:rPr>
        <w:br/>
      </w:r>
      <w:r w:rsidRPr="00781112">
        <w:rPr>
          <w:rFonts w:cs="Arial"/>
          <w:color w:val="000000" w:themeColor="text1"/>
          <w:szCs w:val="16"/>
        </w:rPr>
        <w:br/>
        <w:t>Upon conclusion of this process, the State determines whether the disproportionate representation was the result of inappropriate identification.</w:t>
      </w:r>
    </w:p>
    <w:p w14:paraId="3B71A72A" w14:textId="77777777" w:rsidR="00DF1529" w:rsidRPr="00781112" w:rsidRDefault="00DF1529" w:rsidP="00DF1529">
      <w:pPr>
        <w:rPr>
          <w:rFonts w:cs="Arial"/>
          <w:b/>
          <w:color w:val="000000" w:themeColor="text1"/>
          <w:szCs w:val="16"/>
        </w:rPr>
      </w:pPr>
      <w:bookmarkStart w:id="55" w:name="_Toc381956337"/>
      <w:bookmarkStart w:id="56" w:name="_Toc384383347"/>
      <w:bookmarkStart w:id="57"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Out of 148 LEAs, 28 LEAs were not included in the calculation because the LEAs did not meet the minimum "cell” size of 11. In other words, the LEA did not have greater than 10 students in any of the seven racial/ethnic categories. 120 LEAs met the State's minimum "cell" size. In FFY 2021, zero LEAs were considered to have disproportionate representation of racial and ethnic groups in special education and related services that is the result of inappropriate identification. The State is compliant with Indicator 9 and had no slippage.</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5"/>
      <w:bookmarkEnd w:id="56"/>
      <w:bookmarkEnd w:id="5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8" w:name="_Toc384383348"/>
      <w:bookmarkStart w:id="5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AB6BF06" w14:textId="77777777" w:rsidR="00486457" w:rsidRPr="00781112" w:rsidRDefault="00486457" w:rsidP="00286BDF">
      <w:pPr>
        <w:rPr>
          <w:rFonts w:cs="Arial"/>
          <w:color w:val="000000" w:themeColor="text1"/>
          <w:szCs w:val="16"/>
        </w:rPr>
      </w:pPr>
    </w:p>
    <w:p w14:paraId="307820E6" w14:textId="2418F86F" w:rsidR="00B70FBF" w:rsidRPr="00781112" w:rsidRDefault="009F64D5" w:rsidP="008645AD">
      <w:pPr>
        <w:pStyle w:val="Heading2"/>
      </w:pPr>
      <w:bookmarkStart w:id="60" w:name="_Toc384383349"/>
      <w:bookmarkStart w:id="61" w:name="_Toc392159317"/>
      <w:bookmarkEnd w:id="58"/>
      <w:bookmarkEnd w:id="5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0"/>
      <w:bookmarkEnd w:id="61"/>
    </w:tbl>
    <w:p w14:paraId="1840A66A" w14:textId="77777777" w:rsidR="00BA687C" w:rsidRDefault="00BA687C" w:rsidP="004369B2">
      <w:pPr>
        <w:rPr>
          <w:color w:val="000000" w:themeColor="text1"/>
        </w:rPr>
      </w:pPr>
    </w:p>
    <w:p w14:paraId="668ED57F" w14:textId="77777777" w:rsidR="00486457" w:rsidRPr="00781112" w:rsidRDefault="00486457"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2" w:name="_Hlk20258880"/>
      <w:r w:rsidRPr="00781112">
        <w:rPr>
          <w:rFonts w:cs="Arial"/>
          <w:color w:val="000000" w:themeColor="text1"/>
          <w:szCs w:val="16"/>
        </w:rPr>
        <w:t>YES</w:t>
      </w:r>
    </w:p>
    <w:bookmarkEnd w:id="62"/>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92</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An LEA is considered to have disproportionate representation of racial and ethnic groups in a specific disability category that was the result of inappropriate identification if the following criteria are met:</w:t>
      </w:r>
      <w:r w:rsidRPr="00781112">
        <w:rPr>
          <w:rFonts w:cs="Arial"/>
          <w:color w:val="000000" w:themeColor="text1"/>
          <w:szCs w:val="16"/>
        </w:rPr>
        <w:br/>
        <w:t xml:space="preserve">• A “cell” size of greater than 10 students or more in the racial and ethnic groups and the specific disability category; and </w:t>
      </w:r>
      <w:r w:rsidRPr="00781112">
        <w:rPr>
          <w:rFonts w:cs="Arial"/>
          <w:color w:val="000000" w:themeColor="text1"/>
          <w:szCs w:val="16"/>
        </w:rPr>
        <w:br/>
        <w:t xml:space="preserve">• A risk ratio (RR) and alternate risk ratio (ARR) of 3.0 or above (over representation) for students aged 5 in Kindergarten - 21; and </w:t>
      </w:r>
      <w:r w:rsidRPr="00781112">
        <w:rPr>
          <w:rFonts w:cs="Arial"/>
          <w:color w:val="000000" w:themeColor="text1"/>
          <w:szCs w:val="16"/>
        </w:rPr>
        <w:br/>
        <w:t>• Deficient policies, procedures, and/or practices.</w:t>
      </w:r>
      <w:r w:rsidRPr="00781112">
        <w:rPr>
          <w:rFonts w:cs="Arial"/>
          <w:color w:val="000000" w:themeColor="text1"/>
          <w:szCs w:val="16"/>
        </w:rPr>
        <w:br/>
        <w:t>One year of data is used in the calculation.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No LEAs were identified as demonstrating possible disproportionate representation of racial and ethnic groups in special education and related services. If an LEA(s) were identified, the LEA(s) would be notified in writing of the disproportionate representation and be required to complete the Indicator 10 Self-Assessment Protocol.  The purpose of the self-assessment is to determine if the LEAs have deficient policies, procedures, and practices.  The State would examine the self-assessment to determine if the policies, procedures, and practices are deficient and contributed to the inappropriate identification. </w:t>
      </w:r>
      <w:r w:rsidRPr="00781112">
        <w:rPr>
          <w:rFonts w:cs="Arial"/>
          <w:color w:val="000000" w:themeColor="text1"/>
          <w:szCs w:val="16"/>
        </w:rPr>
        <w:br/>
      </w:r>
      <w:r w:rsidRPr="00781112">
        <w:rPr>
          <w:rFonts w:cs="Arial"/>
          <w:color w:val="000000" w:themeColor="text1"/>
          <w:szCs w:val="16"/>
        </w:rPr>
        <w:br/>
        <w:t>In addition, the State would send a list of students to the LEA(s) who may have been inappropriately identified in the "possible disproportionate representation" finding. The LEA(s) is then required to submit the following documents for a review by the State: Student Assistance Team (SAT) paperwork for each flagged student, reason for referral, length of time in SAT, interventions implemented, reason student was sent for testing/evaluation, diagnostic report, and/or Review of Existing Evaluation Data (REED). The information is reviewed to determine what portion(s) of the LEA's policies, procedures, and practices need to be updated.</w:t>
      </w:r>
      <w:r w:rsidRPr="00781112">
        <w:rPr>
          <w:rFonts w:cs="Arial"/>
          <w:color w:val="000000" w:themeColor="text1"/>
          <w:szCs w:val="16"/>
        </w:rPr>
        <w:br/>
      </w:r>
      <w:r w:rsidRPr="00781112">
        <w:rPr>
          <w:rFonts w:cs="Arial"/>
          <w:color w:val="000000" w:themeColor="text1"/>
          <w:szCs w:val="16"/>
        </w:rPr>
        <w:br/>
        <w:t>Upon conclusion of this process, the State determines whether the disproportionate representation was the result of inappropriate identification.</w:t>
      </w:r>
    </w:p>
    <w:p w14:paraId="1FCF1BF3" w14:textId="77777777" w:rsidR="00DF1529" w:rsidRPr="00781112" w:rsidRDefault="00DF1529" w:rsidP="00DF1529">
      <w:pPr>
        <w:rPr>
          <w:rFonts w:cs="Arial"/>
          <w:b/>
          <w:color w:val="000000" w:themeColor="text1"/>
          <w:szCs w:val="16"/>
        </w:rPr>
      </w:pPr>
      <w:bookmarkStart w:id="63" w:name="_Toc381956338"/>
      <w:bookmarkStart w:id="64" w:name="_Toc384383352"/>
      <w:bookmarkStart w:id="65"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Out of 148 LEAs, 56 LEAs were excluded from the calculation because the LEAs did not meet the minimum "cell” size requirement. In other words, the LEA did not have greater than 10 students in any of the seven racial/ethnic categories for any of the 6 disability categories. 92 LEAs met the State's minimum "n" size. In FFY 2021, zero LEAs were found to have disproportionate representation of racial and ethnic groups in specific disability categories that is the result of inappropriate identification. The State met the target.</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95A2046" w14:textId="77777777" w:rsidR="00486457" w:rsidRDefault="00486457" w:rsidP="004369B2">
      <w:pPr>
        <w:rPr>
          <w:b/>
          <w:color w:val="000000" w:themeColor="text1"/>
        </w:rPr>
      </w:pPr>
    </w:p>
    <w:p w14:paraId="2849C17C" w14:textId="77777777" w:rsidR="00486457" w:rsidRDefault="00486457">
      <w:pPr>
        <w:spacing w:before="0" w:after="200" w:line="276" w:lineRule="auto"/>
        <w:rPr>
          <w:b/>
          <w:color w:val="000000" w:themeColor="text1"/>
        </w:rPr>
      </w:pPr>
      <w:r>
        <w:rPr>
          <w:b/>
          <w:color w:val="000000" w:themeColor="text1"/>
        </w:rPr>
        <w:br w:type="page"/>
      </w:r>
    </w:p>
    <w:p w14:paraId="60BB42FC" w14:textId="6194E609"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3"/>
      <w:bookmarkEnd w:id="64"/>
      <w:bookmarkEnd w:id="65"/>
    </w:p>
    <w:p w14:paraId="4F5D642D" w14:textId="77777777" w:rsidR="00E119B0" w:rsidRPr="00781112" w:rsidRDefault="00E119B0" w:rsidP="00A018D4">
      <w:pPr>
        <w:rPr>
          <w:color w:val="000000" w:themeColor="text1"/>
          <w:szCs w:val="20"/>
        </w:rPr>
      </w:pPr>
      <w:bookmarkStart w:id="66" w:name="_Toc384383353"/>
      <w:bookmarkStart w:id="6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6"/>
      <w:bookmarkEnd w:id="6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80.00%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99.06%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99.66%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99.64%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99.67%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95.31%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3292E950" w14:textId="77777777" w:rsidR="00486457" w:rsidRDefault="00486457">
      <w:pPr>
        <w:spacing w:before="0" w:after="200" w:line="276" w:lineRule="auto"/>
        <w:rPr>
          <w:b/>
          <w:color w:val="000000" w:themeColor="text1"/>
        </w:rPr>
      </w:pPr>
      <w:r>
        <w:rPr>
          <w:b/>
          <w:color w:val="000000" w:themeColor="text1"/>
        </w:rPr>
        <w:br w:type="page"/>
      </w:r>
    </w:p>
    <w:p w14:paraId="3FAEB3AB" w14:textId="30908033"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8,932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8,868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95.31%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99.28%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64 children were include in (a) but not included in (b).   The number of days beyond the timeline range from 1 to 596.  </w:t>
      </w:r>
      <w:r w:rsidRPr="00781112">
        <w:rPr>
          <w:color w:val="000000" w:themeColor="text1"/>
        </w:rPr>
        <w:br/>
      </w:r>
      <w:r w:rsidRPr="00781112">
        <w:rPr>
          <w:color w:val="000000" w:themeColor="text1"/>
        </w:rPr>
        <w:br/>
        <w:t xml:space="preserve">The reasons for the delays reported by LEAs in completing initial evaluations by the 60 day timeframe include the following: </w:t>
      </w:r>
      <w:r w:rsidRPr="00781112">
        <w:rPr>
          <w:color w:val="000000" w:themeColor="text1"/>
        </w:rPr>
        <w:br/>
        <w:t xml:space="preserve">- 4.17% of LEAs reported that the sixty day timeline fell on the weekend, holiday or during other school closure and did not make arrangements to ensure that the evaluation was completed prior to the non-working days. </w:t>
      </w:r>
      <w:r w:rsidRPr="00781112">
        <w:rPr>
          <w:color w:val="000000" w:themeColor="text1"/>
        </w:rPr>
        <w:br/>
        <w:t>- 12.49% reported no service provider was available to complete the evaluation. The state is experiencing a shortage of teachers and related service providers.</w:t>
      </w:r>
      <w:r w:rsidRPr="00781112">
        <w:rPr>
          <w:color w:val="000000" w:themeColor="text1"/>
        </w:rPr>
        <w:br/>
        <w:t xml:space="preserve">- 16.67% reported that the parent requested a delay in the completion of evaluation. </w:t>
      </w:r>
      <w:r w:rsidRPr="00781112">
        <w:rPr>
          <w:color w:val="000000" w:themeColor="text1"/>
        </w:rPr>
        <w:br/>
        <w:t>- 66.67% reported evaluation scheduling issues and difficulty scheduling the evaluation with parent.</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State collects the data for Indicator 11 through the State database, the Student Teacher Accountability Reporting System (STARS). Data is collected four times each school year as required by State statute. The reporting periods are called the 40th, 80th, 120th and End of Year. At each reporting period, LEAs upload their data into the STARS system. The STARS system contains business rules which check the dates for the signed parental consent for evaluation, to the date when evaluations were completed, to ensure the process happened within 60 days. LEAs that miss the 60 day timeline must submit a non-compliance code with their data to indicate the reason(s) the timeline was missed. </w:t>
      </w:r>
      <w:r w:rsidRPr="00781112">
        <w:rPr>
          <w:rFonts w:cs="Arial"/>
          <w:color w:val="000000" w:themeColor="text1"/>
          <w:szCs w:val="16"/>
        </w:rPr>
        <w:br/>
      </w:r>
      <w:r w:rsidRPr="00781112">
        <w:rPr>
          <w:rFonts w:cs="Arial"/>
          <w:color w:val="000000" w:themeColor="text1"/>
          <w:szCs w:val="16"/>
        </w:rPr>
        <w:br/>
        <w:t>Once the LEAs have submitted the data, State staff review the LEA data. Two reviews of the data are conducted. The first review is a Data Quality Review to ensure that the data is timely, valid and reliable. This review is completed by the Data Supervisor. The second review is the General Supervision Review where the data is reviewed to ensure that LEAs are meeting the requirements under IDEA, Part B including compliance with indicator 11. Any issues are noted and LEAs are supported with noted issues. FFY2021 is the first year this two-part data review was implemented.</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The State has continued to make strides to improve the indicator 11 data. The two part data review process described in the previous section has made am impact in the quality of the data submitted by LEAs. Also, the use of data as a tool for monitoring LEAs to ensure compliance with the requirements is making an impact on child find compliance requirements. The monitoring process triggers immediate follow-up with LEAs at each state reporting period. </w:t>
      </w:r>
      <w:r w:rsidRPr="00781112">
        <w:rPr>
          <w:rFonts w:cs="Arial"/>
          <w:color w:val="000000" w:themeColor="text1"/>
          <w:szCs w:val="16"/>
        </w:rPr>
        <w:br/>
      </w:r>
      <w:r w:rsidRPr="00781112">
        <w:rPr>
          <w:rFonts w:cs="Arial"/>
          <w:color w:val="000000" w:themeColor="text1"/>
          <w:szCs w:val="16"/>
        </w:rPr>
        <w:br/>
        <w:t>Although the State saw a decrease in the Indicator 11 data for FFY 2020, to 95.31% from 99.67% the previous fiscal year, which was expected due to the impact of the COVID-19 pandemic, the state rebounded in FFY 2021 with a rate of 99.28%. The State is not exactly at the rate prior to the pandemic but are rebounding from the effects of the pandemic and are on the trajectory to continue to improve the completion of evaluations for children.</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In accordance with the OSEP Memo 09-02, the State verified that the source of noncompliance is correctly implementing the regulatory requirements, within one-year, through a follow-up review process. 16 LEAs demonstrated no further non-compliance within one-year and the State has determined these LEAs are correctly implementing the specific regulatory requirements based on the following review of updated data (achieved 100% compliance). The verification review consisted of a three-step process.</w:t>
      </w:r>
      <w:r w:rsidRPr="00781112">
        <w:rPr>
          <w:rFonts w:cs="Arial"/>
          <w:color w:val="000000" w:themeColor="text1"/>
          <w:szCs w:val="16"/>
        </w:rPr>
        <w:br/>
      </w:r>
      <w:r w:rsidRPr="00781112">
        <w:rPr>
          <w:rFonts w:cs="Arial"/>
          <w:color w:val="000000" w:themeColor="text1"/>
          <w:szCs w:val="16"/>
        </w:rPr>
        <w:br/>
        <w:t xml:space="preserve"> First, each LEA completed a Root Cause Analysis (RCA). The RCA process requires LEAs to review their own policies, practices and procedures to ensure compliance and identify any issues within their policies, practices and procedures which may be causing the non-compliance to occur. Each of the 16 LEAs submitted a completed RCA to the state which identified varying contributing factors for the non-compliance which ranged from lack of staff to the need to establish procedures when timelines fall during non-working and non-school days.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 Second, the state reviewed each of the 16 RCAs submitted by the LEAs along with the policies, practices and procedures. A Corrective Action Plan (CAP) was developed for each of the 16 LEAs to address the areas the LEA and state identified, whether regulatory or non-regulatory, that are contributing to the non-compliance. The CAP included action steps, timelines for completion of each action step and the documentation required to verify each LEA completed the required action step(s) for the identified issues. The LEAs were required to submit documentation evidencing all action steps were complete, the state reviewed the documentation submitted for each action step and verified each item as corrected. Once all action steps of the CAP were completed and the state was assured the LEA was correctly implementing regulatory requirements, the CAP was closed by the state. The State implemented a new process for FYY 2021which added rigor to the process and includes a final review of all information and determination for CAP closure by the Deputy Director of Special Education.</w:t>
      </w:r>
      <w:r w:rsidRPr="00781112">
        <w:rPr>
          <w:rFonts w:cs="Arial"/>
          <w:color w:val="000000" w:themeColor="text1"/>
          <w:szCs w:val="16"/>
        </w:rPr>
        <w:br/>
      </w:r>
      <w:r w:rsidRPr="00781112">
        <w:rPr>
          <w:rFonts w:cs="Arial"/>
          <w:color w:val="000000" w:themeColor="text1"/>
          <w:szCs w:val="16"/>
        </w:rPr>
        <w:br/>
        <w:t xml:space="preserve"> Third, subsequent data submitted by the LEAs into the State’s database, STARS, was reviewed by the state. At the time the data was reviewed, each of the 16 LEAs had a score of 100% for Indicator 11. In addition, in FFY 2021, the State instituted a new process to include an independent review of LEA files and information. The state collected signed parental consents and initial evaluations for review for a random sampling of students. All documents reviewed demonstrated each LEA was compliant with the 60 day timeline. Once the STARS data and documents were verified, the state determined each LEA met the above conditions for each of the three steps necessary to ensure the regulatory requirements are being implemented correctly, and thereby each of the 16 LEAs were correctly implementing the regulatory requirements within one year from the identification of the non-compliance.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State verified that each individual case of non-compliance was corrected.  First, the State reviewed the indicator 11 Summary Report generated by the STARS system to obtain a list of students that did not have an evaluation completed by the 60 day timeline.</w:t>
      </w:r>
      <w:r w:rsidRPr="00781112">
        <w:rPr>
          <w:rFonts w:cs="Arial"/>
          <w:color w:val="000000" w:themeColor="text1"/>
          <w:szCs w:val="16"/>
        </w:rPr>
        <w:br/>
      </w:r>
      <w:r w:rsidRPr="00781112">
        <w:rPr>
          <w:rFonts w:cs="Arial"/>
          <w:color w:val="000000" w:themeColor="text1"/>
          <w:szCs w:val="16"/>
        </w:rPr>
        <w:br/>
        <w:t xml:space="preserve"> Second, the State reviewed the Indicator 11 Summary Report to determine if an evaluation date was entered for each student identified in the first step, even if the date was after the 60 day timeline. If the evaluation date was in the STARS system, the individual case of non-compliance was considered corrected. If the evaluation date was not in the STARS system, the State contacted the LEA and requested evaluation and parent consent for evaluation documentation to determine the status of the evaluation. The State monitored the STARS system until each evaluation was completed and/or documentation was provided to confirm each student received an evaluation. All students in the 16 LEAs identified in the first step had an evaluation completed within one year as verified through the STARS system or a documentation review, thus it was determined each individual case of non-compliance was corrected within  one year from the identification of the non-compliance.</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The 3 LEAs which remain noncompliant have corrected the noncompliance at the student level or individual cases of non-compliance but have not met Prong 2 requirements.  Therefore, the 3 LEAs have not satisfied the correction of noncompliance requirements.  We anticipate by the clarification period, the LEAs will have satisfied the Prong 2 requirements.</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State has addressed the Prior FFY Required Action in the "Correction of Findings of Noncompliance Identified in FYY 2020" section of the FFY2021 APR.  See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 xml:space="preserve">The State did not report whether it has established a timeline, and if so, what the State's timeline is for initial evaluations, as required by the Measurement Table.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report whether it has established a timeline, and if so, what the State's timeline is for initial evaluations, as required by the Measurement Table. </w:t>
      </w:r>
      <w:r w:rsidRPr="00781112">
        <w:rPr>
          <w:rFonts w:cs="Arial"/>
          <w:color w:val="000000" w:themeColor="text1"/>
          <w:szCs w:val="16"/>
        </w:rPr>
        <w:br/>
      </w:r>
      <w:r w:rsidRPr="00781112">
        <w:rPr>
          <w:rFonts w:cs="Arial"/>
          <w:color w:val="000000" w:themeColor="text1"/>
          <w:szCs w:val="16"/>
        </w:rPr>
        <w:br/>
        <w:t xml:space="preserve">Because the State reported less than 100% compliance for FFY 2021, the State must report on the status of correction of noncompliance identified in FFY 2021 for this indicator. In addition, the State must demonstrate, in the FFY 2022 SPP/APR, that the remaining 3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w:t>
      </w:r>
      <w:r w:rsidRPr="00781112">
        <w:rPr>
          <w:rFonts w:cs="Arial"/>
          <w:color w:val="000000" w:themeColor="text1"/>
          <w:szCs w:val="16"/>
        </w:rPr>
        <w:lastRenderedPageBreak/>
        <w:t xml:space="preserve">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5" w:name="_Toc384383359"/>
      <w:bookmarkStart w:id="76"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94.40%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5"/>
          <w:bookmarkEnd w:id="7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96.06%</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99.48%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83.90%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97.41%</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91.64%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949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762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137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762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798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91.64%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95.49%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36</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36 children were included (a), but not in b, c, d, e or f. The range of days beyond the third birthday when eligibility was determined and the IEP was developed were 1 to 196. The reasons for the delays are as follows:</w:t>
      </w:r>
      <w:r w:rsidRPr="00781112">
        <w:rPr>
          <w:bCs/>
          <w:color w:val="000000" w:themeColor="text1"/>
        </w:rPr>
        <w:br/>
        <w:t>- 5.56% of children withdrew from Part C by parent prior to the child's third birthday.</w:t>
      </w:r>
      <w:r w:rsidRPr="00781112">
        <w:rPr>
          <w:bCs/>
          <w:color w:val="000000" w:themeColor="text1"/>
        </w:rPr>
        <w:br/>
        <w:t>- 5.56% of children moved out of the LEA's educational jurisdiction.</w:t>
      </w:r>
      <w:r w:rsidRPr="00781112">
        <w:rPr>
          <w:bCs/>
          <w:color w:val="000000" w:themeColor="text1"/>
        </w:rPr>
        <w:br/>
        <w:t>- 5.56% of children's third birthdays were on a weekend, holiday or during other school closures. LEAs did not ensure the student's IEP was developed prior to these time periods when school was closed.</w:t>
      </w:r>
      <w:r w:rsidRPr="00781112">
        <w:rPr>
          <w:bCs/>
          <w:color w:val="000000" w:themeColor="text1"/>
        </w:rPr>
        <w:br/>
        <w:t>- 33.33% of children's parents requested a delay in holding the IEP meeting.</w:t>
      </w:r>
      <w:r w:rsidRPr="00781112">
        <w:rPr>
          <w:bCs/>
          <w:color w:val="000000" w:themeColor="text1"/>
        </w:rPr>
        <w:br/>
        <w:t>- 50.00% of LEAs reported having evaluation scheduling issues, difficulty scheduling IEPs with parents and other delays.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7" w:name="_Hlk20318414"/>
      <w:bookmarkEnd w:id="77"/>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State collects the data for Indicator 12 through the State database, the Student Teacher Accountability Reporting System (STARS). Data is collected four times each school year as required by State statute. The reporting periods are called the 40th, 80th, 120th and End of Year. At each reporting period, LEAs upload their data into the STARS system. The STARS system contains business rules which checks for each child's third birthdate and the date(s) the IEP was developed and implemented, to ensure each child that requires it has an IEP developed and implemented by the third birthday. LEAs that do not have an IEP developed and implemented by a child's third birthday, must submit a non-compliance code with their data to indicate the reason(s) the timeline was missed. </w:t>
      </w:r>
      <w:r w:rsidRPr="00781112">
        <w:rPr>
          <w:rFonts w:cs="Arial"/>
          <w:color w:val="000000" w:themeColor="text1"/>
          <w:szCs w:val="16"/>
        </w:rPr>
        <w:br/>
      </w:r>
      <w:r w:rsidRPr="00781112">
        <w:rPr>
          <w:rFonts w:cs="Arial"/>
          <w:color w:val="000000" w:themeColor="text1"/>
          <w:szCs w:val="16"/>
        </w:rPr>
        <w:br/>
        <w:t>Once the LEAs have submitted their data, State staff review the LEA data. Two reviews of the data are conducted. The first review is a Data Quality Review to ensure that the data is timely, valid and reliable. This review is completed by the Data Supervisor. The second review is the General Supervision Review where the data is reviewed to ensure that LEAs are meeting the requirements under IDEA, part B including compliance with indicator 12. Any issues are noted and LEAs are supported with any noted issues. FFY2021 is the first year this two-part data review was implemented.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Over the past few years, the data for this indicator has fluctuated. In FFY 2021, the 95.49% rate was an improvement over the FFY2020 rate of 91.64%. This can be attributed to the emphasis the State has placed on quality data submissions of all data points through the STARS system. We will continue to improve processes and work with the Part C program to cross-reference data points.</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source of noncompliance is correctly implementing the regulatory requirements through a follow-up review process, that the 12 LEAs demonstrated no further non-compliance within the OSEP required timeline of 12 months and were correctly implementing the specific regulatory requirements (achieved 100% compliance) based on the following review of updated data. This determination was made using a three-step process. First, each LEA completed a Root Cause Analysis (RCA). The RCA process requires LEAs to review their own policies, practices and procedures to ensure compliance and identify any issues within the policies, practices and procedures which are causing the non-compliance to occur. Each of the 12 LEAs submitted a completed RCA to the state and had varying contributing factors for the non-compliance from the need to strengthen monitoring of data points associated with indicator 12 to a need for training. </w:t>
      </w:r>
      <w:r w:rsidRPr="00781112">
        <w:rPr>
          <w:rFonts w:cs="Arial"/>
          <w:color w:val="000000" w:themeColor="text1"/>
          <w:szCs w:val="16"/>
        </w:rPr>
        <w:br/>
      </w:r>
      <w:r w:rsidRPr="00781112">
        <w:rPr>
          <w:rFonts w:cs="Arial"/>
          <w:color w:val="000000" w:themeColor="text1"/>
          <w:szCs w:val="16"/>
        </w:rPr>
        <w:lastRenderedPageBreak/>
        <w:br/>
        <w:t xml:space="preserve">Second, the State reviewed each of the 12 RCAs submitted by the LEAs along with the policies, practices and procedures. A Corrective Action Plan (CAP) was developed for each of the 12 LEAs to address the areas the LEA and state identified, whether regulatory or non-regulatory, that are contributing to the non-compliance. The CAP included action steps, timelines for completion of each action step and the documentation required to verify each LEA completed the required action step(s) for the identified issues. The LEAs were required to submit documentation evidencing all action steps were complete, the state reviewed the documentation submitted for each action step and verified each item as corrected. Once all action steps of the CAP were completed and the state was assured the LEA was correctly implementing regulatory requirements, the CAP was closed by the State. </w:t>
      </w:r>
      <w:r w:rsidRPr="00781112">
        <w:rPr>
          <w:rFonts w:cs="Arial"/>
          <w:color w:val="000000" w:themeColor="text1"/>
          <w:szCs w:val="16"/>
        </w:rPr>
        <w:br/>
      </w:r>
      <w:r w:rsidRPr="00781112">
        <w:rPr>
          <w:rFonts w:cs="Arial"/>
          <w:color w:val="000000" w:themeColor="text1"/>
          <w:szCs w:val="16"/>
        </w:rPr>
        <w:br/>
        <w:t>Third, subsequent data submitted by the LEAs into the State’s database, STARS, was reviewed by the state. At the time the data was reviewed, each of the 12 LEAs had a score of 100% for Indicator 12. Once the data was verified, the state determined each LEA met the above conditions for each of the three steps necessary to ensure the regulatory requirements are being implemented correctly, and thereby each of the 12 LEAs were correctly implementing the regulatory requirements.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each individual case of non-compliance was corrected. First, the State reviewed the indicator 12 Summary Report generated by the STARS system to obtain a list of students that did not have an IEP developed and implemented by the each student's third birthday. </w:t>
      </w:r>
      <w:r w:rsidRPr="00781112">
        <w:rPr>
          <w:rFonts w:cs="Arial"/>
          <w:color w:val="000000" w:themeColor="text1"/>
          <w:szCs w:val="16"/>
        </w:rPr>
        <w:br/>
      </w:r>
      <w:r w:rsidRPr="00781112">
        <w:rPr>
          <w:rFonts w:cs="Arial"/>
          <w:color w:val="000000" w:themeColor="text1"/>
          <w:szCs w:val="16"/>
        </w:rPr>
        <w:br/>
        <w:t>Second, the State reviewed the Indicator 12 Summary Report to determine if an IEP date was entered for each student identified in the first step, even if the date was after the student's third birthday. If the IEP date was in the STARS system, the individual case of non-compliance was considered as corrected. If the IEP date was not in the STARS system, the State contacted the LEA and requested the IEP. The state monitored the STARS system until each IEP was completed and/or documentation was provided to confirm an IEP was developed and implemented. All students in the 12 LEAs identified in the first step had an IEP completed and implemented within one year as verified through the STARS system or a documentation review, thus it was determined each individual case of non-compliance was corrected.</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The 1 LEA which remains noncompliant have corrected the noncompliance at the student level or individual cases of non-compliance but have not met Prong 2 requirements. Therefore, the 1 LEA has not satisfied the correction of noncompliance requirements. We anticipate by the clarification period, this LEA will have satisfied the Prong 2 requirements.</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State has addressed the Prior FFY Required Action in the "Correction of Findings of Noncompliance Identified in FYY 2020" section of the FFY2021 APR.  See above.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2020 was corrected.  </w:t>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8" w:name="_Toc384383363"/>
      <w:bookmarkStart w:id="7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0" w:name="_Toc384383364"/>
      <w:bookmarkStart w:id="81" w:name="_Toc392159332"/>
      <w:bookmarkEnd w:id="78"/>
      <w:bookmarkEnd w:id="7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98.45%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93.08%</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95.87%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96.33%</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97.63%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99.41%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0"/>
    <w:bookmarkEnd w:id="81"/>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1,567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1,578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99.41%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99.30%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data is collected at the State level for each LEA with students age sixteen and above. A sample is drawn from the LEAs' 40 day student data reported in STARS, the State’s data system. LEAs are required to submit IEPs to the State for the sample drawn. The State has a secure Special Education Monitoring site where LEAs upload the Individualized Education Programs (IEPs). The State reviews each IEP to determine if each of the required eight components are in the IEP and are compliant with the requirements for this indicator.  IEPs that are compliant and those that are non-compliant by LEA are identified through this process.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The State's policies and procedures require that students with disabilities, starting at age fourteen, begin secondary transition planning and thereby meet the requirements of this indicator. However, the State has chosen to exclude the data for students that are ages fourteen and fifteen from the data reported in this APR. The State elects to keep the Federal and State data separate.   </w:t>
      </w:r>
    </w:p>
    <w:p w14:paraId="735DB55A" w14:textId="18C77FF1" w:rsidR="00644AC8" w:rsidRPr="00781112" w:rsidRDefault="00644AC8" w:rsidP="005F442C">
      <w:pPr>
        <w:rPr>
          <w:rFonts w:cs="Arial"/>
          <w:b/>
          <w:color w:val="000000" w:themeColor="text1"/>
          <w:szCs w:val="16"/>
        </w:rPr>
      </w:pPr>
      <w:bookmarkStart w:id="82"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Starting in school year 2022-2023, the State will be incorporating a quality review of IEPs in addition to the compliance review. As a a State, we are committed to ensuring that students with disabilities are prepared for college, career and life. With this in mind, a quality focus helps to ensure the State is doing more that just the minimum and are raising the expectations for the services for students with disabilities receive to prepare for the next phase in their lives.</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State verified that the source of noncompliance is correctly implementing the regulatory requirements through a follow-up, that the 3 LEAs demonstrated no further non-compliance within the OSEP required timeline of 12 months and were correctly implementing the specific regulatory requirements (achieved 100% compliance) based on the following review of updated data. Each LEA completed a Root Cause Analysis (RCA). The RCA requires LEAs to review their policies, practices and procedures to ensure compliance and identify any issues with their own policies, practices and procedures which are causing the non-compliance. Each LEA submitted a completed RCA to the State. Second, the State reviewed each LEA's RCA along with the policies, practices and procedures. The State worked with each LEA to correct any issues identified in the LEA and State review of the RCA and policies, practices and procedures by developing a Corrective Action Plan (CAP). The State identified action steps, timelines for completion and the documentation required to verify each LEA has completed the action step(s). Once all action steps of the CAP were completed, the CAP was closed. Third, subsequent data submitted by each LEA in the STARS system, the State’s data collection system, was reviewed by the State. The LEA must have a score of 100% for Indicator13 at the time of the data review. The 3 LEAs met the conditions for each of the three steps and are considered to be correctly implementing all regulatory requirements.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State verified that each individual case of noncompliance was corrected. The State conducts an annual review of IEPs for compliance with the requirements of Indicator 13, which include the 8 components of a secondary-transition IEP. Any individual IEP that is found to be noncompliant must be corrected within 10 days, unless the student is no longer in the student's educational jurisdiction. The state completed a review of the corrected IEPs and determined each IEP for the 3 LEAs contained all 8 components of the items which could be corrected. Therefore, each individual case of non-compliance was determined to be corrected within the OSEP required timeline.</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State has addressed the Prior FFY Required Action in the "Correction of Findings of Noncompliance Identified in FYY 2020" section of the FFY2021 APR. See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2"/>
    </w:p>
    <w:p w14:paraId="22761492" w14:textId="77777777" w:rsidR="005C50DB" w:rsidRPr="00781112" w:rsidRDefault="005C50DB" w:rsidP="00A018D4">
      <w:pPr>
        <w:rPr>
          <w:szCs w:val="20"/>
        </w:rPr>
      </w:pPr>
      <w:bookmarkStart w:id="8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4"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4"/>
    <w:p w14:paraId="3FE9961A" w14:textId="1EDBA086" w:rsidR="000301BA" w:rsidRPr="00781112" w:rsidRDefault="00172058" w:rsidP="00123D76">
      <w:pPr>
        <w:pStyle w:val="Heading2"/>
      </w:pPr>
      <w:r w:rsidRPr="00781112">
        <w:t>14 - Indicator Data</w:t>
      </w:r>
    </w:p>
    <w:bookmarkEnd w:id="8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30.28%</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30.28%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41.13%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40.01%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36.80%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35.61%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30.28%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69.53%</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69.53%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76.39%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75.47%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73.08%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74.81%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69.53%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76.91%</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76.91%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80.94%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82.82%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77.76%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79.42%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76.91%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30.78%</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61.56%</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62.56%</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63.06%</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65.06%</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80.00%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81.00%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82.50%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84.50%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87.00%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77.41%</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77.91%</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78.91%</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80.41%</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82.41%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14, Post-School Outcomes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4522ADD4" w14:textId="77777777" w:rsidR="00E448E9" w:rsidRPr="00781112" w:rsidRDefault="00E448E9" w:rsidP="004369B2">
      <w:pPr>
        <w:rPr>
          <w:color w:val="000000" w:themeColor="text1"/>
        </w:rPr>
      </w:pPr>
      <w:bookmarkStart w:id="85" w:name="_Toc392159337"/>
    </w:p>
    <w:bookmarkEnd w:id="85"/>
    <w:p w14:paraId="23E16F67" w14:textId="77777777" w:rsidR="00486457" w:rsidRDefault="00486457">
      <w:pPr>
        <w:spacing w:before="0" w:after="200" w:line="276" w:lineRule="auto"/>
        <w:rPr>
          <w:b/>
          <w:color w:val="000000" w:themeColor="text1"/>
        </w:rPr>
      </w:pPr>
      <w:r>
        <w:rPr>
          <w:b/>
          <w:color w:val="000000" w:themeColor="text1"/>
        </w:rPr>
        <w:br w:type="page"/>
      </w:r>
    </w:p>
    <w:p w14:paraId="4202DC3A" w14:textId="490D7229"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2,610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1,997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76.51%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638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862</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72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638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1,997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30.28%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30.78%</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31.95%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1,997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69.53%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75.11%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1,649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1,997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76.91%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77.41%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82.57%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59.75%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76.51%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State converted to an electronic survey versus a paper survey this school year. The link to complete the survey was made available on the Public Education Department-Special Education Division website for student's to access. This has never been done before in the state and helped to increase the response rate for FFY2021.</w:t>
      </w:r>
      <w:r w:rsidRPr="00B551F2">
        <w:br/>
      </w:r>
      <w:r w:rsidRPr="00B551F2">
        <w:br/>
        <w:t xml:space="preserve">Moving forward, the Special Education Division (SED) will establish a partnership with the New Mexico Division of Vocational Rehabilitation (DVR) to support the post-school outcomes data gathering process. Since DVR is potentially serving the population we are in need of data from, this is a logical partnership to assist with the data collection. In addition, SED will collaborate with our Parent Training Centers (PTCs) to get out information to students </w:t>
      </w:r>
      <w:r w:rsidRPr="00B551F2">
        <w:lastRenderedPageBreak/>
        <w:t>through social media and their information outlets. Also, a collaboration with higher education agencies will be developed to send out information about the survey to students. The SED has established internal processes for follow-up and will continue to use these processes to ensure LEAs are supporting the data collection process. In the sections below, strategies for increasing the response rate for underrepresented groups are described.</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total response rates were analyzed by race/ethnicity, gender and disability category. The response rates were calculated in each of these categories and compared to the race/ethnicity, gender and disability categories of the youth who are no longer in secondary school or respondents. The data analysis revealed a close correlation in the response rates by race/ethnicity by respondents and the racial/ethnic of youth who are no longer in secondary school. The only area where there was a small difference noted was among Hispanic students, where the response rate was smaller than the number of Hispanic youth who are no longer in secondary school. </w:t>
      </w:r>
      <w:r w:rsidRPr="00B551F2">
        <w:br/>
      </w:r>
      <w:r w:rsidRPr="00B551F2">
        <w:br/>
        <w:t>To promote responses from Hispanic youth who are no longer in secondary school, the State will have a Spanish version of the survey available for youth who may need access to the survey in the Spanish language in order to respond. In addition, the SED will collaborate with the Language and Culture Bureau to ensure that there is equitable access to the survey for all students thereby respond to the survey.</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As indicated in the previous section, the data was analyzed by race/ethnicity and by disability category as requested by the stakeholders in the stakeholder engagement process. The data analysis by race/ethnicity revealed a close correlation in the response rates for the majority of racial/ethnic categories and the racial/ethnic make-up of youth who are no longer in secondary school. The category where a difference was noted was among Hispanic students.  Response rates were smaller than the number of Hispanic youth who are no longer in secondary school.</w:t>
      </w:r>
      <w:r w:rsidRPr="008D51F2">
        <w:br/>
      </w:r>
      <w:r w:rsidRPr="008D51F2">
        <w:br/>
        <w:t>The data was also analyzed by disability category as recommended by stakeholders.  The analysis revealed a variance of 1.05% between respondent's disability category of hearing impaired and the number of youth who are no longer in secondary school. The analysis revealed smaller differences among the other disability categories and the youth who are no longer in secondary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To promote responses from Hispanic youth who are no longer in secondary school, the State will have a Spanish version of the survey available for youth who may need access to the survey in the Spanish language in order to respond. In addition, the SED will collaborate with the Language and Culture Bureau to ensure that there is equitable access to the survey for all students thereby respond to the survey.  In addition, the State will work to ensure the survey is available to youth that are hearing impaired including making the survey available in Teletypewriters (TTY). The State will continue to seek and implement methods for improving access and thereby response rates to the survey.</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used to determine representativeness is +/- 5% discrepancy in the proportion of responders compared to the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6" w:name="_Toc382082390"/>
      <w:bookmarkStart w:id="8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The survey administered to youth who exited secondary school in 2020-2021 was electronic versus a paper version as previously administered. In addition, the survey was made available on the website which was easily accessible. Further, LEAs were also informed the survey response rate would be considered in assigning LEA annual determination under the areas of timely and valid and reliable date. All of these efforts improved response rates and efforts to continuously improve will also keep on. </w:t>
      </w:r>
      <w:r w:rsidRPr="00781112">
        <w:rPr>
          <w:rFonts w:cs="Arial"/>
          <w:color w:val="000000" w:themeColor="text1"/>
          <w:szCs w:val="16"/>
        </w:rPr>
        <w:br/>
      </w:r>
      <w:r w:rsidRPr="00781112">
        <w:rPr>
          <w:rFonts w:cs="Arial"/>
          <w:color w:val="000000" w:themeColor="text1"/>
          <w:szCs w:val="16"/>
        </w:rPr>
        <w:br/>
        <w:t>Although the State did not meet the target in category B. Enrolled in higher education or competitively employed within one year of leaving high school, overall the State rates improved over FFY2020 rates. The work to improving outcomes for students will continue as well.</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lastRenderedPageBreak/>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6"/>
      <w:bookmarkEnd w:id="87"/>
    </w:p>
    <w:p w14:paraId="7EA31497" w14:textId="77777777" w:rsidR="005B0B58" w:rsidRPr="00781112" w:rsidRDefault="005B0B58" w:rsidP="00A018D4">
      <w:pPr>
        <w:rPr>
          <w:color w:val="000000" w:themeColor="text1"/>
          <w:szCs w:val="20"/>
        </w:rPr>
      </w:pPr>
      <w:bookmarkStart w:id="88" w:name="_Toc381786822"/>
      <w:bookmarkStart w:id="89" w:name="_Toc382731911"/>
      <w:bookmarkStart w:id="90" w:name="_Toc382731912"/>
      <w:bookmarkStart w:id="91" w:name="_Toc392159340"/>
      <w:bookmarkEnd w:id="88"/>
      <w:bookmarkEnd w:id="8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90"/>
    <w:bookmarkEnd w:id="9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92" w:name="_Toc382731913"/>
      <w:bookmarkStart w:id="9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15, Resolution Sessions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bookmarkEnd w:id="92"/>
    <w:bookmarkEnd w:id="9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55.00% - 70.00%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55.00% - 70.00%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55.00% - 70.00%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55.00%-70.00%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55.00%-70.00%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r>
    </w:tbl>
    <w:p w14:paraId="35D1322B" w14:textId="77777777" w:rsidR="00CE0C68" w:rsidRPr="00781112" w:rsidRDefault="00CE0C68" w:rsidP="004369B2">
      <w:pPr>
        <w:rPr>
          <w:color w:val="000000" w:themeColor="text1"/>
        </w:rPr>
      </w:pPr>
    </w:p>
    <w:p w14:paraId="0A1461A8" w14:textId="1A7B9A76" w:rsidR="00127006" w:rsidRPr="00486457" w:rsidRDefault="0047313F" w:rsidP="00486457">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04" w:type="pct"/>
            <w:shd w:val="clear" w:color="auto" w:fill="auto"/>
          </w:tcPr>
          <w:p w14:paraId="3D28AE5B" w14:textId="4019A491" w:rsidR="008E31C4" w:rsidRPr="00781112" w:rsidRDefault="008E31C4" w:rsidP="00A018D4">
            <w:pPr>
              <w:jc w:val="center"/>
              <w:rPr>
                <w:rFonts w:cs="Arial"/>
                <w:color w:val="000000" w:themeColor="text1"/>
                <w:szCs w:val="16"/>
              </w:rPr>
            </w:pP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Although one of these resolution sessions did not result in a resolution agreement, the matter did settle through mediation with a mediated agreement.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4" w:name="_Toc382731916"/>
      <w:bookmarkStart w:id="9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5493DBA" w14:textId="77777777" w:rsidR="00486457" w:rsidRPr="00781112" w:rsidRDefault="00486457" w:rsidP="00286BDF">
      <w:pPr>
        <w:rPr>
          <w:rFonts w:cs="Arial"/>
          <w:color w:val="000000" w:themeColor="text1"/>
          <w:szCs w:val="16"/>
        </w:rPr>
      </w:pP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4"/>
    <w:bookmarkEnd w:id="9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Default="002B7490" w:rsidP="000A2C83">
      <w:pPr>
        <w:rPr>
          <w:rFonts w:cs="Arial"/>
          <w:color w:val="000000" w:themeColor="text1"/>
          <w:szCs w:val="16"/>
        </w:rPr>
      </w:pPr>
      <w:r w:rsidRPr="00781112">
        <w:rPr>
          <w:rFonts w:cs="Arial"/>
          <w:color w:val="000000" w:themeColor="text1"/>
          <w:szCs w:val="16"/>
        </w:rPr>
        <w:t>Stakeholders were engaged in setting targets, analyzing data, developing improvement strategies, and evaluating progress during each Stakeholder Engagement meeting, including where Indicator 16, Mediation Sessions were discussed. Most of the feedback received from stakeholders through the engagement process was to continue with the baselines and targets established in FFY2020, as they are still relevant. It is also important to note that stakeholders are still concerned with the lingering impacts the COVID-19 pandemic will have on student outcomes, including State and LEA performance on the SPP/APR indicators. Stakeholders continue to recommend that the targets hold steady for two more years or show small incremental increases, as the pandemic impacts State and LEA rates. The stakeholder groups will review the data each year and prior to the submission of the FFY2022 SPP/APR, to reestablish baseline and targets if needed.</w:t>
      </w:r>
    </w:p>
    <w:p w14:paraId="6BE30951" w14:textId="77777777" w:rsidR="00486457" w:rsidRPr="00781112" w:rsidRDefault="00486457"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61.30%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78.05%</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68.29%</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71.43%</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69.57%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70.83%</w:t>
            </w:r>
          </w:p>
        </w:tc>
      </w:tr>
    </w:tbl>
    <w:p w14:paraId="2B5B5701" w14:textId="2BB5836C" w:rsidR="00DA3157" w:rsidRPr="00781112" w:rsidRDefault="00DA3157">
      <w:pPr>
        <w:rPr>
          <w:color w:val="000000" w:themeColor="text1"/>
        </w:rPr>
      </w:pPr>
    </w:p>
    <w:p w14:paraId="6D35C6DA" w14:textId="77777777" w:rsidR="00486457" w:rsidRDefault="00486457">
      <w:pPr>
        <w:spacing w:before="0" w:after="200" w:line="276" w:lineRule="auto"/>
        <w:rPr>
          <w:color w:val="000000" w:themeColor="text1"/>
        </w:rPr>
      </w:pPr>
      <w:r>
        <w:rPr>
          <w:color w:val="000000" w:themeColor="text1"/>
        </w:rPr>
        <w:br w:type="page"/>
      </w:r>
    </w:p>
    <w:p w14:paraId="287DA72B" w14:textId="55D1D06D" w:rsidR="008E31C4" w:rsidRPr="00781112" w:rsidRDefault="008E31C4" w:rsidP="004369B2">
      <w:pPr>
        <w:rPr>
          <w:color w:val="000000" w:themeColor="text1"/>
        </w:rPr>
      </w:pPr>
      <w:r w:rsidRPr="00781112">
        <w:rPr>
          <w:b/>
          <w:color w:val="000000" w:themeColor="text1"/>
        </w:rPr>
        <w:lastRenderedPageBreak/>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79.31%</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New Mexico’s State Identified Measurable Result (SiMR): Increase the reading proficiency of students with disabilities in second grade, as measured by statewide-standardized reading assessments.</w:t>
      </w:r>
      <w:r w:rsidRPr="00781112">
        <w:rPr>
          <w:color w:val="000000" w:themeColor="text1"/>
        </w:rPr>
        <w:br/>
      </w:r>
      <w:r w:rsidRPr="00781112">
        <w:rPr>
          <w:color w:val="000000" w:themeColor="text1"/>
        </w:rPr>
        <w:br/>
        <w:t xml:space="preserve">Currently, New Mexico’s statewide-standardized reading assessment is Istation’s Indicators of Progress (ISIP) which is a formative computer adaptive assessment that reflects the reading ability level of each student and measures growth over time. Istation is administered three times per year: at the beginning of the year (BOY), middle of the year (MOY), and end of the year (EOY). </w:t>
      </w:r>
    </w:p>
    <w:p w14:paraId="43CABCA3" w14:textId="77777777" w:rsidR="00AE1972" w:rsidRPr="00781112" w:rsidRDefault="00AE1972" w:rsidP="00AE1972">
      <w:pPr>
        <w:rPr>
          <w:b/>
          <w:bCs/>
        </w:rPr>
      </w:pPr>
      <w:bookmarkStart w:id="96" w:name="_Hlk85195358"/>
      <w:r w:rsidRPr="00781112">
        <w:rPr>
          <w:b/>
          <w:bCs/>
        </w:rPr>
        <w:t>Has the SiMR changed since the last SSIP submission? (yes/no)</w:t>
      </w:r>
    </w:p>
    <w:p w14:paraId="53B392AE" w14:textId="5D60E4A2" w:rsidR="00AE1972" w:rsidRDefault="00AE1972" w:rsidP="00AE1972">
      <w:r w:rsidRPr="00781112">
        <w:t>NO</w:t>
      </w:r>
    </w:p>
    <w:bookmarkEnd w:id="9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of the population for indicator 17 is second-grade students with disabilities at forty ECLIPSE schools. There are a total of 77 schools, 37 schools participated with ECLIPSE in the Fall of 2021, and are all in one district.</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https://webnew.ped.state.nm.us/wp-content/uploads/2023/01/ECLIPSE-Theory-of-Action-FFY-2021.pdf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2019</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12.40%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16.50%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17.00%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17.60%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18.60%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20.10%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Grade 2 SWDs Proficient in ECLIPSE schools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Total grade 2 SWDs in ECLiPSE schools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164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16.51%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16.50%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16.46%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The FFY 2021 data source was the end of the year (EOY) Istation data reporting from the Accountability office of the New Mexico Public Education Department.  </w:t>
      </w:r>
    </w:p>
    <w:p w14:paraId="17AAB1A6" w14:textId="2D1007DB" w:rsidR="00AE1972" w:rsidRPr="00781112" w:rsidRDefault="00AE1972" w:rsidP="00AE1972">
      <w:r w:rsidRPr="00781112">
        <w:rPr>
          <w:b/>
          <w:bCs/>
        </w:rPr>
        <w:lastRenderedPageBreak/>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SIMR targets the reading proficiency of 2nd-grade students with disabilities in participating schools, as measured by the Istation assessment. Student performance scores are collected and compiled by the Istation platform after completion of the assessments. Istation shares this data with the New Mexico Public Education Accountability Office, which then sends the data for the 40 schools to the ECLIPSE team for evaluation. The ECLIPSE team then reviews and analyzes the data of 2nd-grade students with disabilities by averaging proficiency rates and the overall proficiency of the 40 participating schools.  The overall proficiency rate of EOY Istation scores determines progress toward the SiMR target.</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https://webnew.ped.state.nm.us/wp-content/uploads/2023/01/SSIP-Implementation-Evaluation-Plan-FFY-2021.pdf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Each of the key deliverables in the areas of planning/operational activities, data analysis, support for schools, and stakeholder engagement have all been updated to reflect the activities completed for FFY 2021.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As the pandemic waned, the ECLIPSE program has been able to implement and evaluate more key deliverable activities to support students with disabilities.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The major categories of the infrastructure improvement strategy included planning/operational activities, school support services, and stakeholder engagement. During this reporting period, the program’s strategic plan was revised based on program evaluation. Systems and protocols were developed to support the implementation of the strategic plan.</w:t>
      </w:r>
      <w:r w:rsidRPr="00781112">
        <w:rPr>
          <w:color w:val="000000" w:themeColor="text1"/>
        </w:rPr>
        <w:br/>
        <w:t>1. Planning/Operations Activities: As ECLIPSE moved into its second year under the management of the Special Education Division of the New Mexico Public Education Department (NMPED), the ECLIPSE team focused on improving the program's support. We focused on five primary planning and operations activities. These activities relied heavily on data analysis to guide decision making.</w:t>
      </w:r>
      <w:r w:rsidRPr="00781112">
        <w:rPr>
          <w:color w:val="000000" w:themeColor="text1"/>
        </w:rPr>
        <w:br/>
        <w:t>a. We added 37 new schools to the ECLIPSE program from the state’s largest district, Albuquerque Public Schools (APS).</w:t>
      </w:r>
      <w:r w:rsidRPr="00781112">
        <w:rPr>
          <w:color w:val="000000" w:themeColor="text1"/>
        </w:rPr>
        <w:br/>
        <w:t>b. We conducted an internal evaluation of the program. We collected and analyzed a variety of qualitative and quantitative data to measure the efficacy of the program. Data collection and analysis tools included Google Forms, Survey Monkey, Excel, Tableau, and Otter (transcription software). Qualitative data tools included participant surveys, interviews, and observations. Quantitative data tools included student reading proficiency scores, participant surveys, coaching logs, contractors’ invoices, and other program artifacts.</w:t>
      </w:r>
      <w:r w:rsidRPr="00781112">
        <w:rPr>
          <w:color w:val="000000" w:themeColor="text1"/>
        </w:rPr>
        <w:br/>
        <w:t xml:space="preserve">c. We evaluated the performance of program contractors. </w:t>
      </w:r>
      <w:r w:rsidRPr="00781112">
        <w:rPr>
          <w:color w:val="000000" w:themeColor="text1"/>
        </w:rPr>
        <w:br/>
        <w:t>d. We developed a strategic plan based on program evaluation results.</w:t>
      </w:r>
      <w:r w:rsidRPr="00781112">
        <w:rPr>
          <w:color w:val="000000" w:themeColor="text1"/>
        </w:rPr>
        <w:br/>
        <w:t>e. We identified the need to hire an outside program evaluator to support improvement strategies.</w:t>
      </w:r>
      <w:r w:rsidRPr="00781112">
        <w:rPr>
          <w:color w:val="000000" w:themeColor="text1"/>
        </w:rPr>
        <w:br/>
      </w:r>
      <w:r w:rsidRPr="00781112">
        <w:rPr>
          <w:color w:val="000000" w:themeColor="text1"/>
        </w:rPr>
        <w:br/>
        <w:t>2.</w:t>
      </w:r>
      <w:r w:rsidRPr="00781112">
        <w:rPr>
          <w:color w:val="000000" w:themeColor="text1"/>
        </w:rPr>
        <w:tab/>
        <w:t xml:space="preserve">Support for schools was provided via a variety of services. </w:t>
      </w:r>
      <w:r w:rsidRPr="00781112">
        <w:rPr>
          <w:color w:val="000000" w:themeColor="text1"/>
        </w:rPr>
        <w:br/>
        <w:t>a. Data-Based Professional Development/Targeted Assistance: Regional Education Cooperative (REC) collected and analyzed formative assessment data (Istation BOY, MOY, and EOY) from participating schools to determine the needs of students. This data provided the REC with the information needed to design targeted assistance in the form of professional development for ECLIPSE school staff. We resumed leadership professional development targeting administrative support for EBPs, particularly in the areas of observations, coaching, and feedback cycles. Our NMPED partner, Priority Schools Bureau, provided leadership training for school administrators. Collaborating for Outstanding Readiness in Education, New Mexico State University (CORE NMSU), provided targeted assistance at the classroom level to special education teachers across the state of New Mexico.</w:t>
      </w:r>
      <w:r w:rsidRPr="00781112">
        <w:rPr>
          <w:color w:val="000000" w:themeColor="text1"/>
        </w:rPr>
        <w:br/>
        <w:t>b. Needs-based school allocation funds paid for professional development that was not provided by RECs and for materials/supplies targeting students with disabilities (SWDs). An ECLIPSE team member reviewed allocation reports monthly to track and approve spending.</w:t>
      </w:r>
      <w:r w:rsidRPr="00781112">
        <w:rPr>
          <w:color w:val="000000" w:themeColor="text1"/>
        </w:rPr>
        <w:br/>
        <w:t>c. Instructional Coaching: ECLIPSE contracted with CORE NMSU to provide 20 instructional coaches to support educators with literacy instruction. Coaching logs were revised to better align with improvement criteria and the statewide literacy initiative.</w:t>
      </w:r>
      <w:r w:rsidRPr="00781112">
        <w:rPr>
          <w:color w:val="000000" w:themeColor="text1"/>
        </w:rPr>
        <w:br/>
        <w:t>d. The ECLIPSE team created toolkits, timelines, and information sheets to support participants’ understanding of the program. A small cohort participated in a usability study to provide feedback on program toolkits.</w:t>
      </w:r>
      <w:r w:rsidRPr="00781112">
        <w:rPr>
          <w:color w:val="000000" w:themeColor="text1"/>
        </w:rPr>
        <w:br/>
        <w:t xml:space="preserve"> </w:t>
      </w:r>
      <w:r w:rsidRPr="00781112">
        <w:rPr>
          <w:color w:val="000000" w:themeColor="text1"/>
        </w:rPr>
        <w:br/>
        <w:t>2. Stakeholder Engagement: Stakeholder engagement focuses on family engagement, school team participant engagement, community engagement, and contracted support specialists engagement (i.e. coaches). All levels of stakeholder engagement rely on data to determine areas for improvement and support.</w:t>
      </w:r>
      <w:r w:rsidRPr="00781112">
        <w:rPr>
          <w:color w:val="000000" w:themeColor="text1"/>
        </w:rPr>
        <w:br/>
        <w:t>a.</w:t>
      </w:r>
      <w:r w:rsidRPr="00781112">
        <w:rPr>
          <w:color w:val="000000" w:themeColor="text1"/>
        </w:rPr>
        <w:tab/>
        <w:t xml:space="preserve">Parent/Family Engagement: ECLIPSE support specialists provided ongoing literacy training for parents/families and school staff on effective family literacy engagement with an emphasis on Structured Literacy. REC provided hands-on literacy family engagement training at each ECLIPSE participating school. </w:t>
      </w:r>
      <w:r w:rsidRPr="00781112">
        <w:rPr>
          <w:color w:val="000000" w:themeColor="text1"/>
        </w:rPr>
        <w:br/>
        <w:t>b.</w:t>
      </w:r>
      <w:r w:rsidRPr="00781112">
        <w:rPr>
          <w:color w:val="000000" w:themeColor="text1"/>
        </w:rPr>
        <w:tab/>
        <w:t xml:space="preserve">District/School Level: APS collaborative meetings were held to align the ECLIPSE program with APS’ organizational structure. School Implementation Partners (SIPs) worked directly with CORE NMSU coaches and REC support specialists. In most cases, SIPSs are K-3 special education teachers. SIPs attended virtual gatherings with CORE NMSU coaches and directors. </w:t>
      </w:r>
      <w:r w:rsidRPr="00781112">
        <w:rPr>
          <w:color w:val="000000" w:themeColor="text1"/>
        </w:rPr>
        <w:br/>
        <w:t>c.</w:t>
      </w:r>
      <w:r w:rsidRPr="00781112">
        <w:rPr>
          <w:color w:val="000000" w:themeColor="text1"/>
        </w:rPr>
        <w:tab/>
        <w:t xml:space="preserve">Community Level: Select community representatives gathered as members of the IDEA B panel four times during the reporting period. During these meetings, the ECLIPSE team gave presentations focused on strategic planning based on data analysis. </w:t>
      </w:r>
      <w:r w:rsidRPr="00781112">
        <w:rPr>
          <w:color w:val="000000" w:themeColor="text1"/>
        </w:rPr>
        <w:br/>
      </w:r>
      <w:r w:rsidRPr="00781112">
        <w:rPr>
          <w:color w:val="000000" w:themeColor="text1"/>
        </w:rPr>
        <w:lastRenderedPageBreak/>
        <w:t>d.</w:t>
      </w:r>
      <w:r w:rsidRPr="00781112">
        <w:rPr>
          <w:color w:val="000000" w:themeColor="text1"/>
        </w:rPr>
        <w:tab/>
        <w:t xml:space="preserve">Contractors: Engagement with contracted specialists occurred in several ways including regular meetings, emails, and phone conversations. To support collaboration, ECLIPSE held individual contractor meetings as well as all contractor meetings to discuss the program. </w:t>
      </w:r>
      <w:r w:rsidRPr="00781112">
        <w:rPr>
          <w:color w:val="000000" w:themeColor="text1"/>
        </w:rPr>
        <w:br/>
        <w:t>e. Collaborative Conversations: To support the ECLIPSE program, regular meetings were held internally, with participants, and with program and agency partners. We implemented internal processes to facilitate collaboration, such as using Google docs to co-develop protocols. To enhance stakeholder collaboration, ECLIPSE published a newsletter twice during the year and established a web page. ECLIPSE also communicated its values, vision, mission, and goals to all stakeholders.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1.</w:t>
      </w:r>
      <w:r w:rsidRPr="00781112">
        <w:rPr>
          <w:color w:val="000000" w:themeColor="text1"/>
        </w:rPr>
        <w:tab/>
        <w:t xml:space="preserve">Planning/operational activities: </w:t>
      </w:r>
      <w:r w:rsidRPr="00781112">
        <w:rPr>
          <w:color w:val="000000" w:themeColor="text1"/>
        </w:rPr>
        <w:br/>
        <w:t>a. 37 APS Schools were added, Istation data of SWD at these schools had been among the lowest in the state, demonstrating the need for support. It was to support systemic improvement efforts.</w:t>
      </w:r>
      <w:r w:rsidRPr="00781112">
        <w:rPr>
          <w:color w:val="000000" w:themeColor="text1"/>
        </w:rPr>
        <w:br/>
        <w:t>b. Program evaluation Survey results suggested participants did not understand the program goals and lacked participant motivation. The root cause of this barrier was a lack of communication. Development of a program logo increased the identification of the program. A collaboration to define values, vision, mission, and goals and create a newsletter, web page, guidance manuals, and toolkits to identify expectations, participant roles, and responsibilities. A follow-up survey revealed this helped to alleviate misconceptions and increased stakeholder motivation, trust, and collaboration, developing sustainability of program participation.</w:t>
      </w:r>
      <w:r w:rsidRPr="00781112">
        <w:rPr>
          <w:color w:val="000000" w:themeColor="text1"/>
        </w:rPr>
        <w:br/>
        <w:t>c. Contractor work evaluations revealed overlapping roles and responsibilities. This resulted in friction between contractors and confusion within school teams. The contractor's roles became more defined. In subsequent contract negotiations, roles and responsibilities were redefined. This short-term outcome increased staff accountability and monitoring and led to greater sustainability.</w:t>
      </w:r>
      <w:r w:rsidRPr="00781112">
        <w:rPr>
          <w:color w:val="000000" w:themeColor="text1"/>
        </w:rPr>
        <w:br/>
        <w:t>d.</w:t>
      </w:r>
      <w:r w:rsidRPr="00781112">
        <w:rPr>
          <w:color w:val="000000" w:themeColor="text1"/>
        </w:rPr>
        <w:tab/>
        <w:t xml:space="preserve">A review and update of the strategic plan encompass all areas of the systemic framework, including governance, data, finance, staffing, accountability/monitoring, quality standards, professional development, and technical assistance. </w:t>
      </w:r>
      <w:r w:rsidRPr="00781112">
        <w:rPr>
          <w:color w:val="000000" w:themeColor="text1"/>
        </w:rPr>
        <w:br/>
        <w:t>e. Evaluator: A program evaluator to support improvement strategies was hired, Short-term and intermediate outcomes include maintaining timelines, improving data collection analysis, and new areas of development. Working with evaluators will increase sustainability and improve progress toward the SiMR.</w:t>
      </w:r>
      <w:r w:rsidRPr="00781112">
        <w:rPr>
          <w:color w:val="000000" w:themeColor="text1"/>
        </w:rPr>
        <w:br/>
        <w:t>2.</w:t>
      </w:r>
      <w:r w:rsidRPr="00781112">
        <w:rPr>
          <w:color w:val="000000" w:themeColor="text1"/>
        </w:rPr>
        <w:tab/>
        <w:t xml:space="preserve">Support for Schools: </w:t>
      </w:r>
      <w:r w:rsidRPr="00781112">
        <w:rPr>
          <w:color w:val="000000" w:themeColor="text1"/>
        </w:rPr>
        <w:br/>
        <w:t>a. Data-Based Professional Development/Targeted Assistance</w:t>
      </w:r>
      <w:r w:rsidRPr="00781112">
        <w:rPr>
          <w:color w:val="000000" w:themeColor="text1"/>
        </w:rPr>
        <w:br/>
        <w:t>i. EC Data-Based Targeted Assistance data analysis supported targeted assistance decisions. If student Istation data indicated a weakness in a specific literacy component, PD support and targeted assistance were provided. Short-term outcomes supported ECLIPSE schools by assisting them in analyzing data. The decisions impact progress towards the SiMR. An outcome of data analysis is school team development based on data literacy, moving towards long-term goals of sustainability.</w:t>
      </w:r>
      <w:r w:rsidRPr="00781112">
        <w:rPr>
          <w:color w:val="000000" w:themeColor="text1"/>
        </w:rPr>
        <w:br/>
        <w:t>ii. Administrative Coaching short-term outcomes of PSB supported principals with analyzing data of the results of coaching teachers, instructional outcomes and PD. These decisions impact progress towards the SiMR. An intermediate outcome was the use of EBPs with greater intentionality in progress toward the SiMR.</w:t>
      </w:r>
      <w:r w:rsidRPr="00781112">
        <w:rPr>
          <w:color w:val="000000" w:themeColor="text1"/>
        </w:rPr>
        <w:br/>
        <w:t>iii. CORE NMSU Coaching short-term and intermediate outcomes impacted the internal processes and ongoing strategic plan revisions. One short-term outcome was data suggesting coaching logs needed accurate topics. This resulted in defined coaching indications and PD needs. An intermediate outcome was that teachers used EBPs more effectively, resulting in progress toward the SiMR.</w:t>
      </w:r>
      <w:r w:rsidRPr="00781112">
        <w:rPr>
          <w:color w:val="000000" w:themeColor="text1"/>
        </w:rPr>
        <w:br/>
        <w:t>b. The needs based school allocation of ECLIPSE placed needed materials/supplies in SWD classrooms to support Structured Literacy. The allocation supported teachers in coaching and PD. Accountability/monitoring, data, finance, and PD  are part of the system's framework. The intermediate outcomes support student learning resulting in progress toward the SiMR.</w:t>
      </w:r>
      <w:r w:rsidRPr="00781112">
        <w:rPr>
          <w:color w:val="000000" w:themeColor="text1"/>
        </w:rPr>
        <w:br/>
        <w:t>c.</w:t>
      </w:r>
      <w:r w:rsidRPr="00781112">
        <w:rPr>
          <w:color w:val="000000" w:themeColor="text1"/>
        </w:rPr>
        <w:tab/>
        <w:t xml:space="preserve">Instructional Coaching supported teachers with new strategies and goal setting to improve literacy outcomes for SWD, through PD and data in the systems framework. Data collected suggested a short-term outcome of teachers feeling supported. The intended outcome of instructional coaching is to change adult behaviors and implementation to SWD which leads to the achievement of the SiMR and sustainability. </w:t>
      </w:r>
      <w:r w:rsidRPr="00781112">
        <w:rPr>
          <w:color w:val="000000" w:themeColor="text1"/>
        </w:rPr>
        <w:br/>
        <w:t>3.</w:t>
      </w:r>
      <w:r w:rsidRPr="00781112">
        <w:rPr>
          <w:color w:val="000000" w:themeColor="text1"/>
        </w:rPr>
        <w:tab/>
        <w:t xml:space="preserve">Stakeholder Engagement </w:t>
      </w:r>
      <w:r w:rsidRPr="00781112">
        <w:rPr>
          <w:color w:val="000000" w:themeColor="text1"/>
        </w:rPr>
        <w:br/>
        <w:t>a.</w:t>
      </w:r>
      <w:r w:rsidRPr="00781112">
        <w:rPr>
          <w:color w:val="000000" w:themeColor="text1"/>
        </w:rPr>
        <w:tab/>
        <w:t xml:space="preserve">Parent/Family Engagement: ongoing literacy training with a greater emphasis on Structured Literacy. Families developed strategies for supporting SWDs at home to increase student learning opportunities and achievement. Family literacy events provided hands-on supplies so the family could support literacy at home. Surveys indicated families felt better prepared to support students at home. Ongoing literacy training for families supports SiMR achievement and is related to data and accountability/monitoring in the systems framework. </w:t>
      </w:r>
      <w:r w:rsidRPr="00781112">
        <w:rPr>
          <w:color w:val="000000" w:themeColor="text1"/>
        </w:rPr>
        <w:br/>
        <w:t>b. District/School: surveys indicated SIPs appreciated the support and collaborative opportunities of SIP gatherings, which gave SIPs opportunities to speak with other special educators, share strategies, and emotional support. The short-term impact of social-emotional well-being leads to long-term sustainability, which includes teacher retention. We collaborated with APS teacher support specialists, curriculum and instruction, special education, and behavioral health, and a short-term outcome was the development of ECLIPSE toolkits.</w:t>
      </w:r>
      <w:r w:rsidRPr="00781112">
        <w:rPr>
          <w:color w:val="000000" w:themeColor="text1"/>
        </w:rPr>
        <w:br/>
        <w:t>c. Community Level: short-term outcome was the stakeholder note-taking template that was developed to share timely feedback, this was part of the ongoing strategic plan. An intermediate outcome was to discuss their feedback with an additional stakeholder.</w:t>
      </w:r>
      <w:r w:rsidRPr="00781112">
        <w:rPr>
          <w:color w:val="000000" w:themeColor="text1"/>
        </w:rPr>
        <w:br/>
        <w:t>d.</w:t>
      </w:r>
      <w:r w:rsidRPr="00781112">
        <w:rPr>
          <w:color w:val="000000" w:themeColor="text1"/>
        </w:rPr>
        <w:tab/>
        <w:t xml:space="preserve">Contractors: interactions between ECLIPSE and contractors revealed the need for improved communication to ensure that service providers were consistent in philosophies and messaging this would reduce confusion and support their roles and responsibilities. An intermediate outcome is monthly individual contractor and large group meetings for communication and collaboration. </w:t>
      </w:r>
      <w:r w:rsidRPr="00781112">
        <w:rPr>
          <w:color w:val="000000" w:themeColor="text1"/>
        </w:rPr>
        <w:br/>
        <w:t>e. Agency Collaborative Conversations: Reinforcement of newly adopted philosophies of the mission, vision, values, and goals were reviewed at meetings. This reduced overlapping and redundant requirements, this included agency teams of Structured Literacy initiatives and Multi-Layered Systems of Support (MLSS).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We plan to continue our strategic plan, as outlined in the following steps. </w:t>
      </w:r>
      <w:r w:rsidRPr="00781112">
        <w:rPr>
          <w:color w:val="000000" w:themeColor="text1"/>
        </w:rPr>
        <w:br/>
        <w:t>1. Planning/Operational Activities:</w:t>
      </w:r>
      <w:r w:rsidRPr="00781112">
        <w:rPr>
          <w:color w:val="000000" w:themeColor="text1"/>
        </w:rPr>
        <w:br/>
        <w:t>a. Expand the ECLIPSE team. Include a deputy director of special education curriculum and instruction and hire an additional curriculum specialist. The anticipated outcome of this strategy is increased capacity to continue and expand the work.</w:t>
      </w:r>
      <w:r w:rsidRPr="00781112">
        <w:rPr>
          <w:color w:val="000000" w:themeColor="text1"/>
        </w:rPr>
        <w:br/>
        <w:t>b. Expand the role of the outside evaluator to contribute to planning and operational activities. The anticipated outcome of this strategy is a more comprehensive operational plan and increased accountability to staying on track with timelines.</w:t>
      </w:r>
      <w:r w:rsidRPr="00781112">
        <w:rPr>
          <w:color w:val="000000" w:themeColor="text1"/>
        </w:rPr>
        <w:br/>
        <w:t>2. Data Analysis</w:t>
      </w:r>
      <w:r w:rsidRPr="00781112">
        <w:rPr>
          <w:color w:val="000000" w:themeColor="text1"/>
        </w:rPr>
        <w:br/>
      </w:r>
      <w:r w:rsidRPr="00781112">
        <w:rPr>
          <w:color w:val="000000" w:themeColor="text1"/>
        </w:rPr>
        <w:lastRenderedPageBreak/>
        <w:t>a.</w:t>
      </w:r>
      <w:r w:rsidRPr="00781112">
        <w:rPr>
          <w:color w:val="000000" w:themeColor="text1"/>
        </w:rPr>
        <w:tab/>
        <w:t xml:space="preserve">Launch a pilot study of the data analysis/root cause analysis. Use the results and learnings from the pilot to develop a more comprehensive data analysis component of support. The anticipated outcome of this strategy is an increased use of data to identify student and school goals. This will include data collection and data analysis from instructional coaches, professional development contractors, and classroom educators. </w:t>
      </w:r>
      <w:r w:rsidRPr="00781112">
        <w:rPr>
          <w:color w:val="000000" w:themeColor="text1"/>
        </w:rPr>
        <w:br/>
        <w:t>b.</w:t>
      </w:r>
      <w:r w:rsidRPr="00781112">
        <w:rPr>
          <w:color w:val="000000" w:themeColor="text1"/>
        </w:rPr>
        <w:tab/>
        <w:t xml:space="preserve">Implement a more robust data analysis protocol with the support of the outside evaluator. This will include protocols and timelines for data collection and data analysis provided by the ECLIPSE leadership team, instructional coaches, professional development contractors, school and district administrators, and classroom educators. The anticipated outcome of this strategy is more accountability for adhering to data collection and analysis timelines and protocols. </w:t>
      </w:r>
      <w:r w:rsidRPr="00781112">
        <w:rPr>
          <w:color w:val="000000" w:themeColor="text1"/>
        </w:rPr>
        <w:br/>
        <w:t>3. School Support Services</w:t>
      </w:r>
      <w:r w:rsidRPr="00781112">
        <w:rPr>
          <w:color w:val="000000" w:themeColor="text1"/>
        </w:rPr>
        <w:br/>
        <w:t>a. Hire an additional coaching contractor to work with the schools within APS. This contractor has extensive work with APS schools and is knowledgeable of the organizational structure. We anticipate this action will result in greater participation and increased ownership of the APS school teams.</w:t>
      </w:r>
      <w:r w:rsidRPr="00781112">
        <w:rPr>
          <w:color w:val="000000" w:themeColor="text1"/>
        </w:rPr>
        <w:br/>
        <w:t>b.</w:t>
      </w:r>
      <w:r w:rsidRPr="00781112">
        <w:rPr>
          <w:color w:val="000000" w:themeColor="text1"/>
        </w:rPr>
        <w:tab/>
        <w:t xml:space="preserve">Expand the family literacy component by including PRO and EPIC. The anticipated outcome of this strategy is to improve their understanding of student literacy expectations and support their child to improve their literacy skills at home. </w:t>
      </w:r>
      <w:r w:rsidRPr="00781112">
        <w:rPr>
          <w:color w:val="000000" w:themeColor="text1"/>
        </w:rPr>
        <w:br/>
        <w:t>c.</w:t>
      </w:r>
      <w:r w:rsidRPr="00781112">
        <w:rPr>
          <w:color w:val="000000" w:themeColor="text1"/>
        </w:rPr>
        <w:tab/>
        <w:t xml:space="preserve">With the goal of training instructional coaches and other interested stakeholders to support Structured Literacy, ECLIPSE will host a literacy summit to increase knowledge and understanding of how to implement Structured Literacy when teaching students with disabilities. Include national experts, state university scholars, and other participants with specialized knowledge. This strategy will result in additional training for instructional coaches and other interested stakeholders in Structured Literacy methodology.  The anticipated outcome of this strategy is to increase awareness, understanding, and coaching skills in Structured Literacy. This will include anticipated outcomes in instructional coaching support for teachers that will increase the teacher's knowledge of awareness, understanding, and use of Structured Literacy. </w:t>
      </w:r>
      <w:r w:rsidRPr="00781112">
        <w:rPr>
          <w:color w:val="000000" w:themeColor="text1"/>
        </w:rPr>
        <w:br/>
        <w:t>4. Stakeholder Engagement</w:t>
      </w:r>
      <w:r w:rsidRPr="00781112">
        <w:rPr>
          <w:color w:val="000000" w:themeColor="text1"/>
        </w:rPr>
        <w:br/>
        <w:t>a.</w:t>
      </w:r>
      <w:r w:rsidRPr="00781112">
        <w:rPr>
          <w:color w:val="000000" w:themeColor="text1"/>
        </w:rPr>
        <w:tab/>
        <w:t xml:space="preserve">Develop the Networked Improvement Community to expand stakeholder input. Include participants from higher education institutions, parent advocacy groups (PRO and EPICs), agency partners, contractors, districts, parents, and others. The anticipated outcome of this strategy by involving many stakeholder groups is to improve collaboration to build a sustainable program.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For the FFY 2021 SSIP reporting period, the New Mexico ECLIPSE (Indicator 17) program continued its implementation of evidence-based practices. SED identified five EBPs that provided a framework for improvement throughout the state's public education system. These include: 1) Data Driven Instruction; 2) Leadership, Observation, Coaching and Feedback Cycles 3) School Culture: Family/Community Engagement 4) School Culture: Teacher Collaboration 5) Structured Literacy PD and Implementation. New Mexico is now focusing on statewide structured literacy initiatives following evidence from the science of reading.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Each of the following evidence-based practices supports the SiMR because they lead to changes in adult behavior that supported students with disabilities improvement in reading achievement.</w:t>
      </w:r>
      <w:r w:rsidRPr="00781112">
        <w:rPr>
          <w:color w:val="000000" w:themeColor="text1"/>
        </w:rPr>
        <w:br/>
        <w:t>1. Data Driven Instruction: REC provided online and or in-person data-driven instruction to school principals and special education teachers. ECLIPSE schools were able to complete formative assessments during the school year. REC analyzed that data and provided data-driven instruction training. CORE NMSU provided instructional coaching to ECLIPSE special education teachers; anecdotal assessment data was analyzed, and the next steps were determined.</w:t>
      </w:r>
      <w:r w:rsidRPr="00781112">
        <w:rPr>
          <w:color w:val="000000" w:themeColor="text1"/>
        </w:rPr>
        <w:br/>
        <w:t>2. Leadership, Observation, Coaching, and Feedback Cycles: Priority Schools Bureau, an interagency partner, provided year-long professional development training to administrators.</w:t>
      </w:r>
      <w:r w:rsidRPr="00781112">
        <w:rPr>
          <w:color w:val="000000" w:themeColor="text1"/>
        </w:rPr>
        <w:br/>
        <w:t>3. School Culture: Family/Community Engagement: REC provided online and or in-person parent/family literacy events focused on SWDs. Parents/families were provided a tote bag with hands-on literacy materials (for example whiteboard, and index cards) to support their child's reading at home.</w:t>
      </w:r>
      <w:r w:rsidRPr="00781112">
        <w:rPr>
          <w:color w:val="000000" w:themeColor="text1"/>
        </w:rPr>
        <w:br/>
        <w:t>4.</w:t>
      </w:r>
      <w:r w:rsidRPr="00781112">
        <w:rPr>
          <w:color w:val="000000" w:themeColor="text1"/>
        </w:rPr>
        <w:tab/>
        <w:t xml:space="preserve">School Culture: Teacher Collaboration: CORE NMSU instructional coaches supported special education teachers and their general education partners by facilitating collaborative discussions about shared students with disabilities. </w:t>
      </w:r>
      <w:r w:rsidRPr="00781112">
        <w:rPr>
          <w:color w:val="000000" w:themeColor="text1"/>
        </w:rPr>
        <w:br/>
        <w:t>5.</w:t>
      </w:r>
      <w:r w:rsidRPr="00781112">
        <w:rPr>
          <w:color w:val="000000" w:themeColor="text1"/>
        </w:rPr>
        <w:tab/>
        <w:t xml:space="preserve">Structured Literacy PD and Implementation: CORE NMSU and REC partners received Structured Literacy training to aid in their support of teachers at ECLIPSE schools with implementing Structured Literacy methodologies.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7"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7"/>
    <w:p w14:paraId="3E043DB7" w14:textId="7C3B2CD4" w:rsidR="00AE1972" w:rsidRPr="00781112" w:rsidRDefault="00AE1972" w:rsidP="00AE1972">
      <w:pPr>
        <w:rPr>
          <w:b/>
          <w:bCs/>
        </w:rPr>
      </w:pPr>
      <w:r w:rsidRPr="00781112">
        <w:rPr>
          <w:color w:val="000000" w:themeColor="text1"/>
        </w:rPr>
        <w:t>1. Data Driven Instruction: Data-driven instruction means teachers use data to make instructional decisions based on individual student performance and the trends and patterns they identify at a classroom and school level. When done effectively, school staff will change instructional practices based on student needs. Specifically, ECLIPSE focuses on analyzing student performance on Istation components. For example, if Istation data consistently indicates a weakness in kindergarten phonemic awareness, ECLIPSE specialists support school staff with changing instruction to target that skill. Making instructional decisions based on student data increases student outcomes by providing them with the instruction they need.</w:t>
      </w:r>
      <w:r w:rsidRPr="00781112">
        <w:rPr>
          <w:color w:val="000000" w:themeColor="text1"/>
        </w:rPr>
        <w:br/>
        <w:t>2.</w:t>
      </w:r>
      <w:r w:rsidRPr="00781112">
        <w:rPr>
          <w:color w:val="000000" w:themeColor="text1"/>
        </w:rPr>
        <w:tab/>
        <w:t xml:space="preserve">Leadership, Observation, Coaching, and Feedback cycles: A key to affecting school change, is the professional development of administrators. Administrators who are consistently in classrooms observing teachers and providing feedback can affect positive change in teachers and teaching strategies which impacts student performance. </w:t>
      </w:r>
      <w:r w:rsidRPr="00781112">
        <w:rPr>
          <w:color w:val="000000" w:themeColor="text1"/>
        </w:rPr>
        <w:br/>
        <w:t>3. School Culture: Family/Community Engagement: ECLIPSE supports schools with increasing family engagement. The parent/family literacy events train parents in hands-on fun literacy activities to support their child's reading at home. This increases parent/caregiver knowledge and skills about literacy development, which in turn, supports child outcomes and progress toward the SiMR.</w:t>
      </w:r>
      <w:r w:rsidRPr="00781112">
        <w:rPr>
          <w:color w:val="000000" w:themeColor="text1"/>
        </w:rPr>
        <w:br/>
        <w:t>4. School Culture: Teacher Collaboration: ECLIPSE provides partner teachers with time and a framework for collaborative conversations about shared students with disabilities. Collaboration between special education teachers and their general education partners is critical in ensuring that students with disabilities are successful in their Least Restrictive Environment. For example, collaboration provides general education teachers with the support needed to implement IEPs with fidelity.</w:t>
      </w:r>
      <w:r w:rsidRPr="00781112">
        <w:rPr>
          <w:color w:val="000000" w:themeColor="text1"/>
        </w:rPr>
        <w:br/>
        <w:t>5.</w:t>
      </w:r>
      <w:r w:rsidRPr="00781112">
        <w:rPr>
          <w:color w:val="000000" w:themeColor="text1"/>
        </w:rPr>
        <w:tab/>
        <w:t xml:space="preserve">Structured Literacy PD and Implementation: Evidence suggests that most students can learn how to read when taught with Structured Literacy methods. ECLIPSE coaches provide teachers with support in implementing Structured Literacy principles and practices.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To monitor the fidelity of implementation of the selected EBPs and assess practice change we used data obtained from participant surveys, verbal feedback gained during empathy interviews, coaching and targeted assistance logs, REC and coaching invoices, ongoing observations, meeting notes, anecdotal records, and formative student reading assessments. The ECLIPSE program team used a variety of analysis tools such as fishbone diagrams and interrelationship diagrams to evaluate the efficacy of the program and to identify change initiatives. Data was analyzed to monitor program efficacy </w:t>
      </w:r>
      <w:r w:rsidRPr="00781112">
        <w:rPr>
          <w:color w:val="000000" w:themeColor="text1"/>
        </w:rPr>
        <w:lastRenderedPageBreak/>
        <w:t>and modifications were made in response to individual school and teacher needs. For example, if observations and coaching logs noted staff needed additional training in early literacy instruction, steps were taken to provide that training. ECLIPSE identified the need to streamline the response to data analysis and has modified internal processes to better address the fidelity of implementation and assess practice change. For example, CORE NMSU instructional coaches were able to use needs-based allocation to directly request support such as instructional materials based on their observations of teacher needs. This will decrease delays in obtaining resources and improve responsive change based on data.</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No other data were collected in support of the continuation of each evidence-based practice.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Based on the program analysis in the Spring of 2021, which includes changes in statewide initiatives, ECLIPSE plans to make improvements to current activities and strategies within the identified EBPs (Data Driven Instruction; Leadership Observation, Coaching, and Feedback Cycles; School Culture: Teacher Collaboration; School Culture: Teacher Collaboration; and Structured Literacy PD and Implementation.) This includes the expansion of ECLIPSE school teams. </w:t>
      </w:r>
      <w:r w:rsidRPr="00781112">
        <w:rPr>
          <w:color w:val="000000" w:themeColor="text1"/>
        </w:rPr>
        <w:br/>
      </w:r>
      <w:r w:rsidRPr="00781112">
        <w:rPr>
          <w:color w:val="000000" w:themeColor="text1"/>
        </w:rPr>
        <w:br/>
        <w:t>1. Data Driven Instruction - We plan to continue to focus on data analysis to support instructional decisions.  We will provide training to school teams on data analysis to identify trends, categories, and patterns in student performance. Part of this training will focus on conducting a root cause analysis to identify barriers to student learning. Anticipated outcomes include school teams’ improved ability to conduct data analysis to identify trends, categories, and patterns in student reading performance. Another anticipated outcome is school teams’ increased ability to identify barriers to student learning in reading.</w:t>
      </w:r>
      <w:r w:rsidRPr="00781112">
        <w:rPr>
          <w:color w:val="000000" w:themeColor="text1"/>
        </w:rPr>
        <w:br/>
        <w:t>2. Leadership Observation, Coaching, and Feedback Cycles - We plan to continue this support to school and district administrators. School administrators will continue to receive administrative PD (from the PED's literacy division) on Structured Literacy. Providing administrators with PD on how to observe, coach, and provide feedback to teachers on how they are implementing Structured Literacy practices will reinforce teachers' learned strategies. We anticipate this will result in greater adoption of EBPs, and impact student reading proficiency.</w:t>
      </w:r>
      <w:r w:rsidRPr="00781112">
        <w:rPr>
          <w:color w:val="000000" w:themeColor="text1"/>
        </w:rPr>
        <w:br/>
        <w:t>3.</w:t>
      </w:r>
      <w:r w:rsidRPr="00781112">
        <w:rPr>
          <w:color w:val="000000" w:themeColor="text1"/>
        </w:rPr>
        <w:tab/>
        <w:t xml:space="preserve">School Culture: Family/Community Engagement - In FFY 2022, we will continue to provide family literacy events. As REC support specialists prepare for the 22-23 SY, schools will have a choice about whether to have events remotely or in person. To measure participation in the events, we will continue to track the number of attendees at each event and obtain their feedback following the events. We have set a target of increasing participation in family literacy events by 10%. In addition to having an REC conduct family literacy events, Parents Reaching Out (PRO), a parent advocacy organization, will conduct literacy events. An anticipated outcome is that parents and families will increase their ability to support their children in literacy at home through attending hands-on literacy events and using literacy tools at home. </w:t>
      </w:r>
      <w:r w:rsidRPr="00781112">
        <w:rPr>
          <w:color w:val="000000" w:themeColor="text1"/>
        </w:rPr>
        <w:br/>
        <w:t>4.</w:t>
      </w:r>
      <w:r w:rsidRPr="00781112">
        <w:rPr>
          <w:color w:val="000000" w:themeColor="text1"/>
        </w:rPr>
        <w:tab/>
        <w:t xml:space="preserve">School Culture: Teacher Collaboration - Throughout the state, we are seeing decreasing numbers of special education teachers and available substitute teachers.  The teacher shortage is having a profound effect on schools and the ability of teachers to deliver specialized instruction to SWDs.  To address these barriers, the state has requested increases in teacher salaries. A bill is currently going through legislation. In addition, the state has engaged with stakeholders (teachers, LEAs, parents, and community members) to address these issues and to continue to build trust and collaboration. We plan to continue supporting partner teachers. CORE NMSU will support these teams by collaborating to better serve their shared students. We anticipate this will impact student reading proficiency and progress toward the SiMR. </w:t>
      </w:r>
      <w:r w:rsidRPr="00781112">
        <w:rPr>
          <w:color w:val="000000" w:themeColor="text1"/>
        </w:rPr>
        <w:br/>
        <w:t>5. Structured Literacy PD and Implementation - We plan to expand coaches' and teachers’ content knowledge of implementing Structured Literacy when teaching students with disabilities. We plan to host a Special Education Structured Literacy Summit in which we explore strategies for adapting Structured Literacy methods when needed for specialized instruction. Coaches and teachers who attend the Summit will increase their awareness and understanding of Structured Literacy and begin to implement learned strategies into their reading classes and in specially designed instruction for students with disabilities.We anticipate this will impact student reading proficiency and progress toward the SiMR. We also plan to convert the ECLIPSE toolkits into an online orientation course in Canvas, the NMPED learning management system. We anticipate this strategy will support participants’ understanding of the program’s alignment with Structured Literacy New Mexico. This will result in greater adoption of EBPs and impact student reading proficiency.</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The evaluation data indicates that the programmatic changes we have made are beginning to have a positive impact on student proficiency rates.  We plan to continue to implement the SSIP without modifications while closely monitoring progress towards goals.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ECLIPSE is a New Mexico Public Education Department, Special Education Division (SED) Program that addresses the State Performance Plan (SPP) Indicator 17, Results Driven Accountability (RDA) program administered by the SED. The purpose of Indicator 17 is to improve academic results for children with disabilities in grades Kindergarten through third grade. The Indicator 17 program is characterized in its name Excellence from Coaching in Literacy for Intensive Preparation in Special Education (ECLIPSE).  The ECLIPSE program engaged stakeholders in key improvement efforts with the following strategies:</w:t>
      </w:r>
      <w:r w:rsidRPr="00781112">
        <w:rPr>
          <w:rFonts w:cs="Arial"/>
          <w:b w:val="0"/>
          <w:color w:val="000000" w:themeColor="text1"/>
          <w:szCs w:val="16"/>
        </w:rPr>
        <w:br/>
        <w:t>1. ECLIPSE program coordinators presented data and program updates to the state IDEA Panel (members include: parents, advocates, state staff, and educators) during the 2021-2022 school year. IDEA Panel members participated and were engaged in the ECLIPSE program presentations. An ECLIPSE IDEA Panel committee met as a small group to discuss the program at the conclusion of the day. The ECLIPSE IDEA Panel committee provided EOY qualitative program feedback via a Google survey. Survey results indicated that panel members felt the program is making good progress in improving literacy outcomes for students with disabilities. A consistent recommendation among responses included increasing parent involvement in the program.</w:t>
      </w:r>
      <w:r w:rsidRPr="00781112">
        <w:rPr>
          <w:rFonts w:cs="Arial"/>
          <w:b w:val="0"/>
          <w:color w:val="000000" w:themeColor="text1"/>
          <w:szCs w:val="16"/>
        </w:rPr>
        <w:br/>
        <w:t>2. One ECLIPSE stakeholder meeting was held during 2021-2022 via the Zoom online platform. Stakeholders included the ECLIPSE staff, Regional Education Cooperative Executive Directors (REC'S), Special Education Directors, ECLIPSE Principals, ECLIPSE Special Education Teachers, CORE NMSU Director, and Regional Education Cooperative Contractors. Stakeholders were provided with ECLIPSE program details for the school year and stakeholders provided verbal feedback about the ECLIPSE program at the conclusion of the meeting.</w:t>
      </w:r>
      <w:r w:rsidRPr="00781112">
        <w:rPr>
          <w:rFonts w:cs="Arial"/>
          <w:b w:val="0"/>
          <w:color w:val="000000" w:themeColor="text1"/>
          <w:szCs w:val="16"/>
        </w:rPr>
        <w:br/>
        <w:t xml:space="preserve">3. Parent engagement stakeholder meetings were held via online platforms and in person events to provide direct explicit literacy training to parents via </w:t>
      </w:r>
      <w:r w:rsidRPr="00781112">
        <w:rPr>
          <w:rFonts w:cs="Arial"/>
          <w:b w:val="0"/>
          <w:color w:val="000000" w:themeColor="text1"/>
          <w:szCs w:val="16"/>
        </w:rPr>
        <w:lastRenderedPageBreak/>
        <w:t>hands-on activities. Once trained, parents could engage their students' in fun literacy activities at home. Regional Education Cooperative (REC) contractors dropped off tote bags with the hands-on literacy materials to each school prior to the online parent training. Parent survey data following the training indicated favorable results; parents were pleased with the literacy tools that could be utilized at home with their child. Since some of the training was online, many parents along with their child/ren attended the interactive family literacy event.</w:t>
      </w:r>
      <w:r w:rsidRPr="00781112">
        <w:rPr>
          <w:rFonts w:cs="Arial"/>
          <w:b w:val="0"/>
          <w:color w:val="000000" w:themeColor="text1"/>
          <w:szCs w:val="16"/>
        </w:rPr>
        <w:br/>
        <w:t>4.</w:t>
      </w:r>
      <w:r w:rsidRPr="00781112">
        <w:rPr>
          <w:rFonts w:cs="Arial"/>
          <w:b w:val="0"/>
          <w:color w:val="000000" w:themeColor="text1"/>
          <w:szCs w:val="16"/>
        </w:rPr>
        <w:tab/>
        <w:t xml:space="preserve">The ECLIPSE team interviewed 6 school participants – 4 administrators and two teachers. The interviews were coded and added for recurrent themes. Common themes for improving the program included communicating clearer participation expectations and sharing timelines earlier in the school year. Administrators felt teachers needed more support with data analysis. Special education teachers felt they did not have enough time to collaborate with general education teachers, which limited their ability to support students effectively. </w:t>
      </w:r>
      <w:r w:rsidRPr="00781112">
        <w:rPr>
          <w:rFonts w:cs="Arial"/>
          <w:b w:val="0"/>
          <w:color w:val="000000" w:themeColor="text1"/>
          <w:szCs w:val="16"/>
        </w:rPr>
        <w:br/>
        <w:t>5. An online end of year survey was sent to all ECLIPSE stakeholders as the 2021-2022 school year ended. The feedback from this survey supported the ongoing development of an ECLIPSE strategic plan focused on short-term goals, intermediate goals, and longer-term goals.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ECLIPSE program engaged stakeholders in key improvement efforts with the following strategies:</w:t>
      </w:r>
      <w:r w:rsidRPr="00781112">
        <w:rPr>
          <w:color w:val="000000" w:themeColor="text1"/>
        </w:rPr>
        <w:br/>
        <w:t>1.</w:t>
      </w:r>
      <w:r w:rsidRPr="00781112">
        <w:rPr>
          <w:color w:val="000000" w:themeColor="text1"/>
        </w:rPr>
        <w:tab/>
        <w:t xml:space="preserve">ECLIPSE program coordinators presented data and program updates to the state IDEA Panel (members include: parents, advocates, state staff, and educators) during the 2021-2022 school year. IDEA Panel members participated and were engaged in the ECLIPSE program presentations. An ECLIPSE IDEA Panel committee met as a small group to discuss the program at the conclusion of the day. The ECLIPSE IDEA Panel committee provided EOY qualitative program feedback via a Google survey. </w:t>
      </w:r>
      <w:r w:rsidRPr="00781112">
        <w:rPr>
          <w:color w:val="000000" w:themeColor="text1"/>
        </w:rPr>
        <w:br/>
        <w:t>2. One ECLIPSE stakeholder meeting was held during 2021-2022 via the Zoom online platform. Stakeholders included the ECLIPSE staff, Regional Education Cooperative Executive Directors (REC'S), Special Education Directors, ECLIPSE Principals, ECLIPSE Special Education Teachers, CORE NMSU Director, and Regional Education Cooperative Contractors. Stakeholders were provided with ECLIPSE program details for the school year and stakeholders provided verbal feedback about the ECLIPSE program at the conclusion of the meeting.</w:t>
      </w:r>
      <w:r w:rsidRPr="00781112">
        <w:rPr>
          <w:color w:val="000000" w:themeColor="text1"/>
        </w:rPr>
        <w:br/>
        <w:t>3. Parent engagement stakeholder meetings were held via online platforms and in-person events to provide direct explicit literacy training to parents via hands-on activities. Once trained, parents could engage their students in fun literacy activities at home. Regional Education Cooperative (REC) contractors dropped off tote bags with the hands-on literacy materials to each school prior to the online parent training. Parent survey data following the training indicated favorable results; parents were pleased with the literacy tools that could be utilized at home with their child. Since some of the training was online, many parents along with their child/ren attended the interactive family literacy event.</w:t>
      </w:r>
      <w:r w:rsidRPr="00781112">
        <w:rPr>
          <w:color w:val="000000" w:themeColor="text1"/>
        </w:rPr>
        <w:br/>
        <w:t>4.</w:t>
      </w:r>
      <w:r w:rsidRPr="00781112">
        <w:rPr>
          <w:color w:val="000000" w:themeColor="text1"/>
        </w:rPr>
        <w:tab/>
        <w:t xml:space="preserve">The ECLIPSE team interviewed 6 school participants – 4 administrators and two teachers. The interviews were coded and added for recurrent themes.  </w:t>
      </w:r>
      <w:r w:rsidRPr="00781112">
        <w:rPr>
          <w:color w:val="000000" w:themeColor="text1"/>
        </w:rPr>
        <w:br/>
        <w:t>5. An online end-of-year survey was sent to all ECLIPSE stakeholders as the 2021-2022 school year ended. The feedback from this survey supported the ongoing development of an ECLIPSE strategic plan focused on short-term goals, intermediate goals, and longer-term goals.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1. To address concerns expressed by stakeholders, the State designed the following strategies:</w:t>
      </w:r>
      <w:r w:rsidRPr="00781112">
        <w:rPr>
          <w:color w:val="000000" w:themeColor="text1"/>
        </w:rPr>
        <w:br/>
        <w:t>2. Feedback from the state IDEA B panel and parent engagement events indicated that participants felt the program is making good progress in improving literacy outcomes for students with disabilities. A consistent recommendation among responses included increasing parent involvement in the program. To address this concern, the ECLIPSE team plans to solicit input from the parent advocacy group Parents Reaching Out and to add parent representatives to an advisory panel (Networked Improvement Community).</w:t>
      </w:r>
      <w:r w:rsidRPr="00781112">
        <w:rPr>
          <w:color w:val="000000" w:themeColor="text1"/>
        </w:rPr>
        <w:br/>
        <w:t>3. Interviews with school participants and participant surveys revealed common themes for improving the program. These included: communicating clearer participant roles and responsibilities, and expectations; sharing timelines earlier in the school year; and clarifying the program mission, goals, and values. To address these concerns, the ECLIPSE team developed timelines and expectations descriptions that were shared at the end of Spring 2021. In addition, the ECLIPSE team developed an ECLIPSE informational packet detailing program specifics and emailed ECLIPSE newsletters to program participants.</w:t>
      </w:r>
      <w:r w:rsidRPr="00781112">
        <w:rPr>
          <w:color w:val="000000" w:themeColor="text1"/>
        </w:rPr>
        <w:br/>
        <w:t>4. Administrators felt teachers needed more support with data analysis. Targeted assistance for data analysis was increased to support school staff.</w:t>
      </w:r>
      <w:r w:rsidRPr="00781112">
        <w:rPr>
          <w:color w:val="000000" w:themeColor="text1"/>
        </w:rPr>
        <w:br/>
        <w:t>5.</w:t>
      </w:r>
      <w:r w:rsidRPr="00781112">
        <w:rPr>
          <w:color w:val="000000" w:themeColor="text1"/>
        </w:rPr>
        <w:tab/>
        <w:t xml:space="preserve">Special education teachers felt they did not have enough time to collaborate with general education teachers, which limited their ability to support students effectively. To address the need for increased collaboration time, school teams will have opportunities to participate in training together. For example, coaches will be working with teaching partners (special education and general education teachers who share students with disabilities). In addition, school teams will work together to analyze data and conduct a root cause analysis.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In the next fiscal year, we plan to increase participation in family literacy activities. Engaging families in literacy events supports progress towards the SIMR because families learn about how to reinforce EBPs their students are being taught at school. During COVID, we learned families like having the option of whether to attend events in person or remotely. We will continue to offer both options.To measure participation in the events, we will continue to track the number of attendees at each event and obtain their feedback following the events via surveys. The ECLIPSE program far exceeded our goal of a 2% increase in parent participation at family literacy events. 549 parents participated in the 21-22 SY which is an increase from the 20-21 SY of 47%. We have set a target of increasing participation in family literacy events for the 22-23 SY by 10%.</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In FFY 2022, we will continue to provide family literacy events. As REC support specialists prepare for the 22-23 SY, schools will have a choice about whether to have events remotely or in person. To measure participation in the events, we will continue to track the number of attendees at each event and obtain their feedback following the events. We have set a target of increasing participation in family literacy events by 10%.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Throughout the state, we are seeing decreasing numbers of special education teachers and available substitute teachers.  The teacher shortage is having a profound effect on schools and the ability of teachers to deliver specialized instruction to SWDs.  To address these barriers, the state has requested increases in teacher salaries. A bill is currently going through legislation. In addition, the state has engaged with stakeholders (teachers, LEAs, parents, and community members) to address these issues and to continue to build trust and collaboration.</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We recognize the importance of family engagement in student academic achievement, so supporting this activity is a priority. We plan to talk to our REC partners and ECLIPSE stakeholders about additional ways to increase family engagement.</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lastRenderedPageBreak/>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Deborah Dominguez-Clark</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Education for New Mexico</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deborah.clark@ped.nm.gov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505-819-1337</w:t>
      </w:r>
    </w:p>
    <w:bookmarkEnd w:id="98"/>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6:28:48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66725893" w14:textId="2D3DBD15" w:rsidR="00803B37" w:rsidRPr="00803B37" w:rsidRDefault="00803B37" w:rsidP="00803B37">
      <w:pPr>
        <w:rPr>
          <w:b/>
          <w:bCs/>
          <w:sz w:val="20"/>
          <w:szCs w:val="28"/>
        </w:rPr>
      </w:pPr>
      <w:r w:rsidRPr="00803B37">
        <w:rPr>
          <w:b/>
          <w:bCs/>
          <w:sz w:val="20"/>
          <w:szCs w:val="28"/>
        </w:rPr>
        <w:t>New Mexico</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67.50%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12</w:t>
            </w:r>
          </w:p>
        </w:tc>
        <w:tc>
          <w:tcPr>
            <w:tcW w:w="1218" w:type="pct"/>
          </w:tcPr>
          <w:p w14:paraId="0E3866D0" w14:textId="74D5D84B" w:rsidR="00E1330D" w:rsidRPr="00210AC6" w:rsidRDefault="00E1330D" w:rsidP="00E1330D">
            <w:pPr>
              <w:rPr>
                <w:rFonts w:cs="Arial"/>
                <w:szCs w:val="16"/>
              </w:rPr>
            </w:pPr>
            <w:r w:rsidRPr="00210AC6">
              <w:rPr>
                <w:rFonts w:cs="Arial"/>
                <w:szCs w:val="16"/>
              </w:rPr>
              <w:t>50.00%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85.00%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87%</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84%</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13%</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93%</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22%</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91%</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87%</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84%</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26%</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91%</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11%</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92%</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7</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91</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41E2F65E" w:rsidR="00AA1152" w:rsidRPr="00210AC6" w:rsidRDefault="00AA1152" w:rsidP="00AA1152">
            <w:pPr>
              <w:rPr>
                <w:rFonts w:cs="Arial"/>
                <w:szCs w:val="16"/>
              </w:rPr>
            </w:pPr>
            <w:r w:rsidRPr="00210AC6">
              <w:rPr>
                <w:rFonts w:cs="Arial"/>
                <w:szCs w:val="16"/>
              </w:rPr>
              <w:t>N</w:t>
            </w:r>
            <w:r w:rsidR="00803B37">
              <w:rPr>
                <w:rFonts w:cs="Arial"/>
                <w:szCs w:val="16"/>
              </w:rPr>
              <w:t>ot Valid and Reliable</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99.28%</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95.49%</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99.30%</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89.01%</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6A288D51" w14:textId="77777777" w:rsidR="00803B37" w:rsidRPr="00803B37" w:rsidRDefault="00803B37" w:rsidP="00803B37">
      <w:pPr>
        <w:rPr>
          <w:b/>
          <w:bCs/>
          <w:sz w:val="20"/>
          <w:szCs w:val="28"/>
        </w:rPr>
      </w:pPr>
      <w:r w:rsidRPr="00803B37">
        <w:rPr>
          <w:b/>
          <w:bCs/>
          <w:sz w:val="20"/>
          <w:szCs w:val="28"/>
        </w:rPr>
        <w:t>New Mexico</w:t>
      </w:r>
    </w:p>
    <w:p w14:paraId="3E4B4F28" w14:textId="77777777" w:rsidR="00803B37" w:rsidRPr="00803B37" w:rsidRDefault="00803B37" w:rsidP="00803B37"/>
    <w:p w14:paraId="27E7D5D5" w14:textId="314242AE" w:rsidR="00110BB6" w:rsidRDefault="00110BB6" w:rsidP="00110BB6">
      <w:pPr>
        <w:jc w:val="center"/>
      </w:pPr>
      <w:r>
        <w:t>FFY 2021 APR</w:t>
      </w:r>
      <w:r w:rsidR="00A47134">
        <w:rPr>
          <w:rStyle w:val="FootnoteReference"/>
        </w:rPr>
        <w:footnoteReference w:id="1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19</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24</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1</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18</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22.29</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24</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22.29</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46.29</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0.8901</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89.01</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4F7011D9" w14:textId="77777777" w:rsidR="00803B37" w:rsidRDefault="00803B37">
      <w:pPr>
        <w:spacing w:before="0" w:after="200" w:line="276" w:lineRule="auto"/>
      </w:pPr>
    </w:p>
    <w:p w14:paraId="10BA59E7" w14:textId="58B54C44" w:rsidR="0058254D" w:rsidRDefault="00803B37">
      <w:pPr>
        <w:spacing w:before="0" w:after="200" w:line="276" w:lineRule="auto"/>
      </w:pPr>
      <w:r>
        <w:object w:dxaOrig="1540" w:dyaOrig="997" w14:anchorId="6F7AAEA8">
          <v:shape id="_x0000_i1026" type="#_x0000_t75" alt="NM-B-DR-2021-22" style="width:77.25pt;height:49.5pt" o:ole="">
            <v:imagedata r:id="rId12" o:title=""/>
          </v:shape>
          <o:OLEObject Type="Embed" ProgID="Acrobat.Document.DC" ShapeID="_x0000_i1026" DrawAspect="Icon" ObjectID="_1752317514"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486457">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9" w:name="Introduction"/>
      <w:bookmarkStart w:id="100" w:name="_Hlk124349373"/>
      <w:bookmarkEnd w:id="3"/>
      <w:bookmarkEnd w:id="99"/>
      <w:bookmarkEnd w:id="100"/>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48645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553F4380" w14:textId="2F9A3DBE" w:rsidR="00803B37" w:rsidRPr="001D2E53" w:rsidRDefault="00803B37" w:rsidP="00803B37">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w:t>
      </w:r>
      <w:r w:rsidRPr="001D2E53">
        <w:rPr>
          <w:rFonts w:cs="Arial"/>
          <w:szCs w:val="16"/>
        </w:rPr>
        <w:t xml:space="preserve"> a different data source to report data under this indicator.</w:t>
      </w:r>
      <w:bookmarkEnd w:id="5"/>
    </w:p>
  </w:footnote>
  <w:footnote w:id="3">
    <w:p w14:paraId="762A9275" w14:textId="7A825664" w:rsidR="001D2E53" w:rsidRPr="001D2E53" w:rsidRDefault="001D2E53">
      <w:pPr>
        <w:pStyle w:val="FootnoteText"/>
        <w:rPr>
          <w:sz w:val="16"/>
          <w:szCs w:val="16"/>
        </w:rPr>
      </w:pPr>
      <w:r w:rsidRPr="001D2E53">
        <w:rPr>
          <w:rStyle w:val="FootnoteReference"/>
          <w:sz w:val="16"/>
          <w:szCs w:val="16"/>
        </w:rPr>
        <w:footnoteRef/>
      </w:r>
      <w:r w:rsidRPr="001D2E53">
        <w:rPr>
          <w:sz w:val="16"/>
          <w:szCs w:val="16"/>
        </w:rPr>
        <w:t xml:space="preserve"> </w:t>
      </w:r>
      <w:r w:rsidRPr="001D2E53">
        <w:rPr>
          <w:rFonts w:cs="Arial"/>
          <w:sz w:val="16"/>
          <w:szCs w:val="16"/>
        </w:rPr>
        <w:t>Percentage blurred due to privacy protection.</w:t>
      </w:r>
    </w:p>
  </w:footnote>
  <w:footnote w:id="4">
    <w:p w14:paraId="2637B580" w14:textId="4E9DE69E" w:rsidR="001D2E53" w:rsidRDefault="001D2E53">
      <w:pPr>
        <w:pStyle w:val="FootnoteText"/>
      </w:pPr>
      <w:r w:rsidRPr="001D2E53">
        <w:rPr>
          <w:rStyle w:val="FootnoteReference"/>
          <w:sz w:val="16"/>
          <w:szCs w:val="16"/>
        </w:rPr>
        <w:footnoteRef/>
      </w:r>
      <w:r w:rsidRPr="001D2E53">
        <w:rPr>
          <w:sz w:val="16"/>
          <w:szCs w:val="16"/>
        </w:rPr>
        <w:t xml:space="preserve"> Data suppressed due to small cell size.</w:t>
      </w:r>
    </w:p>
  </w:footnote>
  <w:footnote w:id="5">
    <w:p w14:paraId="621169FD" w14:textId="7DDDA770" w:rsidR="001D2E53" w:rsidRPr="001D2E53" w:rsidRDefault="001D2E53">
      <w:pPr>
        <w:pStyle w:val="FootnoteText"/>
        <w:rPr>
          <w:sz w:val="16"/>
          <w:szCs w:val="16"/>
        </w:rPr>
      </w:pPr>
      <w:r w:rsidRPr="001D2E53">
        <w:rPr>
          <w:rStyle w:val="FootnoteReference"/>
          <w:sz w:val="16"/>
          <w:szCs w:val="16"/>
        </w:rPr>
        <w:footnoteRef/>
      </w:r>
      <w:r w:rsidRPr="001D2E53">
        <w:rPr>
          <w:sz w:val="16"/>
          <w:szCs w:val="16"/>
        </w:rPr>
        <w:t xml:space="preserve"> Data suppressed due to small cell size.</w:t>
      </w:r>
    </w:p>
  </w:footnote>
  <w:footnote w:id="6">
    <w:p w14:paraId="28210E3C" w14:textId="1839FABA" w:rsidR="004A1FCB" w:rsidRPr="004A1FCB" w:rsidRDefault="004A1FCB">
      <w:pPr>
        <w:pStyle w:val="FootnoteText"/>
        <w:rPr>
          <w:sz w:val="16"/>
          <w:szCs w:val="16"/>
        </w:rPr>
      </w:pPr>
      <w:r w:rsidRPr="004A1FCB">
        <w:rPr>
          <w:rStyle w:val="FootnoteReference"/>
          <w:sz w:val="16"/>
          <w:szCs w:val="16"/>
        </w:rPr>
        <w:footnoteRef/>
      </w:r>
      <w:r w:rsidRPr="004A1FCB">
        <w:rPr>
          <w:sz w:val="16"/>
          <w:szCs w:val="16"/>
        </w:rPr>
        <w:t xml:space="preserve"> Data suppressed due to small cell size.</w:t>
      </w:r>
    </w:p>
  </w:footnote>
  <w:footnote w:id="7">
    <w:p w14:paraId="08C381B9" w14:textId="3515CD13" w:rsidR="004A1FCB" w:rsidRPr="004A1FCB" w:rsidRDefault="004A1FCB">
      <w:pPr>
        <w:pStyle w:val="FootnoteText"/>
        <w:rPr>
          <w:sz w:val="16"/>
          <w:szCs w:val="16"/>
        </w:rPr>
      </w:pPr>
      <w:r w:rsidRPr="004A1FCB">
        <w:rPr>
          <w:rStyle w:val="FootnoteReference"/>
          <w:sz w:val="16"/>
          <w:szCs w:val="16"/>
        </w:rPr>
        <w:footnoteRef/>
      </w:r>
      <w:r w:rsidRPr="004A1FCB">
        <w:rPr>
          <w:sz w:val="16"/>
          <w:szCs w:val="16"/>
        </w:rPr>
        <w:t xml:space="preserve"> Data suppressed due to small cell size.</w:t>
      </w:r>
    </w:p>
  </w:footnote>
  <w:footnote w:id="8">
    <w:p w14:paraId="035151B3" w14:textId="77777777" w:rsidR="00A04ECA" w:rsidRDefault="00A04ECA">
      <w:pPr>
        <w:pStyle w:val="FootnoteText"/>
      </w:pPr>
      <w:r w:rsidRPr="006D16D2">
        <w:rPr>
          <w:rStyle w:val="FootnoteReference"/>
          <w:sz w:val="16"/>
          <w:szCs w:val="16"/>
        </w:rPr>
        <w:footnoteRef/>
      </w:r>
      <w:r w:rsidRPr="006D16D2">
        <w:rPr>
          <w:sz w:val="16"/>
          <w:szCs w:val="16"/>
        </w:rPr>
        <w:t xml:space="preserve"> Data flagged due to questionable data quality.</w:t>
      </w:r>
    </w:p>
  </w:footnote>
  <w:footnote w:id="9">
    <w:p w14:paraId="12277FB5" w14:textId="77777777" w:rsidR="00A04ECA" w:rsidRDefault="00A04ECA">
      <w:pPr>
        <w:pStyle w:val="FootnoteText"/>
      </w:pPr>
      <w:r w:rsidRPr="006D16D2">
        <w:rPr>
          <w:rStyle w:val="FootnoteReference"/>
          <w:sz w:val="16"/>
          <w:szCs w:val="16"/>
        </w:rPr>
        <w:footnoteRef/>
      </w:r>
      <w:r w:rsidRPr="006D16D2">
        <w:rPr>
          <w:sz w:val="16"/>
          <w:szCs w:val="16"/>
        </w:rPr>
        <w:t xml:space="preserve"> Data flagged due to questionable data quality.</w:t>
      </w:r>
    </w:p>
  </w:footnote>
  <w:footnote w:id="10">
    <w:p w14:paraId="4B8CAB50" w14:textId="5992EE0B" w:rsidR="007F2D67" w:rsidRDefault="007F2D67">
      <w:pPr>
        <w:pStyle w:val="FootnoteText"/>
      </w:pPr>
      <w:r w:rsidRPr="007F2D67">
        <w:rPr>
          <w:rStyle w:val="FootnoteReference"/>
          <w:sz w:val="16"/>
          <w:szCs w:val="16"/>
        </w:rPr>
        <w:footnoteRef/>
      </w:r>
      <w:r w:rsidRPr="007F2D67">
        <w:rPr>
          <w:sz w:val="16"/>
          <w:szCs w:val="16"/>
        </w:rPr>
        <w:t xml:space="preserve"> Data suppressed due to small cell size.</w:t>
      </w:r>
    </w:p>
  </w:footnote>
  <w:footnote w:id="11">
    <w:p w14:paraId="4A36412F" w14:textId="7EA18E8B" w:rsidR="0066067F" w:rsidRPr="0066067F" w:rsidRDefault="0066067F">
      <w:pPr>
        <w:pStyle w:val="FootnoteText"/>
        <w:rPr>
          <w:sz w:val="16"/>
          <w:szCs w:val="16"/>
        </w:rPr>
      </w:pPr>
      <w:r w:rsidRPr="0066067F">
        <w:rPr>
          <w:rStyle w:val="FootnoteReference"/>
          <w:sz w:val="16"/>
          <w:szCs w:val="16"/>
        </w:rPr>
        <w:footnoteRef/>
      </w:r>
      <w:r w:rsidRPr="0066067F">
        <w:rPr>
          <w:sz w:val="16"/>
          <w:szCs w:val="16"/>
        </w:rPr>
        <w:t xml:space="preserve"> Data flagged due to questionable data quality.</w:t>
      </w:r>
    </w:p>
  </w:footnote>
  <w:footnote w:id="12">
    <w:p w14:paraId="1EFA3966" w14:textId="2ED4DCA5" w:rsidR="0066067F" w:rsidRDefault="0066067F">
      <w:pPr>
        <w:pStyle w:val="FootnoteText"/>
      </w:pPr>
      <w:r w:rsidRPr="0066067F">
        <w:rPr>
          <w:rStyle w:val="FootnoteReference"/>
          <w:sz w:val="16"/>
          <w:szCs w:val="16"/>
        </w:rPr>
        <w:footnoteRef/>
      </w:r>
      <w:r w:rsidRPr="0066067F">
        <w:rPr>
          <w:sz w:val="16"/>
          <w:szCs w:val="16"/>
        </w:rPr>
        <w:t xml:space="preserve"> Data suppressed due to small cell size.</w:t>
      </w:r>
    </w:p>
  </w:footnote>
  <w:footnote w:id="13">
    <w:p w14:paraId="70ADB5B3" w14:textId="4DF44654" w:rsidR="0066067F" w:rsidRDefault="0066067F">
      <w:pPr>
        <w:pStyle w:val="FootnoteText"/>
      </w:pPr>
      <w:r w:rsidRPr="0066067F">
        <w:rPr>
          <w:rStyle w:val="FootnoteReference"/>
          <w:sz w:val="16"/>
          <w:szCs w:val="16"/>
        </w:rPr>
        <w:footnoteRef/>
      </w:r>
      <w:r w:rsidRPr="0066067F">
        <w:rPr>
          <w:sz w:val="16"/>
          <w:szCs w:val="16"/>
        </w:rPr>
        <w:t xml:space="preserve"> Data flgged due to questionable data quality.</w:t>
      </w:r>
    </w:p>
  </w:footnote>
  <w:footnote w:id="14">
    <w:p w14:paraId="02DDFECD" w14:textId="1C85D25C" w:rsidR="0066067F" w:rsidRDefault="0066067F">
      <w:pPr>
        <w:pStyle w:val="FootnoteText"/>
      </w:pPr>
      <w:r w:rsidRPr="0066067F">
        <w:rPr>
          <w:rStyle w:val="FootnoteReference"/>
          <w:sz w:val="16"/>
          <w:szCs w:val="16"/>
        </w:rPr>
        <w:footnoteRef/>
      </w:r>
      <w:r w:rsidRPr="0066067F">
        <w:rPr>
          <w:sz w:val="16"/>
          <w:szCs w:val="16"/>
        </w:rPr>
        <w:t xml:space="preserve"> Data suppressed due to small cell size.</w:t>
      </w:r>
    </w:p>
  </w:footnote>
  <w:footnote w:id="1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48645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1482"/>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53"/>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BA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457"/>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1FCB"/>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4EF3"/>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067F"/>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67"/>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B37"/>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4EC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0CB"/>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322"/>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862E0-FC54-4529-BB2C-FEB564FA58EA}"/>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292db1e8-b3d0-4356-8ef3-2a6d7ed77883"/>
    <ds:schemaRef ds:uri="4f36bac4-6705-4a36-974b-7c07450fedf2"/>
    <ds:schemaRef ds:uri="http://schemas.microsoft.com/sharepoint/v3"/>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29</TotalTime>
  <Pages>84</Pages>
  <Words>46609</Words>
  <Characters>265675</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12</cp:revision>
  <cp:lastPrinted>2014-08-19T16:56:00Z</cp:lastPrinted>
  <dcterms:created xsi:type="dcterms:W3CDTF">2023-06-28T21:59:00Z</dcterms:created>
  <dcterms:modified xsi:type="dcterms:W3CDTF">2023-07-31T19:05:00Z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