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Nebraska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t>The systems that are in place to ensure that IDEA Part C requirements are met, e.g., monitoring systems, dispute resolution systems.</w:t>
      </w:r>
      <w:r w:rsidRPr="00ED172B">
        <w:rPr>
          <w:color w:val="000000" w:themeColor="text1"/>
          <w:szCs w:val="16"/>
        </w:rPr>
        <w:br/>
        <w:t>Monitoring:</w:t>
      </w:r>
      <w:r w:rsidRPr="00ED172B">
        <w:rPr>
          <w:color w:val="000000" w:themeColor="text1"/>
          <w:szCs w:val="16"/>
        </w:rPr>
        <w:br/>
        <w:t>The Individuals with Disabilities Education Act (IDEA) Part C system in Nebraska, known as the Early Development Network (EDN), is co-administered by the Nebraska Department of Education (NDE), Office of Special Education and the Nebraska Department of Health and Human Services (NDHHS), Division of Medicaid and Long-term Care (aka “Co-Lead Agencies” or “the Co-Leads”). Per the Nebraska Early Intervention Act, these 2 agencies are responsible for the planning, implementation, and administration of the federal Early Intervention Services System and the Nebraska Early Intervention Act. Additionally, the Nebraska Early Intervention Act requires interagency Planning Region Teams (PRTs) to be responsible for assisting in the planning and implementation of the Early Intervention Act in each local community or region. The IDEA Part C regulations require the Nebraska Part C Co-Lead Agencies to monitor local Early Intervention Programs on the implementation of early intervention regulations outlined in NDE 92 NAC 52 (Rule 52) and NDHHS 480 NAC 1. Each of the PRTs is an interagency coordinating council made up of local schools, health and human service agencies, community agencies, Head Start, families, and others who provide early intervention services. Each PRT covers a specific geographic area of the state and is responsible for implementation of an interagency system of services in the region. The EDN Services Coordination agency within the PRT assumes the responsibility for delivery of the entitlement of services coordination in the region. The EDN Services Coordination agency may be the same agency selected by the PRT as the lead agency, but in many cases, these are two separate agencies working collaboratively to provide early intervention services in the region. The Nebraska Part C Co-Lead Monitoring process gathers data from multiple sources, analyzes results, identifies gaps with Part C services, rates PRT performance, and stimulates the development of improvement activities for the PRT. The monitoring process relies on multiple sources of data to gauge the effectiveness of early intervention supports and services for infants and toddlers with disabilities and their families. Nebraska has developed monitoring procedures which require PRT’s to be reviewed at least once every three (3) years for implementation of the requirements under Part C of IDEA. The Nebraska Part C Co-Lead Agencies review a variety of data sources to document each PRT’s compliance with NDE 92 NAC 52 (Rule 52) and NDHHS 480 NAC 1, including:</w:t>
      </w:r>
      <w:r w:rsidRPr="00ED172B">
        <w:rPr>
          <w:color w:val="000000" w:themeColor="text1"/>
          <w:szCs w:val="16"/>
        </w:rPr>
        <w:br/>
        <w:t>1. IFSP File Review</w:t>
      </w:r>
      <w:r w:rsidRPr="00ED172B">
        <w:rPr>
          <w:color w:val="000000" w:themeColor="text1"/>
          <w:szCs w:val="16"/>
        </w:rPr>
        <w:br/>
        <w:t>2. Completion of prior Corrective Action Plans;</w:t>
      </w:r>
      <w:r w:rsidRPr="00ED172B">
        <w:rPr>
          <w:color w:val="000000" w:themeColor="text1"/>
          <w:szCs w:val="16"/>
        </w:rPr>
        <w:br/>
        <w:t>3. Policies and Procedures Review;</w:t>
      </w:r>
      <w:r w:rsidRPr="00ED172B">
        <w:rPr>
          <w:color w:val="000000" w:themeColor="text1"/>
          <w:szCs w:val="16"/>
        </w:rPr>
        <w:br/>
        <w:t>4. Forms Review;</w:t>
      </w:r>
      <w:r w:rsidRPr="00ED172B">
        <w:rPr>
          <w:color w:val="000000" w:themeColor="text1"/>
          <w:szCs w:val="16"/>
        </w:rPr>
        <w:br/>
        <w:t>5. Review of results from mediations, complaint and due process reports; and</w:t>
      </w:r>
      <w:r w:rsidRPr="00ED172B">
        <w:rPr>
          <w:color w:val="000000" w:themeColor="text1"/>
          <w:szCs w:val="16"/>
        </w:rPr>
        <w:br/>
        <w:t>6. Review of supporting data from sources such as PRT child count, Referral vs. Verification Data, Referral Sources, CAPTA, and Performance Reports for the last 3 years.</w:t>
      </w:r>
      <w:r w:rsidRPr="00ED172B">
        <w:rPr>
          <w:color w:val="000000" w:themeColor="text1"/>
          <w:szCs w:val="16"/>
        </w:rPr>
        <w:br/>
        <w:t>The steps in the monitoring process include:</w:t>
      </w:r>
      <w:r w:rsidRPr="00ED172B">
        <w:rPr>
          <w:color w:val="000000" w:themeColor="text1"/>
          <w:szCs w:val="16"/>
        </w:rPr>
        <w:br/>
        <w:t>Step One: The Part C Co-Leads schedule the monitoring plan for the upcoming year. The monitoring team is composed of the Part C Co-Coordinators and additional NDE and NDHHS staff to assist in the Monitoring</w:t>
      </w:r>
      <w:r w:rsidRPr="00ED172B">
        <w:rPr>
          <w:color w:val="000000" w:themeColor="text1"/>
          <w:szCs w:val="16"/>
        </w:rPr>
        <w:br/>
        <w:t>process. The PRT Lead Agency receives the Notification letter informing the PRT of the scheduled date of the upcoming Part C Monitoring.</w:t>
      </w:r>
      <w:r w:rsidRPr="00ED172B">
        <w:rPr>
          <w:color w:val="000000" w:themeColor="text1"/>
          <w:szCs w:val="16"/>
        </w:rPr>
        <w:br/>
        <w:t>The Part C Monitoring Team meets with the PRT members to discuss the various components of the monitoring process, including IFSP file reviews, correction of noncompliance, verification of correction of noncompliance,</w:t>
      </w:r>
      <w:r w:rsidRPr="00ED172B">
        <w:rPr>
          <w:color w:val="000000" w:themeColor="text1"/>
          <w:szCs w:val="16"/>
        </w:rPr>
        <w:br/>
        <w:t>how information generated from the monitoring activities will be incorporated into the Corrective Action Plan (CAP) and PRT Improvement planning process to improve results for infants/toddlers with disabilities and their</w:t>
      </w:r>
      <w:r w:rsidRPr="00ED172B">
        <w:rPr>
          <w:color w:val="000000" w:themeColor="text1"/>
          <w:szCs w:val="16"/>
        </w:rPr>
        <w:br/>
        <w:t>families.</w:t>
      </w:r>
      <w:r w:rsidRPr="00ED172B">
        <w:rPr>
          <w:color w:val="000000" w:themeColor="text1"/>
          <w:szCs w:val="16"/>
        </w:rPr>
        <w:br/>
        <w:t>Step Two: The Part C Monitoring Team reviews the PRT’s early intervention process, including the following components:</w:t>
      </w:r>
      <w:r w:rsidRPr="00ED172B">
        <w:rPr>
          <w:color w:val="000000" w:themeColor="text1"/>
          <w:szCs w:val="16"/>
        </w:rPr>
        <w:br/>
        <w:t>· Forms used by the PRT to document the implementation of 92 NAC 52 and 480 NAC 1</w:t>
      </w:r>
      <w:r w:rsidRPr="00ED172B">
        <w:rPr>
          <w:color w:val="000000" w:themeColor="text1"/>
          <w:szCs w:val="16"/>
        </w:rPr>
        <w:br/>
        <w:t>· IFSP Files</w:t>
      </w:r>
      <w:r w:rsidRPr="00ED172B">
        <w:rPr>
          <w:color w:val="000000" w:themeColor="text1"/>
          <w:szCs w:val="16"/>
        </w:rPr>
        <w:br/>
        <w:t>· PRT Policies, Procedures and Practices</w:t>
      </w:r>
      <w:r w:rsidRPr="00ED172B">
        <w:rPr>
          <w:color w:val="000000" w:themeColor="text1"/>
          <w:szCs w:val="16"/>
        </w:rPr>
        <w:br/>
        <w:t>· Review of any complaints filed and investigated by the Co-Lead Agencies pursuant to 92 NAC 52 and 480 NAC 1</w:t>
      </w:r>
      <w:r w:rsidRPr="00ED172B">
        <w:rPr>
          <w:color w:val="000000" w:themeColor="text1"/>
          <w:szCs w:val="16"/>
        </w:rPr>
        <w:br/>
        <w:t>· Review of any due process findings issued pursuant to 92 NAC 55</w:t>
      </w:r>
      <w:r w:rsidRPr="00ED172B">
        <w:rPr>
          <w:color w:val="000000" w:themeColor="text1"/>
          <w:szCs w:val="16"/>
        </w:rPr>
        <w:br/>
        <w:t>· Review of the timely correction of any noncompliance identified during the previous monitoring cycle</w:t>
      </w:r>
      <w:r w:rsidRPr="00ED172B">
        <w:rPr>
          <w:color w:val="000000" w:themeColor="text1"/>
          <w:szCs w:val="16"/>
        </w:rPr>
        <w:br/>
        <w:t>· Issues identified as part of previous fiscal review or sub-recipient fiscal reviews</w:t>
      </w:r>
      <w:r w:rsidRPr="00ED172B">
        <w:rPr>
          <w:color w:val="000000" w:themeColor="text1"/>
          <w:szCs w:val="16"/>
        </w:rPr>
        <w:br/>
        <w:t>Step Three: The Part C Monitoring Team conducts the Focused Onsite PRT Exit Conference. The result of the PRT monitoring is shared with the PRT members. This visit allows an opportunity for clarification or</w:t>
      </w:r>
      <w:r w:rsidRPr="00ED172B">
        <w:rPr>
          <w:color w:val="000000" w:themeColor="text1"/>
          <w:szCs w:val="16"/>
        </w:rPr>
        <w:br/>
        <w:t>submission of evidence to determine whether or not compliance was met.</w:t>
      </w:r>
      <w:r w:rsidRPr="00ED172B">
        <w:rPr>
          <w:color w:val="000000" w:themeColor="text1"/>
          <w:szCs w:val="16"/>
        </w:rPr>
        <w:br/>
        <w:t>Step Four: The Part C Co-Leads provide written notification of Findings to the PRT. The PRT must submit a CAP within 45 days to the Part C Co-Leads. Upon submission of the PRT’s CAP, the Part C Co-Leads will give</w:t>
      </w:r>
      <w:r w:rsidRPr="00ED172B">
        <w:rPr>
          <w:color w:val="000000" w:themeColor="text1"/>
          <w:szCs w:val="16"/>
        </w:rPr>
        <w:br/>
        <w:t>approval in writing.</w:t>
      </w:r>
      <w:r w:rsidRPr="00ED172B">
        <w:rPr>
          <w:color w:val="000000" w:themeColor="text1"/>
          <w:szCs w:val="16"/>
        </w:rPr>
        <w:br/>
        <w:t>Step Five: Verification of Correction of Noncompliance and Closeout of Monitoring Process. Pursuant to 92 NAC 52-004.02E, all noncompliance must be corrected as soon as possible, and in no case later than one year from the date on which the PRT is notified of a finding of noncompliance. For all individual instances of noncompliance that can be corrected, the PRT must immediately correct and submit evidence of correction to the Part C Co-Leads, who will document the receipt of evidence of the individual correction. The Closeout Letter will be completed by Part C Co-Leads following the completion of the verification activities and the final report. This Closeout Letter is a clear statement by the Part C Co-Leads that the PRT has corrected the areas of noncompliance previously identified, has successfully completed the CAP, and the PRT is now in full compliance with IDEA Part C Regulations, NDE 92 NAC 52, and NDHHS 480 NAC 1.</w:t>
      </w:r>
      <w:r w:rsidRPr="00ED172B">
        <w:rPr>
          <w:color w:val="000000" w:themeColor="text1"/>
          <w:szCs w:val="16"/>
        </w:rPr>
        <w:br/>
      </w:r>
      <w:r w:rsidRPr="00ED172B">
        <w:rPr>
          <w:color w:val="000000" w:themeColor="text1"/>
          <w:szCs w:val="16"/>
        </w:rPr>
        <w:lastRenderedPageBreak/>
        <w:t>Dispute Resolution:</w:t>
      </w:r>
      <w:r w:rsidRPr="00ED172B">
        <w:rPr>
          <w:color w:val="000000" w:themeColor="text1"/>
          <w:szCs w:val="16"/>
        </w:rPr>
        <w:br/>
        <w:t>Complaints</w:t>
      </w:r>
      <w:r w:rsidRPr="00ED172B">
        <w:rPr>
          <w:color w:val="000000" w:themeColor="text1"/>
          <w:szCs w:val="16"/>
        </w:rPr>
        <w:br/>
        <w:t>The NDE Complaint Investigator will complete the complaint process as identified in 92 NAC 51-009.11, meeting the appropriate timelines. All correspondence to the complainants is completed by the Complaint Investigator. If any noncompliance is identified, the agency will be contacted and required to complete a CAP, and the Complaint Investigator will send the Closeout Letter.</w:t>
      </w:r>
      <w:r w:rsidRPr="00ED172B">
        <w:rPr>
          <w:color w:val="000000" w:themeColor="text1"/>
          <w:szCs w:val="16"/>
        </w:rPr>
        <w:br/>
        <w:t>Due Process Hearings-</w:t>
      </w:r>
      <w:r w:rsidRPr="00ED172B">
        <w:rPr>
          <w:color w:val="000000" w:themeColor="text1"/>
          <w:szCs w:val="16"/>
        </w:rPr>
        <w:br/>
        <w:t>The NDE Legal Office provides guidance to Parents, etc., on completing the Dispute Resolution element of the due process hearing in accordance with 92 NAC 51-009.13. Other mediation requests are handled through the regional Mediation Centers, in accordance with 92 NAC 51-009.12.</w:t>
      </w:r>
      <w:r w:rsidRPr="00ED172B">
        <w:rPr>
          <w:color w:val="000000" w:themeColor="text1"/>
          <w:szCs w:val="16"/>
        </w:rPr>
        <w:br/>
        <w:t>Mediation-</w:t>
      </w:r>
      <w:r w:rsidRPr="00ED172B">
        <w:rPr>
          <w:color w:val="000000" w:themeColor="text1"/>
          <w:szCs w:val="16"/>
        </w:rPr>
        <w:br/>
        <w:t>Mediation is an integral part of the complaint and due process procedures. There are six (6) Mediation Centers located regionally throughout the State of Nebraska to provide services to parents, families and school districts.</w:t>
      </w:r>
      <w:r w:rsidRPr="00ED172B">
        <w:rPr>
          <w:color w:val="000000" w:themeColor="text1"/>
          <w:szCs w:val="16"/>
        </w:rPr>
        <w:br/>
        <w:t>Provision of a Free Appropriate Public Education (FAPE)</w:t>
      </w:r>
      <w:r w:rsidRPr="00ED172B">
        <w:rPr>
          <w:color w:val="000000" w:themeColor="text1"/>
          <w:szCs w:val="16"/>
        </w:rPr>
        <w:br/>
        <w:t>Since Nebraska is a Birth-mandate state, the Nebraska Department of Education, Office of Special Education works with school districts, service agencies and approved cooperatives to ensure that all infants and toddlers with disabilities in the State of Nebraska are receiving a free, appropriate public education (FAPE) in their natural environment to the maximum extent appropriate.</w:t>
      </w:r>
      <w:r w:rsidRPr="00ED172B">
        <w:rPr>
          <w:color w:val="000000" w:themeColor="text1"/>
          <w:szCs w:val="16"/>
        </w:rPr>
        <w:br/>
        <w:t>Timely and Accurate Reporting of Data:</w:t>
      </w:r>
      <w:r w:rsidRPr="00ED172B">
        <w:rPr>
          <w:color w:val="000000" w:themeColor="text1"/>
          <w:szCs w:val="16"/>
        </w:rPr>
        <w:br/>
        <w:t>The Nebraska Department of Education, Office of Special Education works with PRTs, school districts, service agencies and approved cooperatives to ensure that all data requirements are met in reporting the data. “Deadlines are Deadlines” is the rule for reporting data on time, and ensuring that the data is accurate and not needing to be returned for further review and revision.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Nebraska has spent considerable energy building an “internal” support structure—necessary if we are to move innovative practices and programs from initial training to full implementation. This effort began sincerely in 2009 when two Nebraska practitioners attended the Siskin National Routines-Based Interview (RBI) training institute in Chattanooga, TN to become nationally certified interviewers. Building infrastructure from the top down, the Part C Co-Lead Coordinators and the Part B 619 Coordinator, along with the two newly certified RBI trainers formed a State level implementation team. Using the RBI as the first of Nebraska’s “usable interventions”, the state began to pilot a statewide implementation plan of training and TA for the RBI as well as additional evidence-based practices. An additional sixteen service providers and services coordinators attended the RBI Siskin Institute with the intent of strategically placing certified RBI trainers geographically across the state. Additional training opportunities provided by the Co-Leads addressed evidence-based practices directly impacted by use of the RBI, e.g. Quality Home Visits, Integrated Service Delivery, and Collaborative Consultation with Childcare. Professional development opportunities and TA have been facilitated using the Nebraska Team Self-Assessment. The tool, “Implementing Evidence-Based Practices in Natural and Inclusive Environments for Children Birth to 3,” was adapted from the original work of Robin McWilliam. The statewide coordinators provide TA to support the work of these teams through biannual conference calls and assistance. Because use of the RBI impacts the overall EI process, the focus of the stakeholder groups and our professional development/TA expanded to include evidence-based practices beyond child and family assessment. Using the implementation science research, the state leadership team developed an implementation plan aimed at implementing all three RDA improvement strategies statewide and creating sustainability. The statewide coordinators biannual conference calls and provision of additional TA opportunities has allowed for the development of an RBI statewide fidelity process, monitoring of functional child and family IFSP outcomes, and implementation of routines-based home visits, as well as PRT specific planning for ongoing training and TA. Webinars have been developed to provide an overview of the RDA/SSIP, strengthen the use of the RBI, provide functional outcome guidance, and introduce routines-based home visits using the Getting Ready approach. The Regional RBEI TA implements data-driven professional development and TA within each assigned PRT. Evaluation procedures for the implementation of the RBI, functional child and family IFSP outcomes and routines-based quality home visits are continuously implemented. The results are used to adjust training and TA for the cohort PRT’s, as well as statewide.</w:t>
      </w:r>
      <w:r w:rsidRPr="00ED172B">
        <w:rPr>
          <w:color w:val="000000" w:themeColor="text1"/>
          <w:szCs w:val="16"/>
        </w:rPr>
        <w:br/>
        <w:t xml:space="preserve">Nebraska utilizes Teaching Strategies GOLD to collect federal child outcome data. Currently, multiple levels of training on the TS Gold system for early intervention providers and administrators are offered virtually and in multiple locations across the state to provide access for staff. The Early Development Network website provides on-demand TA access for service providers, administrators, services coordinators, planning region teams and families related to regulations, guidelines, RDA/SSIP, evidence-based practices, examples and samples from local PRTs, and training announcements. The site also connects to on-line training modules addressing foundational EI topics, including "Orientation to the Early Development Network in Nebraska," "Home Visitation Core Principles and Practices", and a web-based IFSP development training. In addition, the Co-Leads provide TA by request through meetings, trainings, conference calls, and webinars. The Co-leads conduct a conference every other year which provides a forum for training on the Part C regulations and offers technical assistance guidance on various topics. Also, the Co-Leads continue to provide targeted training/TA as a result of needs identified via the monitoring process.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For several years, the Nebraska Part C Co-Leads -- Department of Education (NDE) and the Department of Health and Human Services (NDHHS), have provided significant professional development and technical assistance (TA) consistent with evidence-based research in early intervention and the mission, beliefs, and principles promoted by the Early Childhood Technical Assistance Center (ECTAC). Intensive statewide training has focused on the provision of services in natural environments, use of the Primary Service Provider service delivery model, and coaching and teaming practices. The Co-Leads added training and implementation in the use of the Routines Based Interview (RBI) as a child and family assessment process; writing functional and meaningful child and family outcomes; and, provision of quality home visits through the Getting Ready Approach in order to meet RDA/SSIP requirements. The RBI is an assessment tool that uses the research about how young children learn, i.e. through natural learning opportunities within their family, to facilitate family engagement toward improving child and family outcomes. These training initiatives were provided by Dr. Robin McWilliam of the Siskin Institute in TN, Dathan Rush and M’Lisa Shelden of the Family Infant Preschool Program in NC, and Dr. Lisa Knoche of the Center for Research on Children, Youth, Families and Schools at the University of Nebraska-Lincoln -- national researchers and presenters on evidence-based practices in early intervention. Although many of our state’s efforts are now primarily related to the RDA work, Nebraska has additional ongoing training efforts that peripherally impact the State Identified Measurable Result (SIMR). These training efforts include: Special Care which focuses on child care providers who care for children with disabilities; Early Learning Guidelines trainings which provide information about developmentally appropriate practices across domains in inclusive settings; Early Childhood Multi-tiered Systems of Support and Pyramid; CAPTA-related trainings to child welfare, court, and EI personnel; and Circle of Security training – all of which are supported through collaboration with multiple state and private agencies - Nebraska Children and Families Foundation, Nebraska Department of Health and Human Services, Nebraska Head Start State Collaboration Office, University of Nebraska’s Center for Children, Families and the Law, University of Nebraska’s Munroe Meyer Institute, Higher Education partners at the University of Nebraska Lincoln and Omaha, and the Nebraska Infant Mental Health Association. The Parent Training &amp; Information Center (PTI) is a family partner to the EDN Co-Leads and provides numerous training activities for families, services coordinators and service providers. Family </w:t>
      </w:r>
      <w:r w:rsidRPr="00ED172B">
        <w:rPr>
          <w:color w:val="000000" w:themeColor="text1"/>
          <w:szCs w:val="16"/>
        </w:rPr>
        <w:lastRenderedPageBreak/>
        <w:t xml:space="preserve">representatives have the opportunity to influence training and TA activities both at the state and local levels by participating in planning sessions and through the provision of feedback. Several trainings are offered to families via PTI and partner agencies, funded by the EDN Co-Leads.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szCs w:val="16"/>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szCs w:val="16"/>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szCs w:val="16"/>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szCs w:val="16"/>
        </w:rPr>
        <w:br/>
        <w:t xml:space="preserve">Please see the Parent Members Engagement section for additional information.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In October and November of 2021, the Co-Leads engaged in two virtual stakeholder meetings due to the COVID 19 pandemic as well as to accommodate families’ schedules. In advance of these meetings, we engaged in several activities to ensure the parent voice was appropriately captured. The EDN co-leads participated in active parent recruitment with all 28 local early intervention programs. We additionally targeted local programs with higher numbers of historically underserved populations to ensure a diverse parent stakeholder make up. Personal contacts and invitations were made with all new parent recruits including ICC parent members. Parents were offered stipends to assist with lost wages and child care to ensure participation. The co-leads also engaged with PTI Nebraska and the University of Nebraska Monroe Meyer Institute, a disability advocacy center, to cohost and facilitate an orientation meeting with the stakeholder parents one week prior to the meeting to provide an overview of the SSIP and SPP-APR to ensure the parents had the appropriate context and information needed to actively participate. All stakeholders were provided copies of the meeting materials in advance of the meeting to give them time to review the data, evaluation progress, proposed targets, and improvement strategies. During the stakeholder meetings engagement strategies included participants' ability to share their input via audio or chat box. Additionally, input was solicited via open discussion and polls.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Early Development Network (EDN) values family input and families sharing their experiences to improve and prioritize activities in our state. As partners to the EDN, the UNMC Munroe-Meyer Institute and PTI-Nebraska conducted two meetings where stakeholder parents could learn more about the stakeholder process, network with other families, and receive additional information in order to fully participate in the stakeholder meetings. PTI and advocacy center staff supported parents during and after the meetings to answer questions and provide assistance around the stakeholder process in order to improve parent capacity and boost parent engagement in the development of activities designed to improve outcomes for infants and toddlers with disabilities and their families. Finally, the co-leads sent a personal thank you message to each of the parent stakeholders for their assistance and guidance.</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In 2021, the co-leads engaged in multiple forums to solicit public input for setting targets, analyzing data, and developing improvement strategies. The co-leads performed these activities with Nebraska’s Part C ICC and Part C RDA stakeholder members. Additionally, monthly Special Education/Early Intervention webinars were held in which information was provided and input was solicited around this activity. The co-leads also engaged in Nebraska’s Results Matter Taskforce which consisted of EI administrators, practioners, and collaborative partners to solicit input for target setting, development of improvement strategies, and evaluating progress. In efforts to recruit and solicit public input the coleads added a feature on the EDN website that enabled the public to join the RDA stakeholder process. This link can be viewed here: https://edn.ne.gov/cms/rda-stakeholders-group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stakeholder meeting materials are posted annually in the fall and archived on the EDN website. These materials can be viewed at the following link: https://edn.ne.gov/cms/rda-stakeholder-meetings. Additionally our SSIP is annually reported on the EDN website at this link: https://edn.ne.gov/cms/state-systemic-improvement-plans-ssip</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2019 performance of each EIS Program located in the State on the targets in the SPP/APR as soon as practicable, but no later than 120 days following the State’s submission of its FFY 2019 APR, as required by 34 CFR </w:t>
      </w:r>
      <w:r w:rsidRPr="00ED172B">
        <w:rPr>
          <w:b/>
          <w:color w:val="000000" w:themeColor="text1"/>
          <w:szCs w:val="16"/>
        </w:rPr>
        <w:lastRenderedPageBreak/>
        <w:t>§303.702(b)(1)(i)(A);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Planning Region Team performance on each of the APR indicators is reported each spring on the Early Development Network website. The report can be found at, http://edn.ne.gov/spp/regional-data.html. The Early Development Network website is a site that provides information to the public, families, service providers and the Planning Region Teams on the Early Intervention program in Nebraska. A copy of the state's SPP is located on the EDN site, http://edn.ne.gov/cms/public-reporting-0.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99.43%</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98.55%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97.16%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97.16%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Nebraska's criteria for timely receipt of early intervention services is as soon as possible after the parent consents in writing to the service but not later</w:t>
      </w:r>
      <w:r w:rsidRPr="00ED172B">
        <w:rPr>
          <w:color w:val="000000" w:themeColor="text1"/>
          <w:szCs w:val="16"/>
        </w:rPr>
        <w:br/>
        <w:t>than 30 days of receipt of parental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w:t>
      </w:r>
      <w:r w:rsidRPr="00ED172B">
        <w:rPr>
          <w:color w:val="000000" w:themeColor="text1"/>
        </w:rPr>
        <w:br/>
        <w:t xml:space="preserve">a three year cycle. IFSP files and other records maintained by Services Coordinators are reviewed for compliance with IDEA and Medicaid. The Individualized Family Service Plan (IFSP) checklist file review for Improving Learning for Children with Disabilities (ILCD) gathers data regarding the receipt of early intervention services on IFSPs in a timely manner. In FFY 2020, 9 of the Planning Regions participated in an IFSP file review for a total of 113 files. All 113 files (100%) were in compliance with the IFSP services provided in a timely manner.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The Co-Leads notified each EIS program in writing concerning the finding of noncompliance and the requirement that the noncompliance be corrected as soon as possible, but in no case more than one year from identification. The State verified that each EIS program not in compliance, correctly implemented the specific regulatory requirement and ensured that all children received the services listed on the IFSP in a timely manner. Each EIS program was required to develop and implement a Corrective Action Plan to ensure correction of noncompliance within one year. The Co-Leads monitored the implementation of the Corrective Action Plan. In addition, the Co-Leads reviewed files of newly-referred children for assurance that compliance was met and the CAP-related processes, as well as specific regulatory requirements, were implemented. Within one year of identification each EIS program was found to be in 100% compliance in meeting the Timely Services requirement.</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Each EIS program was required to develop and implement a Corrective Action Plan to ensure correction of noncompliance within one year. The Co-Leads monitored the implementation of the Corrective Action Plan. The State ensured that each child received all IFSP services, although late in some instances, as noted in the FFY 2019 APR. In addition, the Co-Leads reviewed files of newly-referred children for assurance that compliance was met and the CAP-related processes, as well as specific regulatory requirements, were implemented. Within one year of identification each EIS program was found to be in 100% compliance in meeting the Timely Services requirement.</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FFY 2019 findings of noncompliance verified as corrected is addressed within Indicator 1 as required by the template. Please reference Indicator 1.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91.03%</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98.20%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98.20%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98.27%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98.98%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99.24%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99.15%</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93.00%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93.50%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94.00%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94.50%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1,823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1,895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1,823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1,895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99.15%</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93.00%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96.20%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59.30%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53.77%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55.68%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44.28%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39.34%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57.51%</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51.34%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27.91%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29.45%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29.51%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25.15%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50.14%</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42.50%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58.58%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46.09%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45.22%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39.41%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33.55%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56.73%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41.60%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22.77%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29.31%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23.77%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48.80%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57.89%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58.87%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64.71%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87.32%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80.99%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55.33%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51.24%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50.31%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63.37%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90.20%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91.81%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55.64%</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57.80%</w:t>
            </w:r>
          </w:p>
        </w:tc>
        <w:tc>
          <w:tcPr>
            <w:tcW w:w="776" w:type="pct"/>
          </w:tcPr>
          <w:p w14:paraId="7A62957C" w14:textId="59554121" w:rsidR="002242B8" w:rsidRPr="00ED172B" w:rsidRDefault="002242B8" w:rsidP="002242B8">
            <w:pPr>
              <w:jc w:val="center"/>
              <w:rPr>
                <w:color w:val="000000" w:themeColor="text1"/>
              </w:rPr>
            </w:pPr>
            <w:r>
              <w:rPr>
                <w:color w:val="000000" w:themeColor="text1"/>
              </w:rPr>
              <w:t>58.30%</w:t>
            </w:r>
          </w:p>
        </w:tc>
        <w:tc>
          <w:tcPr>
            <w:tcW w:w="776" w:type="pct"/>
          </w:tcPr>
          <w:p w14:paraId="330DB307" w14:textId="4DD70DCA" w:rsidR="002242B8" w:rsidRPr="00ED172B" w:rsidRDefault="002242B8" w:rsidP="002242B8">
            <w:pPr>
              <w:jc w:val="center"/>
              <w:rPr>
                <w:color w:val="000000" w:themeColor="text1"/>
              </w:rPr>
            </w:pPr>
            <w:r>
              <w:rPr>
                <w:color w:val="000000" w:themeColor="text1"/>
              </w:rPr>
              <w:t>58.80%</w:t>
            </w:r>
          </w:p>
        </w:tc>
        <w:tc>
          <w:tcPr>
            <w:tcW w:w="775" w:type="pct"/>
          </w:tcPr>
          <w:p w14:paraId="1E535134" w14:textId="174673D1" w:rsidR="002242B8" w:rsidRPr="00ED172B" w:rsidRDefault="002242B8" w:rsidP="002242B8">
            <w:pPr>
              <w:jc w:val="center"/>
              <w:rPr>
                <w:color w:val="000000" w:themeColor="text1"/>
              </w:rPr>
            </w:pPr>
            <w:r>
              <w:rPr>
                <w:color w:val="000000" w:themeColor="text1"/>
              </w:rPr>
              <w:t>59.30%</w:t>
            </w:r>
          </w:p>
        </w:tc>
        <w:tc>
          <w:tcPr>
            <w:tcW w:w="774" w:type="pct"/>
          </w:tcPr>
          <w:p w14:paraId="7D5EFC26" w14:textId="3AFE59A1" w:rsidR="002242B8" w:rsidRPr="00ED172B" w:rsidRDefault="002242B8" w:rsidP="002242B8">
            <w:pPr>
              <w:jc w:val="center"/>
              <w:rPr>
                <w:color w:val="000000" w:themeColor="text1"/>
              </w:rPr>
            </w:pPr>
            <w:r>
              <w:rPr>
                <w:color w:val="000000" w:themeColor="text1"/>
              </w:rPr>
              <w:t>59.80%</w:t>
            </w:r>
          </w:p>
        </w:tc>
        <w:tc>
          <w:tcPr>
            <w:tcW w:w="774" w:type="pct"/>
          </w:tcPr>
          <w:p w14:paraId="15069A62" w14:textId="2C6565EA" w:rsidR="002242B8" w:rsidRDefault="002242B8" w:rsidP="002242B8">
            <w:pPr>
              <w:jc w:val="center"/>
              <w:rPr>
                <w:color w:val="000000" w:themeColor="text1"/>
              </w:rPr>
            </w:pPr>
            <w:r>
              <w:rPr>
                <w:color w:val="000000" w:themeColor="text1"/>
              </w:rPr>
              <w:t>60.30%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49.84%</w:t>
            </w:r>
          </w:p>
        </w:tc>
        <w:tc>
          <w:tcPr>
            <w:tcW w:w="776" w:type="pct"/>
          </w:tcPr>
          <w:p w14:paraId="1DD5AC15" w14:textId="552D0AAC" w:rsidR="002242B8" w:rsidRPr="00ED172B" w:rsidRDefault="002242B8" w:rsidP="002242B8">
            <w:pPr>
              <w:jc w:val="center"/>
              <w:rPr>
                <w:color w:val="000000" w:themeColor="text1"/>
              </w:rPr>
            </w:pPr>
            <w:r>
              <w:rPr>
                <w:color w:val="000000" w:themeColor="text1"/>
              </w:rPr>
              <w:t>50.34%</w:t>
            </w:r>
          </w:p>
        </w:tc>
        <w:tc>
          <w:tcPr>
            <w:tcW w:w="776" w:type="pct"/>
          </w:tcPr>
          <w:p w14:paraId="29377148" w14:textId="76F6C6ED" w:rsidR="002242B8" w:rsidRPr="00ED172B" w:rsidRDefault="002242B8" w:rsidP="002242B8">
            <w:pPr>
              <w:jc w:val="center"/>
              <w:rPr>
                <w:color w:val="000000" w:themeColor="text1"/>
              </w:rPr>
            </w:pPr>
            <w:r>
              <w:rPr>
                <w:color w:val="000000" w:themeColor="text1"/>
              </w:rPr>
              <w:t>50.84%</w:t>
            </w:r>
          </w:p>
        </w:tc>
        <w:tc>
          <w:tcPr>
            <w:tcW w:w="775" w:type="pct"/>
          </w:tcPr>
          <w:p w14:paraId="3F8E8EE0" w14:textId="1AB30A36" w:rsidR="002242B8" w:rsidRPr="00ED172B" w:rsidRDefault="002242B8" w:rsidP="002242B8">
            <w:pPr>
              <w:jc w:val="center"/>
              <w:rPr>
                <w:color w:val="000000" w:themeColor="text1"/>
              </w:rPr>
            </w:pPr>
            <w:r>
              <w:rPr>
                <w:color w:val="000000" w:themeColor="text1"/>
              </w:rPr>
              <w:t>51.34%</w:t>
            </w:r>
          </w:p>
        </w:tc>
        <w:tc>
          <w:tcPr>
            <w:tcW w:w="774" w:type="pct"/>
          </w:tcPr>
          <w:p w14:paraId="5B0C0E7A" w14:textId="73E7E860" w:rsidR="002242B8" w:rsidRPr="00ED172B" w:rsidRDefault="002242B8" w:rsidP="002242B8">
            <w:pPr>
              <w:jc w:val="center"/>
              <w:rPr>
                <w:color w:val="000000" w:themeColor="text1"/>
              </w:rPr>
            </w:pPr>
            <w:r>
              <w:rPr>
                <w:color w:val="000000" w:themeColor="text1"/>
              </w:rPr>
              <w:t>51.84%</w:t>
            </w:r>
          </w:p>
        </w:tc>
        <w:tc>
          <w:tcPr>
            <w:tcW w:w="774" w:type="pct"/>
          </w:tcPr>
          <w:p w14:paraId="07EA5E23" w14:textId="2A5C270F" w:rsidR="002242B8" w:rsidRDefault="002242B8" w:rsidP="002242B8">
            <w:pPr>
              <w:jc w:val="center"/>
              <w:rPr>
                <w:color w:val="000000" w:themeColor="text1"/>
              </w:rPr>
            </w:pPr>
            <w:r>
              <w:rPr>
                <w:color w:val="000000" w:themeColor="text1"/>
              </w:rPr>
              <w:t>52.34%</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57.08%</w:t>
            </w:r>
          </w:p>
        </w:tc>
        <w:tc>
          <w:tcPr>
            <w:tcW w:w="776" w:type="pct"/>
          </w:tcPr>
          <w:p w14:paraId="7EDAF97B" w14:textId="4B219601" w:rsidR="002242B8" w:rsidRPr="00ED172B" w:rsidRDefault="002242B8" w:rsidP="002242B8">
            <w:pPr>
              <w:jc w:val="center"/>
              <w:rPr>
                <w:color w:val="000000" w:themeColor="text1"/>
              </w:rPr>
            </w:pPr>
            <w:r>
              <w:rPr>
                <w:color w:val="000000" w:themeColor="text1"/>
              </w:rPr>
              <w:t>57.58%</w:t>
            </w:r>
          </w:p>
        </w:tc>
        <w:tc>
          <w:tcPr>
            <w:tcW w:w="776" w:type="pct"/>
          </w:tcPr>
          <w:p w14:paraId="31A1D7D3" w14:textId="003191E1" w:rsidR="002242B8" w:rsidRPr="00ED172B" w:rsidRDefault="002242B8" w:rsidP="002242B8">
            <w:pPr>
              <w:jc w:val="center"/>
              <w:rPr>
                <w:color w:val="000000" w:themeColor="text1"/>
              </w:rPr>
            </w:pPr>
            <w:r>
              <w:rPr>
                <w:color w:val="000000" w:themeColor="text1"/>
              </w:rPr>
              <w:t>58.08%</w:t>
            </w:r>
          </w:p>
        </w:tc>
        <w:tc>
          <w:tcPr>
            <w:tcW w:w="775" w:type="pct"/>
          </w:tcPr>
          <w:p w14:paraId="493915A7" w14:textId="24756F38" w:rsidR="002242B8" w:rsidRPr="00ED172B" w:rsidRDefault="002242B8" w:rsidP="002242B8">
            <w:pPr>
              <w:jc w:val="center"/>
              <w:rPr>
                <w:color w:val="000000" w:themeColor="text1"/>
              </w:rPr>
            </w:pPr>
            <w:r>
              <w:rPr>
                <w:color w:val="000000" w:themeColor="text1"/>
              </w:rPr>
              <w:t>58.58%</w:t>
            </w:r>
          </w:p>
        </w:tc>
        <w:tc>
          <w:tcPr>
            <w:tcW w:w="774" w:type="pct"/>
          </w:tcPr>
          <w:p w14:paraId="2E008F25" w14:textId="53C173A2" w:rsidR="002242B8" w:rsidRPr="00ED172B" w:rsidRDefault="002242B8" w:rsidP="002242B8">
            <w:pPr>
              <w:jc w:val="center"/>
              <w:rPr>
                <w:color w:val="000000" w:themeColor="text1"/>
              </w:rPr>
            </w:pPr>
            <w:r>
              <w:rPr>
                <w:color w:val="000000" w:themeColor="text1"/>
              </w:rPr>
              <w:t>59.08%</w:t>
            </w:r>
          </w:p>
        </w:tc>
        <w:tc>
          <w:tcPr>
            <w:tcW w:w="774" w:type="pct"/>
          </w:tcPr>
          <w:p w14:paraId="75711695" w14:textId="0D480C69" w:rsidR="002242B8" w:rsidRDefault="002242B8" w:rsidP="002242B8">
            <w:pPr>
              <w:jc w:val="center"/>
              <w:rPr>
                <w:color w:val="000000" w:themeColor="text1"/>
              </w:rPr>
            </w:pPr>
            <w:r>
              <w:rPr>
                <w:color w:val="000000" w:themeColor="text1"/>
              </w:rPr>
              <w:t>59.58%</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40.10%</w:t>
            </w:r>
          </w:p>
        </w:tc>
        <w:tc>
          <w:tcPr>
            <w:tcW w:w="776" w:type="pct"/>
          </w:tcPr>
          <w:p w14:paraId="5980DE18" w14:textId="10CD7859" w:rsidR="002242B8" w:rsidRPr="00ED172B" w:rsidRDefault="002242B8" w:rsidP="002242B8">
            <w:pPr>
              <w:jc w:val="center"/>
              <w:rPr>
                <w:color w:val="000000" w:themeColor="text1"/>
              </w:rPr>
            </w:pPr>
            <w:r>
              <w:rPr>
                <w:color w:val="000000" w:themeColor="text1"/>
              </w:rPr>
              <w:t>40.60%</w:t>
            </w:r>
          </w:p>
        </w:tc>
        <w:tc>
          <w:tcPr>
            <w:tcW w:w="776" w:type="pct"/>
          </w:tcPr>
          <w:p w14:paraId="3FD51CD4" w14:textId="4E5875CE" w:rsidR="002242B8" w:rsidRPr="00ED172B" w:rsidRDefault="002242B8" w:rsidP="002242B8">
            <w:pPr>
              <w:jc w:val="center"/>
              <w:rPr>
                <w:color w:val="000000" w:themeColor="text1"/>
              </w:rPr>
            </w:pPr>
            <w:r>
              <w:rPr>
                <w:color w:val="000000" w:themeColor="text1"/>
              </w:rPr>
              <w:t>41.10%</w:t>
            </w:r>
          </w:p>
        </w:tc>
        <w:tc>
          <w:tcPr>
            <w:tcW w:w="775" w:type="pct"/>
          </w:tcPr>
          <w:p w14:paraId="3A7274FD" w14:textId="38B9FCB4" w:rsidR="002242B8" w:rsidRPr="00ED172B" w:rsidRDefault="002242B8" w:rsidP="002242B8">
            <w:pPr>
              <w:jc w:val="center"/>
              <w:rPr>
                <w:color w:val="000000" w:themeColor="text1"/>
              </w:rPr>
            </w:pPr>
            <w:r>
              <w:rPr>
                <w:color w:val="000000" w:themeColor="text1"/>
              </w:rPr>
              <w:t>41.60%</w:t>
            </w:r>
          </w:p>
        </w:tc>
        <w:tc>
          <w:tcPr>
            <w:tcW w:w="774" w:type="pct"/>
          </w:tcPr>
          <w:p w14:paraId="53FEE354" w14:textId="77777777" w:rsidR="002242B8" w:rsidRPr="00ED172B" w:rsidRDefault="002242B8" w:rsidP="002242B8">
            <w:pPr>
              <w:jc w:val="center"/>
              <w:rPr>
                <w:color w:val="000000" w:themeColor="text1"/>
              </w:rPr>
            </w:pPr>
            <w:r>
              <w:rPr>
                <w:color w:val="000000" w:themeColor="text1"/>
              </w:rPr>
              <w:t>42.10%</w:t>
            </w:r>
          </w:p>
        </w:tc>
        <w:tc>
          <w:tcPr>
            <w:tcW w:w="774" w:type="pct"/>
          </w:tcPr>
          <w:p w14:paraId="03D295F5" w14:textId="3DD97606" w:rsidR="002242B8" w:rsidRDefault="002242B8" w:rsidP="002242B8">
            <w:pPr>
              <w:jc w:val="center"/>
              <w:rPr>
                <w:color w:val="000000" w:themeColor="text1"/>
              </w:rPr>
            </w:pPr>
            <w:r>
              <w:rPr>
                <w:color w:val="000000" w:themeColor="text1"/>
              </w:rPr>
              <w:t>42.60%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56.39%</w:t>
            </w:r>
          </w:p>
        </w:tc>
        <w:tc>
          <w:tcPr>
            <w:tcW w:w="776" w:type="pct"/>
          </w:tcPr>
          <w:p w14:paraId="3564984B" w14:textId="08842718" w:rsidR="0012497F" w:rsidRPr="00ED172B" w:rsidRDefault="0012497F" w:rsidP="0012497F">
            <w:pPr>
              <w:jc w:val="center"/>
              <w:rPr>
                <w:color w:val="000000" w:themeColor="text1"/>
              </w:rPr>
            </w:pPr>
            <w:r>
              <w:rPr>
                <w:color w:val="000000" w:themeColor="text1"/>
              </w:rPr>
              <w:t>56.89%</w:t>
            </w:r>
          </w:p>
        </w:tc>
        <w:tc>
          <w:tcPr>
            <w:tcW w:w="776" w:type="pct"/>
          </w:tcPr>
          <w:p w14:paraId="6F334EB5" w14:textId="748BD28E" w:rsidR="0012497F" w:rsidRPr="00ED172B" w:rsidRDefault="0012497F" w:rsidP="0012497F">
            <w:pPr>
              <w:jc w:val="center"/>
              <w:rPr>
                <w:color w:val="000000" w:themeColor="text1"/>
              </w:rPr>
            </w:pPr>
            <w:r>
              <w:rPr>
                <w:color w:val="000000" w:themeColor="text1"/>
              </w:rPr>
              <w:t>57.39%</w:t>
            </w:r>
          </w:p>
        </w:tc>
        <w:tc>
          <w:tcPr>
            <w:tcW w:w="775" w:type="pct"/>
          </w:tcPr>
          <w:p w14:paraId="13A1DF6C" w14:textId="36831C30" w:rsidR="0012497F" w:rsidRPr="00ED172B" w:rsidRDefault="0012497F" w:rsidP="0012497F">
            <w:pPr>
              <w:jc w:val="center"/>
              <w:rPr>
                <w:color w:val="000000" w:themeColor="text1"/>
              </w:rPr>
            </w:pPr>
            <w:r>
              <w:rPr>
                <w:color w:val="000000" w:themeColor="text1"/>
              </w:rPr>
              <w:t>57.89%</w:t>
            </w:r>
          </w:p>
        </w:tc>
        <w:tc>
          <w:tcPr>
            <w:tcW w:w="774" w:type="pct"/>
          </w:tcPr>
          <w:p w14:paraId="4404EA0E" w14:textId="45986E0D" w:rsidR="0012497F" w:rsidRPr="00ED172B" w:rsidRDefault="0012497F" w:rsidP="0012497F">
            <w:pPr>
              <w:jc w:val="center"/>
              <w:rPr>
                <w:color w:val="000000" w:themeColor="text1"/>
              </w:rPr>
            </w:pPr>
            <w:r>
              <w:rPr>
                <w:color w:val="000000" w:themeColor="text1"/>
              </w:rPr>
              <w:t>58.39%</w:t>
            </w:r>
          </w:p>
        </w:tc>
        <w:tc>
          <w:tcPr>
            <w:tcW w:w="774" w:type="pct"/>
          </w:tcPr>
          <w:p w14:paraId="5C1073FD" w14:textId="0AA48600" w:rsidR="0012497F" w:rsidRPr="00ED172B" w:rsidRDefault="0012497F" w:rsidP="0012497F">
            <w:pPr>
              <w:jc w:val="center"/>
              <w:rPr>
                <w:color w:val="000000" w:themeColor="text1"/>
              </w:rPr>
            </w:pPr>
            <w:r>
              <w:rPr>
                <w:color w:val="000000" w:themeColor="text1"/>
              </w:rPr>
              <w:t>58.89%</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49.74%</w:t>
            </w:r>
          </w:p>
        </w:tc>
        <w:tc>
          <w:tcPr>
            <w:tcW w:w="776" w:type="pct"/>
          </w:tcPr>
          <w:p w14:paraId="58EBEEB4" w14:textId="68AFCCA1" w:rsidR="0012497F" w:rsidRPr="00ED172B" w:rsidRDefault="0012497F" w:rsidP="0012497F">
            <w:pPr>
              <w:jc w:val="center"/>
              <w:rPr>
                <w:color w:val="000000" w:themeColor="text1"/>
              </w:rPr>
            </w:pPr>
            <w:r>
              <w:rPr>
                <w:color w:val="000000" w:themeColor="text1"/>
              </w:rPr>
              <w:t>50.24%</w:t>
            </w:r>
          </w:p>
        </w:tc>
        <w:tc>
          <w:tcPr>
            <w:tcW w:w="776" w:type="pct"/>
          </w:tcPr>
          <w:p w14:paraId="6E31560A" w14:textId="75F80FC4" w:rsidR="0012497F" w:rsidRPr="00ED172B" w:rsidRDefault="0012497F" w:rsidP="0012497F">
            <w:pPr>
              <w:jc w:val="center"/>
              <w:rPr>
                <w:color w:val="000000" w:themeColor="text1"/>
              </w:rPr>
            </w:pPr>
            <w:r>
              <w:rPr>
                <w:color w:val="000000" w:themeColor="text1"/>
              </w:rPr>
              <w:t>50.74%</w:t>
            </w:r>
          </w:p>
        </w:tc>
        <w:tc>
          <w:tcPr>
            <w:tcW w:w="775" w:type="pct"/>
          </w:tcPr>
          <w:p w14:paraId="42F0DDB0" w14:textId="671196CD" w:rsidR="0012497F" w:rsidRPr="00ED172B" w:rsidRDefault="0012497F" w:rsidP="0012497F">
            <w:pPr>
              <w:jc w:val="center"/>
              <w:rPr>
                <w:color w:val="000000" w:themeColor="text1"/>
              </w:rPr>
            </w:pPr>
            <w:r>
              <w:rPr>
                <w:color w:val="000000" w:themeColor="text1"/>
              </w:rPr>
              <w:t>51.24%</w:t>
            </w:r>
          </w:p>
        </w:tc>
        <w:tc>
          <w:tcPr>
            <w:tcW w:w="774" w:type="pct"/>
          </w:tcPr>
          <w:p w14:paraId="2D756F12" w14:textId="626F7751" w:rsidR="0012497F" w:rsidRPr="00ED172B" w:rsidRDefault="0012497F" w:rsidP="0012497F">
            <w:pPr>
              <w:jc w:val="center"/>
              <w:rPr>
                <w:color w:val="000000" w:themeColor="text1"/>
              </w:rPr>
            </w:pPr>
            <w:r>
              <w:rPr>
                <w:color w:val="000000" w:themeColor="text1"/>
              </w:rPr>
              <w:t>51.74%</w:t>
            </w:r>
          </w:p>
        </w:tc>
        <w:tc>
          <w:tcPr>
            <w:tcW w:w="774" w:type="pct"/>
          </w:tcPr>
          <w:p w14:paraId="32A732CA" w14:textId="202F570D" w:rsidR="0012497F" w:rsidRPr="00ED172B" w:rsidRDefault="0012497F" w:rsidP="0012497F">
            <w:pPr>
              <w:jc w:val="center"/>
              <w:rPr>
                <w:color w:val="000000" w:themeColor="text1"/>
              </w:rPr>
            </w:pPr>
            <w:r>
              <w:rPr>
                <w:color w:val="000000" w:themeColor="text1"/>
              </w:rPr>
              <w:t>52.24%</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1,048</w:t>
      </w:r>
    </w:p>
    <w:p w14:paraId="51844E7F" w14:textId="65E39791" w:rsidR="001A4B29" w:rsidRPr="00ED172B" w:rsidRDefault="001A4B29">
      <w:pPr>
        <w:rPr>
          <w:b/>
          <w:color w:val="000000" w:themeColor="text1"/>
        </w:rPr>
      </w:pPr>
      <w:r w:rsidRPr="00ED172B">
        <w:rPr>
          <w:b/>
          <w:color w:val="000000" w:themeColor="text1"/>
        </w:rPr>
        <w:lastRenderedPageBreak/>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1.81%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316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30.15%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175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16.70%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313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29.87%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225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21.47%</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488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823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57.51%</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57.80%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59.30%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538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1,048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50.14%</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49.84%</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51.34%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1.24%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366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34.92%</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233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22.23%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303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28.91%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133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12.69%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536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915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56.73%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57.08%</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58.58%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436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1,048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48.80%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40.10%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41.60%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28</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2.67%</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295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28.15%</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188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17.94%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256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24.43%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26.81%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444</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767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55.33%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56.39%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57.89%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1,048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55.64%</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49.74%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51.24%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1,641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191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Teaching Strategies (TS) GOLD is a scientifically-based authentic, observational assessment system designed for children from birth through third grade. In Nebraska, it is used for children from birth to kindergarten to evaluate their development and learning across the three functional outcomes. At a child's entry and exit, teachers/providers gather and document observations in the GOLD online system, which form the basis of their scoring across four areas of development (social emotional, physical, language, and cognitive) and two areas of content learning (literacy and mathematics). Objectives and dimensions that comprise each of the functional outcomes are based on a crosswalk recommended by the national Early Childhood Outcomes (ECO) Center. Criteria for defining "comparable to same-aged peers" was determined through Item Response Theory (IRT) analyses by Teaching Strategies, based on a national sample. The algorithms result in a 7-point rating system that parallels the ECO Child Outcome Summary (COS) ratings. These ratings by age are programmed into the GOLD online system which generates a rating based on TS GOLD scores. Research studies examining the reliability and validity of TS GOLD may be found at http://teachingstrategies.com/assessment/research/.</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Teaching Strategies (TS) GOLD, an authentic, observational assessment designed for children birth through 3rd grade, is the assessment used to gather data for Indicator C3. At the child’s entry or at six months of age and at the time of exit from Part C or at age 3, teachers/providers gather and document information from observations of the child or from an interview (e.g., Routine Based Interview) with the parent(s). This data forms the basis of the scoring across four areas of development (social emotional, physical, language, and cognitive) and two areas of content learning (literacy and mathematics). TS GOLD objectives and dimensions that comprise each of the functional outcomes that are reported are based on a crosswalk recommended by the national Early Child Outcomes (ECO) Center. Criteria for defining “comparable to same-aged peers” was determined through Item Response Theory (IRT) analyses by Teaching Strategies, based on a national sample. The algorithms result in a 7-point rating system that parallels the Child Outcomes Summary (COS) ratings. These ratings by age are programmed into the TS GOLD online system which generates a rating based on TS GOLD scores for each functional outcomes. Research studies examining the reliability and validity of the TS GOLD may be found at: https://teachingstrategies.com/our-approach/research/.</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lastRenderedPageBreak/>
        <w:t xml:space="preserve">Nebraska is setting new baselines for Indicator 3 as there was a change in the Teaching Strategies Gold (TSG) assessment tool. The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who use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and Nebraska adopted the updated algorithm for the OSEP reporting process in 2019-2020. </w:t>
      </w:r>
      <w:r w:rsidRPr="00ED172B">
        <w:rPr>
          <w:rFonts w:cs="Arial"/>
          <w:color w:val="000000" w:themeColor="text1"/>
          <w:szCs w:val="16"/>
        </w:rPr>
        <w:br/>
        <w:t xml:space="preserve">In order to establish new baselines, we used a 95% confidence interval over 5 years of actual and simulated data with our revised GOLD assessment methodology and cut scores. This data calculation resulted in the values we are using as new baselines for FFY 2020. While we were able to review historical, simulated data, we note that only 2 years of actual data was available, thus we may need to reestablish baseline in the future when longitudinal data is available. </w:t>
      </w:r>
      <w:r w:rsidRPr="00ED172B">
        <w:rPr>
          <w:rFonts w:cs="Arial"/>
          <w:color w:val="000000" w:themeColor="text1"/>
          <w:szCs w:val="16"/>
        </w:rPr>
        <w:br/>
        <w:t>Upon clarification, OSEP informed Nebraska that revised baseline data must be consistent with previous performance data. Given this information, Nebraska is using FFY 2020 performance data to establish revised baselines. Subsequent targets through FFY 2025 will be set to increase at a 0.5% per year per our stakeholders’ recommendations.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73.80%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85.92%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87.37%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92.54%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82.30%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82.60%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70.50%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84.62%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86.39%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88.04%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92.08%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91.70%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88.74%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89.84%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96.11%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85.92%</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86.92%</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87.92%</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88.92%</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89.92%</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90.92%</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84.62%</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85.62%</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86.62%</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87.62%</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88.62%</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89.62%</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88.74%</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89.74%</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90.74%</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91.74%</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92.74%</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93.74%</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2,034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1,611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79.20%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1,484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1,611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1,448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1,611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1,534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1,611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92.54%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85.92%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92.12%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92.08%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84.62%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89.88%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96.11%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88.74%</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95.22%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68.13%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79.20%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Nebraska is very satisfied with the FFY20 family survey response rate given the global COVID 19 pandemic. We significantly increased our return rate compared to FFY2019. This is evidence that our in-person survey delivery method is an effective strategy that we will continue to implement in the upcoming year. Currently Nebraska provides the family survey in English and Spanish. In order to increase response rates for groups that are underrepresented, we plan to explore providing surveys in additional languages. Additionally, we plan to promote that the EDN services coordinators remind families to complete their surveys more frequently during the survey submission period to ensure we increase our return rate each year.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To analyze the response rate, Nebraska compared the number of surveys sent to families with the number of surveys received. The categories we analyzed were race/ethnicity and geographic area. For race/ethnicity we used the race/ethnicity category from NDE data for all surveys sent and compared to the race/ethnicity recorded on returned surveys. Our overall response rate was 78%. African-American or Black families had a response rate of 54%; American Indian or Alaska Native families had a response rate of 66%; Asian families had a response rate of 75%; Hispanic or Latino families had a response rate of 81%; White families had a response rate of 76%; and families of two or more races had a response rate of 109%. We determined that our data had a nonresponse bias for African-American or Black families and an overresponse rate by families of two or more races. These results indicate a possible discrepancy between EDN data sources and we will be working to address those discrepancies to ensure that the most accurate race/ethnicity category is entered for each family across all state data sources. For geographic area, we categorized each Planning Region Team (PRT) into a type of geographic area (Core Metropolitan, Outlying Metropolitan, Micropolitan Core, and Rural with Urban Cluster). We did not see any response bias when looking at geographic areas within the state. Response rates for each geographic area type were all within 2 percentage points of the overall response rate.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Nebraska used the ECTA Representativeness Calculator to measure the representativeness of respondents for race/ethnicity and geographic area. The Calculator determined that our data were representative of all infants and toddlers for geographic area. For race/ethnicity, Black or African-American families were underrepresented and families of two or more races were overrepresented. This is likely related to the overresponse rate for families of two or more families as described in the paragraph above.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Nebraska used the ECTA Representativeness Calculator to determine representativeness. The ECTA Calculator uses an accepted formula (test of proportional difference) to determine whether the difference between the two percentages is statistically significant (or meaningful), based upon the 90% confidence intervals for each indicator (significance level = .10).</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0.64%</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0.90%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0.90%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0.95%</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236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24,961</w:t>
            </w:r>
          </w:p>
        </w:tc>
      </w:tr>
    </w:tbl>
    <w:p w14:paraId="10606B16" w14:textId="69D5BA9D" w:rsidR="005918D1" w:rsidRPr="00ED172B" w:rsidRDefault="00F22D09">
      <w:pPr>
        <w:rPr>
          <w:b/>
          <w:color w:val="000000" w:themeColor="text1"/>
        </w:rPr>
      </w:pPr>
      <w:r>
        <w:rPr>
          <w:b/>
          <w:color w:val="000000" w:themeColor="text1"/>
        </w:rPr>
        <w:lastRenderedPageBreak/>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236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24,961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0.90%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1.67%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1.86%</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1.88%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1.92%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2.06%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2.32%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2.69%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2.75%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2.32%</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2.32%</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2.35%</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2.38%</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2.41%</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2.44%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1,895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75,742</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1,895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75,742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2.75%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2.50%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79.80%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85.51%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93.66%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97.22%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84.87%</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90.78%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112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113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90.78%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99.12%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three year cycle. IFSP files and other records maintained by Services Coordinators are reviewed for compliance with IDEA and Medicaid. The Individualized Family Serivce Plan (IFSP) checklist file review for Improving Learning or Children with Disabilities (ILCD) gathers data regarding the receipt of early intervention services on IFSPs in a timely manner. In FFY 2020, 9 of the Planning Regions participated in an IFSP file review for a total of 113 files. In one of the 113 files the 45 day timeline was not met. The Co-Leads notified the 1 program in writing concerning the findings of noncompliance and the requirement that the noncompliance be corrected as soon as possible. The state has verified that the EIS program is correctly implementing the specific regulatory requirements and have ensured that the child received an initial evaluation, assessment and IFSP meeting, although late, and the services listed on the IFSP within a timely manner from the IFSP meeting.</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one delay was attributable to provider scheduling delay and miscalculation of timelines.</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Co-Leads notified each EIS program in writing concerning the finding of noncompliance and the requirement that the noncompliance be corrected as soon as possible, but in no case more than one year from identification. The State verified that each EIS program not in compliance, correctly implemented the specific regulatory requirement and ensured that all children received an evaluation, assessment, and IFSP meeting, although late, and the services listed on the IFSP in a timely manner as noted in the FFY 2019 APR. Each EIS program was required to develop and implement a Corrective Action Plan to ensure correction of noncompliance within one year. The Co-Leads monitored the implementation of the Corrective Action Plan. In addition, the Co-Leads reviewed files of newly-referred children for assurance that compliance was met and the CAP-related processes, as well as</w:t>
      </w:r>
      <w:r w:rsidRPr="00ED172B">
        <w:rPr>
          <w:rFonts w:cs="Arial"/>
          <w:color w:val="000000" w:themeColor="text1"/>
          <w:szCs w:val="16"/>
        </w:rPr>
        <w:br/>
        <w:t xml:space="preserve">specific regulatory requirements, were implemented. Within one year of identification each EIS program was found to be in 100% compliance in meeting the 45-day timeline.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Each EIS program was required to develop and implement a Corrective Action Plan to ensure correction of noncompliance within one year. The Co-Leads monitored the implementation of the Corrective Action Plan. The State ensured that each child received an evaluation, assessment, and IFSP meeting, although late, and the services listed on the IFSP in a timely manner as noted in the FFY 2019 APR. In addition, the Co-Leads reviewed files of newly-referred children for assurance that compliance was met and the CAP-related processes, as well as specific regulatory requirements, were implemented. Within one year of identification each EIS program was found to be in 100% compliance in meeting the 45-day timeline. </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FFY 2019 findings of noncompliance verified as corrected is addressed within Indicator 7 as required by the template. Please reference Indicator 7.</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75.76%</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69.23%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93.06%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51.85%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89.06%</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89.06%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82.35%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Slippage can be attributed to 9 transition plans which were found to be out of compliance due to the lack of the individual family step or lack of a specific, individualized step/service necessary to meet the child’s/family’s needs contained within the transition plan. The Part C Co-Leads monitor the state's Planning Region Teams (PRTs) on a three year cycle, therefore 1/3 of the PRTs are monitored each year. In FFY 2020, nine (9) of the Planning Regions participated in an IFSP file review for a total of 113 files, of which 51 files had transition plans reviewed for compliance. In FFY 2019, ten (10) different Planning Regions participated in an IFSP file review for a total of 141 files, of which 64 files had transition plans reviewed for compliance. Because the Co-Leads monitor a different cohort of PRTs each year, we are unable to provide a year to year comparison and unable to identify specific factors for slippage that would provide a valid reason for slippage from year to year. Because the requirements and appropriate documentation of transition plans and timeline for children exiting Part C has a significant impact on the provision of services to infants and toddlers, the Co-Leads believe that it is important to continue training to ensure that all EIS programs correctly implement the specific regulatory requirements and have strategies in place to ensure compliance. The Co-Leads will continue to conduct additional professional development/technical assistance activities as outlined under the Professional Development and Technical Assistance section of the APR.</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three year cycle. IFSP files and other records maintained by Services Coordinators are reviewed for compliance with IDEA and Medicaid. </w:t>
      </w:r>
      <w:r w:rsidRPr="00ED172B">
        <w:rPr>
          <w:color w:val="000000" w:themeColor="text1"/>
        </w:rPr>
        <w:br/>
        <w:t xml:space="preserve">In FFY 2020, nine (9) of the Planning Regions participated in an IFSP file review for a total of 113 files, of which 51 files had transition plans reviewed for compliance. The Co-Leads determined that all 51 files contained complete transition plans prior to the child exiting Part C. However, 9 transition plans were found to be out of compliance due to the lack of the individual family steps and a specific step/service individualized to the child’s/family’s needs. The Co-Leads notified the 7 EIS programs in writing concerning the findings of noncompliance and the requirement that the noncompliance be corrected as soon as possible but in no case more than one year from identification.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each case of noncompliance, the Co-Leads notified the EIS program in writing concerning the finding of noncompliance and the requirement that the noncompliance be corrected as soon as possible, but in no case more than one year from identification. The State verified that each EIS program not in compliance correctly implemented the specific regulatory requirement and ensured that all children exiting Part C received an IFSP with transition steps and services prior to exiting Part C. Each EIS program was required to develop and implement a Corrective Action Plan. In addition, the Co-Leads </w:t>
      </w:r>
      <w:r w:rsidRPr="00ED172B">
        <w:rPr>
          <w:color w:val="000000" w:themeColor="text1"/>
        </w:rPr>
        <w:lastRenderedPageBreak/>
        <w:t xml:space="preserve">reviewed different files of children exiting Part C for assurance that compliance was met and the CAP-related processes, as well as specific regulatory requirements were implemented. Within one year of identification each EIS program was found to be in 100% compliance.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Each EIS program was required to develop and implement a Corrective Action Plan to ensure correction of noncompliance within one year. The Co-Leads monitored the implementation of the Corrective Action Plan. The state verified that each EIS program correctly implemented the specific regulatory requirements and ensured that all children, who had not yet exited Part C, were provided with appropriate transition plans documenting all necessary transition steps and services prior to the children exiting Part C. In addition, the Co-Leads reviewed additional files of children exiting Part C for assurance that compliance was met and the CAP-related processes, as well as specific regulatory requirements, were implemented. Within one year of identification each EIS program was found to be in 100% compliance. The requirements and appropriate documentation of transition plans for children exiting Part C will continue to be a training topic to ensure that all EIS programs correctly implement the specific regulatory requirements and have strategies in plan to ensure compliance. </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FFY 2019 findings of noncompliance verified as corrected is addressed within Indicator 8a as required by the template. Please reference Indicator 8a.</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51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Nebraska uses State Monitoring. The Nebraska Department of Education (NDE) and Nebraska Department of Health and Human Services (NDHHS), acting as co-lead agencies (a.k.a.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three year cycle. In FFY 2020, nine (9) of the Planning Regions participated in an IFSP file review for a total of 113 files, of which 51 files had children exiting Part C who received proper Notification to LEA and SEA as the child was potentially eligible for Part B.</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three year cycle. IFSP files and other records maintained by Services Coordinators are reviewed for compliance with IDEA and Medicaid. </w:t>
      </w:r>
      <w:r w:rsidRPr="00ED172B">
        <w:rPr>
          <w:color w:val="000000" w:themeColor="text1"/>
        </w:rPr>
        <w:br/>
        <w:t xml:space="preserve">In FFY 2020, nine (9) of the Planning Regions participated in an IFSP file review for a total of 113 files, of which 51 files had children exiting Part C who received proper Notification to LEA and SEA as the child was potentially eligible for Part B.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76.92%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95.83%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87.04%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87.50%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87.50%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96.08%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The Nebraska Department of Education (NDE) and Nebraska Department of Health and Human Services (NDHHS), acting as co-lead agencies (the Co-Leads), are responsible for ensuring Part C of the Individuals with Disabilities Education Act (IDEA) is fully implemented for all infants and toddlers with disabilities and their families through the Early Development Network (EDN). The Part C Co-Leads monitor the state's Planning Region Teams (PRTs) on a three year cycle. IFSP files and other records maintained by Services Coordinators are reviewed for compliance with IDEA and Medicaid. </w:t>
      </w:r>
      <w:r w:rsidRPr="00ED172B">
        <w:rPr>
          <w:color w:val="000000" w:themeColor="text1"/>
        </w:rPr>
        <w:br/>
        <w:t>In FFY 2020, nine (9) of the Planning Regions participated in an IFSP file review for a total of 113 files, of which 51 files had children exiting Part C in which it was required to conduct a transition conference by the third birthday. The Co-Leads notified the 2 EIS programs in writing concerning the findings of noncompliance and the requirement that the noncompliance be corrected as soon as possible but in no case more than one year from identification. The State has verified that the EIS programs are correctly implementing the specific regulatory requirements and have ensured that the child/family received a transition conference and plan, although late, and the services listed on the IFSP within a timely manner from the IFSP meeting.</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each case of noncompliance, the Co-Leads notified the EIS program in writing concerning the finding of noncompliance and the requirement that the noncompliance be corrected as soon as possible, but in no case more than one year from identification. The State verified that each EIS program not in compliance correctly implemented the specific regulatory requirement and ensured that all children exiting Part C received a transition conference prior to exiting Part C. Each EIS program was required to develop and implement a Corrective Action Plan. In addition, the Co-Leads reviewed different files of children exiting Part C for assurance that compliance was met and the CAP-related processes, as well as specific regulatory requirements were implemented. Within one year of identification each EIS program was found to be in 100% compliance.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Each EIS program was required to develop and implement a Corrective Action Plan to ensure correction of noncompliance within one year. The Co-Leads monitored the implementation of the Corrective Action Plan. The state has verified that each EIS program was correctly implementing the specific </w:t>
      </w:r>
      <w:r w:rsidRPr="00ED172B">
        <w:rPr>
          <w:color w:val="000000" w:themeColor="text1"/>
        </w:rPr>
        <w:lastRenderedPageBreak/>
        <w:t>regulatory requirements and ensured that all children, who had not yet exited Part C, received a transition conference prior to exiting Part C.</w:t>
      </w:r>
      <w:r w:rsidRPr="00ED172B">
        <w:rPr>
          <w:color w:val="000000" w:themeColor="text1"/>
        </w:rPr>
        <w:br/>
        <w:t xml:space="preserve">In addition, the Co-Leads reviewed additional files of children exiting Part C for assurance that compliance was met and the CAP-related processes, as well as specific regulatory requirements, were implemented. Within one year of identification each EIS program was found to be in 100% compliance. The transition conference/planning requirements for children exiting Part C will continue to be a training topic to ensure that all EIS programs correctly implement the specific regulatory requirements and have strategies in plan to ensure compliance. </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FFY 2019 findings of noncompliance verified as corrected is addressed within Indicator 8c as required by the template. Please reference Indicator 8c.</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lastRenderedPageBreak/>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lastRenderedPageBreak/>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984"/>
        <w:gridCol w:w="2051"/>
        <w:gridCol w:w="1390"/>
        <w:gridCol w:w="950"/>
        <w:gridCol w:w="871"/>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100.00%</w:t>
            </w: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Increase the number and percentage of infants and toddlers who demonstrate progress in the acquisition and use of knowledge and skills (including early language/communication) – Indicator C3B, Summary Statement 1. Additionally, Nebraska identified Indicator C4B: Effectively Communicate Child’s Needs as a benchmark.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 xml:space="preserve">Nebraska is utilizing a cohort approach to scale-up the three coherent improvement strategies through the state’s Planning Region Team system. Cohort 1, composed of PRTs 7, 22 and 27, began RBI and functional IFSP outcome training in January 2015. Cohort 2, composed of PRTs 4, 18, 19, and 21, began RBI and functional IFSP outcome training a year later (January 2016). Cohort 1 received training on strategy 3, routines-based home visits, in June 2017. Cohort 2 received this training in June 2018. </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https://edn.ne.gov/cms/october-2021-rda-stakeholder-meeting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58.58%</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57.08%</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57.58%</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58.08%</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58.58%</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59.08%</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59.58%</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3B Summary Statement 1 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3B Summary Statement 1 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536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915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56.73%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57.08%</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58.58%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Teaching Strategies GOLD</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Teaching Strategies (TS) GOLD, an authentic, observational assessment designed for children birth through 3rd grade, is the assessment used to gather data for Indicator C3. At the child’s entry or at six months of age and at the time of exit from Part C or at age 3, teachers/providers gather and document information from observations of the child or from an interview (e.g., Routine Based Interview) with the parent(s). This data forms the basis of the scoring across four areas of development (social emotional, physical, language, and cognitive) and two areas of content learning (literacy and mathematics). TS GOLD objectives and dimensions that comprise each of the functional outcomes that are reported are based on a crosswalk recommended by the national Early Child Outcomes (ECO) Center. Criteria for defining “comparable to same-aged peers” was determined through Item Response Theory (IRT) analyses by Teaching Strategies, based on a national sample. The algorithms result in a 7-point rating system that parallels the Child Outcomes Summary (COS) ratings. These ratings by age are programmed into the TS GOLD online system which generates a rating based on TS GOLD scores for each functional outcomes. Research studies examining the reliability and validity of the TS GOLD may be found at: https://teachingstrategies.com/our-approach/research/.</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Nebraska identified Indicator C4B: Effectively Communicate Child’s Needs as a benchmark. The percent of families reporting that they are effectively able to communicate their children’s needs continues to trend upwards, as noted in our annual Part C family survey data.</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Nebraska did under go changes with its Teaching Strategies GOLD (TSG) assessment tool. TSG Research Team determined the GOLD thresholds for establishing age-expected functioning were too high for measuring progress in Part C and disproportionately higher than thresholds applied in other assessment tools that Part C providers in other states may choose to use. The discrepancy was attributed to a need for better guidance from OSEP and for a revised methodology from TSG. To update the scoring algorithm, TSG convened a council of stakeholders who use GOLD for OSEP reporting, and Nebraska was highly represented on the stakeholder team. The team collaborated to determine the appropriate cut scores used for converting from scores on GOLD to a 7-point scale. The process included reviewing numerous simulations of impacts to data based on different thresholds for age-expected functioning and discussions of the potential impact to comparisons of historical and future data. After multiple reviews, the Council came to consensus on the new thresholds and Nebraska adopted the updated algorithm for the OSEP reporting process in 2019-2020. Additionally, to better match OSEP’s definition of no improvement in functioning, Teaching Strategies revised its algorithm for assignment to progress category A. Previously, the algorithm assigned children to category A if there was no change or a regression in the total score for the outcome between entry and exit. The revised algorithm now evaluates progress at the item level. This change provides a more incremental way to measure children’s growth and development and, thus, enhances progress monitoring for children with severe developmental delays. This change yielded a positive effect on our progress category distributions this year resulting in a smaller proportion of children falling into progress category A and a larger proportion of children falling into progress category B. </w:t>
      </w:r>
      <w:r w:rsidRPr="00ED172B">
        <w:rPr>
          <w:color w:val="000000" w:themeColor="text1"/>
        </w:rPr>
        <w:br/>
        <w:t xml:space="preserve">It should be noted that these changes did not affect progress toward the SiMR during the reporting period.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Outcome data analysis. In the annual IFSP outcome analysis from the cohort PRTs, the Co-Leads look at both “quality” and “quantity.” Regarding quality, the state uses a Quality Outcome Checklist to score child and family outcomes, looking for an increase in quality scores over time. Regarding quantity, the state looks for a mean number of outcomes within the range of 6-12 outcomes per IFSP, with a mix of child and family outcomes as appropriate. The state conducted the sixth annual IFSP outcome analysis for cohort 1. Regarding quantity, results indicated significant improvement in the mean number of IFSP outcomes when compared to baseline. Regarding outcome quality, results indicated that cohort 1 continues to demonstrate strong quality scores with an average of 4.2/5(84%) for child outcomes and 2.8/3(93%) for family outcomes. </w:t>
      </w:r>
      <w:r w:rsidRPr="00ED172B">
        <w:rPr>
          <w:color w:val="000000" w:themeColor="text1"/>
        </w:rPr>
        <w:br/>
      </w:r>
      <w:r w:rsidRPr="00ED172B">
        <w:rPr>
          <w:color w:val="000000" w:themeColor="text1"/>
        </w:rPr>
        <w:br/>
        <w:t>The state conducted the fifth annual IFSP outcome analysis for cohort 2 and feedback was provided to the regions.Regarding quantity, results indicated significant improvement in the mean number of IFSP outcomes when compared to baseline. Regarding outcome quality of IFSP outcomes, 6- year trend data for Cohort 1 regions demonstrated a steady increase in the mean scores for child outcomes with an average score of 4.3/5 (86%) for child outcomes and 2.4/3 (81%) for family outcomes. Cohort 2 regions also received feedback regarding their fifth annual IFSP outcome analysis. Regarding quantity, all regions in the cohort demonstrated significant improvement in the mean number of IFSP outcomes when compared to baseline. Three of the four regions had a mean number within the expected range. Regarding the quality of the IFSP outcomes, 5-year trend data for all four regions demonstrated a steady increase in the mean scores for child outcomes, 4.3/5 (86%) and good quality scores for family outcomes 2.4/3 (81%). The state RBEI coordinators continue to provide targeted technical assistance and training to the cohorts to ensure continued improvement in quality and quantity of IFSP outcomes.</w:t>
      </w:r>
      <w:r w:rsidRPr="00ED172B">
        <w:rPr>
          <w:color w:val="000000" w:themeColor="text1"/>
        </w:rPr>
        <w:br/>
      </w:r>
      <w:r w:rsidRPr="00ED172B">
        <w:rPr>
          <w:color w:val="000000" w:themeColor="text1"/>
        </w:rPr>
        <w:br/>
        <w:t xml:space="preserve">Fidelity: Annual fidelity evaluation data for each cohort remains stable. </w:t>
      </w:r>
      <w:r w:rsidRPr="00ED172B">
        <w:rPr>
          <w:color w:val="000000" w:themeColor="text1"/>
        </w:rPr>
        <w:br/>
      </w:r>
      <w:r w:rsidRPr="00ED172B">
        <w:rPr>
          <w:color w:val="000000" w:themeColor="text1"/>
        </w:rPr>
        <w:br/>
        <w:t xml:space="preserve">Annual Part C Family Survey: Four new questions were added to the family survey related to the implementation of the 3 coherent improvement strategies. Analysis of these additional questions confirmed the cohorts are implementing RBEI practices to fidelity. </w:t>
      </w:r>
      <w:r w:rsidRPr="00ED172B">
        <w:rPr>
          <w:color w:val="000000" w:themeColor="text1"/>
        </w:rPr>
        <w:br/>
      </w:r>
      <w:r w:rsidRPr="00ED172B">
        <w:rPr>
          <w:color w:val="000000" w:themeColor="text1"/>
        </w:rPr>
        <w:br/>
      </w:r>
      <w:r w:rsidRPr="00ED172B">
        <w:rPr>
          <w:color w:val="000000" w:themeColor="text1"/>
        </w:rPr>
        <w:lastRenderedPageBreak/>
        <w:t>Qualitative Evidence: The Co-Leads contracted with Dr. Miriam Kuhn from the University of Nebraska Omaha and Dr. Johanna Taylor from the University of Nebraska Lincoln to conduct a qualitative study to better understand family, SC, and EI provider experiences with routines-based home visits utilizing the Getting Ready (GR) Approach. There were several key findings: (1) Participants described robust partnerships between professionals and family members and the presence of family-centered practices including coaching during home visits, child skill/behavior practice within family routines, consistent use of home visit practice plans and increased frequency of communication between visits; (2) families increasingly took ownership of the home visit agenda and strategies needed during home visits.</w:t>
      </w:r>
      <w:r w:rsidRPr="00ED172B">
        <w:rPr>
          <w:color w:val="000000" w:themeColor="text1"/>
        </w:rPr>
        <w:br/>
      </w:r>
      <w:r w:rsidRPr="00ED172B">
        <w:rPr>
          <w:color w:val="000000" w:themeColor="text1"/>
        </w:rPr>
        <w:br/>
        <w:t>This data supports the decision not to make revisions to the evaluation plan.</w:t>
      </w:r>
      <w:r w:rsidRPr="00ED172B">
        <w:rPr>
          <w:color w:val="000000" w:themeColor="text1"/>
        </w:rPr>
        <w:br/>
      </w:r>
      <w:r w:rsidRPr="00ED172B">
        <w:rPr>
          <w:color w:val="000000" w:themeColor="text1"/>
        </w:rPr>
        <w:br/>
        <w:t>Here is the link to the current evaluation plan: https://edn.ne.gov/cms/state-systemic-improvement-plans-ssip</w:t>
      </w:r>
      <w:r w:rsidRPr="00ED172B">
        <w:rPr>
          <w:color w:val="000000" w:themeColor="text1"/>
        </w:rPr>
        <w:br/>
      </w:r>
      <w:r w:rsidRPr="00ED172B">
        <w:rPr>
          <w:color w:val="000000" w:themeColor="text1"/>
        </w:rPr>
        <w:br/>
        <w:t xml:space="preserve">The FFY 2019 SSIP contains our evaluation plan and can be found on pages 6-8 and 11-12 at this link under the FFY 2019 SSIP: https://edn.ne.gov/cms/state-systemic-improvement-plans-ssip </w:t>
      </w:r>
      <w:r w:rsidRPr="00ED172B">
        <w:rPr>
          <w:color w:val="000000" w:themeColor="text1"/>
        </w:rPr>
        <w:br/>
      </w:r>
      <w:r w:rsidRPr="00ED172B">
        <w:rPr>
          <w:color w:val="000000" w:themeColor="text1"/>
        </w:rPr>
        <w:br/>
        <w:t xml:space="preserve">Please note that the link to Nebraska’s current evaluation plan can be found on page 42 of the FFY 2020 APR: </w:t>
      </w:r>
      <w:r w:rsidRPr="00ED172B">
        <w:rPr>
          <w:color w:val="000000" w:themeColor="text1"/>
        </w:rPr>
        <w:br/>
        <w:t>The evaluation plan is also outlined in the FFY 2020 APR and includes: Annual Fidelity checks for Cohort Regions across the 3 EBP’s, Annual IFSP Quality Outcome Analysis for Cohort Regions, Qualitative evaluation by University of Nebraska-Lincoln (UNL) regarding improving a sustainable coaching system to reinforce the RBEI process (UNL received an OSEP-funded grant for this purpose, entitled “Coaching in EI: Promoting Outcomes for Infants/Toddlers with disabilities through Evidence-Based Practices”), Development of a unified fidelity evaluation process across the 3 EBP’s by the University of Nebraska, and Qualitative evaluation by the University of Nebraska – Omaha (UNO) regarding family, SC and EI provider experiences with routines-based home visits utilizing the Getting Ready Approach</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Two changes were made to the Part C SSIP Leadership team this year: first, Julie Docter- Department of Health and Human Services (DHHS) Part C Co-Coordinator retired in December 2020. She was replaced by Jessica Anthony - Department of Health and Human Services. Second, Cindy Hankey, RBEI State Coordinator, retired in the summer of 2021. She was replaced by Jeanne Fielder, an EI provider who retired from EI services in a Nebraska school district. The Part C SSIP Leadership team currently consists of Amy Bunnell (NDE Part C Co-Coordinator), Cole Johnson (Part C Data Manager/PRT Coordinator), Jessica Anthony (Department of Health and Human Services (DHHS) Part C Co-Coordinator), Sue Bainter, Jeanne Fielder, and Janice Lee, RBEI state coordinators.</w:t>
      </w:r>
      <w:r w:rsidRPr="00ED172B">
        <w:rPr>
          <w:color w:val="000000" w:themeColor="text1"/>
        </w:rPr>
        <w:br/>
      </w:r>
      <w:r w:rsidRPr="00ED172B">
        <w:rPr>
          <w:color w:val="000000" w:themeColor="text1"/>
        </w:rPr>
        <w:br/>
        <w:t xml:space="preserve">Nebraska’s technical assistance system consists of: </w:t>
      </w:r>
      <w:r w:rsidRPr="00ED172B">
        <w:rPr>
          <w:color w:val="000000" w:themeColor="text1"/>
        </w:rPr>
        <w:br/>
        <w:t>(a) State Leadership Team - Meets for a day long meeting monthly; has weekly calls, utilizes access to a database of PRT activities which allows for oversight of all training and new initiatives, while monitoring and working with the local planning region teams (PRT) to improve EI services;</w:t>
      </w:r>
      <w:r w:rsidRPr="00ED172B">
        <w:rPr>
          <w:color w:val="000000" w:themeColor="text1"/>
        </w:rPr>
        <w:br/>
        <w:t xml:space="preserve">(b) 3 State Coordinators - Provide training, follow up and supports to 7 cohort PRT’s and leadership teams, trains and supports regional TA Providers, and develops training materials; </w:t>
      </w:r>
      <w:r w:rsidRPr="00ED172B">
        <w:rPr>
          <w:color w:val="000000" w:themeColor="text1"/>
        </w:rPr>
        <w:br/>
        <w:t>(c) 4 Regional TA Providers - geographically located to support non-cohort PRTs, provide training and TA to non-cohort PRT’s;</w:t>
      </w:r>
      <w:r w:rsidRPr="00ED172B">
        <w:rPr>
          <w:color w:val="000000" w:themeColor="text1"/>
        </w:rPr>
        <w:br/>
        <w:t>(d) Local PRT Leadership teams - 3-5 people (administrators, service coordination, providers ) responsible for implementation of EB practices, evaluation efforts, fidelity in their region;</w:t>
      </w:r>
      <w:r w:rsidRPr="00ED172B">
        <w:rPr>
          <w:color w:val="000000" w:themeColor="text1"/>
        </w:rPr>
        <w:br/>
        <w:t>(e) Local PRT coaches - trained as coaches for the evidence based practices (EBP) to provide fidelity, implementation support, and training of new staff to EI providers and services coordinators in their region.</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The following professional development and technical assistance strategies support system change and are necessary for statewide scale up:</w:t>
      </w:r>
      <w:r w:rsidRPr="00ED172B">
        <w:rPr>
          <w:color w:val="000000" w:themeColor="text1"/>
        </w:rPr>
        <w:br/>
        <w:t xml:space="preserve">1. The Co-Leads received feedback from stakeholders which supports the continued use of virtual training in addition to face to face training in order to effectively reach the far west side of Nebraska which, because of geography, is more likely to utilize professional development in this format as their preferred method of conducting business.  Using both face to face and virtual options will allow the state leadership team to complete the scale-up of the evidence based practices as well as making it more convenient for sustaining the practices through ongoing offering of both training and approval/fidelity requirements.  </w:t>
      </w:r>
      <w:r w:rsidRPr="00ED172B">
        <w:rPr>
          <w:color w:val="000000" w:themeColor="text1"/>
        </w:rPr>
        <w:br/>
        <w:t>2. A new training has been developed: “Using the RBI and Quality Home Visits to Develop a Quality IFSP.” This training is designed to support participants utilizing information from Routines Based Interviews, Quality Home Visits, and Ongoing Assessment to collaborate with families in developing functional, family-centered IFSPs. The training content includes the process of turning Routines Based Interview  priorities into measurable outcomes and improving quality related to the outcome structures of "child and family strengths and resources" and "what will be done by whom".  The IFSP training is a result of feedback from the field asking for guidance in facilitating and writing IFSPs given that the RBI is used as child and family assessment, and routines based  home visits are utilized to carry out the IFSPs.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Mary Phillips the newest member of the Part C SSIP Leadership team was introduced in the summer of 2021 and will focus on supporting PRTs to develop strong leadership to support the implementation of the RDA Strategies. Our experience with the PRTs the last few years has led us to the clear understanding that the strategies cannot be successfully implemented without strong leadership teams. Deliverables from this new infrastructure strategy will include: creating a clear understanding of the role and function of the leadership team; developing a sustainable data review process at the local level in order to contribute to a continuous improvement plan; assisting with building an infrastructure for ongoing implementation with fidelity, and creating and carrying out an evaluation plan to measure progress.</w:t>
      </w:r>
      <w:r w:rsidRPr="00ED172B">
        <w:rPr>
          <w:color w:val="000000" w:themeColor="text1"/>
        </w:rPr>
        <w:br/>
        <w:t xml:space="preserve">Dr. Lisa Knoche, from the University of Nebraska-Lincoln, received a grant award from OSEP and will lead a research study: Coaching in Early Intervention: Promoting Outcomes for Infants/Toddlers with Disabilities through Evidence-Based Practices. This is the only OSEP grant to focus on a Birth to 3 Early Intervention sustainable coaching system. This 4-year project, which began in November 2020, builds on Nebraska’s current work with the three improvement strategies and aims to improve outcomes for infants and toddlers with disabilities and their families through the refinement, implementation, and evaluation of a systematic and sustainable coaching system to reinforce the use of evidence-based practices by early intervention providers and services coordinators.  Critical to the state’s RDA plan, this project is especially exciting as it will enhance the coaching infrastructure </w:t>
      </w:r>
      <w:r w:rsidRPr="00ED172B">
        <w:rPr>
          <w:color w:val="000000" w:themeColor="text1"/>
        </w:rPr>
        <w:lastRenderedPageBreak/>
        <w:t xml:space="preserve">developed during the first 5-year SSIP cycle and have a direct impact on the quality and sustainability of the state’s coaching practices, ultimately resulting in improved results for children and families. The results, therefore, will be incorporated directly into Nebraska’s SSIP, in addition to being reported nationally. For more information on this project and a short video please go to https://cei.unl.edu/   Year 1 was spent on preparation for implementation:  development of training materials, evaluation measures, Internal Review Board (IRB) approval, technology, recruitment and soliciting feedback from stakeholders regarding these components. Based upon feedback, this training and implementation will be implemented via a demonstration project model. Training has been initiated with the first two demonstration sites.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By providing expertise and technical assistance for PRT leadership team development, our anticipated outcome is that the PRTs will have a clear understanding of the role and function of the leadership team; will develop a sustainable data review process to contribute to a continuous improvement plan; will build an infrastructure for ongoing implementation with fidelity and create an evaluation plan to measure progress. </w:t>
      </w:r>
      <w:r w:rsidRPr="00ED172B">
        <w:rPr>
          <w:color w:val="000000" w:themeColor="text1"/>
        </w:rPr>
        <w:br/>
        <w:t>Coaching in Early Intervention (CEI) -  The training of the first project demonstration site occurred in 2021. Full implementation will occur in 2022 and will center around formative assessment of salient project components including training, group and individual coaching supports, evaluation measures, coaching tools, a child outcome scale, etc. These project components will guide implementation within years 3 and 4. One project demonstration site will be added in each of years 2, 3, and 4. Evidence-based coaching practices will be enacted in peer-to-peer coaching interactions. Data collection and use will be embedded within the model to support and improve the coaching system.</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1. The Routines-Based Interview (RBI);- Child and Family Assessment</w:t>
      </w:r>
      <w:r w:rsidRPr="00ED172B">
        <w:rPr>
          <w:color w:val="000000" w:themeColor="text1"/>
        </w:rPr>
        <w:br/>
        <w:t>2. Functional child and family Individualized Family Service Plan (IFSP) outcomes; and</w:t>
      </w:r>
      <w:r w:rsidRPr="00ED172B">
        <w:rPr>
          <w:color w:val="000000" w:themeColor="text1"/>
        </w:rPr>
        <w:br/>
        <w:t>3. Routines-based home visits (Getting Ready Approach)</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The RBI is a semi-structured interview (McWilliam, 2010) during which the family describes their day to day life in terms of their child and family’s function, what’s going well and what’s not, DEC Recommended Practice - A7. Practitioners obtain information about the child’s skills in daily activities, routines, and environments such as home, center, and community.</w:t>
      </w:r>
      <w:r w:rsidRPr="00ED172B">
        <w:rPr>
          <w:color w:val="000000" w:themeColor="text1"/>
        </w:rPr>
        <w:br/>
        <w:t>Functional IFSP outcomes (Boavida et al., 2014) are based on child participation within everyday routines (child outcomes), and family perceived needs – housing, education, medical resources, etc. (family outcomes). DEC Recommended Practice - F4. Practitioners and the family work together to create outcomes or goals,develop individualized plans, and implement practices that address the family’s priorities and concerns and the child’s strengths and needs.</w:t>
      </w:r>
      <w:r w:rsidRPr="00ED172B">
        <w:rPr>
          <w:color w:val="000000" w:themeColor="text1"/>
        </w:rPr>
        <w:br/>
        <w:t>Routines-based home visits are accomplished via the Getting Ready Approach which is a relationally based parent engagement intervention promoting school and social readiness for young children from birth to age 5 (Sheridan et al., 2008; Sheridan et al., 2010). It has been implemented effectively in the context of home visitation services. Grounded in ecological theory, it focuses on strengthening collaborative partnerships between early childhood professionals and parents. DEC Recommended Practices - INS13. Practitioners use coaching or consultation strategies with primary caregivers or other adults to facilitate positive adult-child interactions and instruction intentionally designed to promote child learning and development.</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improvement strategies, as a unified set, are referred to as a “routines-based early intervention” (RBEI) approach. Nebraska expects to see a positive effect on the SiMR when EI teams (1) fully implement an evidence-based child and family assessment (RBI); (2) use the priorities identified during the RBI to develop functional child and family IFSP outcomes based on everyday routines; and (3) implement routines-based home visits focused on meeting the child and family IFSP outcomes.  Child outcomes will improve because all 3 strategies are based on evidence about how young children learn - from everyday learning opportunities and with the people/materials/environment that are most familiar to them. EI personnel are trained and approved in the 3 practices through a standardized process including trained facilitators, coaching for approval according to a checklist which is also used to determine annual fidelity.  Therefore, once training and approval has occurred, improvements in child outcomes can be attributed to the practices which are implemented in a consistent way.   Nebraska also chose to use Indicator C4B as a benchmark for the SiMR. The Co-leads believe that taken together, the three improvement strategies of the SSIP will increase families’ perceptions of their ability to effectively communicate their children’s needs.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For the 7 cohort PRTs: RBI -  RBI Implementation Checklists documenting 85% accuracy or better are used at initial approval and annually for fidelity and ; completed by RBI approved coaches; Functional IFSP child and family outcomes - annual analysis of the quality and quantity of IFSPs using the state’s IFSP Quality Outcome Checklist; Quality routines-based home visits -  Home Visit Implementation Checklist documenting state determined 80% initial approval level and used annually for fidelity; completed by Home Visit approved coaches.  As a reminder, in 2020 all fidelity approvals and checks were moved to a virtual process. This was maintained into 2021 due to impacts of COVID-19. In-person fidelity checks resumed in Summer of 2021.</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Data from the IFSP Outcome Analysis conducted annually demonstrates growth across cohorts since baseline in both quantity and quality indicators.</w:t>
      </w:r>
      <w:r w:rsidRPr="00ED172B">
        <w:rPr>
          <w:color w:val="000000" w:themeColor="text1"/>
        </w:rPr>
        <w:br/>
        <w:t>Following RBI Boot Camp training, providers/services coordinators, families, and coaches are asked to complete an evaluation. Data from the evaluations are overall favorable and support the continuation of the practice.  Specifically, data from the RBI Boot Camp evaluations  indicate  that as a result of the training,  participants are prepared to complete Routines Based Interviews. When asked the question “Are you confident that you can successfully complete an RBI?” 89 % of the participants answered “yes.”. 98% would recommend the boot camp to others and 97% agree that the virtual format is suitable for the training content.</w:t>
      </w:r>
      <w:r w:rsidRPr="00ED172B">
        <w:rPr>
          <w:color w:val="000000" w:themeColor="text1"/>
        </w:rPr>
        <w:br/>
        <w:t>Following the Getting Ready Approach training, providers and services coordinators are asked to complete an evaluation. Using retrospective ratings, the providers scored their knowledge of practices to support quality home visitation at an average of 4.83 on a scale of 1-6.  Services Coordinators scored their knowledge of practices to support quality home visitation at an average of 5.0 on the 1-6 scale.  Further, providers and services coordinators noted that the training would increase parent understanding and capacity, which would in turn have a positive effect on outcomes for children.</w:t>
      </w:r>
      <w:r w:rsidRPr="00ED172B">
        <w:rPr>
          <w:color w:val="000000" w:themeColor="text1"/>
        </w:rPr>
        <w:br/>
      </w:r>
      <w:r w:rsidRPr="00ED172B">
        <w:rPr>
          <w:color w:val="000000" w:themeColor="text1"/>
        </w:rPr>
        <w:lastRenderedPageBreak/>
        <w:t>Four new questions were added to the Annual Part C Family Survey related to the implementation of the 3 coherent improvement  strategies. Analysis of these additional questions confirmed that providers and services coordinators are implementing RBEI practices effectively.</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Next steps for Nebraska’s evidence-based practices include to continue with annual fidelity checks for RBI and quality routines-based home visits as well as annual analysis of IFSP outcomes. </w:t>
      </w:r>
      <w:r w:rsidRPr="00ED172B">
        <w:rPr>
          <w:color w:val="000000" w:themeColor="text1"/>
        </w:rPr>
        <w:br/>
        <w:t xml:space="preserve">In partnership with the University of Nebraska-Omaha, address implementation challenges that emerged from the 2019 qualitative studies (described above) to refine evidence-based practices: 1) Provide guidance about (a) the role of the EDN Services Coordinator within the GR framework and (b) the frequency and purpose of covisits as part of service delivery;  2) Develop guidance regarding “communication” with families (text, email, video, phone) between home visits for enhanced support, and 3) identify strategies for working with diverse families using the Getting Ready Approach for quality routines based home visits.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See above information related to supporting the evaluation plan</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Stakeholder Involvement: Nebraska regularly seeks input from stakeholders when establishing policy, regulation or implementation strategies. Specific to the development of the State Performance Plan and Annual Performance Report, Nebraska has established a broad based stakeholder group. The group includes representatives of parents, school district Directors of Special Education, special education staff, early childhood programs, Routines Based Early Intervention (RBEI) technical assistants, higher education, services coordination, Head Start, Health and Human Services, community agencies, early intervention service providers, court system, psychologists, early childhood special education, and the medical field.</w:t>
      </w:r>
      <w:r w:rsidRPr="00ED172B">
        <w:rPr>
          <w:color w:val="000000" w:themeColor="text1"/>
        </w:rPr>
        <w:br/>
        <w:t>This group has met periodically throughout the past year and will continue meeting to establish/review targets and performance as indicated in the SPP/APR and the development and implementation of the State Systemic Improvement Plan (SSIP). Thus far the Stakeholders have reviewed historical data around each of the indicators and established targets for each of the indicators. Additionally, the Stakeholders assisted the Co-leads in establishing the State Identified Measurable Result (SIMR). Stakeholders provided guidance and input on activities and evaluation measures of the SSIP.</w:t>
      </w:r>
      <w:r w:rsidRPr="00ED172B">
        <w:rPr>
          <w:color w:val="000000" w:themeColor="text1"/>
        </w:rPr>
        <w:br/>
        <w:t>In addition to the Stakeholder group established specifically for the purpose of gathering input on the SSIP and SPP/APR, Nebraska also obtains input from the Special Education Advisory Council (SEAC) and the Early Childhood Interagency Coordinating Council (ECICC). These Councils are established pursuant to 34 CFR 300.167 and 34 CFR 303.600 and as such provide for input from a diverse group of stakeholders. The Councils regularly discuss the SPP/APR and provide input on the targets and strategies contained therein. SEAC and ECICC will continue to be utilized for input on the development of the SSIP and the SIMR.</w:t>
      </w:r>
      <w:r w:rsidRPr="00ED172B">
        <w:rPr>
          <w:color w:val="000000" w:themeColor="text1"/>
        </w:rPr>
        <w:br/>
        <w:t xml:space="preserve">In 2021, the EDN co-leads engaged in several activities to recruit new and diverse parents to our stakeholder groups. We solicited local early intervention programs with historically underserved populations to find diverse parents. </w:t>
      </w:r>
      <w:r w:rsidRPr="00ED172B">
        <w:rPr>
          <w:color w:val="000000" w:themeColor="text1"/>
        </w:rPr>
        <w:br/>
        <w:t xml:space="preserve">Please see the Parent Members Engagement section for additional information.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In October and November of 2021, we engaged in two virtual stakeholder meetings due to the COVID 19 pandemic as well as to accommodate families’ schedules. In advance of these meetings, we engaged in several activities to ensure the parent voice was appropriately captured. The EDN co-leads participated in active parent recruitment with all 28 local early intervention programs. We additionally targeted local programs with higher numbers of historically underserved populations to ensure a diverse parent stakeholder make up. Personal contacts and invitations were made with all new parent recruits including ICC parent members. We additionally offered parents stipends to assist with any lost wages and child care to ensure participation. The co-leads also engaged with PTI Nebraska and the University of Nebraska Monroe Meyer Institute, a disability advocacy center, to cohost and facilitate an orientation meeting with the stakeholder parents one week prior to the meeting to provide an overview of the SSIP and SPP-APR to ensure the parents had the appropriate context and information needed to actively participate. All stakeholders were provided copies of the meeting materials in advance of the meeting to give them time to review the data, evaluation progress, proposed targets, and improvement strategies. During the stakeholder meetings engagement strategies included participants' ability to share their input via audio or chat box. Additionally, input was solicited via open discussion and polls.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The qualitative study by Dr. Miriam Kuhn from the University of Nebraska Omaha and Dr. Johanna Higgins from the University of Nebraska Lincoln conducted in 2019 led to some additional findings in which the RDA stakeholder members recommended further investigation. Findings included evidence of implementation challenges in communication with families (i.e., use of personal cell phones, managing communication with high caseloads, etc.), and uncertainty about the role of the services coordinator during home visits utilizing the Getting Ready Approach. Based upon RDA stakeholder feedback, the co-leads are contracting with Dr Kuhn and Dr Higgins in 2022 to:</w:t>
      </w:r>
      <w:r w:rsidRPr="00ED172B">
        <w:rPr>
          <w:color w:val="000000" w:themeColor="text1"/>
        </w:rPr>
        <w:br/>
        <w:t xml:space="preserve"> Conduct another qualitative study to provide guidance about (1) the role of the services coordinator within the GR framework, and (2) the frequency and purpose of co-visits as part of service delivery.</w:t>
      </w:r>
      <w:r w:rsidRPr="00ED172B">
        <w:rPr>
          <w:color w:val="000000" w:themeColor="text1"/>
        </w:rPr>
        <w:br/>
        <w:t xml:space="preserve"> Create professional development materials that can be disseminated to Early Intervention providers and services coordinators to enhance communication that occurs with families between visits that promotes child and family outcomes. The purpose of the communication is to extend the interventions that are addressed DURING homes by building family capacity through these between visit contacts. </w:t>
      </w:r>
    </w:p>
    <w:p w14:paraId="7E4D8D02" w14:textId="77777777" w:rsidR="00297898" w:rsidRPr="00297898" w:rsidRDefault="00297898" w:rsidP="00297898">
      <w:pPr>
        <w:rPr>
          <w:rFonts w:cs="Arial"/>
          <w:b/>
          <w:bCs/>
        </w:rPr>
      </w:pPr>
      <w:r w:rsidRPr="00297898">
        <w:rPr>
          <w:rFonts w:cs="Arial"/>
          <w:b/>
          <w:bCs/>
        </w:rPr>
        <w:lastRenderedPageBreak/>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Dr. Kuhn’s study will focus on data collection in 2022. Participants will be recruited from three populations: (a) SCs trained and approved in the three RDA strategies in Nebraska as identified by the Co-Lead Agencies, (b) supervisors of trained/approved SCs, and (c) early intervention providers who have also been trained/approved in the three RDA strategies and who work with trained/approved SCs. It is expected that the surveys will provide quantitative descriptions of SC practices. The quantitative results will then inform the second stage of the study which focuses on gathering qualitative data from two sources. One source of data will be focus group interviews of representative groups from the three populations with the second source being samples of their de-identified and completed Home Visit plans. The expected outcome of the data collection will be in preparation for analysis to guide SC development of partnerships with parents and SC roles/responsibilities.</w:t>
      </w:r>
      <w:r w:rsidRPr="00ED172B">
        <w:rPr>
          <w:color w:val="000000" w:themeColor="text1"/>
        </w:rPr>
        <w:br/>
      </w:r>
      <w:r w:rsidRPr="00ED172B">
        <w:rPr>
          <w:color w:val="000000" w:themeColor="text1"/>
        </w:rPr>
        <w:br/>
        <w:t xml:space="preserve">Dr. Higgins’s project in 2022 will be to build the evidence based literature which supports strategies to enhance communication between EI visits (e.g., why do EI professionals communicate between visits, how does communication enhance caregiver competence, resources available in the field). In addition, an exploration of the kinds of technology (e.g., online portals, smartphone apps) that are currently available, and may be used, for professionals and caregivers to communicate. The expected outcomes will be to collect the information and experiences to guide the creation of professional development tools and formats to be delivered in the following year.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There are no newly identified barriers pertaining to the additional implementation activities.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 Rhone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State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amy.rhone@nebraska.gov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531-207-9978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9:29:35 AM</w:t>
      </w:r>
    </w:p>
    <w:p w14:paraId="7B3F3D6E" w14:textId="265077D7" w:rsidR="00FD047C" w:rsidRDefault="00FD047C" w:rsidP="00D77E41">
      <w:pPr>
        <w:autoSpaceDE w:val="0"/>
        <w:autoSpaceDN w:val="0"/>
        <w:adjustRightInd w:val="0"/>
        <w:rPr>
          <w:rFonts w:cs="Arial"/>
          <w:b/>
          <w:color w:val="000000" w:themeColor="text1"/>
          <w:szCs w:val="16"/>
        </w:rPr>
      </w:pPr>
    </w:p>
    <w:p w14:paraId="78124958" w14:textId="1FBC09FF" w:rsidR="003E11DB" w:rsidRDefault="003E11DB">
      <w:pPr>
        <w:spacing w:before="0" w:after="200" w:line="276" w:lineRule="auto"/>
        <w:rPr>
          <w:rFonts w:cs="Arial"/>
          <w:b/>
          <w:color w:val="000000" w:themeColor="text1"/>
          <w:szCs w:val="16"/>
        </w:rPr>
      </w:pPr>
      <w:r>
        <w:rPr>
          <w:rFonts w:cs="Arial"/>
          <w:b/>
          <w:color w:val="000000" w:themeColor="text1"/>
          <w:szCs w:val="16"/>
        </w:rPr>
        <w:br w:type="page"/>
      </w:r>
    </w:p>
    <w:p w14:paraId="18AC1C22" w14:textId="4D40CDCC" w:rsidR="00366832" w:rsidRDefault="00366832" w:rsidP="00366832">
      <w:pPr>
        <w:pStyle w:val="Heading1"/>
        <w:rPr>
          <w:color w:val="000000" w:themeColor="text1"/>
        </w:rPr>
      </w:pPr>
      <w:r>
        <w:rPr>
          <w:color w:val="000000" w:themeColor="text1"/>
        </w:rPr>
        <w:lastRenderedPageBreak/>
        <w:t>ED Attachments</w:t>
      </w:r>
    </w:p>
    <w:p w14:paraId="4A23EF97" w14:textId="2D1E7AB2" w:rsidR="00366832" w:rsidRDefault="00366832" w:rsidP="00366832"/>
    <w:p w14:paraId="0555D104" w14:textId="29910D44" w:rsidR="00366832" w:rsidRPr="00453BCC" w:rsidRDefault="00366832" w:rsidP="00453BCC">
      <w:r>
        <w:object w:dxaOrig="1504" w:dyaOrig="982" w14:anchorId="59618972">
          <v:shape id="_x0000_i1026" type="#_x0000_t75" alt="NE-C-Dispute-Resolution-2020-21&#10;" style="width:1in;height:50.4pt" o:ole="">
            <v:imagedata r:id="rId14" o:title=""/>
          </v:shape>
          <o:OLEObject Type="Embed" ProgID="Acrobat.Document.DC" ShapeID="_x0000_i1026" DrawAspect="Icon" ObjectID="_1726490790" r:id="rId15"/>
        </w:object>
      </w:r>
      <w:r w:rsidR="00C51590">
        <w:tab/>
      </w:r>
      <w:r w:rsidR="00211D9D">
        <w:object w:dxaOrig="1579" w:dyaOrig="1022" w14:anchorId="3EA6CECF">
          <v:shape id="_x0000_i1032" type="#_x0000_t75" alt="ne-c-resultsmatrix-2022&#10;" style="width:79.2pt;height:50.4pt" o:ole="">
            <v:imagedata r:id="rId16" o:title=""/>
          </v:shape>
          <o:OLEObject Type="Embed" ProgID="Acrobat.Document.DC" ShapeID="_x0000_i1032" DrawAspect="Icon" ObjectID="_1726490791" r:id="rId17"/>
        </w:object>
      </w:r>
      <w:r w:rsidR="00C51590">
        <w:tab/>
      </w:r>
      <w:r w:rsidR="00C23D3B">
        <w:object w:dxaOrig="1579" w:dyaOrig="1022" w14:anchorId="41C2AB85">
          <v:shape id="_x0000_i1030" type="#_x0000_t75" alt="NE-2022DataRubricPartC&#10;" style="width:79.2pt;height:50.4pt" o:ole="">
            <v:imagedata r:id="rId18" o:title=""/>
          </v:shape>
          <o:OLEObject Type="Embed" ProgID="Excel.Sheet.12" ShapeID="_x0000_i1030" DrawAspect="Icon" ObjectID="_1726490792" r:id="rId19"/>
        </w:object>
      </w:r>
    </w:p>
    <w:sectPr w:rsidR="00366832" w:rsidRPr="00453BCC"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02A3" w14:textId="77777777" w:rsidR="00DF3FF2" w:rsidRDefault="00DF3FF2" w:rsidP="000802F7">
      <w:pPr>
        <w:spacing w:before="0" w:after="0"/>
      </w:pPr>
      <w:r>
        <w:separator/>
      </w:r>
    </w:p>
  </w:endnote>
  <w:endnote w:type="continuationSeparator" w:id="0">
    <w:p w14:paraId="2ED87039" w14:textId="77777777" w:rsidR="00DF3FF2" w:rsidRDefault="00DF3FF2" w:rsidP="000802F7">
      <w:pPr>
        <w:spacing w:before="0" w:after="0"/>
      </w:pPr>
      <w:r>
        <w:continuationSeparator/>
      </w:r>
    </w:p>
  </w:endnote>
  <w:endnote w:type="continuationNotice" w:id="1">
    <w:p w14:paraId="3E2335C7" w14:textId="77777777" w:rsidR="00DF3FF2" w:rsidRDefault="00DF3F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79D" w14:textId="77777777" w:rsidR="00DF3FF2" w:rsidRDefault="00DF3FF2" w:rsidP="000802F7">
      <w:pPr>
        <w:spacing w:before="0" w:after="0"/>
      </w:pPr>
      <w:r>
        <w:separator/>
      </w:r>
    </w:p>
  </w:footnote>
  <w:footnote w:type="continuationSeparator" w:id="0">
    <w:p w14:paraId="07D0B42D" w14:textId="77777777" w:rsidR="00DF3FF2" w:rsidRDefault="00DF3FF2" w:rsidP="000802F7">
      <w:pPr>
        <w:spacing w:before="0" w:after="0"/>
      </w:pPr>
      <w:r>
        <w:continuationSeparator/>
      </w:r>
    </w:p>
  </w:footnote>
  <w:footnote w:type="continuationNotice" w:id="1">
    <w:p w14:paraId="58C3A5D0" w14:textId="77777777" w:rsidR="00DF3FF2" w:rsidRDefault="00DF3F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2"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35E2"/>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9D"/>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66832"/>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1D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3BCC"/>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040"/>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3D3B"/>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590"/>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3FF2"/>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2C76A-9131-4C2B-8DB7-291122D4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9bf3613-0818-48da-aadf-73420b6d035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27774</Words>
  <Characters>158316</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2022-08-05T18:49:00Z</dcterms:created>
  <dcterms:modified xsi:type="dcterms:W3CDTF">2022-10-05T19:51:00Z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730ff7a1-6f48-4899-bb12-3270ae05f8b7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