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Nebraska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244</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See FFY 2020 General Supervision System Attachment to the SPP APR Introduction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Nebraska’s statewide system of technical assistance is based on regional support networks with multiple collaborating partners engaged in this process. </w:t>
      </w:r>
      <w:r w:rsidRPr="00781112">
        <w:rPr>
          <w:rFonts w:cs="Arial"/>
          <w:color w:val="000000" w:themeColor="text1"/>
          <w:szCs w:val="16"/>
        </w:rPr>
        <w:br/>
        <w:t xml:space="preserve"> </w:t>
      </w:r>
      <w:r w:rsidRPr="00781112">
        <w:rPr>
          <w:rFonts w:cs="Arial"/>
          <w:color w:val="000000" w:themeColor="text1"/>
          <w:szCs w:val="16"/>
        </w:rPr>
        <w:br/>
        <w:t xml:space="preserve">Through regional and statewide assignments, the NDE, Office of Special Education (OSE) staff provides ongoing technical assistance to support school districts in addressing their unique needs and challenges. The NDE, OSE created the Improving Learning of Children with Disabilities (ILCD) process based upon the State Performance Plan (SPP), Part B indicators, and the Results Driven Accountability (RDA) initiatives in place within the state. The ILCD process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enhance program improvement that will result in improved outcomes for children with disabilities. With stakeholder input, NDE organized the SPP indicators into three Impact Areas: </w:t>
      </w:r>
      <w:r w:rsidRPr="00781112">
        <w:rPr>
          <w:rFonts w:cs="Arial"/>
          <w:color w:val="000000" w:themeColor="text1"/>
          <w:szCs w:val="16"/>
        </w:rPr>
        <w:br/>
        <w:t xml:space="preserve"> </w:t>
      </w:r>
      <w:r w:rsidRPr="00781112">
        <w:rPr>
          <w:rFonts w:cs="Arial"/>
          <w:color w:val="000000" w:themeColor="text1"/>
          <w:szCs w:val="16"/>
        </w:rPr>
        <w:br/>
        <w:t xml:space="preserve">Improving developmental outcomes and academic achievement (school readiness) for children with disabilities; </w:t>
      </w:r>
      <w:r w:rsidRPr="00781112">
        <w:rPr>
          <w:rFonts w:cs="Arial"/>
          <w:color w:val="000000" w:themeColor="text1"/>
          <w:szCs w:val="16"/>
        </w:rPr>
        <w:br/>
        <w:t xml:space="preserve">Improving communication and relationships among families, schools, communities, and agencies; and </w:t>
      </w:r>
      <w:r w:rsidRPr="00781112">
        <w:rPr>
          <w:rFonts w:cs="Arial"/>
          <w:color w:val="000000" w:themeColor="text1"/>
          <w:szCs w:val="16"/>
        </w:rPr>
        <w:br/>
        <w:t xml:space="preserve">Improving transitions for children with disabilities from early intervention to adult living. </w:t>
      </w:r>
      <w:r w:rsidRPr="00781112">
        <w:rPr>
          <w:rFonts w:cs="Arial"/>
          <w:color w:val="000000" w:themeColor="text1"/>
          <w:szCs w:val="16"/>
        </w:rPr>
        <w:br/>
      </w:r>
      <w:r w:rsidRPr="00781112">
        <w:rPr>
          <w:rFonts w:cs="Arial"/>
          <w:color w:val="000000" w:themeColor="text1"/>
          <w:szCs w:val="16"/>
        </w:rPr>
        <w:br/>
        <w:t xml:space="preserve">See Technical Assistance System Attachment for full description of the mechanisms that the State has in place to ensure the timely delivery of high quality, </w:t>
      </w:r>
      <w:proofErr w:type="gramStart"/>
      <w:r w:rsidRPr="00781112">
        <w:rPr>
          <w:rFonts w:cs="Arial"/>
          <w:color w:val="000000" w:themeColor="text1"/>
          <w:szCs w:val="16"/>
        </w:rPr>
        <w:t>evidenced</w:t>
      </w:r>
      <w:proofErr w:type="gramEnd"/>
      <w:r w:rsidRPr="00781112">
        <w:rPr>
          <w:rFonts w:cs="Arial"/>
          <w:color w:val="000000" w:themeColor="text1"/>
          <w:szCs w:val="16"/>
        </w:rPr>
        <w:t xml:space="preserve"> based technical assistance and support to LEAs</w:t>
      </w:r>
      <w:proofErr w:type="gramStart"/>
      <w:r w:rsidRPr="00781112">
        <w:rPr>
          <w:rFonts w:cs="Arial"/>
          <w:color w:val="000000" w:themeColor="text1"/>
          <w:szCs w:val="16"/>
        </w:rPr>
        <w:t xml:space="preserve">.  </w:t>
      </w:r>
      <w:proofErr w:type="gramEnd"/>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NDE provides an array of professional development opportunities through intra-agency cross-team efforts to ensure that education providers have the skills to effectively provide services that improve results for children with disabilities. NDE’s Early Childhood Training Center (ECTC) has been the hub of technical assistance and professional development statewide for teachers and providers in early care and education settings. The NDE, OSE also works in partnership with LEAs, ESUs, and IHEs to provide a coherent, comprehensive, and aligned network of professional development. In the last five years, the </w:t>
      </w:r>
      <w:proofErr w:type="gramStart"/>
      <w:r w:rsidRPr="00781112">
        <w:rPr>
          <w:rFonts w:cs="Arial"/>
          <w:color w:val="000000" w:themeColor="text1"/>
          <w:szCs w:val="16"/>
        </w:rPr>
        <w:t>NDE,</w:t>
      </w:r>
      <w:proofErr w:type="gramEnd"/>
      <w:r w:rsidRPr="00781112">
        <w:rPr>
          <w:rFonts w:cs="Arial"/>
          <w:color w:val="000000" w:themeColor="text1"/>
          <w:szCs w:val="16"/>
        </w:rPr>
        <w:t xml:space="preserve"> OSE has also developed professional development through the Nebraska MTSS network. The NDE, </w:t>
      </w:r>
      <w:proofErr w:type="gramStart"/>
      <w:r w:rsidRPr="00781112">
        <w:rPr>
          <w:rFonts w:cs="Arial"/>
          <w:color w:val="000000" w:themeColor="text1"/>
          <w:szCs w:val="16"/>
        </w:rPr>
        <w:t>OSE</w:t>
      </w:r>
      <w:proofErr w:type="gramEnd"/>
      <w:r w:rsidRPr="00781112">
        <w:rPr>
          <w:rFonts w:cs="Arial"/>
          <w:color w:val="000000" w:themeColor="text1"/>
          <w:szCs w:val="16"/>
        </w:rPr>
        <w:t xml:space="preserve"> is committed to the build out of an interconnected system framework, known as NeMTSS. With NeMTSS, NDE anticipates that through a statewide professional learning community charged with building capacity and providing professional learning opportunities monthly, expanding infrastructure, connecting to key personnel and communicators, and including diversity of expertise encompassing the whole child, districts will have the support needed to ensure each student can become a proficient reader. This system will create an aligned framework and outcomes while focused on providing a reputable source for resources grounded in evidence and research. The NeMTSS continued integration of PBIS, Pyramid, and RtI provides statewide system level training as well as regional supports in each expertise area to identify infrastructure gaps and barriers with stakeholder groups, including families and community leaders. </w:t>
      </w:r>
      <w:r w:rsidRPr="00781112">
        <w:rPr>
          <w:rFonts w:cs="Arial"/>
          <w:color w:val="000000" w:themeColor="text1"/>
          <w:szCs w:val="16"/>
        </w:rPr>
        <w:br/>
        <w:t xml:space="preserve"> </w:t>
      </w:r>
      <w:r w:rsidRPr="00781112">
        <w:rPr>
          <w:rFonts w:cs="Arial"/>
          <w:color w:val="000000" w:themeColor="text1"/>
          <w:szCs w:val="16"/>
        </w:rPr>
        <w:br/>
        <w:t xml:space="preserve">Statewide implementation support teams work through each discretionary partner, in collaboration with NDE, to increase the capacity of regular and special education teachers, related services providers, and administrators to implement evidence-based practices such as MTSS, including Response to Intervention (RtI), Positive Behavior Supports (PBIS), and Early Childhood Positive Behavior Supports (EC-PBIS Pyramid Model). The teams also focus on specific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for students who experience autism spectrum disorder, traumatic brain injury, and sensory impairments. </w:t>
      </w:r>
      <w:r w:rsidRPr="00781112">
        <w:rPr>
          <w:rFonts w:cs="Arial"/>
          <w:color w:val="000000" w:themeColor="text1"/>
          <w:szCs w:val="16"/>
        </w:rPr>
        <w:br/>
      </w:r>
      <w:r w:rsidRPr="00781112">
        <w:rPr>
          <w:rFonts w:cs="Arial"/>
          <w:color w:val="000000" w:themeColor="text1"/>
          <w:szCs w:val="16"/>
        </w:rPr>
        <w:br/>
        <w:t xml:space="preserve">The statewide implementation support teams work through a four-phase process: exploration, installation, initial implementation, and full implementation. </w:t>
      </w:r>
      <w:r w:rsidRPr="00781112">
        <w:rPr>
          <w:rFonts w:cs="Arial"/>
          <w:color w:val="000000" w:themeColor="text1"/>
          <w:szCs w:val="16"/>
        </w:rPr>
        <w:br/>
      </w:r>
      <w:r w:rsidRPr="00781112">
        <w:rPr>
          <w:rFonts w:cs="Arial"/>
          <w:color w:val="000000" w:themeColor="text1"/>
          <w:szCs w:val="16"/>
        </w:rPr>
        <w:br/>
        <w:t xml:space="preserve">Exploration: Schools identify social-emotional-behavioral support as an area for growth. Schools attend a Nebraska PBIS overview meeting, determine if Nebraska PBIS is a “good fit” for their campus and garner staff/stakeholder commitment. </w:t>
      </w:r>
      <w:r w:rsidRPr="00781112">
        <w:rPr>
          <w:rFonts w:cs="Arial"/>
          <w:color w:val="000000" w:themeColor="text1"/>
          <w:szCs w:val="16"/>
        </w:rPr>
        <w:br/>
      </w:r>
      <w:r w:rsidRPr="00781112">
        <w:rPr>
          <w:rFonts w:cs="Arial"/>
          <w:color w:val="000000" w:themeColor="text1"/>
          <w:szCs w:val="16"/>
        </w:rPr>
        <w:br/>
        <w:t xml:space="preserve">Installation: Schools establish a representative team to lead the process, attend training and access coaching to install Tier 1 school-wide data, </w:t>
      </w:r>
      <w:proofErr w:type="gramStart"/>
      <w:r w:rsidRPr="00781112">
        <w:rPr>
          <w:rFonts w:cs="Arial"/>
          <w:color w:val="000000" w:themeColor="text1"/>
          <w:szCs w:val="16"/>
        </w:rPr>
        <w:t>systems</w:t>
      </w:r>
      <w:proofErr w:type="gramEnd"/>
      <w:r w:rsidRPr="00781112">
        <w:rPr>
          <w:rFonts w:cs="Arial"/>
          <w:color w:val="000000" w:themeColor="text1"/>
          <w:szCs w:val="16"/>
        </w:rPr>
        <w:t xml:space="preserve"> and practices. The school team includes an administrator, a facilitator/leader, teachers of general and special education, support staff members, parents, and, if at the high school level, students. </w:t>
      </w:r>
      <w:r w:rsidRPr="00781112">
        <w:rPr>
          <w:rFonts w:cs="Arial"/>
          <w:color w:val="000000" w:themeColor="text1"/>
          <w:szCs w:val="16"/>
        </w:rPr>
        <w:br/>
      </w:r>
      <w:r w:rsidRPr="00781112">
        <w:rPr>
          <w:rFonts w:cs="Arial"/>
          <w:color w:val="000000" w:themeColor="text1"/>
          <w:szCs w:val="16"/>
        </w:rPr>
        <w:br/>
        <w:t xml:space="preserve">Initial Implementation: Schools implement, </w:t>
      </w:r>
      <w:proofErr w:type="gramStart"/>
      <w:r w:rsidRPr="00781112">
        <w:rPr>
          <w:rFonts w:cs="Arial"/>
          <w:color w:val="000000" w:themeColor="text1"/>
          <w:szCs w:val="16"/>
        </w:rPr>
        <w:t>evaluate</w:t>
      </w:r>
      <w:proofErr w:type="gramEnd"/>
      <w:r w:rsidRPr="00781112">
        <w:rPr>
          <w:rFonts w:cs="Arial"/>
          <w:color w:val="000000" w:themeColor="text1"/>
          <w:szCs w:val="16"/>
        </w:rPr>
        <w:t xml:space="preserve"> and adjust Tier 1 systems so they achieve 80% fidelity of implementation and 80+% of students respond to Tier 1 systems school-wide and in the classroom. </w:t>
      </w:r>
      <w:r w:rsidRPr="00781112">
        <w:rPr>
          <w:rFonts w:cs="Arial"/>
          <w:color w:val="000000" w:themeColor="text1"/>
          <w:szCs w:val="16"/>
        </w:rPr>
        <w:br/>
      </w:r>
      <w:r w:rsidRPr="00781112">
        <w:rPr>
          <w:rFonts w:cs="Arial"/>
          <w:color w:val="000000" w:themeColor="text1"/>
          <w:szCs w:val="16"/>
        </w:rPr>
        <w:br/>
        <w:t xml:space="preserve">Full Implementation: School teams attend training and access coaching to maintain Tier 1 and install Tier 2–3 data, systems, and practices.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 building capacity for the scale-up of the MTSS framework and to support districts in an environment of strong local control, Nebraska has required each district to review their student data and establish a Targeted Improvement Plan (TIP). Each TIP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have (a) a focus for improvement, (b) a measurable goal with annual targets, (c) a student-centered, evidence-based strategy to affect the outcomes for students with disabilities, (d) an implementation plan, and (e) criteria to measure fidelity of the student-centered, evidence-based strategy selected. The TIP must </w:t>
      </w:r>
      <w:proofErr w:type="gramStart"/>
      <w:r w:rsidRPr="00781112">
        <w:rPr>
          <w:rFonts w:cs="Arial"/>
          <w:color w:val="000000" w:themeColor="text1"/>
          <w:szCs w:val="16"/>
        </w:rPr>
        <w:t>be aligned</w:t>
      </w:r>
      <w:proofErr w:type="gramEnd"/>
      <w:r w:rsidRPr="00781112">
        <w:rPr>
          <w:rFonts w:cs="Arial"/>
          <w:color w:val="000000" w:themeColor="text1"/>
          <w:szCs w:val="16"/>
        </w:rPr>
        <w:t xml:space="preserve"> to the overall general education improvement activities the district is implementing.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effectively benefit from the strategies and practices the district selects in its TIP, OSE provides extensive professional development in creating the TIP, setting the TIP goals, planning to improve, and TIP implementation. In addition, OSE provides professional development on high leverage practices and evidence-based strategies. </w:t>
      </w:r>
      <w:r w:rsidRPr="00781112">
        <w:rPr>
          <w:rFonts w:cs="Arial"/>
          <w:color w:val="000000" w:themeColor="text1"/>
          <w:szCs w:val="16"/>
        </w:rPr>
        <w:br/>
      </w:r>
      <w:r w:rsidRPr="00781112">
        <w:rPr>
          <w:rFonts w:cs="Arial"/>
          <w:color w:val="000000" w:themeColor="text1"/>
          <w:szCs w:val="16"/>
        </w:rPr>
        <w:br/>
        <w:t xml:space="preserve">Transitions from early intervention to school (Part C to Part B) and from school to career/college readiness are another of NDE’s priority areas of support. NDE, OSE consultants deliver and supervise the delivery of professional development for evidence-based practices. </w:t>
      </w:r>
      <w:r w:rsidRPr="00781112">
        <w:rPr>
          <w:rFonts w:cs="Arial"/>
          <w:color w:val="000000" w:themeColor="text1"/>
          <w:szCs w:val="16"/>
        </w:rPr>
        <w:br/>
      </w:r>
      <w:r w:rsidRPr="00781112">
        <w:rPr>
          <w:rFonts w:cs="Arial"/>
          <w:color w:val="000000" w:themeColor="text1"/>
          <w:szCs w:val="16"/>
        </w:rPr>
        <w:br/>
        <w:t xml:space="preserve">NCECBVI provides and coordinates staff development opportunities for statewide educators, related service providers, parents and agency personnel as needs </w:t>
      </w:r>
      <w:proofErr w:type="gramStart"/>
      <w:r w:rsidRPr="00781112">
        <w:rPr>
          <w:rFonts w:cs="Arial"/>
          <w:color w:val="000000" w:themeColor="text1"/>
          <w:szCs w:val="16"/>
        </w:rPr>
        <w:t>are identified</w:t>
      </w:r>
      <w:proofErr w:type="gramEnd"/>
      <w:r w:rsidRPr="00781112">
        <w:rPr>
          <w:rFonts w:cs="Arial"/>
          <w:color w:val="000000" w:themeColor="text1"/>
          <w:szCs w:val="16"/>
        </w:rPr>
        <w:t xml:space="preserve">. In addition, the University of Nebraska-Lincoln, in cooperation with NDE, the Kansas State School for the Blind, and NCECBVI, offers an endorsement program for teaching the blind and visually impaired. </w:t>
      </w:r>
      <w:r w:rsidRPr="00781112">
        <w:rPr>
          <w:rFonts w:cs="Arial"/>
          <w:color w:val="000000" w:themeColor="text1"/>
          <w:szCs w:val="16"/>
        </w:rPr>
        <w:br/>
        <w:t xml:space="preserve"> </w:t>
      </w:r>
      <w:r w:rsidRPr="00781112">
        <w:rPr>
          <w:rFonts w:cs="Arial"/>
          <w:color w:val="000000" w:themeColor="text1"/>
          <w:szCs w:val="16"/>
        </w:rPr>
        <w:br/>
        <w:t xml:space="preserve">Many of Nebraska’s districts have small student populations and </w:t>
      </w:r>
      <w:proofErr w:type="gramStart"/>
      <w:r w:rsidRPr="00781112">
        <w:rPr>
          <w:rFonts w:cs="Arial"/>
          <w:color w:val="000000" w:themeColor="text1"/>
          <w:szCs w:val="16"/>
        </w:rPr>
        <w:t>are located in</w:t>
      </w:r>
      <w:proofErr w:type="gramEnd"/>
      <w:r w:rsidRPr="00781112">
        <w:rPr>
          <w:rFonts w:cs="Arial"/>
          <w:color w:val="000000" w:themeColor="text1"/>
          <w:szCs w:val="16"/>
        </w:rPr>
        <w:t xml:space="preserve"> rural, geographically isolated locations. In response, NDE provides support to multiple, small, rural districts to form consortiums and maximize the impact of their professional development efforts. The focus of grant funding is within the areas emphasized in the NDE Impact Areas, as previously described. NDE directs grants to preparing qualified educators, administrators, and related service providers, offering induction/mentoring support, and continuous development over individual careers. As grant managers, NDE staff </w:t>
      </w:r>
      <w:proofErr w:type="gramStart"/>
      <w:r w:rsidRPr="00781112">
        <w:rPr>
          <w:rFonts w:cs="Arial"/>
          <w:color w:val="000000" w:themeColor="text1"/>
          <w:szCs w:val="16"/>
        </w:rPr>
        <w:t>is involved in</w:t>
      </w:r>
      <w:proofErr w:type="gramEnd"/>
      <w:r w:rsidRPr="00781112">
        <w:rPr>
          <w:rFonts w:cs="Arial"/>
          <w:color w:val="000000" w:themeColor="text1"/>
          <w:szCs w:val="16"/>
        </w:rPr>
        <w:t xml:space="preserve"> approving grant applications, monitoring completion of grant activities, approving reimbursement claims, and offering technical assistance to enhance project outcomes. </w:t>
      </w:r>
      <w:r w:rsidRPr="00781112">
        <w:rPr>
          <w:rFonts w:cs="Arial"/>
          <w:color w:val="000000" w:themeColor="text1"/>
          <w:szCs w:val="16"/>
        </w:rPr>
        <w:br/>
        <w:t xml:space="preserve"> </w:t>
      </w:r>
      <w:r w:rsidRPr="00781112">
        <w:rPr>
          <w:rFonts w:cs="Arial"/>
          <w:color w:val="000000" w:themeColor="text1"/>
          <w:szCs w:val="16"/>
        </w:rPr>
        <w:br/>
      </w:r>
      <w:proofErr w:type="gramStart"/>
      <w:r w:rsidRPr="00781112">
        <w:rPr>
          <w:rFonts w:cs="Arial"/>
          <w:color w:val="000000" w:themeColor="text1"/>
          <w:szCs w:val="16"/>
        </w:rPr>
        <w:t>NDE,</w:t>
      </w:r>
      <w:proofErr w:type="gramEnd"/>
      <w:r w:rsidRPr="00781112">
        <w:rPr>
          <w:rFonts w:cs="Arial"/>
          <w:color w:val="000000" w:themeColor="text1"/>
          <w:szCs w:val="16"/>
        </w:rPr>
        <w:t xml:space="preserve"> OSE also provides the Transition Systems Support Project. The purpose of the NDE Transition Systems Support Project is to promote collaboration and stakeholder engagement among transition partners and build the capacity for extending transition research into practice across the state. Two areas of focus are increasing local capacity and facilitating evidence-based practices implementation. This project provides financial and administrative support to NDE OSE statewide improvement initiatives and activities to improve transition outcomes for students with disabilities. The NDE Transition Systems Support Projects have included and continue to provide stakeholder engagement in the planning of NDE Transition Improvement grant initiatives and activities based on the Statewide Assessment process which </w:t>
      </w:r>
      <w:proofErr w:type="gramStart"/>
      <w:r w:rsidRPr="00781112">
        <w:rPr>
          <w:rFonts w:cs="Arial"/>
          <w:color w:val="000000" w:themeColor="text1"/>
          <w:szCs w:val="16"/>
        </w:rPr>
        <w:t>is achieved</w:t>
      </w:r>
      <w:proofErr w:type="gramEnd"/>
      <w:r w:rsidRPr="00781112">
        <w:rPr>
          <w:rFonts w:cs="Arial"/>
          <w:color w:val="000000" w:themeColor="text1"/>
          <w:szCs w:val="16"/>
        </w:rPr>
        <w:t xml:space="preserve"> via the annual National Technical Assistance Center on Transition (NTACT) Capacity Building Institute. The team engaged in professional development activities focused on improving opportunities and outcomes for transition aged students. </w:t>
      </w:r>
      <w:r w:rsidRPr="00781112">
        <w:rPr>
          <w:rFonts w:cs="Arial"/>
          <w:color w:val="000000" w:themeColor="text1"/>
          <w:szCs w:val="16"/>
        </w:rPr>
        <w:br/>
      </w:r>
      <w:r w:rsidRPr="00781112">
        <w:rPr>
          <w:rFonts w:cs="Arial"/>
          <w:color w:val="000000" w:themeColor="text1"/>
          <w:szCs w:val="16"/>
        </w:rPr>
        <w:br/>
        <w:t>Through an OSEP Teacher Retention Grant, NDE, in partnership with the University of Nebraska, developed Get SET Nebraska, a comprehensive statewide mentorship and professional development program designed to support special education teachers (SET) and school administrators serving students ages 3–21. The program’s purpose is to help retain special education teachers and ensure schools can improve academic and behavioral outcomes for all students. This program provides critical resources to help districts and schools impact improve special education teacher retention.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NDE engaged parents in setting targets, analyzing data, developing improvement strategies, and evaluating progress for the SPP/APR by ensuring parent representatives </w:t>
      </w:r>
      <w:proofErr w:type="gramStart"/>
      <w:r w:rsidRPr="00781112">
        <w:rPr>
          <w:color w:val="000000" w:themeColor="text1"/>
          <w:szCs w:val="16"/>
        </w:rPr>
        <w:t>were invited</w:t>
      </w:r>
      <w:proofErr w:type="gramEnd"/>
      <w:r w:rsidRPr="00781112">
        <w:rPr>
          <w:color w:val="000000" w:themeColor="text1"/>
          <w:szCs w:val="16"/>
        </w:rPr>
        <w:t xml:space="preserve"> to all stakeholder meetings. NDE staff made specific connections with the state parent training and information center on this topic. At stakeholder meetings, NDE staff presented indicator information and led indicator discussions in a way that made the information on the SPP/APR clear and accessible to parents, especially parents who may not have much experience with the SPP/APR. NDE also worked to engage parents by communicating through existing networks with superintendents, principals, and special education directors, asking those </w:t>
      </w:r>
      <w:r w:rsidRPr="00781112">
        <w:rPr>
          <w:color w:val="000000" w:themeColor="text1"/>
          <w:szCs w:val="16"/>
        </w:rPr>
        <w:lastRenderedPageBreak/>
        <w:t xml:space="preserve">administrators to send specific communication to the parents in their schools and districts to ensure that all parents were hearing about the opportunity to provide input on the SPP/APR from their local administrators.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NDE prepared its materials for each stakeholder meeting with a focus on helping diverse groups of parents understand the SPP/APR so those parents could give feedback on implementation activities designed to improve outcomes for children with disabilities. NDE did this by providing information on each indicator, including describing what it measured, how Nebraska has historically performed, areas of success within each indicator, and areas of growth. Carefully laying a foundation of information then allowed NDE staff to lead conversations of stakeholders, including diverse groups of parents, focused on improving state-level activities to better support districts in improving outcomes for children with disabilities. NDE also reached out to specific districts with </w:t>
      </w:r>
      <w:proofErr w:type="gramStart"/>
      <w:r w:rsidRPr="00781112">
        <w:rPr>
          <w:color w:val="000000" w:themeColor="text1"/>
          <w:szCs w:val="16"/>
        </w:rPr>
        <w:t>larger</w:t>
      </w:r>
      <w:proofErr w:type="gramEnd"/>
      <w:r w:rsidRPr="00781112">
        <w:rPr>
          <w:color w:val="000000" w:themeColor="text1"/>
          <w:szCs w:val="16"/>
        </w:rPr>
        <w:t xml:space="preserve"> diversity in families served and asked those districts to distribute information on its behalf.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Prior to the FFY 2020 SPP/APR, over a period of </w:t>
      </w:r>
      <w:proofErr w:type="gramStart"/>
      <w:r w:rsidRPr="00781112">
        <w:rPr>
          <w:color w:val="000000" w:themeColor="text1"/>
          <w:szCs w:val="16"/>
        </w:rPr>
        <w:t>several</w:t>
      </w:r>
      <w:proofErr w:type="gramEnd"/>
      <w:r w:rsidRPr="00781112">
        <w:rPr>
          <w:color w:val="000000" w:themeColor="text1"/>
          <w:szCs w:val="16"/>
        </w:rPr>
        <w:t xml:space="preserve"> months, NDE conducted numerous in-person and virtual meetings focused on soliciting public input for reviewing the established targets and proposed target revisions to certain indicators, analyzing data, developing improvement strategies, and evaluating progress. In addition to meetings, NDE provided information on its website for stakeholder review. NDE made regular announcements and updates regarding the availability of information for stakeholders and the mechanisms for stakeholder input through its monthly special education directors’ </w:t>
      </w:r>
      <w:proofErr w:type="gramStart"/>
      <w:r w:rsidRPr="00781112">
        <w:rPr>
          <w:color w:val="000000" w:themeColor="text1"/>
          <w:szCs w:val="16"/>
        </w:rPr>
        <w:t>webinar</w:t>
      </w:r>
      <w:proofErr w:type="gramEnd"/>
      <w:r w:rsidRPr="00781112">
        <w:rPr>
          <w:color w:val="000000" w:themeColor="text1"/>
          <w:szCs w:val="16"/>
        </w:rPr>
        <w:t xml:space="preserve"> and email update. NDE also sent specific communication to superintendents, principals, and special education directors requesting their input and asking them to distribute specific communication to parents in their districts and schools, inviting their feedback.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NDE has provided information on its website for stakeholders to see the results of target setting, data analysis, development of the improvement strategies, and evaluation. NDE has specifically communicated with the state advisory panel, RDA Stakeholder Group, parent training and information center, superintendents, </w:t>
      </w:r>
      <w:proofErr w:type="gramStart"/>
      <w:r w:rsidRPr="00781112">
        <w:rPr>
          <w:color w:val="000000" w:themeColor="text1"/>
          <w:szCs w:val="16"/>
        </w:rPr>
        <w:t>principals</w:t>
      </w:r>
      <w:proofErr w:type="gramEnd"/>
      <w:r w:rsidRPr="00781112">
        <w:rPr>
          <w:color w:val="000000" w:themeColor="text1"/>
          <w:szCs w:val="16"/>
        </w:rPr>
        <w:t xml:space="preserve"> and special education directors about the availability of these results and asked these groups to distribute this information to parents in their districts and schools.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School district performance on each of the APR indicators </w:t>
      </w:r>
      <w:proofErr w:type="gramStart"/>
      <w:r w:rsidRPr="00781112">
        <w:rPr>
          <w:rFonts w:cs="Arial"/>
          <w:color w:val="000000" w:themeColor="text1"/>
          <w:szCs w:val="16"/>
        </w:rPr>
        <w:t>is reported</w:t>
      </w:r>
      <w:proofErr w:type="gramEnd"/>
      <w:r w:rsidRPr="00781112">
        <w:rPr>
          <w:rFonts w:cs="Arial"/>
          <w:color w:val="000000" w:themeColor="text1"/>
          <w:szCs w:val="16"/>
        </w:rPr>
        <w:t xml:space="preserve"> each spring on the Nebraska Education Profile on the Nebraska Department of Education website. The report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http://nep.education.ne.gov. The Nebraska Education Profile provides information and data about Nebraska public schools and student performance, including district performance on the APR indicators. To navigate to a district’s APR indicators, select a district under DISTRICT AND SCHOOL DATA and click View District Snapshot. Hover over Special Education and then click View Data. Then click District Performance Part B in the left menu</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 </w:t>
      </w:r>
      <w:r w:rsidRPr="00781112">
        <w:rPr>
          <w:rFonts w:cs="Arial"/>
          <w:color w:val="000000" w:themeColor="text1"/>
          <w:szCs w:val="16"/>
        </w:rPr>
        <w:br/>
        <w:t>A copy of the state’s SPP/APR is located on the Nebraska Department of Education, Special Education office website at, https://www.education.ne.gov/sped/public-reporting/</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Nebraska also posts a link to the OSEP site, https://sites.ed.gov/idea/spp-apr-letters, for LEAs and the public to view state data and OSEP’s response to the SPP/APR.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OSEP notes that one or more of the Introduction </w:t>
      </w:r>
      <w:proofErr w:type="gramStart"/>
      <w:r w:rsidRPr="00781112">
        <w:rPr>
          <w:rFonts w:cs="Arial"/>
          <w:color w:val="000000" w:themeColor="text1"/>
          <w:szCs w:val="16"/>
        </w:rPr>
        <w:t>attachment</w:t>
      </w:r>
      <w:proofErr w:type="gramEnd"/>
      <w:r w:rsidRPr="00781112">
        <w:rPr>
          <w:rFonts w:cs="Arial"/>
          <w:color w:val="000000" w:themeColor="text1"/>
          <w:szCs w:val="16"/>
        </w:rPr>
        <w: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NDE posted the attachment responding to the General Supervision System prompt at https://www.education.ne.gov/wp-content/uploads/2023/01/ACCCESSIBLE-General-Supervision-System-Attachment-to-the-SPP-APR-Introduction.pdf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Default="00684B51" w:rsidP="008645AD">
      <w:pPr>
        <w:pStyle w:val="Heading2"/>
      </w:pPr>
      <w:r w:rsidRPr="00781112">
        <w:t>Intro - Required Actions</w:t>
      </w:r>
    </w:p>
    <w:p w14:paraId="1DF89D22" w14:textId="77777777" w:rsidR="00FD4A93" w:rsidRDefault="00FD4A93" w:rsidP="00FD4A93"/>
    <w:p w14:paraId="69F6D5FF" w14:textId="77777777" w:rsidR="00FD4A93" w:rsidRDefault="00FD4A93">
      <w:pPr>
        <w:spacing w:before="0" w:after="200" w:line="276" w:lineRule="auto"/>
        <w:rPr>
          <w:rFonts w:eastAsiaTheme="majorEastAsia" w:cstheme="majorBidi"/>
          <w:b/>
          <w:bCs/>
          <w:sz w:val="20"/>
          <w:szCs w:val="26"/>
        </w:rPr>
      </w:pPr>
      <w:r>
        <w:br w:type="page"/>
      </w:r>
    </w:p>
    <w:p w14:paraId="738D2EC8" w14:textId="144303D6" w:rsidR="00FD4A93" w:rsidRPr="00781112" w:rsidRDefault="00FD4A93" w:rsidP="00FD4A93">
      <w:pPr>
        <w:pStyle w:val="Heading2"/>
      </w:pPr>
      <w:r w:rsidRPr="00781112">
        <w:lastRenderedPageBreak/>
        <w:t xml:space="preserve">Intro </w:t>
      </w:r>
      <w:r>
        <w:t>-</w:t>
      </w:r>
      <w:r w:rsidRPr="00781112">
        <w:t xml:space="preserve"> </w:t>
      </w:r>
      <w:r>
        <w:t>State Attachments</w:t>
      </w:r>
    </w:p>
    <w:p w14:paraId="4D5FE97D" w14:textId="77777777" w:rsidR="00FD4A93" w:rsidRDefault="00FD4A93" w:rsidP="00FD4A93"/>
    <w:p w14:paraId="362137A4" w14:textId="1796EE5C" w:rsidR="00FD4A93" w:rsidRPr="00FD4A93" w:rsidRDefault="00FD4A93" w:rsidP="00FD4A93">
      <w:r>
        <w:object w:dxaOrig="1540" w:dyaOrig="997" w14:anchorId="7DCC254D">
          <v:shape id="_x0000_i1026" type="#_x0000_t75" alt="APR_Technical Assistance System_2023" style="width:77.25pt;height:49.5pt" o:ole="">
            <v:imagedata r:id="rId12" o:title=""/>
          </v:shape>
          <o:OLEObject Type="Embed" ProgID="Acrobat.Document.DC" ShapeID="_x0000_i1026" DrawAspect="Icon" ObjectID="_1752316518" r:id="rId13"/>
        </w:object>
      </w:r>
      <w:r>
        <w:tab/>
      </w:r>
      <w:r>
        <w:object w:dxaOrig="1540" w:dyaOrig="997" w14:anchorId="326A0091">
          <v:shape id="_x0000_i1027" type="#_x0000_t75" alt="FFY 2021 General Supervision System Attachment to the SPP APR Introduction" style="width:77.25pt;height:49.5pt" o:ole="">
            <v:imagedata r:id="rId14" o:title=""/>
          </v:shape>
          <o:OLEObject Type="Embed" ProgID="Acrobat.Document.DC" ShapeID="_x0000_i1027" DrawAspect="Icon" ObjectID="_1752316519" r:id="rId15"/>
        </w:object>
      </w:r>
      <w:r>
        <w:tab/>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6E3077EA" w:rsidR="005E59DB" w:rsidRPr="00781112" w:rsidRDefault="005E59DB" w:rsidP="00B65C2C">
      <w:pPr>
        <w:rPr>
          <w:b/>
          <w:color w:val="000000" w:themeColor="text1"/>
        </w:rPr>
      </w:pPr>
      <w:r w:rsidRPr="00781112">
        <w:rPr>
          <w:b/>
          <w:color w:val="000000" w:themeColor="text1"/>
        </w:rPr>
        <w:t>Historical Data</w:t>
      </w:r>
      <w:r w:rsidR="00FD4A93">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77.85%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77.85%</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70.46%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71.41%</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69.30%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83.25%</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77.85%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77.85%</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77.85%</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78.35%</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78.85%</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79.35%</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2,087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213</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27</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395</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2,087</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2,722</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76.67%</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The Nebraska Department of Education, Office of Special Education (OSE) </w:t>
      </w:r>
      <w:proofErr w:type="gramStart"/>
      <w:r w:rsidRPr="00781112">
        <w:rPr>
          <w:rFonts w:cs="Arial"/>
          <w:color w:val="000000" w:themeColor="text1"/>
          <w:szCs w:val="16"/>
        </w:rPr>
        <w:t>is encouraged</w:t>
      </w:r>
      <w:proofErr w:type="gramEnd"/>
      <w:r w:rsidRPr="00781112">
        <w:rPr>
          <w:rFonts w:cs="Arial"/>
          <w:color w:val="000000" w:themeColor="text1"/>
          <w:szCs w:val="16"/>
        </w:rPr>
        <w:t xml:space="preserve"> by the increase of exiters with a regular high school diploma, but that is outweighed by the increase in dropouts, which led to a decrease in the graduation rate. OSE believes the slippage in graduation rate is due to impacts on health and school engagement related to COVID-19.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with disabilities did not receive the same quantity or quality of specialized therapies they received before the pandemic, due to shortened school days and the challenges of remote instruction. NDE’s data analysis shows that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students exiting due to dropout are students who have spent four years in high school. Anecdotal reports suggest that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who typically receive more extensive support and services regressed during long months at home, leading some students to drop out rather than continuing school beyond a four-year experience. </w:t>
      </w:r>
      <w:r w:rsidRPr="00781112">
        <w:rPr>
          <w:rFonts w:cs="Arial"/>
          <w:color w:val="000000" w:themeColor="text1"/>
          <w:szCs w:val="16"/>
        </w:rPr>
        <w:br/>
      </w:r>
      <w:r w:rsidRPr="00781112">
        <w:rPr>
          <w:rFonts w:cs="Arial"/>
          <w:color w:val="000000" w:themeColor="text1"/>
          <w:szCs w:val="16"/>
        </w:rPr>
        <w:br/>
        <w:t xml:space="preserve">OSE provided technical assistance to LEAs on the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needed for COVID-19's impact on students, particularly supporting those students who did not return to school to complete their graduation requirements. OSE plans to continue this technical assistance with LEAs to ensure maintenance of IEP goals and transition plans to decrease drop out and improve graduation rates</w:t>
      </w:r>
      <w:proofErr w:type="gramStart"/>
      <w:r w:rsidRPr="00781112">
        <w:rPr>
          <w:rFonts w:cs="Arial"/>
          <w:color w:val="000000" w:themeColor="text1"/>
          <w:szCs w:val="16"/>
        </w:rPr>
        <w:t xml:space="preserve">.  </w:t>
      </w:r>
      <w:proofErr w:type="gramEnd"/>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Nebraska's definition of a graduate with a regular high school diploma, which applies for all youth, including youth with IEPs, is a student who has completed an approved program of study and met district/system requirements for a high school diploma. The diploma requirements </w:t>
      </w:r>
      <w:proofErr w:type="gramStart"/>
      <w:r w:rsidRPr="00781112">
        <w:rPr>
          <w:rFonts w:cs="Arial"/>
          <w:color w:val="000000" w:themeColor="text1"/>
          <w:szCs w:val="16"/>
        </w:rPr>
        <w:t>are fully aligned</w:t>
      </w:r>
      <w:proofErr w:type="gramEnd"/>
      <w:r w:rsidRPr="00781112">
        <w:rPr>
          <w:rFonts w:cs="Arial"/>
          <w:color w:val="000000" w:themeColor="text1"/>
          <w:szCs w:val="16"/>
        </w:rPr>
        <w:t xml:space="preserve"> with Nebraska's academic content standards.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2FF0E41D" w:rsidR="00907A35" w:rsidRPr="00781112" w:rsidRDefault="00907A35" w:rsidP="004369B2">
      <w:pPr>
        <w:rPr>
          <w:b/>
          <w:color w:val="000000" w:themeColor="text1"/>
        </w:rPr>
      </w:pPr>
      <w:r w:rsidRPr="00781112">
        <w:rPr>
          <w:b/>
          <w:color w:val="000000" w:themeColor="text1"/>
        </w:rPr>
        <w:t>Historical Data</w:t>
      </w:r>
      <w:r w:rsidR="00FD4A93">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12.81%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1.93%</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1.91%</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1.89%</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1.89%</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12.81%</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1.53%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1.46%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1.46%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1.48%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12.81%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12.81%</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12.81%</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12.31%</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11.81%</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11.31%</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w:t>
      </w:r>
      <w:r w:rsidRPr="00781112">
        <w:rPr>
          <w:rFonts w:cs="Arial"/>
          <w:color w:val="000000" w:themeColor="text1"/>
          <w:szCs w:val="16"/>
        </w:rPr>
        <w:lastRenderedPageBreak/>
        <w:t xml:space="preserve">interim measures of progress, and any needed changes to infrastructure and programmatic activities, along with any changes needed to the targets within each indicator.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2,087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213</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27</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395</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395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2,722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12.81%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12.81%</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14.51%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Students dropped out at a higher rate in the 2020–21 school year due to learning loss experienced </w:t>
      </w:r>
      <w:proofErr w:type="gramStart"/>
      <w:r w:rsidRPr="00781112">
        <w:rPr>
          <w:rFonts w:cs="Arial"/>
          <w:color w:val="000000" w:themeColor="text1"/>
          <w:szCs w:val="16"/>
          <w:shd w:val="clear" w:color="auto" w:fill="FFFFFF"/>
        </w:rPr>
        <w:t>as a result of</w:t>
      </w:r>
      <w:proofErr w:type="gramEnd"/>
      <w:r w:rsidRPr="00781112">
        <w:rPr>
          <w:rFonts w:cs="Arial"/>
          <w:color w:val="000000" w:themeColor="text1"/>
          <w:szCs w:val="16"/>
          <w:shd w:val="clear" w:color="auto" w:fill="FFFFFF"/>
        </w:rPr>
        <w:t xml:space="preserve"> changes to service delivery models caused by COVID, which led to decreased attendance, credit deficiency, and then drop out. The Nebraska Department of Education, Office of Special Education’s (OSE) data analysis shows that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students exiting due to drop out are students who have already spent four years in high school. Anecdotal reports suggest that </w:t>
      </w:r>
      <w:proofErr w:type="gramStart"/>
      <w:r w:rsidRPr="00781112">
        <w:rPr>
          <w:rFonts w:cs="Arial"/>
          <w:color w:val="000000" w:themeColor="text1"/>
          <w:szCs w:val="16"/>
          <w:shd w:val="clear" w:color="auto" w:fill="FFFFFF"/>
        </w:rPr>
        <w:t>many</w:t>
      </w:r>
      <w:proofErr w:type="gramEnd"/>
      <w:r w:rsidRPr="00781112">
        <w:rPr>
          <w:rFonts w:cs="Arial"/>
          <w:color w:val="000000" w:themeColor="text1"/>
          <w:szCs w:val="16"/>
          <w:shd w:val="clear" w:color="auto" w:fill="FFFFFF"/>
        </w:rPr>
        <w:t xml:space="preserve"> students who typically receive more extensive </w:t>
      </w:r>
      <w:proofErr w:type="gramStart"/>
      <w:r w:rsidRPr="00781112">
        <w:rPr>
          <w:rFonts w:cs="Arial"/>
          <w:color w:val="000000" w:themeColor="text1"/>
          <w:szCs w:val="16"/>
          <w:shd w:val="clear" w:color="auto" w:fill="FFFFFF"/>
        </w:rPr>
        <w:t>supports</w:t>
      </w:r>
      <w:proofErr w:type="gramEnd"/>
      <w:r w:rsidRPr="00781112">
        <w:rPr>
          <w:rFonts w:cs="Arial"/>
          <w:color w:val="000000" w:themeColor="text1"/>
          <w:szCs w:val="16"/>
          <w:shd w:val="clear" w:color="auto" w:fill="FFFFFF"/>
        </w:rPr>
        <w:t xml:space="preserve"> and services regressed during long months at home, leading some students to drop out rather than continuing in school beyond a four-year experience.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OSE has provided technical assistance to LEAs on the </w:t>
      </w:r>
      <w:proofErr w:type="gramStart"/>
      <w:r w:rsidRPr="00781112">
        <w:rPr>
          <w:rFonts w:cs="Arial"/>
          <w:color w:val="000000" w:themeColor="text1"/>
          <w:szCs w:val="16"/>
          <w:shd w:val="clear" w:color="auto" w:fill="FFFFFF"/>
        </w:rPr>
        <w:t>supports</w:t>
      </w:r>
      <w:proofErr w:type="gramEnd"/>
      <w:r w:rsidRPr="00781112">
        <w:rPr>
          <w:rFonts w:cs="Arial"/>
          <w:color w:val="000000" w:themeColor="text1"/>
          <w:szCs w:val="16"/>
          <w:shd w:val="clear" w:color="auto" w:fill="FFFFFF"/>
        </w:rPr>
        <w:t xml:space="preserve"> needed for COVID-19's impact on students, particularly supporting those students who did not return to school to complete their graduation requirements. OSE plans to continue this technical assistance with LEAs to ensure maintenance of IEP goals and transition plans to decrease the number of students who drop out</w:t>
      </w:r>
      <w:proofErr w:type="gramStart"/>
      <w:r w:rsidRPr="00781112">
        <w:rPr>
          <w:rFonts w:cs="Arial"/>
          <w:color w:val="000000" w:themeColor="text1"/>
          <w:szCs w:val="16"/>
          <w:shd w:val="clear" w:color="auto" w:fill="FFFFFF"/>
        </w:rPr>
        <w:t xml:space="preserve">.  </w:t>
      </w:r>
      <w:proofErr w:type="gramEnd"/>
      <w:r w:rsidRPr="00781112">
        <w:rPr>
          <w:rFonts w:cs="Arial"/>
          <w:color w:val="000000" w:themeColor="text1"/>
          <w:szCs w:val="16"/>
          <w:shd w:val="clear" w:color="auto" w:fill="FFFFFF"/>
        </w:rPr>
        <w:t xml:space="preserve"> </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numerator consists of the number of youths with IEPs ages 14–21 who exited special education due to dropping out. The denominator consists of the total number of youth ages 14–21 who </w:t>
      </w:r>
      <w:proofErr w:type="gramStart"/>
      <w:r w:rsidRPr="00781112">
        <w:rPr>
          <w:rFonts w:cs="Arial"/>
          <w:color w:val="000000" w:themeColor="text1"/>
          <w:szCs w:val="16"/>
          <w:shd w:val="clear" w:color="auto" w:fill="FFFFFF"/>
        </w:rPr>
        <w:t>were served</w:t>
      </w:r>
      <w:proofErr w:type="gramEnd"/>
      <w:r w:rsidRPr="00781112">
        <w:rPr>
          <w:rFonts w:cs="Arial"/>
          <w:color w:val="000000" w:themeColor="text1"/>
          <w:szCs w:val="16"/>
          <w:shd w:val="clear" w:color="auto" w:fill="FFFFFF"/>
        </w:rPr>
        <w:t xml:space="preserve"> in special education during the school year therefore having the potential to drop out of school. In Nebraska, a dropout occurs in any of the following instances: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student who withdrew for personal or academic reasons and does not have a signed Withdrawal from Mandatory Attendance form pursuant to Nebraska Revised Statue 79-202 on file with the district.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student removed from the education system for other than health reasons, and whose return </w:t>
      </w:r>
      <w:proofErr w:type="gramStart"/>
      <w:r w:rsidRPr="00781112">
        <w:rPr>
          <w:rFonts w:cs="Arial"/>
          <w:color w:val="000000" w:themeColor="text1"/>
          <w:szCs w:val="16"/>
          <w:shd w:val="clear" w:color="auto" w:fill="FFFFFF"/>
        </w:rPr>
        <w:t>is not anticipated</w:t>
      </w:r>
      <w:proofErr w:type="gramEnd"/>
      <w:r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student enrolled in adult education or </w:t>
      </w:r>
      <w:proofErr w:type="gramStart"/>
      <w:r w:rsidRPr="00781112">
        <w:rPr>
          <w:rFonts w:cs="Arial"/>
          <w:color w:val="000000" w:themeColor="text1"/>
          <w:szCs w:val="16"/>
          <w:shd w:val="clear" w:color="auto" w:fill="FFFFFF"/>
        </w:rPr>
        <w:t>some</w:t>
      </w:r>
      <w:proofErr w:type="gramEnd"/>
      <w:r w:rsidRPr="00781112">
        <w:rPr>
          <w:rFonts w:cs="Arial"/>
          <w:color w:val="000000" w:themeColor="text1"/>
          <w:szCs w:val="16"/>
          <w:shd w:val="clear" w:color="auto" w:fill="FFFFFF"/>
        </w:rPr>
        <w:t xml:space="preserve"> type of program whose education services do not lead to a diploma or other credential recognized by the state.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student who has not graduated or completed an approved program and </w:t>
      </w:r>
      <w:proofErr w:type="gramStart"/>
      <w:r w:rsidRPr="00781112">
        <w:rPr>
          <w:rFonts w:cs="Arial"/>
          <w:color w:val="000000" w:themeColor="text1"/>
          <w:szCs w:val="16"/>
          <w:shd w:val="clear" w:color="auto" w:fill="FFFFFF"/>
        </w:rPr>
        <w:t>is not enrolled</w:t>
      </w:r>
      <w:proofErr w:type="gramEnd"/>
      <w:r w:rsidRPr="00781112">
        <w:rPr>
          <w:rFonts w:cs="Arial"/>
          <w:color w:val="000000" w:themeColor="text1"/>
          <w:szCs w:val="16"/>
          <w:shd w:val="clear" w:color="auto" w:fill="FFFFFF"/>
        </w:rPr>
        <w:t xml:space="preserve"> and whose status is unknown; this includes a student withdrawn from the rolls for excessive absence.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student who moved out of the district, out of state, or out of the United States and is not known to be in school (includes any student whose education status cannot </w:t>
      </w:r>
      <w:proofErr w:type="gramStart"/>
      <w:r w:rsidRPr="00781112">
        <w:rPr>
          <w:rFonts w:cs="Arial"/>
          <w:color w:val="000000" w:themeColor="text1"/>
          <w:szCs w:val="16"/>
          <w:shd w:val="clear" w:color="auto" w:fill="FFFFFF"/>
        </w:rPr>
        <w:t>be confirmed</w:t>
      </w:r>
      <w:proofErr w:type="gramEnd"/>
      <w:r w:rsidRPr="00781112">
        <w:rPr>
          <w:rFonts w:cs="Arial"/>
          <w:color w:val="000000" w:themeColor="text1"/>
          <w:szCs w:val="16"/>
          <w:shd w:val="clear" w:color="auto" w:fill="FFFFFF"/>
        </w:rPr>
        <w:t xml:space="preserve"> either through a parent or other responsible adult or through some formal notification of transfer).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student in an institution that is not primarily educational (Army, or vocational program) and not considered a special school district/system.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student who is disenrolled by a parent and does not enroll in another district/system.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student who </w:t>
      </w:r>
      <w:proofErr w:type="gramStart"/>
      <w:r w:rsidRPr="00781112">
        <w:rPr>
          <w:rFonts w:cs="Arial"/>
          <w:color w:val="000000" w:themeColor="text1"/>
          <w:szCs w:val="16"/>
          <w:shd w:val="clear" w:color="auto" w:fill="FFFFFF"/>
        </w:rPr>
        <w:t>was suspended</w:t>
      </w:r>
      <w:proofErr w:type="gramEnd"/>
      <w:r w:rsidRPr="00781112">
        <w:rPr>
          <w:rFonts w:cs="Arial"/>
          <w:color w:val="000000" w:themeColor="text1"/>
          <w:szCs w:val="16"/>
          <w:shd w:val="clear" w:color="auto" w:fill="FFFFFF"/>
        </w:rPr>
        <w:t xml:space="preserve"> or expelled and the disciplinary period has expired, and student has not returned.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95.31%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90.61%</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85.61%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95.04%</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90.30%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85.11%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2224B27E" w:rsidR="00480083" w:rsidRPr="00452F19" w:rsidRDefault="00480083" w:rsidP="00452F19">
      <w:pPr>
        <w:spacing w:before="0" w:after="200"/>
        <w:rPr>
          <w:b/>
          <w:color w:val="000000" w:themeColor="text1"/>
        </w:rPr>
      </w:pPr>
      <w:r w:rsidRPr="00781112">
        <w:rPr>
          <w:b/>
          <w:color w:val="000000" w:themeColor="text1"/>
        </w:rPr>
        <w:t xml:space="preserve">Targets: Description of Stakeholder Input </w:t>
      </w:r>
      <w:r w:rsidR="00452F19">
        <w:rPr>
          <w:b/>
          <w:color w:val="000000" w:themeColor="text1"/>
        </w:rPr>
        <w:br/>
      </w: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w:t>
      </w:r>
      <w:r w:rsidRPr="00781112">
        <w:rPr>
          <w:rFonts w:cs="Arial"/>
          <w:color w:val="000000" w:themeColor="text1"/>
          <w:szCs w:val="16"/>
        </w:rPr>
        <w:lastRenderedPageBreak/>
        <w:t>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2DB4239B" w14:textId="2F83DC57" w:rsidR="00480083" w:rsidRPr="00781112" w:rsidRDefault="00480083" w:rsidP="00480083">
      <w:pPr>
        <w:rPr>
          <w:rFonts w:cs="Arial"/>
          <w:color w:val="000000" w:themeColor="text1"/>
          <w:szCs w:val="16"/>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1731F641" w14:textId="77777777" w:rsidR="00452F19" w:rsidRPr="00781112" w:rsidRDefault="00452F19"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4,265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3,632</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2,953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1,343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1,098</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691</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2,653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2,238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1,756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249</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247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215</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6AA74D96" w14:textId="77777777" w:rsidR="00452F19" w:rsidRPr="00781112" w:rsidRDefault="00452F19"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4,264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3,627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2,953</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1,222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747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691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2,772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2,576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1,753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249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245</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214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4,245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4,265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95.31%</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99.53%</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3,583</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3,632</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90.61%</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98.65%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2,662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2,953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85.61%</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90.15%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0EB54BAF" w14:textId="77777777" w:rsidR="00452F19" w:rsidRDefault="00452F19" w:rsidP="00F17D5E">
      <w:pPr>
        <w:rPr>
          <w:b/>
          <w:color w:val="000000" w:themeColor="text1"/>
        </w:rPr>
      </w:pPr>
    </w:p>
    <w:p w14:paraId="6A75FDB8" w14:textId="77777777" w:rsidR="00452F19" w:rsidRDefault="00452F19">
      <w:pPr>
        <w:spacing w:before="0" w:after="200" w:line="276" w:lineRule="auto"/>
        <w:rPr>
          <w:b/>
          <w:color w:val="000000" w:themeColor="text1"/>
        </w:rPr>
      </w:pPr>
      <w:r>
        <w:rPr>
          <w:b/>
          <w:color w:val="000000" w:themeColor="text1"/>
        </w:rPr>
        <w:br w:type="page"/>
      </w:r>
    </w:p>
    <w:p w14:paraId="68F24FCA" w14:textId="2F585307" w:rsidR="00F17D5E" w:rsidRPr="00781112" w:rsidRDefault="0047313F" w:rsidP="00F17D5E">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4,243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4,264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95.04%</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99.51%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3,568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3,627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90.30%</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98.37%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2,658</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2,953</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85.11%</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90.01%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Statewide Participation Data </w:t>
      </w:r>
      <w:r w:rsidRPr="00781112">
        <w:rPr>
          <w:rFonts w:cs="Arial"/>
          <w:color w:val="000000" w:themeColor="text1"/>
          <w:szCs w:val="16"/>
        </w:rPr>
        <w:br/>
        <w:t xml:space="preserve">https://www.education.ne.gov/sped/sped-assessment-participation-data/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Statewide Performance Data </w:t>
      </w:r>
      <w:r w:rsidRPr="00781112">
        <w:rPr>
          <w:rFonts w:cs="Arial"/>
          <w:color w:val="000000" w:themeColor="text1"/>
          <w:szCs w:val="16"/>
        </w:rPr>
        <w:br/>
        <w:t xml:space="preserve">https://nep.education.ne.gov/statedata.html </w:t>
      </w:r>
      <w:r w:rsidRPr="00781112">
        <w:rPr>
          <w:rFonts w:cs="Arial"/>
          <w:color w:val="000000" w:themeColor="text1"/>
          <w:szCs w:val="16"/>
        </w:rPr>
        <w:br/>
        <w:t xml:space="preserve">For statewide ELA performance data, scroll down, hover over NSCAS English Language Arts under the Performance heading, and click View Data. In the left menu click on English Language Arts and then Percent Proficient. From here you can use the dropdown menu in the center of the page to view All Students, Special Education Students, or Special Education Students – Alternate Assessment. </w:t>
      </w:r>
      <w:r w:rsidRPr="00781112">
        <w:rPr>
          <w:rFonts w:cs="Arial"/>
          <w:color w:val="000000" w:themeColor="text1"/>
          <w:szCs w:val="16"/>
        </w:rPr>
        <w:br/>
        <w:t>For statewide Math performance data, scroll down, hover over NSCAS Mathematics under the Performance heading, and click View Data. In the left menu click on Mathematics and then Percent Proficient. From here you can use the dropdown menu in the center of the page to view All Students, Special Education Students, or Special Education Students – Alternate Assessment.</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 xml:space="preserve">https://www.education.ne.gov/sped/sped-assessment-participation-data/ </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23.52%</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16.02%</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10.13%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19.83%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12.85%</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9.03%</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24.02%</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25.02%</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26.02%</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27.02%</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28.02%</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16.52%</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17.52%</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18.52%</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19.52%</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20.52%</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10.63%</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11.63%</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12.63%</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13.63%</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14.63%</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20.33%</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21.33%</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22.33%</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23.33%</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24.33%</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13.35%</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14.35%</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15.35%</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16.35%</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17.35%</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9.53%</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10.53%</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11.53%</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12.53%</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13.53%</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w:t>
      </w:r>
      <w:r w:rsidRPr="00781112">
        <w:rPr>
          <w:rFonts w:cs="Arial"/>
          <w:color w:val="000000" w:themeColor="text1"/>
          <w:szCs w:val="16"/>
        </w:rPr>
        <w:lastRenderedPageBreak/>
        <w:t>(SIMR).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7307F5AB" w14:textId="77777777" w:rsidR="00452F19" w:rsidRPr="00781112" w:rsidRDefault="00452F19"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3,996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3,336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2,447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633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287</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62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263</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163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153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3,994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3,323</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2,444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531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189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70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251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162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171</w:t>
            </w:r>
          </w:p>
        </w:tc>
      </w:tr>
      <w:bookmarkEnd w:id="15"/>
    </w:tbl>
    <w:p w14:paraId="1A4F8ED6" w14:textId="77777777" w:rsidR="00966232" w:rsidRPr="00781112" w:rsidRDefault="00966232" w:rsidP="004369B2">
      <w:pPr>
        <w:rPr>
          <w:color w:val="000000" w:themeColor="text1"/>
        </w:rPr>
      </w:pPr>
    </w:p>
    <w:p w14:paraId="2E07D5A9" w14:textId="77777777" w:rsidR="00452F19" w:rsidRDefault="00452F19">
      <w:pPr>
        <w:spacing w:before="0" w:after="200" w:line="276" w:lineRule="auto"/>
        <w:rPr>
          <w:b/>
          <w:color w:val="000000" w:themeColor="text1"/>
        </w:rPr>
      </w:pPr>
      <w:r>
        <w:rPr>
          <w:b/>
          <w:color w:val="000000" w:themeColor="text1"/>
        </w:rPr>
        <w:br w:type="page"/>
      </w:r>
    </w:p>
    <w:p w14:paraId="1E1876C6" w14:textId="13689424" w:rsidR="00E539AB"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896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3,996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23.51%</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24.02%</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22.42%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450</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3,336</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16.02%</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16.52%</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13.49%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215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2,447</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10.13%</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10.63%</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8.79%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 xml:space="preserve">The Nebraska Student-Centered Assessment System (NSCAS) general summative assessment for ELA (NSCAS-ELA) for all grades and students </w:t>
      </w:r>
      <w:proofErr w:type="gramStart"/>
      <w:r w:rsidRPr="00781112">
        <w:rPr>
          <w:rFonts w:cs="Arial"/>
          <w:color w:val="000000" w:themeColor="text1"/>
          <w:szCs w:val="16"/>
        </w:rPr>
        <w:t>tested</w:t>
      </w:r>
      <w:proofErr w:type="gramEnd"/>
      <w:r w:rsidRPr="00781112">
        <w:rPr>
          <w:rFonts w:cs="Arial"/>
          <w:color w:val="000000" w:themeColor="text1"/>
          <w:szCs w:val="16"/>
        </w:rPr>
        <w:t xml:space="preserve"> experienced a drop in the percentage of students who scored at or above proficient. The Nebraska Department of Education (NDE) attributes this drop to this being the first assessment administered on the new English Language Arts (ELA) Academic Standards. The new standards increased the rigor of the assessment. NDE has previously experienced this type of drop when the assessed standards are new or updated. Fourth grade students on IEPs taking the NSCAS-ELA increased by 248 in 2022. Scores seem to continue to reflect the impact on learning loss from the pandemic, even when looking at the results for all students. NDE set scale score ranges for the assessment on pre-pandemic expectations. </w:t>
      </w:r>
    </w:p>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NSCAS-ELA for all grades and students </w:t>
      </w:r>
      <w:proofErr w:type="gramStart"/>
      <w:r w:rsidRPr="00781112">
        <w:rPr>
          <w:rFonts w:cs="Arial"/>
          <w:color w:val="000000" w:themeColor="text1"/>
          <w:szCs w:val="16"/>
        </w:rPr>
        <w:t>tested</w:t>
      </w:r>
      <w:proofErr w:type="gramEnd"/>
      <w:r w:rsidRPr="00781112">
        <w:rPr>
          <w:rFonts w:cs="Arial"/>
          <w:color w:val="000000" w:themeColor="text1"/>
          <w:szCs w:val="16"/>
        </w:rPr>
        <w:t xml:space="preserve"> experienced a drop in the percentage of students who scored at or above proficient. NDE attributes this drop to this being the first assessment administered on the new ELA Academic Standards. The new standards increased the rigor of the assessment. NDE has previously experienced this type of drop when the assessed standards are new or updated. Eighth grade students on IEPs taking the NSCAS-ELA increased by 540 in 2022. This substantial increase of students taking the assessment has a direct effect on the proficiency percentage. Scores seem to continue to reflect the impact on learning loss from the pandemic, even when looking at the results for all students. NDE set scale score ranges for the assessment on pre-pandemic expectations. </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6907CCA3" w14:textId="7D9C9127" w:rsidR="00C04118" w:rsidRPr="00452F19" w:rsidRDefault="00C04118" w:rsidP="002423F2">
      <w:pPr>
        <w:rPr>
          <w:rFonts w:cs="Arial"/>
          <w:color w:val="000000" w:themeColor="text1"/>
          <w:szCs w:val="16"/>
        </w:rPr>
      </w:pPr>
      <w:r w:rsidRPr="00781112">
        <w:rPr>
          <w:rFonts w:cs="Arial"/>
          <w:color w:val="000000" w:themeColor="text1"/>
          <w:szCs w:val="16"/>
        </w:rPr>
        <w:t xml:space="preserve">The NSCAS summative assessment for the third-year cohort at the high school level (NSCAS ACT) scores reflected a drop in the percentage of students who scored at or above proficient. NDE attributes this drop to this being the first assessment administered following NDE adopting new ELA Academic Standards, which align with the knowledge, skills, and abilities the ACT </w:t>
      </w:r>
      <w:proofErr w:type="gramStart"/>
      <w:r w:rsidRPr="00781112">
        <w:rPr>
          <w:rFonts w:cs="Arial"/>
          <w:color w:val="000000" w:themeColor="text1"/>
          <w:szCs w:val="16"/>
        </w:rPr>
        <w:t>is intended</w:t>
      </w:r>
      <w:proofErr w:type="gramEnd"/>
      <w:r w:rsidRPr="00781112">
        <w:rPr>
          <w:rFonts w:cs="Arial"/>
          <w:color w:val="000000" w:themeColor="text1"/>
          <w:szCs w:val="16"/>
        </w:rPr>
        <w:t xml:space="preserve"> to measure. The new ELA standards increased the rigor of the assessment. NDE has previously experienced this type of drop when adopting new or revising existing state standards, which align with the ACT. High school third-year cohort students on IEPs taking the NSCAS ACT increased by 118 in 2022. Scores seem to continue to reflect the impact on learning loss from the pandemic, even when looking at the results for all students. NDE set performance level ranges for the assessment </w:t>
      </w:r>
      <w:proofErr w:type="gramStart"/>
      <w:r w:rsidRPr="00781112">
        <w:rPr>
          <w:rFonts w:cs="Arial"/>
          <w:color w:val="000000" w:themeColor="text1"/>
          <w:szCs w:val="16"/>
        </w:rPr>
        <w:t>on</w:t>
      </w:r>
      <w:proofErr w:type="gramEnd"/>
      <w:r w:rsidRPr="00781112">
        <w:rPr>
          <w:rFonts w:cs="Arial"/>
          <w:color w:val="000000" w:themeColor="text1"/>
          <w:szCs w:val="16"/>
        </w:rPr>
        <w:t xml:space="preserve"> pre-pandemic expectations. </w:t>
      </w: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782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3,994</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19.83%</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20.33%</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19.58%</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351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3,323</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12.85%</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13.35%</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10.56%</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241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2,444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9.03%</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9.53%</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9.86%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 xml:space="preserve">The NSCAS general summative assessment for math (NSCAS-Math) experienced a drop in students at or above proficient for all </w:t>
      </w:r>
      <w:proofErr w:type="gramStart"/>
      <w:r w:rsidRPr="00781112">
        <w:rPr>
          <w:rFonts w:cs="Arial"/>
          <w:color w:val="000000" w:themeColor="text1"/>
          <w:szCs w:val="16"/>
        </w:rPr>
        <w:t>8th</w:t>
      </w:r>
      <w:proofErr w:type="gramEnd"/>
      <w:r w:rsidRPr="00781112">
        <w:rPr>
          <w:rFonts w:cs="Arial"/>
          <w:color w:val="000000" w:themeColor="text1"/>
          <w:szCs w:val="16"/>
        </w:rPr>
        <w:t xml:space="preserve"> grade students tested. Eighth grade students on IEPs taking the NSCAS-Math increased by 538 in 2022. The increase of students taking the assessment has a direct effect on the proficiency percentage. Scores seem to continue to reflect the impact on learning loss from the pandemic especially at higher grades when looking at the results for all students. NDE set scale score ranges for the assessment on pre-pandemic expectations</w:t>
      </w:r>
      <w:proofErr w:type="gramStart"/>
      <w:r w:rsidRPr="00781112">
        <w:rPr>
          <w:rFonts w:cs="Arial"/>
          <w:color w:val="000000" w:themeColor="text1"/>
          <w:szCs w:val="16"/>
        </w:rPr>
        <w:t xml:space="preserve">.  </w:t>
      </w:r>
      <w:proofErr w:type="gramEnd"/>
    </w:p>
    <w:p w14:paraId="197C30C8" w14:textId="77777777" w:rsidR="00CF57A2" w:rsidRPr="00781112" w:rsidRDefault="00CF57A2" w:rsidP="00580134">
      <w:pPr>
        <w:rPr>
          <w:rFonts w:cs="Arial"/>
          <w:iCs/>
          <w:color w:val="000000" w:themeColor="text1"/>
          <w:szCs w:val="16"/>
        </w:rPr>
      </w:pPr>
    </w:p>
    <w:p w14:paraId="3C6B4961" w14:textId="20A8AAD6" w:rsidR="00497DE4" w:rsidRPr="00452F19" w:rsidRDefault="00497DE4" w:rsidP="00452F19">
      <w:pPr>
        <w:spacing w:before="0" w:after="200" w:line="276" w:lineRule="auto"/>
        <w:rPr>
          <w:color w:val="000000" w:themeColor="text1"/>
        </w:rPr>
      </w:pPr>
      <w:r w:rsidRPr="00781112">
        <w:rPr>
          <w:b/>
          <w:color w:val="000000" w:themeColor="text1"/>
        </w:rPr>
        <w:t>Regulatory Information</w:t>
      </w:r>
      <w:r w:rsidR="00452F19">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lastRenderedPageBreak/>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Statewide Participation Data </w:t>
      </w:r>
      <w:r w:rsidRPr="00781112">
        <w:rPr>
          <w:rFonts w:cs="Arial"/>
          <w:color w:val="000000" w:themeColor="text1"/>
          <w:szCs w:val="16"/>
        </w:rPr>
        <w:br/>
        <w:t xml:space="preserve">https://www.education.ne.gov/sped/sped-assessment-participation-data/ </w:t>
      </w:r>
      <w:r w:rsidRPr="00781112">
        <w:rPr>
          <w:rFonts w:cs="Arial"/>
          <w:color w:val="000000" w:themeColor="text1"/>
          <w:szCs w:val="16"/>
        </w:rPr>
        <w:br/>
      </w:r>
      <w:r w:rsidRPr="00781112">
        <w:rPr>
          <w:rFonts w:cs="Arial"/>
          <w:color w:val="000000" w:themeColor="text1"/>
          <w:szCs w:val="16"/>
        </w:rPr>
        <w:br/>
        <w:t xml:space="preserve"> </w:t>
      </w:r>
      <w:r w:rsidRPr="00781112">
        <w:rPr>
          <w:rFonts w:cs="Arial"/>
          <w:color w:val="000000" w:themeColor="text1"/>
          <w:szCs w:val="16"/>
        </w:rPr>
        <w:br/>
        <w:t xml:space="preserve">Statewide Performance Data </w:t>
      </w:r>
      <w:r w:rsidRPr="00781112">
        <w:rPr>
          <w:rFonts w:cs="Arial"/>
          <w:color w:val="000000" w:themeColor="text1"/>
          <w:szCs w:val="16"/>
        </w:rPr>
        <w:br/>
        <w:t xml:space="preserve">https://nep.education.ne.gov/statedata.html </w:t>
      </w:r>
      <w:r w:rsidRPr="00781112">
        <w:rPr>
          <w:rFonts w:cs="Arial"/>
          <w:color w:val="000000" w:themeColor="text1"/>
          <w:szCs w:val="16"/>
        </w:rPr>
        <w:br/>
        <w:t xml:space="preserve">For statewide ELA performance data, scroll down, hover over NSCAS English Language Arts under the Performance heading, and click View Data. In the left menu click on English Language Arts and then Percent Proficient. From here you can use the dropdown menu in the center of the page to view All Students, Special Education Students, or Special Education Students – Alternate Assessment. </w:t>
      </w:r>
      <w:r w:rsidRPr="00781112">
        <w:rPr>
          <w:rFonts w:cs="Arial"/>
          <w:color w:val="000000" w:themeColor="text1"/>
          <w:szCs w:val="16"/>
        </w:rPr>
        <w:br/>
        <w:t>For statewide Math performance data, scroll down, hover over NSCAS Mathematics under the Performance heading, and click View Data. In the left menu click on Mathematics and then Percent Proficient. From here you can use the dropdown menu in the center of the page to view All Students, Special Education Students, or Special Education Students – Alternate Assessment.</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State changed its academic standards on which the assessment is based. The State made very minor changes to the assessment to address the changed standards, but the assessment is not new.</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If the State chooses to revise its Math Grade 4 baseline, using FFY 2020 data, the State must ensure that the FFY 2020 data in the Historical Table is consistent with the data reported in FFY 2020.</w:t>
      </w:r>
      <w:r w:rsidRPr="00781112">
        <w:rPr>
          <w:rFonts w:cs="Arial"/>
          <w:color w:val="000000" w:themeColor="text1"/>
          <w:szCs w:val="16"/>
        </w:rPr>
        <w:br/>
      </w:r>
      <w:r w:rsidRPr="00781112">
        <w:rPr>
          <w:rFonts w:cs="Arial"/>
          <w:color w:val="000000" w:themeColor="text1"/>
          <w:szCs w:val="16"/>
        </w:rPr>
        <w:br/>
        <w:t>The State did not provide targets for Math Grade 4, as required by the measurement table. The State must provide the required targets for FFY 2020 through FFY 2025 in the FFY 2021 SPP/APR.</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 xml:space="preserve">NDE has ensured that the Math Grade 4 FFY 2020 data in the Historical Table is consistent with the data reported in FFY 2020. </w:t>
      </w:r>
      <w:r w:rsidRPr="00781112">
        <w:rPr>
          <w:rFonts w:cs="Arial"/>
          <w:color w:val="000000" w:themeColor="text1"/>
          <w:szCs w:val="16"/>
        </w:rPr>
        <w:br/>
      </w:r>
      <w:r w:rsidRPr="00781112">
        <w:rPr>
          <w:rFonts w:cs="Arial"/>
          <w:color w:val="000000" w:themeColor="text1"/>
          <w:szCs w:val="16"/>
        </w:rPr>
        <w:br/>
        <w:t xml:space="preserve">NDE has provided the required targets for Math Grade 4 </w:t>
      </w:r>
      <w:proofErr w:type="gramStart"/>
      <w:r w:rsidRPr="00781112">
        <w:rPr>
          <w:rFonts w:cs="Arial"/>
          <w:color w:val="000000" w:themeColor="text1"/>
          <w:szCs w:val="16"/>
        </w:rPr>
        <w:t>for</w:t>
      </w:r>
      <w:proofErr w:type="gramEnd"/>
      <w:r w:rsidRPr="00781112">
        <w:rPr>
          <w:rFonts w:cs="Arial"/>
          <w:color w:val="000000" w:themeColor="text1"/>
          <w:szCs w:val="16"/>
        </w:rPr>
        <w:t xml:space="preserve"> FFY 2021 through FFY 2025. </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Math Grade 4,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2021 through 2025 for Math Grade 4,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44.44%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32.59%</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42.66%</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42.52%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43.05%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35.02%</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44.94%</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45.94%</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46.94%</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47.94%</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48.94%</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33.09%</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34.09%</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35.09%</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36.09%</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37.09%</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43.16%</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44.16%</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45.16%</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46.16%</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47.16%</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43.02%</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44.02%</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45.02%</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46.02%</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47.02%</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43.55%</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44.55%</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45.55%</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46.55%</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47.55%</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35.52%</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36.52%</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37.52%</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38.52%</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39.52%</w:t>
            </w:r>
          </w:p>
        </w:tc>
      </w:tr>
    </w:tbl>
    <w:p w14:paraId="3600F457" w14:textId="77777777" w:rsidR="00452F19" w:rsidRDefault="00452F19" w:rsidP="00452F19">
      <w:pPr>
        <w:spacing w:before="0" w:after="200" w:line="276" w:lineRule="auto"/>
        <w:rPr>
          <w:b/>
          <w:color w:val="000000" w:themeColor="text1"/>
        </w:rPr>
      </w:pPr>
    </w:p>
    <w:p w14:paraId="08B1A70A" w14:textId="6F2F93B5" w:rsidR="002D145D" w:rsidRPr="00452F19" w:rsidRDefault="002D145D" w:rsidP="00452F19">
      <w:pPr>
        <w:spacing w:before="0" w:after="200"/>
        <w:rPr>
          <w:b/>
          <w:color w:val="000000" w:themeColor="text1"/>
        </w:rPr>
      </w:pPr>
      <w:r w:rsidRPr="00781112">
        <w:rPr>
          <w:b/>
          <w:color w:val="000000" w:themeColor="text1"/>
        </w:rPr>
        <w:t xml:space="preserve">Targets: Description of Stakeholder Input </w:t>
      </w:r>
      <w:r w:rsidR="00452F19">
        <w:rPr>
          <w:b/>
          <w:color w:val="000000" w:themeColor="text1"/>
        </w:rPr>
        <w:br/>
      </w:r>
      <w:r w:rsidR="002B7490"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002B7490" w:rsidRPr="00781112">
        <w:rPr>
          <w:rFonts w:cs="Arial"/>
          <w:color w:val="000000" w:themeColor="text1"/>
          <w:szCs w:val="16"/>
        </w:rPr>
        <w:br/>
        <w:t xml:space="preserve">   </w:t>
      </w:r>
      <w:r w:rsidR="002B7490" w:rsidRPr="00781112">
        <w:rPr>
          <w:rFonts w:cs="Arial"/>
          <w:color w:val="000000" w:themeColor="text1"/>
          <w:szCs w:val="16"/>
        </w:rPr>
        <w:br/>
        <w:t xml:space="preserve">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w:t>
      </w:r>
      <w:r w:rsidR="002B7490" w:rsidRPr="00781112">
        <w:rPr>
          <w:rFonts w:cs="Arial"/>
          <w:color w:val="000000" w:themeColor="text1"/>
          <w:szCs w:val="16"/>
        </w:rPr>
        <w:lastRenderedPageBreak/>
        <w:t>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002B7490" w:rsidRPr="00781112">
        <w:rPr>
          <w:rFonts w:cs="Arial"/>
          <w:color w:val="000000" w:themeColor="text1"/>
          <w:szCs w:val="16"/>
        </w:rPr>
        <w:t xml:space="preserve">.  </w:t>
      </w:r>
      <w:proofErr w:type="gramEnd"/>
      <w:r w:rsidR="002B7490" w:rsidRPr="00781112">
        <w:rPr>
          <w:rFonts w:cs="Arial"/>
          <w:color w:val="000000" w:themeColor="text1"/>
          <w:szCs w:val="16"/>
        </w:rPr>
        <w:t xml:space="preserve"> </w:t>
      </w:r>
      <w:r w:rsidR="002B7490" w:rsidRPr="00781112">
        <w:rPr>
          <w:rFonts w:cs="Arial"/>
          <w:color w:val="000000" w:themeColor="text1"/>
          <w:szCs w:val="16"/>
        </w:rPr>
        <w:br/>
        <w:t xml:space="preserve">  </w:t>
      </w:r>
      <w:r w:rsidR="002B7490"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002B7490" w:rsidRPr="00781112">
        <w:rPr>
          <w:rFonts w:cs="Arial"/>
          <w:color w:val="000000" w:themeColor="text1"/>
          <w:szCs w:val="16"/>
        </w:rPr>
        <w:t>some</w:t>
      </w:r>
      <w:proofErr w:type="gramEnd"/>
      <w:r w:rsidR="002B7490"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002B7490" w:rsidRPr="00781112">
        <w:rPr>
          <w:rFonts w:cs="Arial"/>
          <w:color w:val="000000" w:themeColor="text1"/>
          <w:szCs w:val="16"/>
        </w:rPr>
        <w:t>is established</w:t>
      </w:r>
      <w:proofErr w:type="gramEnd"/>
      <w:r w:rsidR="002B7490"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002B7490" w:rsidRPr="00781112">
        <w:rPr>
          <w:rFonts w:cs="Arial"/>
          <w:color w:val="000000" w:themeColor="text1"/>
          <w:szCs w:val="16"/>
        </w:rPr>
        <w:t>work collaboratively</w:t>
      </w:r>
      <w:proofErr w:type="gramEnd"/>
      <w:r w:rsidR="002B7490"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249</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247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215</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95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89</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73</w:t>
            </w:r>
          </w:p>
        </w:tc>
      </w:tr>
    </w:tbl>
    <w:p w14:paraId="31C2A20B" w14:textId="77777777" w:rsidR="00452F19" w:rsidRDefault="00452F19" w:rsidP="00286BDF">
      <w:pPr>
        <w:rPr>
          <w:rFonts w:cs="Arial"/>
          <w:b/>
          <w:color w:val="000000" w:themeColor="text1"/>
          <w:szCs w:val="16"/>
        </w:rPr>
      </w:pPr>
    </w:p>
    <w:p w14:paraId="31899BDA" w14:textId="78B4237E"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65D47EF" w14:textId="77777777" w:rsidR="00452F19" w:rsidRDefault="00452F19">
      <w:pPr>
        <w:rPr>
          <w:b/>
          <w:color w:val="000000" w:themeColor="text1"/>
        </w:rPr>
      </w:pPr>
    </w:p>
    <w:p w14:paraId="3365AF3D" w14:textId="12CF50D9"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249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245</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214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102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96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54</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95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249</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44.44%</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44.94%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38.15%</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89</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247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32.59%</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33.09%</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36.03%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73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215</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42.66%</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43.16%</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33.95%</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lastRenderedPageBreak/>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NSCAS alternative summative assessment for ELA (NSCAS-AA-ELA) for all grades </w:t>
      </w:r>
      <w:proofErr w:type="gramStart"/>
      <w:r w:rsidRPr="00781112">
        <w:rPr>
          <w:rFonts w:cs="Arial"/>
          <w:color w:val="000000" w:themeColor="text1"/>
          <w:szCs w:val="16"/>
        </w:rPr>
        <w:t>tested</w:t>
      </w:r>
      <w:proofErr w:type="gramEnd"/>
      <w:r w:rsidRPr="00781112">
        <w:rPr>
          <w:rFonts w:cs="Arial"/>
          <w:color w:val="000000" w:themeColor="text1"/>
          <w:szCs w:val="16"/>
        </w:rPr>
        <w:t xml:space="preserve"> experienced a drop in the percentage of students who scored at or above proficient. NDE attributes this drop to this being the first assessment administered on the new ELA Academic Standards with extended indicators. The new standards increased the rigor of the assessment. Nebraska has seen this type of drop when assessed standards are new or updated. This is also true for the alternate assessment. Fourth grade students on IEPs taking the NSCAS-AA-ELA increased by </w:t>
      </w:r>
      <w:proofErr w:type="gramStart"/>
      <w:r w:rsidRPr="00781112">
        <w:rPr>
          <w:rFonts w:cs="Arial"/>
          <w:color w:val="000000" w:themeColor="text1"/>
          <w:szCs w:val="16"/>
        </w:rPr>
        <w:t>33</w:t>
      </w:r>
      <w:proofErr w:type="gramEnd"/>
      <w:r w:rsidRPr="00781112">
        <w:rPr>
          <w:rFonts w:cs="Arial"/>
          <w:color w:val="000000" w:themeColor="text1"/>
          <w:szCs w:val="16"/>
        </w:rPr>
        <w:t xml:space="preserve"> students in 2022. This slight increase influences the proficiency percentages because, overall, Nebraska does not have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taking this assessment. Scores seem to continue to reflect the impact on learning loss from the pandemic, even when looking at the results for all students. NDE set performance level ranges for the assessment </w:t>
      </w:r>
      <w:proofErr w:type="gramStart"/>
      <w:r w:rsidRPr="00781112">
        <w:rPr>
          <w:rFonts w:cs="Arial"/>
          <w:color w:val="000000" w:themeColor="text1"/>
          <w:szCs w:val="16"/>
        </w:rPr>
        <w:t>on</w:t>
      </w:r>
      <w:proofErr w:type="gramEnd"/>
      <w:r w:rsidRPr="00781112">
        <w:rPr>
          <w:rFonts w:cs="Arial"/>
          <w:color w:val="000000" w:themeColor="text1"/>
          <w:szCs w:val="16"/>
        </w:rPr>
        <w:t xml:space="preserve"> pre-pandemic expectations.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NSCAS-AA-ELA for all grades </w:t>
      </w:r>
      <w:proofErr w:type="gramStart"/>
      <w:r w:rsidRPr="00781112">
        <w:rPr>
          <w:rFonts w:cs="Arial"/>
          <w:color w:val="000000" w:themeColor="text1"/>
          <w:szCs w:val="16"/>
        </w:rPr>
        <w:t>tested</w:t>
      </w:r>
      <w:proofErr w:type="gramEnd"/>
      <w:r w:rsidRPr="00781112">
        <w:rPr>
          <w:rFonts w:cs="Arial"/>
          <w:color w:val="000000" w:themeColor="text1"/>
          <w:szCs w:val="16"/>
        </w:rPr>
        <w:t xml:space="preserve"> experienced a drop in the percentage of students who scored at or above proficient. NDE attributes this drop to this being the first assessment administered on the new ELA Academic Standards with extended indicators. The new standards increased the rigor of the assessment. Nebraska has seen this type of drop when assessed standards are new or updated. This is also true for the alternate assessment. High school third-year cohort students on IEPs taking the NSCAS-AA-ELA decreased by three in 2022. Any change in students taking the NSCAS-AA-ELA impacts the proficiency percentages because overall, Nebraska does not have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taking this assessment. Scores seem to continue to reflect the impact on learning loss from the pandemic, even when looking at the results for all students. NDE set performance level ranges for the assessment </w:t>
      </w:r>
      <w:proofErr w:type="gramStart"/>
      <w:r w:rsidRPr="00781112">
        <w:rPr>
          <w:rFonts w:cs="Arial"/>
          <w:color w:val="000000" w:themeColor="text1"/>
          <w:szCs w:val="16"/>
        </w:rPr>
        <w:t>on</w:t>
      </w:r>
      <w:proofErr w:type="gramEnd"/>
      <w:r w:rsidRPr="00781112">
        <w:rPr>
          <w:rFonts w:cs="Arial"/>
          <w:color w:val="000000" w:themeColor="text1"/>
          <w:szCs w:val="16"/>
        </w:rPr>
        <w:t xml:space="preserve"> pre-pandemic expectations.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102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249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42.52%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43.02%</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40.96%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96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245</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43.05%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43.55%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39.18%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214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35.02%</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35.52%</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25.23%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The NSCAS alternative summative assessment for Math (NSCAS-AA-Math) experienced a drop in fourth grade students at or above proficient. Most students taking the alternate assessment seem to struggle understanding </w:t>
      </w:r>
      <w:proofErr w:type="gramStart"/>
      <w:r w:rsidRPr="00781112">
        <w:rPr>
          <w:rFonts w:cs="Arial"/>
          <w:color w:val="000000" w:themeColor="text1"/>
          <w:szCs w:val="16"/>
        </w:rPr>
        <w:t>some</w:t>
      </w:r>
      <w:proofErr w:type="gramEnd"/>
      <w:r w:rsidRPr="00781112">
        <w:rPr>
          <w:rFonts w:cs="Arial"/>
          <w:color w:val="000000" w:themeColor="text1"/>
          <w:szCs w:val="16"/>
        </w:rPr>
        <w:t xml:space="preserve"> areas of mathematical concepts. Fourth grade students on IEPs taking the NSCAS-AA-Math increased by 35 in 2022. This increase influences the proficiency percentages because, overall, Nebraska does not have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taking this assessment. Scores seem to continue to reflect the impact on learning loss from the pandemic, even when looking at the results for all students. NDE set performance level ranges for the assessment </w:t>
      </w:r>
      <w:proofErr w:type="gramStart"/>
      <w:r w:rsidRPr="00781112">
        <w:rPr>
          <w:rFonts w:cs="Arial"/>
          <w:color w:val="000000" w:themeColor="text1"/>
          <w:szCs w:val="16"/>
        </w:rPr>
        <w:t>on</w:t>
      </w:r>
      <w:proofErr w:type="gramEnd"/>
      <w:r w:rsidRPr="00781112">
        <w:rPr>
          <w:rFonts w:cs="Arial"/>
          <w:color w:val="000000" w:themeColor="text1"/>
          <w:szCs w:val="16"/>
        </w:rPr>
        <w:t xml:space="preserve"> pre-pandemic expectations. </w:t>
      </w: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NSCAS-AA-Math experienced a drop in eighth grade students at or above proficient. Most students taking the alternate assessment seem to struggle understanding </w:t>
      </w:r>
      <w:proofErr w:type="gramStart"/>
      <w:r w:rsidRPr="00781112">
        <w:rPr>
          <w:rFonts w:cs="Arial"/>
          <w:color w:val="000000" w:themeColor="text1"/>
          <w:szCs w:val="16"/>
        </w:rPr>
        <w:t>some</w:t>
      </w:r>
      <w:proofErr w:type="gramEnd"/>
      <w:r w:rsidRPr="00781112">
        <w:rPr>
          <w:rFonts w:cs="Arial"/>
          <w:color w:val="000000" w:themeColor="text1"/>
          <w:szCs w:val="16"/>
        </w:rPr>
        <w:t xml:space="preserve"> areas of mathematical concepts. Eighth grade students on IEPs taking the NSCAS-AA-Math increased by 22 in 2022. This increase influences the proficiency percentages because, overall, Nebraska does not have </w:t>
      </w:r>
      <w:proofErr w:type="gramStart"/>
      <w:r w:rsidRPr="00781112">
        <w:rPr>
          <w:rFonts w:cs="Arial"/>
          <w:color w:val="000000" w:themeColor="text1"/>
          <w:szCs w:val="16"/>
        </w:rPr>
        <w:t>a large number of</w:t>
      </w:r>
      <w:proofErr w:type="gramEnd"/>
      <w:r w:rsidRPr="00781112">
        <w:rPr>
          <w:rFonts w:cs="Arial"/>
          <w:color w:val="000000" w:themeColor="text1"/>
          <w:szCs w:val="16"/>
        </w:rPr>
        <w:t xml:space="preserve"> students taking this assessment. Scores seem to continue to reflect the impact on learning loss from the pandemic, even when looking at the results for all students. NDE set performance level ranges for the assessment </w:t>
      </w:r>
      <w:proofErr w:type="gramStart"/>
      <w:r w:rsidRPr="00781112">
        <w:rPr>
          <w:rFonts w:cs="Arial"/>
          <w:color w:val="000000" w:themeColor="text1"/>
          <w:szCs w:val="16"/>
        </w:rPr>
        <w:t>on</w:t>
      </w:r>
      <w:proofErr w:type="gramEnd"/>
      <w:r w:rsidRPr="00781112">
        <w:rPr>
          <w:rFonts w:cs="Arial"/>
          <w:color w:val="000000" w:themeColor="text1"/>
          <w:szCs w:val="16"/>
        </w:rPr>
        <w:t xml:space="preserve"> pre-pandemic expectations. </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NSCAS-AA-Math experienced a drop in students at or above proficient in high school Math. Most students taking the alternate assessment seem to struggle understanding </w:t>
      </w:r>
      <w:proofErr w:type="gramStart"/>
      <w:r w:rsidRPr="00781112">
        <w:rPr>
          <w:rFonts w:cs="Arial"/>
          <w:color w:val="000000" w:themeColor="text1"/>
          <w:szCs w:val="16"/>
        </w:rPr>
        <w:t>some</w:t>
      </w:r>
      <w:proofErr w:type="gramEnd"/>
      <w:r w:rsidRPr="00781112">
        <w:rPr>
          <w:rFonts w:cs="Arial"/>
          <w:color w:val="000000" w:themeColor="text1"/>
          <w:szCs w:val="16"/>
        </w:rPr>
        <w:t xml:space="preserve"> areas of mathematical concepts. High school third-year cohort students on IEPs taking the NSCAS-AA-Math decreased by three in 2022. Any change in students taking this assessment influences proficiency percentages because, overall, Nebraska does not have </w:t>
      </w:r>
      <w:proofErr w:type="gramStart"/>
      <w:r w:rsidRPr="00781112">
        <w:rPr>
          <w:rFonts w:cs="Arial"/>
          <w:color w:val="000000" w:themeColor="text1"/>
          <w:szCs w:val="16"/>
        </w:rPr>
        <w:t>a large number of</w:t>
      </w:r>
      <w:proofErr w:type="gramEnd"/>
      <w:r w:rsidRPr="00781112">
        <w:rPr>
          <w:rFonts w:cs="Arial"/>
          <w:color w:val="000000" w:themeColor="text1"/>
          <w:szCs w:val="16"/>
        </w:rPr>
        <w:t xml:space="preserve"> students taking this assessment. Scores seem to continue to reflect the impact on learning loss from the pandemic, even when looking at the results for all students. NDE set performance level ranges for the assessment </w:t>
      </w:r>
      <w:proofErr w:type="gramStart"/>
      <w:r w:rsidRPr="00781112">
        <w:rPr>
          <w:rFonts w:cs="Arial"/>
          <w:color w:val="000000" w:themeColor="text1"/>
          <w:szCs w:val="16"/>
        </w:rPr>
        <w:t>on</w:t>
      </w:r>
      <w:proofErr w:type="gramEnd"/>
      <w:r w:rsidRPr="00781112">
        <w:rPr>
          <w:rFonts w:cs="Arial"/>
          <w:color w:val="000000" w:themeColor="text1"/>
          <w:szCs w:val="16"/>
        </w:rPr>
        <w:t xml:space="preserve"> pre-pandemic expectations. </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Statewide Participation Data </w:t>
      </w:r>
      <w:r w:rsidRPr="00781112">
        <w:rPr>
          <w:rFonts w:cs="Arial"/>
          <w:color w:val="000000" w:themeColor="text1"/>
          <w:szCs w:val="16"/>
          <w:shd w:val="clear" w:color="auto" w:fill="FFFFFF"/>
        </w:rPr>
        <w:br/>
        <w:t xml:space="preserve">https://www.education.ne.gov/sped/sped-assessment-participation-data/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 xml:space="preserve">Statewide Performance Data </w:t>
      </w:r>
      <w:r w:rsidRPr="00781112">
        <w:rPr>
          <w:rFonts w:cs="Arial"/>
          <w:color w:val="000000" w:themeColor="text1"/>
          <w:szCs w:val="16"/>
          <w:shd w:val="clear" w:color="auto" w:fill="FFFFFF"/>
        </w:rPr>
        <w:br/>
        <w:t xml:space="preserve">https://nep.education.ne.gov/statedata.html </w:t>
      </w:r>
      <w:r w:rsidRPr="00781112">
        <w:rPr>
          <w:rFonts w:cs="Arial"/>
          <w:color w:val="000000" w:themeColor="text1"/>
          <w:szCs w:val="16"/>
          <w:shd w:val="clear" w:color="auto" w:fill="FFFFFF"/>
        </w:rPr>
        <w:br/>
        <w:t xml:space="preserve">For statewide ELA performance data, scroll down, hover over NSCAS English Language Arts under the Performance heading, and click View Data. In the left menu click on English Language Arts and then Percent Proficient. From here you can use the dropdown menu in the center of the page to view All Students, Special Education Students, or Special Education Students – Alternate Assessment. </w:t>
      </w:r>
      <w:r w:rsidRPr="00781112">
        <w:rPr>
          <w:rFonts w:cs="Arial"/>
          <w:color w:val="000000" w:themeColor="text1"/>
          <w:szCs w:val="16"/>
          <w:shd w:val="clear" w:color="auto" w:fill="FFFFFF"/>
        </w:rPr>
        <w:br/>
        <w:t>For statewide Math performance data, scroll down, hover over NSCAS Mathematics under the Performance heading, and click View Data. In the left menu click on Mathematics and then Percent Proficient. From here you can use the dropdown menu in the center of the page to view All Students, Special Education Students, or Special Education Students – Alternate Assessment.</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State changed its academic standards on which the assessment is based. The State changed its extended indicators to address the changed standards, but the assessment is not new.</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30.18</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34.57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37.82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25.83</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32.43</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36.63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29.68</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28.68</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27.68</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26.68</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25.68</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34.07</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33.07</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32.07</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31.07</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30.07</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37.32</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36.32</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35.32</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34.32</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33.32</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25.33</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24.33</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23.33</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22.33</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21.33</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31.93</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30.93</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29.93</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28.93</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27.93</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36.13</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35.13</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34.13</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33.13</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32.13</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3A059473" w14:textId="031CCC22" w:rsidR="00452F19"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22,937</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23,981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22,395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3,996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3,336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2,447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11,592</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10,866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10,336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530</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218</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410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633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287</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62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263</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163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153</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22,930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23,949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22,378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3,994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3,323</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2,444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10,182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9,761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9,778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442</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228</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426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531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189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70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251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162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171</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22.42%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52.85%</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30.18</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29.68</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30.43</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13.49%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46.22%</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34.57</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34.07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32.73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8.79%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47.98%</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37.82</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37.32</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39.20</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 xml:space="preserve">NDE attributes this drop to this being the first assessment administered on the new ELA Academic Standards, which align with the knowledge, skills, and abilities the ACT </w:t>
      </w:r>
      <w:proofErr w:type="gramStart"/>
      <w:r w:rsidRPr="00781112">
        <w:rPr>
          <w:rFonts w:cs="Arial"/>
          <w:color w:val="000000" w:themeColor="text1"/>
          <w:szCs w:val="16"/>
        </w:rPr>
        <w:t>is intended</w:t>
      </w:r>
      <w:proofErr w:type="gramEnd"/>
      <w:r w:rsidRPr="00781112">
        <w:rPr>
          <w:rFonts w:cs="Arial"/>
          <w:color w:val="000000" w:themeColor="text1"/>
          <w:szCs w:val="16"/>
        </w:rPr>
        <w:t xml:space="preserve"> to measure. The new standards increased the rigor of the assessments. NDE has previously experienced this type of drop in proficiency when standards are new or updated. High school third-year cohort students taking the NSCAS ACT increased by 384 in 2022. The slight increase of students taking the NSCAS ACT had an impact on reducing the gap in proficiency rate between all students and children with IEPs. Teachers basing instruction on updated ELA standards and the impact on learning loss due to the pandemic continues to impact students, especially at the higher grades. </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19.58%</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46.33%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25.83</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25.33</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26.75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10.56%</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41.71%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32.43</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31.93</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31.15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9.86%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45.60%</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36.63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36.13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35.74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0.40%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236</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For indicator 4A, Nebraska defines a significant discrepancy as any district with a rate of out-of-school suspensions/expulsions for greater than 10 days for children with IEPs that is greater than 5% of children with IEPs among LEAs in the state. Five percent as the suspension/expulsion-rate threshold can </w:t>
      </w:r>
      <w:proofErr w:type="gramStart"/>
      <w:r w:rsidRPr="00781112">
        <w:rPr>
          <w:rFonts w:cs="Arial"/>
          <w:color w:val="000000" w:themeColor="text1"/>
          <w:szCs w:val="16"/>
        </w:rPr>
        <w:t>be derived</w:t>
      </w:r>
      <w:proofErr w:type="gramEnd"/>
      <w:r w:rsidRPr="00781112">
        <w:rPr>
          <w:rFonts w:cs="Arial"/>
          <w:color w:val="000000" w:themeColor="text1"/>
          <w:szCs w:val="16"/>
        </w:rPr>
        <w:t xml:space="preserve"> from the state-level suspension/expulsion rate of 1.2% (school year 2020-21). The 5% suspension/expulsion rate threshold is three percentage points higher than 1.2%, rounded up to the nearest whole percent. This method for setting the threshold </w:t>
      </w:r>
      <w:proofErr w:type="gramStart"/>
      <w:r w:rsidRPr="00781112">
        <w:rPr>
          <w:rFonts w:cs="Arial"/>
          <w:color w:val="000000" w:themeColor="text1"/>
          <w:szCs w:val="16"/>
        </w:rPr>
        <w:t>is described</w:t>
      </w:r>
      <w:proofErr w:type="gramEnd"/>
      <w:r w:rsidRPr="00781112">
        <w:rPr>
          <w:rFonts w:cs="Arial"/>
          <w:color w:val="000000" w:themeColor="text1"/>
          <w:szCs w:val="16"/>
        </w:rPr>
        <w:t xml:space="preserve"> as a “variation” to the example in Exhibit 8 of the IDEA Data Center’s Indicator B4 Technical Assistance Guide. Nebraska’s methodology uses a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[children with IEPs who were suspended in a LEA] and a minimum n-size of 30 [children with IEPs in the LEA]. Out of 244 districts, only eight suspended or expelled </w:t>
      </w:r>
      <w:proofErr w:type="gramStart"/>
      <w:r w:rsidRPr="00781112">
        <w:rPr>
          <w:rFonts w:cs="Arial"/>
          <w:color w:val="000000" w:themeColor="text1"/>
          <w:szCs w:val="16"/>
        </w:rPr>
        <w:t>10</w:t>
      </w:r>
      <w:proofErr w:type="gramEnd"/>
      <w:r w:rsidRPr="00781112">
        <w:rPr>
          <w:rFonts w:cs="Arial"/>
          <w:color w:val="000000" w:themeColor="text1"/>
          <w:szCs w:val="16"/>
        </w:rPr>
        <w:t xml:space="preserve"> or more students with disabilities for more than 10 days. Of those, none had a rate greater than 5% [of the state rate of children with IEPs], therefore, none were identified as having significant discrepancy for FFY 2021 (using school year 2020–21 data) for Indicator 4A. </w:t>
      </w:r>
      <w:r w:rsidRPr="00781112">
        <w:rPr>
          <w:rFonts w:cs="Arial"/>
          <w:color w:val="000000" w:themeColor="text1"/>
          <w:szCs w:val="16"/>
        </w:rPr>
        <w:br/>
      </w:r>
      <w:r w:rsidRPr="00781112">
        <w:rPr>
          <w:rFonts w:cs="Arial"/>
          <w:color w:val="000000" w:themeColor="text1"/>
          <w:szCs w:val="16"/>
        </w:rPr>
        <w:br/>
        <w:t>Nebraska has been reviewing its data and analyses based on the OSEP discipline guidance and is considering alternate methodologies. Nebraska is intent on making informed data-based decisions to help determine the reasonableness of its methodology. Nebraska is developing a plan to engage stakeholders based on the findings of the data analysis to obtain informed recommendations on any changes in methodology</w:t>
      </w:r>
      <w:proofErr w:type="gramStart"/>
      <w:r w:rsidRPr="00781112">
        <w:rPr>
          <w:rFonts w:cs="Arial"/>
          <w:color w:val="000000" w:themeColor="text1"/>
          <w:szCs w:val="16"/>
        </w:rPr>
        <w:t xml:space="preserve">.  </w:t>
      </w:r>
      <w:proofErr w:type="gramEnd"/>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Nebraska did not identify a district with a significant discrepancy and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do the review under 34 C.F.R. § 300.170(b). To select an accurate answer Nebraska would need an N/A option.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2021 SPP/APR the State included </w:t>
      </w:r>
      <w:proofErr w:type="gramStart"/>
      <w:r w:rsidRPr="00781112">
        <w:rPr>
          <w:rFonts w:cs="Arial"/>
          <w:color w:val="000000" w:themeColor="text1"/>
          <w:szCs w:val="16"/>
        </w:rPr>
        <w:t>a very low</w:t>
      </w:r>
      <w:proofErr w:type="gramEnd"/>
      <w:r w:rsidRPr="00781112">
        <w:rPr>
          <w:rFonts w:cs="Arial"/>
          <w:color w:val="000000" w:themeColor="text1"/>
          <w:szCs w:val="16"/>
        </w:rPr>
        <w:t xml:space="preserve"> percentage of the State’s LEAs in its analysis of rates of suspension and expulsion of greater than 10 days in a school year for children with IEPs.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and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7D849B9C" w14:textId="77777777" w:rsidR="00452F19" w:rsidRPr="00781112" w:rsidRDefault="00452F19"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738B66A2" w14:textId="77777777" w:rsidR="00452F19" w:rsidRPr="00781112" w:rsidRDefault="00452F19"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239</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Nebraska defines a significant discrepancy as any district with a rate of out-of-school suspensions/expulsions for greater than 10 days for children with IEPs of a specific race/ethnicity that is greater than 5% of children with IEPs among LEAs in the state. Five percent as the suspension/expulsion-rate bar can </w:t>
      </w:r>
      <w:proofErr w:type="gramStart"/>
      <w:r w:rsidRPr="00781112">
        <w:rPr>
          <w:rFonts w:cs="Arial"/>
          <w:color w:val="000000" w:themeColor="text1"/>
          <w:szCs w:val="16"/>
        </w:rPr>
        <w:t>be derived</w:t>
      </w:r>
      <w:proofErr w:type="gramEnd"/>
      <w:r w:rsidRPr="00781112">
        <w:rPr>
          <w:rFonts w:cs="Arial"/>
          <w:color w:val="000000" w:themeColor="text1"/>
          <w:szCs w:val="16"/>
        </w:rPr>
        <w:t xml:space="preserve"> from the state-level suspension/expulsion rate of 1.2% (school year 2020–21). The 5% suspension/expulsion-rate bar is three percentage points higher than 1.2%, rounded up to the nearest whole percent. This method for setting the threshold </w:t>
      </w:r>
      <w:proofErr w:type="gramStart"/>
      <w:r w:rsidRPr="00781112">
        <w:rPr>
          <w:rFonts w:cs="Arial"/>
          <w:color w:val="000000" w:themeColor="text1"/>
          <w:szCs w:val="16"/>
        </w:rPr>
        <w:t>is described</w:t>
      </w:r>
      <w:proofErr w:type="gramEnd"/>
      <w:r w:rsidRPr="00781112">
        <w:rPr>
          <w:rFonts w:cs="Arial"/>
          <w:color w:val="000000" w:themeColor="text1"/>
          <w:szCs w:val="16"/>
        </w:rPr>
        <w:t xml:space="preserve"> as a “variation” to the example in Exhibit 8 of IDC’s Indicator B4 Technical Assistance Guide. Nebraska’s methodology uses a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[children with IEPs of a specific race/ethnicity who were suspended in a LEA] and a minimum n-size of 30 [children with IEPs of all other races/ethnicities combined in the LEA]. Out of 244 districts, only five districts suspended or expelled </w:t>
      </w:r>
      <w:proofErr w:type="gramStart"/>
      <w:r w:rsidRPr="00781112">
        <w:rPr>
          <w:rFonts w:cs="Arial"/>
          <w:color w:val="000000" w:themeColor="text1"/>
          <w:szCs w:val="16"/>
        </w:rPr>
        <w:t>10</w:t>
      </w:r>
      <w:proofErr w:type="gramEnd"/>
      <w:r w:rsidRPr="00781112">
        <w:rPr>
          <w:rFonts w:cs="Arial"/>
          <w:color w:val="000000" w:themeColor="text1"/>
          <w:szCs w:val="16"/>
        </w:rPr>
        <w:t xml:space="preserve"> or more children with disabilities of a specific race/ethnicity for more than 10 days. Of those, none had a rate greater than 5% [of the state rate of children with IEPs], therefore, none were identified as having significant discrepancy for FFY 2021 (using school year 2020–21 data) for Indicator 4B. </w:t>
      </w:r>
      <w:r w:rsidRPr="00781112">
        <w:rPr>
          <w:rFonts w:cs="Arial"/>
          <w:color w:val="000000" w:themeColor="text1"/>
          <w:szCs w:val="16"/>
        </w:rPr>
        <w:br/>
      </w:r>
      <w:r w:rsidRPr="00781112">
        <w:rPr>
          <w:rFonts w:cs="Arial"/>
          <w:color w:val="000000" w:themeColor="text1"/>
          <w:szCs w:val="16"/>
        </w:rPr>
        <w:br/>
        <w:t xml:space="preserve">NDE has been reviewing its data and analyses based on the OSEP discipline guidance and are considering alternate methodologies. Nebraska is intent on making informed data-based decisions to help determine the reasonableness of its methodology. Nebraska is developing a plan to engage stakeholders based on the findings of the data analysis to obtain informed recommendations on any changes in methodology.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Nebraska requires LEAs with a significant discrepancy to submit their policies and procedures to the SEA for review. The SEA reviews both policies and procedures, as well as student files, to determine if the significant discrepancy is due to policies, procedures, or practices that contribute to the significant discrepancy and do not comply with requirements relating to the development and implementation of IEPs, the use of positive behavior supports, or procedural safeguards. NDE informs districts of all findings, and the SEA will ensure any noncompliance issues are corrected within one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CDC2C25" w14:textId="77777777" w:rsidR="00452F19" w:rsidRDefault="00452F19" w:rsidP="004369B2">
      <w:pPr>
        <w:rPr>
          <w:b/>
          <w:color w:val="000000" w:themeColor="text1"/>
        </w:rPr>
      </w:pPr>
    </w:p>
    <w:p w14:paraId="6CFB1826" w14:textId="45ED54D4"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2021 SPP/APR the State included </w:t>
      </w:r>
      <w:proofErr w:type="gramStart"/>
      <w:r w:rsidRPr="00781112">
        <w:rPr>
          <w:rFonts w:cs="Arial"/>
          <w:color w:val="000000" w:themeColor="text1"/>
          <w:szCs w:val="16"/>
        </w:rPr>
        <w:t>a very low</w:t>
      </w:r>
      <w:proofErr w:type="gramEnd"/>
      <w:r w:rsidRPr="00781112">
        <w:rPr>
          <w:rFonts w:cs="Arial"/>
          <w:color w:val="000000" w:themeColor="text1"/>
          <w:szCs w:val="16"/>
        </w:rPr>
        <w:t xml:space="preserve"> percentage of the State’s LEAs in its analysis of rates of suspension and expulsion of greater than 10 days in a school year for children with IEPs.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by race and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by race and ethnicity, under the State’s chosen methodology; and how the State’s threshold for measuring significant discrepancy, by race and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81.16%</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81.16%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77.78%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78.20%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79.08%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81.16%</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5.72%</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6.26%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6.30%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5.44%</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2.38%</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2.27%</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81.32%</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81.47%</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81.63%</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81.78%</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81.94%</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5.44%</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5.43%</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5.43%</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5.42%</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5.42%</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2.25%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2.24%</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2.22%</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2.20%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2.19%</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w:t>
      </w:r>
      <w:r w:rsidRPr="00781112">
        <w:rPr>
          <w:rFonts w:cs="Arial"/>
          <w:color w:val="000000" w:themeColor="text1"/>
          <w:szCs w:val="16"/>
        </w:rPr>
        <w:lastRenderedPageBreak/>
        <w:t xml:space="preserve">(SEAC)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48,851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39,500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2,707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837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119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39,500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48,851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81.16%</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81.32%</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80.86%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2,707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48,851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5.44%</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5.44%</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5.54%</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998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48,851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2.27%</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2.25%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2.04%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The State did not provide Indicator 5B and 5C targets, as required by the measurement table. The State must provide the required targets for FFY 2020 through FFY 2025 in the FFY 2021 SPP/APR.</w:t>
      </w:r>
      <w:r w:rsidRPr="00781112">
        <w:rPr>
          <w:rFonts w:cs="Arial"/>
          <w:color w:val="000000" w:themeColor="text1"/>
          <w:szCs w:val="16"/>
        </w:rPr>
        <w:br/>
      </w:r>
      <w:r w:rsidRPr="00781112">
        <w:rPr>
          <w:rFonts w:cs="Arial"/>
          <w:color w:val="000000" w:themeColor="text1"/>
          <w:szCs w:val="16"/>
        </w:rPr>
        <w:br/>
        <w:t>If the State chooses to revise its Indicator 5B and 5C baseline, using FFY 2020 data, the State must ensure that the FFY 2020 data in the Historical Table matches the data reported in FFY 2020.</w:t>
      </w:r>
    </w:p>
    <w:p w14:paraId="7C18E8E7" w14:textId="02710B2C" w:rsidR="000A2C83" w:rsidRPr="00781112" w:rsidRDefault="007639D7" w:rsidP="004369B2">
      <w:pPr>
        <w:rPr>
          <w:b/>
          <w:bCs/>
          <w:color w:val="000000" w:themeColor="text1"/>
        </w:rPr>
      </w:pPr>
      <w:r>
        <w:rPr>
          <w:b/>
          <w:bCs/>
          <w:color w:val="000000" w:themeColor="text1"/>
        </w:rPr>
        <w:t>Response to actions required in FFY 2020 SPP/APR</w:t>
      </w:r>
    </w:p>
    <w:p w14:paraId="62ABD9E8" w14:textId="3AA4A0C2" w:rsidR="000A2C83" w:rsidRPr="00781112" w:rsidRDefault="002B7490" w:rsidP="000A2C83">
      <w:pPr>
        <w:rPr>
          <w:rFonts w:cs="Arial"/>
          <w:color w:val="000000" w:themeColor="text1"/>
          <w:szCs w:val="16"/>
        </w:rPr>
      </w:pPr>
      <w:r w:rsidRPr="00781112">
        <w:rPr>
          <w:rFonts w:cs="Arial"/>
          <w:color w:val="000000" w:themeColor="text1"/>
          <w:szCs w:val="16"/>
        </w:rPr>
        <w:t xml:space="preserve">NDE determined the correct FFY 2020 5B and 5C baseline data following review of the previous Indicator 5 target setting determinations established with stakeholder input. Specifically, NDE confirmed that the accurate percentages for 5B and 5C baselines are 5.44% and 2.27%, respectively, as reported in FFY 2020. NDE determined the FFY 2020 5B and 5C baseline and targets </w:t>
      </w:r>
      <w:proofErr w:type="gramStart"/>
      <w:r w:rsidRPr="00781112">
        <w:rPr>
          <w:rFonts w:cs="Arial"/>
          <w:color w:val="000000" w:themeColor="text1"/>
          <w:szCs w:val="16"/>
        </w:rPr>
        <w:t>were entered</w:t>
      </w:r>
      <w:proofErr w:type="gramEnd"/>
      <w:r w:rsidRPr="00781112">
        <w:rPr>
          <w:rFonts w:cs="Arial"/>
          <w:color w:val="000000" w:themeColor="text1"/>
          <w:szCs w:val="16"/>
        </w:rPr>
        <w:t xml:space="preserve"> into EMAPS incorrectly and that NDE properly conducted stakeholder input on the correct Indicator 5 targets, as described in the FFY 2020 SPP/APR. The correct 5B and 5C baseline and targets are now correctly entered into the FFY 2021 SPP/APR. NDE revised the Target Data table to reflect expected improvement over the correct baselines by FFY 2025</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NDE also ensured that the FFY 2020 Baseline in the Historical Table matches the data reported in FFY 2020. </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 for sub-indicators 5B and 5C.</w:t>
      </w:r>
      <w:r w:rsidRPr="00781112">
        <w:rPr>
          <w:rFonts w:cs="Arial"/>
          <w:color w:val="000000" w:themeColor="text1"/>
          <w:szCs w:val="16"/>
        </w:rPr>
        <w:br/>
      </w:r>
      <w:r w:rsidRPr="00781112">
        <w:rPr>
          <w:rFonts w:cs="Arial"/>
          <w:color w:val="000000" w:themeColor="text1"/>
          <w:szCs w:val="16"/>
        </w:rPr>
        <w:br/>
        <w:t>The State provided targets for FFYs 2021 through 2025 for sub-indictors 5B and 5C,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73.00%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74.00%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75.00%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75.00%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73.55%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80.38%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81.18%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83.12%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76.27%</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5.60%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5.60%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3.59%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3.34%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3.29%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w:t>
      </w:r>
      <w:r w:rsidRPr="00781112">
        <w:rPr>
          <w:rFonts w:cs="Arial"/>
          <w:color w:val="000000" w:themeColor="text1"/>
          <w:szCs w:val="16"/>
        </w:rPr>
        <w:lastRenderedPageBreak/>
        <w:t xml:space="preserve">(SEAC)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Individual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6567A097" w14:textId="0BAA41E5" w:rsidR="001E4624" w:rsidRPr="001C443D" w:rsidRDefault="001E4624" w:rsidP="001C443D">
      <w:pPr>
        <w:rPr>
          <w:b/>
          <w:bCs/>
        </w:rPr>
      </w:pPr>
      <w:r w:rsidRPr="001C443D">
        <w:rPr>
          <w:b/>
          <w:bCs/>
        </w:rPr>
        <w:t>Baselines for Individual Targets option (A, B, C)</w:t>
      </w:r>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DV"/>
      </w:tblPr>
      <w:tblGrid>
        <w:gridCol w:w="1436"/>
        <w:gridCol w:w="2025"/>
        <w:gridCol w:w="2204"/>
      </w:tblGrid>
      <w:tr w:rsidR="001E4624" w:rsidRPr="00781112" w14:paraId="51CCFCE0" w14:textId="77777777" w:rsidTr="0075451F">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5388AAE1"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D105467"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204" w:type="dxa"/>
            <w:tcBorders>
              <w:top w:val="single" w:sz="4" w:space="0" w:color="auto"/>
              <w:left w:val="single" w:sz="4" w:space="0" w:color="auto"/>
              <w:bottom w:val="single" w:sz="4" w:space="0" w:color="auto"/>
              <w:right w:val="single" w:sz="4" w:space="0" w:color="auto"/>
            </w:tcBorders>
          </w:tcPr>
          <w:p w14:paraId="3682C504"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Data</w:t>
            </w:r>
          </w:p>
        </w:tc>
      </w:tr>
      <w:tr w:rsidR="001E4624" w:rsidRPr="00781112" w14:paraId="0C1BB37A"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400DEFB9" w14:textId="15BD208D" w:rsidR="001E4624" w:rsidRPr="00781112" w:rsidRDefault="001E4624" w:rsidP="001A5EEE">
            <w:pPr>
              <w:spacing w:line="276" w:lineRule="auto"/>
              <w:jc w:val="center"/>
              <w:rPr>
                <w:rFonts w:cs="Arial"/>
                <w:b/>
                <w:bCs/>
                <w:color w:val="000000" w:themeColor="text1"/>
                <w:szCs w:val="16"/>
              </w:rPr>
            </w:pPr>
            <w:r w:rsidRPr="00781112">
              <w:rPr>
                <w:rFonts w:cs="Arial"/>
                <w:b/>
                <w:bCs/>
                <w:color w:val="000000" w:themeColor="text1"/>
                <w:szCs w:val="16"/>
              </w:rPr>
              <w:t>A1, age 3</w:t>
            </w:r>
          </w:p>
        </w:tc>
        <w:tc>
          <w:tcPr>
            <w:tcW w:w="2025" w:type="dxa"/>
            <w:tcBorders>
              <w:top w:val="single" w:sz="4" w:space="0" w:color="auto"/>
              <w:left w:val="single" w:sz="4" w:space="0" w:color="auto"/>
              <w:right w:val="single" w:sz="4" w:space="0" w:color="auto"/>
            </w:tcBorders>
            <w:shd w:val="clear" w:color="auto" w:fill="auto"/>
          </w:tcPr>
          <w:p w14:paraId="71B25795" w14:textId="6082B5B1" w:rsidR="001E4624" w:rsidRPr="00781112" w:rsidRDefault="001E4624" w:rsidP="001A5EEE">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61D6E4FD" w14:textId="1181408A" w:rsidR="001E4624" w:rsidRPr="00781112" w:rsidRDefault="001E4624" w:rsidP="001A5EEE">
            <w:pPr>
              <w:jc w:val="center"/>
              <w:rPr>
                <w:rFonts w:cs="Arial"/>
                <w:color w:val="000000" w:themeColor="text1"/>
                <w:szCs w:val="16"/>
              </w:rPr>
            </w:pPr>
            <w:r w:rsidRPr="00781112">
              <w:rPr>
                <w:rFonts w:cs="Arial"/>
                <w:color w:val="000000" w:themeColor="text1"/>
                <w:szCs w:val="16"/>
              </w:rPr>
              <w:t>65.45%</w:t>
            </w:r>
          </w:p>
        </w:tc>
      </w:tr>
      <w:tr w:rsidR="001E4624" w:rsidRPr="00781112" w14:paraId="0960B8FB"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1DC10293" w14:textId="12C79B4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A2, age 4</w:t>
            </w:r>
          </w:p>
        </w:tc>
        <w:tc>
          <w:tcPr>
            <w:tcW w:w="2025" w:type="dxa"/>
            <w:tcBorders>
              <w:top w:val="single" w:sz="4" w:space="0" w:color="auto"/>
              <w:left w:val="single" w:sz="4" w:space="0" w:color="auto"/>
              <w:right w:val="single" w:sz="4" w:space="0" w:color="auto"/>
            </w:tcBorders>
            <w:shd w:val="clear" w:color="auto" w:fill="auto"/>
          </w:tcPr>
          <w:p w14:paraId="108C7E2C" w14:textId="79D647DB"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78D11D5F" w14:textId="2C8F85FC" w:rsidR="001E4624" w:rsidRPr="00781112" w:rsidRDefault="001E4624" w:rsidP="001E4624">
            <w:pPr>
              <w:jc w:val="center"/>
              <w:rPr>
                <w:rFonts w:cs="Arial"/>
                <w:color w:val="000000" w:themeColor="text1"/>
                <w:szCs w:val="16"/>
              </w:rPr>
            </w:pPr>
            <w:r w:rsidRPr="00781112">
              <w:rPr>
                <w:rFonts w:cs="Arial"/>
                <w:color w:val="000000" w:themeColor="text1"/>
                <w:szCs w:val="16"/>
              </w:rPr>
              <w:t>81.65%</w:t>
            </w:r>
          </w:p>
        </w:tc>
      </w:tr>
      <w:tr w:rsidR="001E4624" w:rsidRPr="00781112" w14:paraId="0EBFA594" w14:textId="77777777" w:rsidTr="0075451F">
        <w:trPr>
          <w:trHeight w:val="85"/>
        </w:trPr>
        <w:tc>
          <w:tcPr>
            <w:tcW w:w="1436" w:type="dxa"/>
            <w:tcBorders>
              <w:left w:val="single" w:sz="4" w:space="0" w:color="auto"/>
              <w:right w:val="single" w:sz="4" w:space="0" w:color="auto"/>
            </w:tcBorders>
            <w:shd w:val="clear" w:color="auto" w:fill="auto"/>
            <w:vAlign w:val="center"/>
          </w:tcPr>
          <w:p w14:paraId="5EA52536" w14:textId="4BF41707"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A3, age 5</w:t>
            </w:r>
          </w:p>
        </w:tc>
        <w:tc>
          <w:tcPr>
            <w:tcW w:w="2025" w:type="dxa"/>
            <w:tcBorders>
              <w:left w:val="single" w:sz="4" w:space="0" w:color="auto"/>
              <w:right w:val="single" w:sz="4" w:space="0" w:color="auto"/>
            </w:tcBorders>
            <w:shd w:val="clear" w:color="auto" w:fill="auto"/>
          </w:tcPr>
          <w:p w14:paraId="00917305" w14:textId="1913DDE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F63798" w14:textId="2A34BA17" w:rsidR="001E4624" w:rsidRPr="00781112" w:rsidRDefault="001E4624" w:rsidP="001E4624">
            <w:pPr>
              <w:jc w:val="center"/>
              <w:rPr>
                <w:rFonts w:cs="Arial"/>
                <w:color w:val="000000" w:themeColor="text1"/>
                <w:szCs w:val="16"/>
              </w:rPr>
            </w:pPr>
            <w:r w:rsidRPr="00781112">
              <w:rPr>
                <w:rFonts w:cs="Arial"/>
                <w:color w:val="000000" w:themeColor="text1"/>
                <w:szCs w:val="16"/>
              </w:rPr>
              <w:t>78.63%</w:t>
            </w:r>
          </w:p>
        </w:tc>
      </w:tr>
      <w:tr w:rsidR="001E4624" w:rsidRPr="00781112" w14:paraId="4FE20934" w14:textId="77777777" w:rsidTr="0075451F">
        <w:trPr>
          <w:trHeight w:val="85"/>
        </w:trPr>
        <w:tc>
          <w:tcPr>
            <w:tcW w:w="1436" w:type="dxa"/>
            <w:tcBorders>
              <w:left w:val="single" w:sz="4" w:space="0" w:color="auto"/>
              <w:right w:val="single" w:sz="4" w:space="0" w:color="auto"/>
            </w:tcBorders>
            <w:shd w:val="clear" w:color="auto" w:fill="auto"/>
            <w:vAlign w:val="center"/>
          </w:tcPr>
          <w:p w14:paraId="37D7B579" w14:textId="4F88FB15"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B1, age 3</w:t>
            </w:r>
          </w:p>
        </w:tc>
        <w:tc>
          <w:tcPr>
            <w:tcW w:w="2025" w:type="dxa"/>
            <w:tcBorders>
              <w:left w:val="single" w:sz="4" w:space="0" w:color="auto"/>
              <w:right w:val="single" w:sz="4" w:space="0" w:color="auto"/>
            </w:tcBorders>
            <w:shd w:val="clear" w:color="auto" w:fill="auto"/>
          </w:tcPr>
          <w:p w14:paraId="6959A2A5" w14:textId="551533A3"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EC17CEB" w14:textId="5C5E81EF" w:rsidR="001E4624" w:rsidRPr="00781112" w:rsidRDefault="001E4624" w:rsidP="001E4624">
            <w:pPr>
              <w:jc w:val="center"/>
              <w:rPr>
                <w:rFonts w:cs="Arial"/>
                <w:color w:val="000000" w:themeColor="text1"/>
                <w:szCs w:val="16"/>
              </w:rPr>
            </w:pPr>
            <w:r w:rsidRPr="00781112">
              <w:rPr>
                <w:rFonts w:cs="Arial"/>
                <w:color w:val="000000" w:themeColor="text1"/>
                <w:szCs w:val="16"/>
              </w:rPr>
              <w:t>4.51%</w:t>
            </w:r>
          </w:p>
        </w:tc>
      </w:tr>
      <w:tr w:rsidR="001E4624" w:rsidRPr="00781112" w14:paraId="39AE4243" w14:textId="77777777" w:rsidTr="0075451F">
        <w:trPr>
          <w:trHeight w:val="85"/>
        </w:trPr>
        <w:tc>
          <w:tcPr>
            <w:tcW w:w="1436" w:type="dxa"/>
            <w:tcBorders>
              <w:left w:val="single" w:sz="4" w:space="0" w:color="auto"/>
              <w:right w:val="single" w:sz="4" w:space="0" w:color="auto"/>
            </w:tcBorders>
            <w:shd w:val="clear" w:color="auto" w:fill="auto"/>
            <w:vAlign w:val="center"/>
          </w:tcPr>
          <w:p w14:paraId="2D87F4D2" w14:textId="2FD24EE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B2, age 4</w:t>
            </w:r>
          </w:p>
        </w:tc>
        <w:tc>
          <w:tcPr>
            <w:tcW w:w="2025" w:type="dxa"/>
            <w:tcBorders>
              <w:left w:val="single" w:sz="4" w:space="0" w:color="auto"/>
              <w:right w:val="single" w:sz="4" w:space="0" w:color="auto"/>
            </w:tcBorders>
            <w:shd w:val="clear" w:color="auto" w:fill="auto"/>
          </w:tcPr>
          <w:p w14:paraId="53C7E977" w14:textId="322AAD5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37545784" w14:textId="2A48DB3E" w:rsidR="001E4624" w:rsidRPr="00781112" w:rsidRDefault="001E4624" w:rsidP="001E4624">
            <w:pPr>
              <w:jc w:val="center"/>
              <w:rPr>
                <w:rFonts w:cs="Arial"/>
                <w:color w:val="000000" w:themeColor="text1"/>
                <w:szCs w:val="16"/>
              </w:rPr>
            </w:pPr>
            <w:r w:rsidRPr="00781112">
              <w:rPr>
                <w:rFonts w:cs="Arial"/>
                <w:color w:val="000000" w:themeColor="text1"/>
                <w:szCs w:val="16"/>
              </w:rPr>
              <w:t>2.70%</w:t>
            </w:r>
          </w:p>
        </w:tc>
      </w:tr>
      <w:tr w:rsidR="001E4624" w:rsidRPr="00781112" w14:paraId="3CCCC71B" w14:textId="77777777" w:rsidTr="0075451F">
        <w:trPr>
          <w:trHeight w:val="85"/>
        </w:trPr>
        <w:tc>
          <w:tcPr>
            <w:tcW w:w="1436" w:type="dxa"/>
            <w:tcBorders>
              <w:left w:val="single" w:sz="4" w:space="0" w:color="auto"/>
              <w:right w:val="single" w:sz="4" w:space="0" w:color="auto"/>
            </w:tcBorders>
            <w:shd w:val="clear" w:color="auto" w:fill="auto"/>
            <w:vAlign w:val="center"/>
          </w:tcPr>
          <w:p w14:paraId="6D30DFFA" w14:textId="1A2AAD7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B3, age 5</w:t>
            </w:r>
          </w:p>
        </w:tc>
        <w:tc>
          <w:tcPr>
            <w:tcW w:w="2025" w:type="dxa"/>
            <w:tcBorders>
              <w:left w:val="single" w:sz="4" w:space="0" w:color="auto"/>
              <w:right w:val="single" w:sz="4" w:space="0" w:color="auto"/>
            </w:tcBorders>
            <w:shd w:val="clear" w:color="auto" w:fill="auto"/>
          </w:tcPr>
          <w:p w14:paraId="070D5948" w14:textId="724CBD29"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626E285" w14:textId="0501CA6E" w:rsidR="001E4624" w:rsidRPr="00781112" w:rsidRDefault="001E4624" w:rsidP="001E4624">
            <w:pPr>
              <w:jc w:val="center"/>
              <w:rPr>
                <w:rFonts w:cs="Arial"/>
                <w:color w:val="000000" w:themeColor="text1"/>
                <w:szCs w:val="16"/>
              </w:rPr>
            </w:pPr>
            <w:r w:rsidRPr="00781112">
              <w:rPr>
                <w:rFonts w:cs="Arial"/>
                <w:color w:val="000000" w:themeColor="text1"/>
                <w:szCs w:val="16"/>
              </w:rPr>
              <w:t>2.98%</w:t>
            </w:r>
          </w:p>
        </w:tc>
      </w:tr>
      <w:tr w:rsidR="001E4624" w:rsidRPr="00781112" w14:paraId="33711952" w14:textId="77777777" w:rsidTr="0075451F">
        <w:trPr>
          <w:trHeight w:val="85"/>
        </w:trPr>
        <w:tc>
          <w:tcPr>
            <w:tcW w:w="1436" w:type="dxa"/>
            <w:tcBorders>
              <w:left w:val="single" w:sz="4" w:space="0" w:color="auto"/>
              <w:right w:val="single" w:sz="4" w:space="0" w:color="auto"/>
            </w:tcBorders>
            <w:shd w:val="clear" w:color="auto" w:fill="auto"/>
            <w:vAlign w:val="center"/>
          </w:tcPr>
          <w:p w14:paraId="72C75525" w14:textId="7597A32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C1, age 3</w:t>
            </w:r>
          </w:p>
        </w:tc>
        <w:tc>
          <w:tcPr>
            <w:tcW w:w="2025" w:type="dxa"/>
            <w:tcBorders>
              <w:left w:val="single" w:sz="4" w:space="0" w:color="auto"/>
              <w:right w:val="single" w:sz="4" w:space="0" w:color="auto"/>
            </w:tcBorders>
            <w:shd w:val="clear" w:color="auto" w:fill="auto"/>
          </w:tcPr>
          <w:p w14:paraId="641A5ACF" w14:textId="555A5326"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21AA677" w14:textId="0534C621" w:rsidR="001E4624" w:rsidRPr="00781112" w:rsidRDefault="001E4624" w:rsidP="001E4624">
            <w:pPr>
              <w:jc w:val="center"/>
              <w:rPr>
                <w:rFonts w:cs="Arial"/>
                <w:color w:val="000000" w:themeColor="text1"/>
                <w:szCs w:val="16"/>
              </w:rPr>
            </w:pPr>
            <w:r w:rsidRPr="00781112">
              <w:rPr>
                <w:rFonts w:cs="Arial"/>
                <w:color w:val="000000" w:themeColor="text1"/>
                <w:szCs w:val="16"/>
              </w:rPr>
              <w:t>20.16%</w:t>
            </w:r>
          </w:p>
        </w:tc>
      </w:tr>
      <w:tr w:rsidR="00456EB4" w:rsidRPr="00781112" w14:paraId="33825281" w14:textId="77777777" w:rsidTr="0075451F">
        <w:trPr>
          <w:trHeight w:val="85"/>
        </w:trPr>
        <w:tc>
          <w:tcPr>
            <w:tcW w:w="1436" w:type="dxa"/>
            <w:tcBorders>
              <w:left w:val="single" w:sz="4" w:space="0" w:color="auto"/>
              <w:right w:val="single" w:sz="4" w:space="0" w:color="auto"/>
            </w:tcBorders>
            <w:shd w:val="clear" w:color="auto" w:fill="auto"/>
            <w:vAlign w:val="center"/>
          </w:tcPr>
          <w:p w14:paraId="14E51C75" w14:textId="3F9A4E9A"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C2, age 4</w:t>
            </w:r>
          </w:p>
        </w:tc>
        <w:tc>
          <w:tcPr>
            <w:tcW w:w="2025" w:type="dxa"/>
            <w:tcBorders>
              <w:left w:val="single" w:sz="4" w:space="0" w:color="auto"/>
              <w:right w:val="single" w:sz="4" w:space="0" w:color="auto"/>
            </w:tcBorders>
            <w:shd w:val="clear" w:color="auto" w:fill="auto"/>
          </w:tcPr>
          <w:p w14:paraId="34817ACA" w14:textId="1DC643F0"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505965" w14:textId="5A29076E" w:rsidR="00456EB4" w:rsidRPr="00781112" w:rsidRDefault="00456EB4" w:rsidP="00456EB4">
            <w:pPr>
              <w:jc w:val="center"/>
              <w:rPr>
                <w:rFonts w:cs="Arial"/>
                <w:color w:val="000000" w:themeColor="text1"/>
                <w:szCs w:val="16"/>
              </w:rPr>
            </w:pPr>
            <w:r w:rsidRPr="00781112">
              <w:rPr>
                <w:rFonts w:cs="Arial"/>
                <w:color w:val="000000" w:themeColor="text1"/>
                <w:szCs w:val="16"/>
              </w:rPr>
              <w:t>7.16%</w:t>
            </w:r>
          </w:p>
        </w:tc>
      </w:tr>
      <w:tr w:rsidR="00456EB4" w:rsidRPr="00781112" w14:paraId="27B18687" w14:textId="77777777" w:rsidTr="0075451F">
        <w:trPr>
          <w:trHeight w:val="85"/>
        </w:trPr>
        <w:tc>
          <w:tcPr>
            <w:tcW w:w="1436" w:type="dxa"/>
            <w:tcBorders>
              <w:left w:val="single" w:sz="4" w:space="0" w:color="auto"/>
              <w:right w:val="single" w:sz="4" w:space="0" w:color="auto"/>
            </w:tcBorders>
            <w:shd w:val="clear" w:color="auto" w:fill="auto"/>
            <w:vAlign w:val="center"/>
          </w:tcPr>
          <w:p w14:paraId="29A3FE66" w14:textId="214536EF"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C3, age 5</w:t>
            </w:r>
          </w:p>
        </w:tc>
        <w:tc>
          <w:tcPr>
            <w:tcW w:w="2025" w:type="dxa"/>
            <w:tcBorders>
              <w:left w:val="single" w:sz="4" w:space="0" w:color="auto"/>
              <w:right w:val="single" w:sz="4" w:space="0" w:color="auto"/>
            </w:tcBorders>
            <w:shd w:val="clear" w:color="auto" w:fill="auto"/>
          </w:tcPr>
          <w:p w14:paraId="1363593D" w14:textId="775933AE"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56325E4" w14:textId="342097A4" w:rsidR="00456EB4" w:rsidRPr="00781112" w:rsidRDefault="00456EB4" w:rsidP="00456EB4">
            <w:pPr>
              <w:jc w:val="center"/>
              <w:rPr>
                <w:rFonts w:cs="Arial"/>
                <w:color w:val="000000" w:themeColor="text1"/>
                <w:szCs w:val="16"/>
              </w:rPr>
            </w:pPr>
            <w:r w:rsidRPr="00781112">
              <w:rPr>
                <w:rFonts w:cs="Arial"/>
                <w:color w:val="000000" w:themeColor="text1"/>
                <w:szCs w:val="16"/>
              </w:rPr>
              <w:t>6.83%</w:t>
            </w:r>
          </w:p>
        </w:tc>
      </w:tr>
    </w:tbl>
    <w:p w14:paraId="190C9CCB" w14:textId="0185B4A6" w:rsidR="00992ACE" w:rsidRPr="00781112" w:rsidRDefault="00992ACE" w:rsidP="00794672">
      <w:pPr>
        <w:rPr>
          <w:color w:val="000000" w:themeColor="text1"/>
        </w:rPr>
      </w:pPr>
    </w:p>
    <w:p w14:paraId="4B137202" w14:textId="77777777" w:rsidR="00681B2A" w:rsidRPr="001C443D" w:rsidRDefault="00681B2A" w:rsidP="001C443D">
      <w:pPr>
        <w:rPr>
          <w:b/>
          <w:bCs/>
        </w:rPr>
      </w:pPr>
      <w:r w:rsidRPr="001C443D">
        <w:rPr>
          <w:b/>
          <w:bCs/>
        </w:rPr>
        <w:t>Individual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DV"/>
      </w:tblPr>
      <w:tblGrid>
        <w:gridCol w:w="1076"/>
        <w:gridCol w:w="1617"/>
        <w:gridCol w:w="1617"/>
        <w:gridCol w:w="1621"/>
        <w:gridCol w:w="1619"/>
        <w:gridCol w:w="1619"/>
      </w:tblGrid>
      <w:tr w:rsidR="00B14519" w:rsidRPr="00781112" w14:paraId="1291FC80" w14:textId="77777777" w:rsidTr="00451D7E">
        <w:trPr>
          <w:trHeight w:val="297"/>
        </w:trPr>
        <w:tc>
          <w:tcPr>
            <w:tcW w:w="586" w:type="pct"/>
            <w:tcBorders>
              <w:bottom w:val="single" w:sz="4" w:space="0" w:color="auto"/>
            </w:tcBorders>
            <w:shd w:val="clear" w:color="auto" w:fill="auto"/>
            <w:vAlign w:val="center"/>
          </w:tcPr>
          <w:p w14:paraId="235A0B6B" w14:textId="77777777" w:rsidR="00B14519" w:rsidRPr="00781112" w:rsidRDefault="00B14519" w:rsidP="00827FF4">
            <w:pPr>
              <w:jc w:val="center"/>
              <w:rPr>
                <w:b/>
                <w:color w:val="000000" w:themeColor="text1"/>
              </w:rPr>
            </w:pPr>
            <w:r w:rsidRPr="00781112">
              <w:rPr>
                <w:b/>
                <w:color w:val="000000" w:themeColor="text1"/>
              </w:rPr>
              <w:t>FFY</w:t>
            </w:r>
          </w:p>
        </w:tc>
        <w:tc>
          <w:tcPr>
            <w:tcW w:w="882" w:type="pct"/>
            <w:shd w:val="clear" w:color="auto" w:fill="auto"/>
            <w:vAlign w:val="center"/>
          </w:tcPr>
          <w:p w14:paraId="5074C742" w14:textId="77777777" w:rsidR="00B14519" w:rsidRPr="00781112" w:rsidRDefault="00B14519" w:rsidP="00827FF4">
            <w:pPr>
              <w:jc w:val="center"/>
              <w:rPr>
                <w:b/>
                <w:color w:val="000000" w:themeColor="text1"/>
              </w:rPr>
            </w:pPr>
            <w:r w:rsidRPr="00781112">
              <w:rPr>
                <w:b/>
                <w:color w:val="000000" w:themeColor="text1"/>
              </w:rPr>
              <w:t>2021</w:t>
            </w:r>
          </w:p>
        </w:tc>
        <w:tc>
          <w:tcPr>
            <w:tcW w:w="882" w:type="pct"/>
            <w:vAlign w:val="center"/>
          </w:tcPr>
          <w:p w14:paraId="2B0D2271" w14:textId="77777777" w:rsidR="00B14519" w:rsidRPr="00781112" w:rsidRDefault="00B14519" w:rsidP="00360DD6">
            <w:pPr>
              <w:jc w:val="center"/>
              <w:rPr>
                <w:b/>
                <w:color w:val="000000" w:themeColor="text1"/>
              </w:rPr>
            </w:pPr>
            <w:r w:rsidRPr="00781112">
              <w:rPr>
                <w:b/>
                <w:color w:val="000000" w:themeColor="text1"/>
              </w:rPr>
              <w:t>2022</w:t>
            </w:r>
          </w:p>
        </w:tc>
        <w:tc>
          <w:tcPr>
            <w:tcW w:w="884" w:type="pct"/>
            <w:vAlign w:val="center"/>
          </w:tcPr>
          <w:p w14:paraId="31EF1F5F" w14:textId="77777777" w:rsidR="00B14519" w:rsidRPr="00781112" w:rsidRDefault="00B14519" w:rsidP="00360DD6">
            <w:pPr>
              <w:jc w:val="center"/>
              <w:rPr>
                <w:b/>
                <w:color w:val="000000" w:themeColor="text1"/>
              </w:rPr>
            </w:pPr>
            <w:r w:rsidRPr="00781112">
              <w:rPr>
                <w:b/>
                <w:color w:val="000000" w:themeColor="text1"/>
              </w:rPr>
              <w:t>2023</w:t>
            </w:r>
          </w:p>
        </w:tc>
        <w:tc>
          <w:tcPr>
            <w:tcW w:w="883" w:type="pct"/>
            <w:vAlign w:val="center"/>
          </w:tcPr>
          <w:p w14:paraId="3D933C94" w14:textId="77777777" w:rsidR="00B14519" w:rsidRPr="00781112" w:rsidRDefault="00B14519" w:rsidP="00360DD6">
            <w:pPr>
              <w:jc w:val="center"/>
              <w:rPr>
                <w:b/>
                <w:color w:val="000000" w:themeColor="text1"/>
              </w:rPr>
            </w:pPr>
            <w:r w:rsidRPr="00781112">
              <w:rPr>
                <w:b/>
                <w:color w:val="000000" w:themeColor="text1"/>
              </w:rPr>
              <w:t>2024</w:t>
            </w:r>
          </w:p>
        </w:tc>
        <w:tc>
          <w:tcPr>
            <w:tcW w:w="883" w:type="pct"/>
            <w:vAlign w:val="center"/>
          </w:tcPr>
          <w:p w14:paraId="5487D507" w14:textId="77777777" w:rsidR="00B14519" w:rsidRPr="00781112" w:rsidRDefault="00B14519" w:rsidP="00360DD6">
            <w:pPr>
              <w:jc w:val="center"/>
              <w:rPr>
                <w:b/>
                <w:color w:val="000000" w:themeColor="text1"/>
              </w:rPr>
            </w:pPr>
            <w:r w:rsidRPr="00781112">
              <w:rPr>
                <w:b/>
                <w:color w:val="000000" w:themeColor="text1"/>
              </w:rPr>
              <w:t>2025</w:t>
            </w:r>
          </w:p>
        </w:tc>
      </w:tr>
      <w:tr w:rsidR="00B14519" w:rsidRPr="00781112" w14:paraId="500CD187" w14:textId="77777777" w:rsidTr="00451D7E">
        <w:trPr>
          <w:trHeight w:val="303"/>
        </w:trPr>
        <w:tc>
          <w:tcPr>
            <w:tcW w:w="586" w:type="pct"/>
            <w:shd w:val="clear" w:color="auto" w:fill="auto"/>
            <w:vAlign w:val="center"/>
          </w:tcPr>
          <w:p w14:paraId="0590697C" w14:textId="29707F4E" w:rsidR="00B14519" w:rsidRPr="00781112" w:rsidRDefault="00B14519" w:rsidP="00827FF4">
            <w:pPr>
              <w:rPr>
                <w:rFonts w:cs="Arial"/>
                <w:color w:val="000000" w:themeColor="text1"/>
                <w:szCs w:val="16"/>
              </w:rPr>
            </w:pPr>
            <w:r w:rsidRPr="00781112">
              <w:rPr>
                <w:rFonts w:cs="Arial"/>
                <w:color w:val="000000" w:themeColor="text1"/>
                <w:szCs w:val="16"/>
              </w:rPr>
              <w:t>Target A1, age 3 &gt;=</w:t>
            </w:r>
          </w:p>
        </w:tc>
        <w:tc>
          <w:tcPr>
            <w:tcW w:w="882" w:type="pct"/>
            <w:shd w:val="clear" w:color="auto" w:fill="auto"/>
            <w:vAlign w:val="center"/>
          </w:tcPr>
          <w:p w14:paraId="102B6941" w14:textId="1AD00AD6" w:rsidR="00B14519" w:rsidRPr="00781112" w:rsidRDefault="00B14519" w:rsidP="00827FF4">
            <w:pPr>
              <w:jc w:val="center"/>
              <w:rPr>
                <w:color w:val="000000" w:themeColor="text1"/>
              </w:rPr>
            </w:pPr>
            <w:r w:rsidRPr="00781112">
              <w:rPr>
                <w:color w:val="000000" w:themeColor="text1"/>
              </w:rPr>
              <w:t>65.95%</w:t>
            </w:r>
          </w:p>
        </w:tc>
        <w:tc>
          <w:tcPr>
            <w:tcW w:w="882" w:type="pct"/>
            <w:vAlign w:val="center"/>
          </w:tcPr>
          <w:p w14:paraId="6C71A6B9" w14:textId="3C926706" w:rsidR="00B14519" w:rsidRPr="00781112" w:rsidRDefault="00B14519" w:rsidP="00360DD6">
            <w:pPr>
              <w:jc w:val="center"/>
              <w:rPr>
                <w:color w:val="000000" w:themeColor="text1"/>
              </w:rPr>
            </w:pPr>
            <w:r w:rsidRPr="00781112">
              <w:rPr>
                <w:color w:val="000000" w:themeColor="text1"/>
              </w:rPr>
              <w:t>66.45%</w:t>
            </w:r>
          </w:p>
        </w:tc>
        <w:tc>
          <w:tcPr>
            <w:tcW w:w="884" w:type="pct"/>
            <w:vAlign w:val="center"/>
          </w:tcPr>
          <w:p w14:paraId="5F15E551" w14:textId="7411F872" w:rsidR="00B14519" w:rsidRPr="00781112" w:rsidRDefault="00B14519" w:rsidP="00360DD6">
            <w:pPr>
              <w:jc w:val="center"/>
              <w:rPr>
                <w:color w:val="000000" w:themeColor="text1"/>
              </w:rPr>
            </w:pPr>
            <w:r w:rsidRPr="00781112">
              <w:rPr>
                <w:color w:val="000000" w:themeColor="text1"/>
              </w:rPr>
              <w:t>66.95%</w:t>
            </w:r>
          </w:p>
        </w:tc>
        <w:tc>
          <w:tcPr>
            <w:tcW w:w="883" w:type="pct"/>
            <w:vAlign w:val="center"/>
          </w:tcPr>
          <w:p w14:paraId="660B33A8" w14:textId="5B6F2C0B" w:rsidR="00B14519" w:rsidRPr="00781112" w:rsidRDefault="00B14519" w:rsidP="00360DD6">
            <w:pPr>
              <w:jc w:val="center"/>
              <w:rPr>
                <w:color w:val="000000" w:themeColor="text1"/>
              </w:rPr>
            </w:pPr>
            <w:r w:rsidRPr="00781112">
              <w:rPr>
                <w:color w:val="000000" w:themeColor="text1"/>
              </w:rPr>
              <w:t>67.45%</w:t>
            </w:r>
          </w:p>
        </w:tc>
        <w:tc>
          <w:tcPr>
            <w:tcW w:w="883" w:type="pct"/>
            <w:vAlign w:val="center"/>
          </w:tcPr>
          <w:p w14:paraId="56C9AF10" w14:textId="4810926A" w:rsidR="00B14519" w:rsidRPr="00781112" w:rsidRDefault="00B14519" w:rsidP="00360DD6">
            <w:pPr>
              <w:jc w:val="center"/>
              <w:rPr>
                <w:color w:val="000000" w:themeColor="text1"/>
              </w:rPr>
            </w:pPr>
            <w:r w:rsidRPr="00781112">
              <w:rPr>
                <w:color w:val="000000" w:themeColor="text1"/>
              </w:rPr>
              <w:t>67.95%</w:t>
            </w:r>
          </w:p>
        </w:tc>
      </w:tr>
      <w:tr w:rsidR="00B14519" w:rsidRPr="00781112" w14:paraId="423C2E06" w14:textId="77777777" w:rsidTr="00451D7E">
        <w:trPr>
          <w:trHeight w:val="303"/>
        </w:trPr>
        <w:tc>
          <w:tcPr>
            <w:tcW w:w="586" w:type="pct"/>
            <w:shd w:val="clear" w:color="auto" w:fill="auto"/>
            <w:vAlign w:val="center"/>
          </w:tcPr>
          <w:p w14:paraId="16CF02C9" w14:textId="427CDB56" w:rsidR="00B14519" w:rsidRPr="00781112" w:rsidRDefault="00B14519" w:rsidP="00827FF4">
            <w:pPr>
              <w:rPr>
                <w:rFonts w:cs="Arial"/>
                <w:color w:val="000000" w:themeColor="text1"/>
                <w:szCs w:val="16"/>
              </w:rPr>
            </w:pPr>
            <w:r w:rsidRPr="00781112">
              <w:rPr>
                <w:rFonts w:cs="Arial"/>
                <w:color w:val="000000" w:themeColor="text1"/>
                <w:szCs w:val="16"/>
              </w:rPr>
              <w:t>Target B1, age 3 &lt;=</w:t>
            </w:r>
          </w:p>
        </w:tc>
        <w:tc>
          <w:tcPr>
            <w:tcW w:w="882" w:type="pct"/>
            <w:shd w:val="clear" w:color="auto" w:fill="auto"/>
            <w:vAlign w:val="center"/>
          </w:tcPr>
          <w:p w14:paraId="1EAA8B39" w14:textId="66B8C232" w:rsidR="00B14519" w:rsidRPr="00781112" w:rsidRDefault="00B14519" w:rsidP="00827FF4">
            <w:pPr>
              <w:jc w:val="center"/>
              <w:rPr>
                <w:rFonts w:cs="Arial"/>
                <w:color w:val="000000" w:themeColor="text1"/>
                <w:szCs w:val="16"/>
              </w:rPr>
            </w:pPr>
            <w:r w:rsidRPr="00781112">
              <w:rPr>
                <w:rFonts w:cs="Arial"/>
                <w:color w:val="000000" w:themeColor="text1"/>
                <w:szCs w:val="16"/>
              </w:rPr>
              <w:t>4.26%</w:t>
            </w:r>
          </w:p>
        </w:tc>
        <w:tc>
          <w:tcPr>
            <w:tcW w:w="882" w:type="pct"/>
            <w:vAlign w:val="center"/>
          </w:tcPr>
          <w:p w14:paraId="0FABD803" w14:textId="44E4C9DA" w:rsidR="00B14519" w:rsidRPr="00781112" w:rsidRDefault="00B14519" w:rsidP="00360DD6">
            <w:pPr>
              <w:jc w:val="center"/>
              <w:rPr>
                <w:rFonts w:cs="Arial"/>
                <w:color w:val="000000" w:themeColor="text1"/>
                <w:szCs w:val="16"/>
              </w:rPr>
            </w:pPr>
            <w:r w:rsidRPr="00781112">
              <w:rPr>
                <w:rFonts w:cs="Arial"/>
                <w:color w:val="000000" w:themeColor="text1"/>
                <w:szCs w:val="16"/>
              </w:rPr>
              <w:t>4.01%</w:t>
            </w:r>
          </w:p>
        </w:tc>
        <w:tc>
          <w:tcPr>
            <w:tcW w:w="884" w:type="pct"/>
            <w:vAlign w:val="center"/>
          </w:tcPr>
          <w:p w14:paraId="4E8A9772" w14:textId="32C9B38A" w:rsidR="00B14519" w:rsidRPr="00781112" w:rsidRDefault="00B14519" w:rsidP="00360DD6">
            <w:pPr>
              <w:jc w:val="center"/>
              <w:rPr>
                <w:color w:val="000000" w:themeColor="text1"/>
              </w:rPr>
            </w:pPr>
            <w:r w:rsidRPr="00781112">
              <w:rPr>
                <w:color w:val="000000" w:themeColor="text1"/>
              </w:rPr>
              <w:t>3.76%</w:t>
            </w:r>
          </w:p>
        </w:tc>
        <w:tc>
          <w:tcPr>
            <w:tcW w:w="883" w:type="pct"/>
            <w:vAlign w:val="center"/>
          </w:tcPr>
          <w:p w14:paraId="35E0DEA2" w14:textId="43DDFB6F" w:rsidR="00B14519" w:rsidRPr="00781112" w:rsidRDefault="00B14519" w:rsidP="00360DD6">
            <w:pPr>
              <w:jc w:val="center"/>
              <w:rPr>
                <w:color w:val="000000" w:themeColor="text1"/>
              </w:rPr>
            </w:pPr>
            <w:r w:rsidRPr="00781112">
              <w:rPr>
                <w:color w:val="000000" w:themeColor="text1"/>
              </w:rPr>
              <w:t>3.51%</w:t>
            </w:r>
          </w:p>
        </w:tc>
        <w:tc>
          <w:tcPr>
            <w:tcW w:w="883" w:type="pct"/>
            <w:vAlign w:val="center"/>
          </w:tcPr>
          <w:p w14:paraId="0EC9CE1D" w14:textId="479BE6FB" w:rsidR="00B14519" w:rsidRPr="00781112" w:rsidRDefault="00B14519" w:rsidP="00360DD6">
            <w:pPr>
              <w:jc w:val="center"/>
              <w:rPr>
                <w:color w:val="000000" w:themeColor="text1"/>
              </w:rPr>
            </w:pPr>
            <w:r w:rsidRPr="00781112">
              <w:rPr>
                <w:color w:val="000000" w:themeColor="text1"/>
              </w:rPr>
              <w:t>3.26%</w:t>
            </w:r>
          </w:p>
        </w:tc>
      </w:tr>
      <w:tr w:rsidR="00B14519" w:rsidRPr="00781112" w14:paraId="17E83926" w14:textId="77777777" w:rsidTr="00451D7E">
        <w:trPr>
          <w:trHeight w:val="303"/>
        </w:trPr>
        <w:tc>
          <w:tcPr>
            <w:tcW w:w="586" w:type="pct"/>
            <w:shd w:val="clear" w:color="auto" w:fill="auto"/>
            <w:vAlign w:val="center"/>
          </w:tcPr>
          <w:p w14:paraId="35F4AE60" w14:textId="07C79799" w:rsidR="00B14519" w:rsidRPr="00781112" w:rsidRDefault="00B14519" w:rsidP="00C21BFD">
            <w:pPr>
              <w:rPr>
                <w:rFonts w:cs="Arial"/>
                <w:color w:val="000000" w:themeColor="text1"/>
                <w:szCs w:val="16"/>
              </w:rPr>
            </w:pPr>
            <w:r w:rsidRPr="00781112">
              <w:rPr>
                <w:rFonts w:cs="Arial"/>
                <w:color w:val="000000" w:themeColor="text1"/>
                <w:szCs w:val="16"/>
              </w:rPr>
              <w:t xml:space="preserve">Target A2, age 4 &gt;= </w:t>
            </w:r>
          </w:p>
        </w:tc>
        <w:tc>
          <w:tcPr>
            <w:tcW w:w="882" w:type="pct"/>
            <w:shd w:val="clear" w:color="auto" w:fill="auto"/>
            <w:vAlign w:val="center"/>
          </w:tcPr>
          <w:p w14:paraId="06D259FE" w14:textId="61B699BB" w:rsidR="00B14519" w:rsidRPr="00781112" w:rsidRDefault="00B14519" w:rsidP="00C21BFD">
            <w:pPr>
              <w:jc w:val="center"/>
              <w:rPr>
                <w:rFonts w:cs="Arial"/>
                <w:color w:val="000000" w:themeColor="text1"/>
                <w:szCs w:val="16"/>
              </w:rPr>
            </w:pPr>
            <w:r w:rsidRPr="00781112">
              <w:rPr>
                <w:color w:val="000000" w:themeColor="text1"/>
              </w:rPr>
              <w:t>82.15%</w:t>
            </w:r>
          </w:p>
        </w:tc>
        <w:tc>
          <w:tcPr>
            <w:tcW w:w="882" w:type="pct"/>
            <w:vAlign w:val="center"/>
          </w:tcPr>
          <w:p w14:paraId="4ED312D4" w14:textId="38FA9B65" w:rsidR="00B14519" w:rsidRPr="00781112" w:rsidRDefault="00B14519" w:rsidP="00360DD6">
            <w:pPr>
              <w:jc w:val="center"/>
              <w:rPr>
                <w:rFonts w:cs="Arial"/>
                <w:color w:val="000000" w:themeColor="text1"/>
                <w:szCs w:val="16"/>
              </w:rPr>
            </w:pPr>
            <w:r w:rsidRPr="00781112">
              <w:rPr>
                <w:rFonts w:cs="Arial"/>
                <w:color w:val="000000" w:themeColor="text1"/>
                <w:szCs w:val="16"/>
              </w:rPr>
              <w:t>82.65%</w:t>
            </w:r>
          </w:p>
        </w:tc>
        <w:tc>
          <w:tcPr>
            <w:tcW w:w="884" w:type="pct"/>
            <w:vAlign w:val="center"/>
          </w:tcPr>
          <w:p w14:paraId="128639A4" w14:textId="00EF3D34" w:rsidR="00B14519" w:rsidRPr="00781112" w:rsidRDefault="00B14519" w:rsidP="00360DD6">
            <w:pPr>
              <w:jc w:val="center"/>
              <w:rPr>
                <w:color w:val="000000" w:themeColor="text1"/>
              </w:rPr>
            </w:pPr>
            <w:r w:rsidRPr="00781112">
              <w:rPr>
                <w:color w:val="000000" w:themeColor="text1"/>
              </w:rPr>
              <w:t>83.15%</w:t>
            </w:r>
          </w:p>
        </w:tc>
        <w:tc>
          <w:tcPr>
            <w:tcW w:w="883" w:type="pct"/>
            <w:vAlign w:val="center"/>
          </w:tcPr>
          <w:p w14:paraId="425E0E43" w14:textId="5C6E0F51" w:rsidR="00B14519" w:rsidRPr="00781112" w:rsidRDefault="00B14519" w:rsidP="00360DD6">
            <w:pPr>
              <w:jc w:val="center"/>
              <w:rPr>
                <w:color w:val="000000" w:themeColor="text1"/>
              </w:rPr>
            </w:pPr>
            <w:r w:rsidRPr="00781112">
              <w:rPr>
                <w:color w:val="000000" w:themeColor="text1"/>
              </w:rPr>
              <w:t>83.65%</w:t>
            </w:r>
          </w:p>
        </w:tc>
        <w:tc>
          <w:tcPr>
            <w:tcW w:w="883" w:type="pct"/>
            <w:vAlign w:val="center"/>
          </w:tcPr>
          <w:p w14:paraId="2D55F755" w14:textId="2F019DAF" w:rsidR="00B14519" w:rsidRPr="00781112" w:rsidRDefault="00B14519" w:rsidP="00360DD6">
            <w:pPr>
              <w:jc w:val="center"/>
              <w:rPr>
                <w:color w:val="000000" w:themeColor="text1"/>
              </w:rPr>
            </w:pPr>
            <w:r w:rsidRPr="00781112">
              <w:rPr>
                <w:color w:val="000000" w:themeColor="text1"/>
              </w:rPr>
              <w:t>84.15%</w:t>
            </w:r>
          </w:p>
        </w:tc>
      </w:tr>
      <w:tr w:rsidR="00B14519" w:rsidRPr="00781112" w14:paraId="30636B6A" w14:textId="77777777" w:rsidTr="00451D7E">
        <w:trPr>
          <w:trHeight w:val="303"/>
        </w:trPr>
        <w:tc>
          <w:tcPr>
            <w:tcW w:w="586" w:type="pct"/>
            <w:shd w:val="clear" w:color="auto" w:fill="auto"/>
            <w:vAlign w:val="center"/>
          </w:tcPr>
          <w:p w14:paraId="42E526CB" w14:textId="288A1BDB" w:rsidR="00B14519" w:rsidRPr="00781112" w:rsidRDefault="00B14519" w:rsidP="00C21BFD">
            <w:pPr>
              <w:rPr>
                <w:rFonts w:cs="Arial"/>
                <w:color w:val="000000" w:themeColor="text1"/>
                <w:szCs w:val="16"/>
              </w:rPr>
            </w:pPr>
            <w:r w:rsidRPr="00781112">
              <w:rPr>
                <w:rFonts w:cs="Arial"/>
                <w:color w:val="000000" w:themeColor="text1"/>
                <w:szCs w:val="16"/>
              </w:rPr>
              <w:t>Target B2, age 4 &lt;=</w:t>
            </w:r>
          </w:p>
        </w:tc>
        <w:tc>
          <w:tcPr>
            <w:tcW w:w="882" w:type="pct"/>
            <w:shd w:val="clear" w:color="auto" w:fill="auto"/>
            <w:vAlign w:val="center"/>
          </w:tcPr>
          <w:p w14:paraId="6C0E183A" w14:textId="2F76768C" w:rsidR="00B14519" w:rsidRPr="00781112" w:rsidRDefault="00B14519" w:rsidP="00C21BFD">
            <w:pPr>
              <w:jc w:val="center"/>
              <w:rPr>
                <w:rFonts w:cs="Arial"/>
                <w:color w:val="000000" w:themeColor="text1"/>
                <w:szCs w:val="16"/>
              </w:rPr>
            </w:pPr>
            <w:r w:rsidRPr="00781112">
              <w:rPr>
                <w:rFonts w:cs="Arial"/>
                <w:color w:val="000000" w:themeColor="text1"/>
                <w:szCs w:val="16"/>
              </w:rPr>
              <w:t>2.60%</w:t>
            </w:r>
          </w:p>
        </w:tc>
        <w:tc>
          <w:tcPr>
            <w:tcW w:w="882" w:type="pct"/>
            <w:vAlign w:val="center"/>
          </w:tcPr>
          <w:p w14:paraId="73C46B25" w14:textId="3C330F6B" w:rsidR="00B14519" w:rsidRPr="00781112" w:rsidRDefault="00B14519" w:rsidP="00360DD6">
            <w:pPr>
              <w:jc w:val="center"/>
              <w:rPr>
                <w:rFonts w:cs="Arial"/>
                <w:color w:val="000000" w:themeColor="text1"/>
                <w:szCs w:val="16"/>
              </w:rPr>
            </w:pPr>
            <w:r w:rsidRPr="00781112">
              <w:rPr>
                <w:rFonts w:cs="Arial"/>
                <w:color w:val="000000" w:themeColor="text1"/>
                <w:szCs w:val="16"/>
              </w:rPr>
              <w:t>2.50%</w:t>
            </w:r>
          </w:p>
        </w:tc>
        <w:tc>
          <w:tcPr>
            <w:tcW w:w="884" w:type="pct"/>
            <w:vAlign w:val="center"/>
          </w:tcPr>
          <w:p w14:paraId="514F50DE" w14:textId="66532DAA" w:rsidR="00B14519" w:rsidRPr="00781112" w:rsidRDefault="00B14519" w:rsidP="00360DD6">
            <w:pPr>
              <w:jc w:val="center"/>
              <w:rPr>
                <w:color w:val="000000" w:themeColor="text1"/>
              </w:rPr>
            </w:pPr>
            <w:r w:rsidRPr="00781112">
              <w:rPr>
                <w:color w:val="000000" w:themeColor="text1"/>
              </w:rPr>
              <w:t>2.40%</w:t>
            </w:r>
          </w:p>
        </w:tc>
        <w:tc>
          <w:tcPr>
            <w:tcW w:w="883" w:type="pct"/>
            <w:vAlign w:val="center"/>
          </w:tcPr>
          <w:p w14:paraId="6ADE3A2D" w14:textId="7F390997" w:rsidR="00B14519" w:rsidRPr="00781112" w:rsidRDefault="00B14519" w:rsidP="00360DD6">
            <w:pPr>
              <w:jc w:val="center"/>
              <w:rPr>
                <w:color w:val="000000" w:themeColor="text1"/>
              </w:rPr>
            </w:pPr>
            <w:r w:rsidRPr="00781112">
              <w:rPr>
                <w:color w:val="000000" w:themeColor="text1"/>
              </w:rPr>
              <w:t>2.30%</w:t>
            </w:r>
          </w:p>
        </w:tc>
        <w:tc>
          <w:tcPr>
            <w:tcW w:w="883" w:type="pct"/>
            <w:vAlign w:val="center"/>
          </w:tcPr>
          <w:p w14:paraId="6A6AAEE8" w14:textId="75D27086" w:rsidR="00B14519" w:rsidRPr="00781112" w:rsidRDefault="00B14519" w:rsidP="00360DD6">
            <w:pPr>
              <w:jc w:val="center"/>
              <w:rPr>
                <w:color w:val="000000" w:themeColor="text1"/>
              </w:rPr>
            </w:pPr>
            <w:r w:rsidRPr="00781112">
              <w:rPr>
                <w:color w:val="000000" w:themeColor="text1"/>
              </w:rPr>
              <w:t>2.20%</w:t>
            </w:r>
          </w:p>
        </w:tc>
      </w:tr>
      <w:tr w:rsidR="00B14519" w:rsidRPr="00781112" w14:paraId="7266D71C" w14:textId="77777777" w:rsidTr="00451D7E">
        <w:trPr>
          <w:trHeight w:val="303"/>
        </w:trPr>
        <w:tc>
          <w:tcPr>
            <w:tcW w:w="586" w:type="pct"/>
            <w:shd w:val="clear" w:color="auto" w:fill="auto"/>
            <w:vAlign w:val="center"/>
          </w:tcPr>
          <w:p w14:paraId="15B65070" w14:textId="30A44DBE" w:rsidR="00B14519" w:rsidRPr="00781112" w:rsidRDefault="00B14519" w:rsidP="00C21BFD">
            <w:pPr>
              <w:rPr>
                <w:rFonts w:cs="Arial"/>
                <w:color w:val="000000" w:themeColor="text1"/>
                <w:szCs w:val="16"/>
              </w:rPr>
            </w:pPr>
            <w:r w:rsidRPr="00781112">
              <w:rPr>
                <w:rFonts w:cs="Arial"/>
                <w:color w:val="000000" w:themeColor="text1"/>
                <w:szCs w:val="16"/>
              </w:rPr>
              <w:t xml:space="preserve">Target A3, age 5 &gt;= </w:t>
            </w:r>
          </w:p>
        </w:tc>
        <w:tc>
          <w:tcPr>
            <w:tcW w:w="882" w:type="pct"/>
            <w:shd w:val="clear" w:color="auto" w:fill="auto"/>
            <w:vAlign w:val="center"/>
          </w:tcPr>
          <w:p w14:paraId="0E388B91" w14:textId="00CCC6CD" w:rsidR="00B14519" w:rsidRPr="00781112" w:rsidRDefault="00B14519" w:rsidP="00C21BFD">
            <w:pPr>
              <w:jc w:val="center"/>
              <w:rPr>
                <w:rFonts w:cs="Arial"/>
                <w:color w:val="000000" w:themeColor="text1"/>
                <w:szCs w:val="16"/>
              </w:rPr>
            </w:pPr>
            <w:r w:rsidRPr="00781112">
              <w:rPr>
                <w:color w:val="000000" w:themeColor="text1"/>
              </w:rPr>
              <w:t>78.73%</w:t>
            </w:r>
          </w:p>
        </w:tc>
        <w:tc>
          <w:tcPr>
            <w:tcW w:w="882" w:type="pct"/>
            <w:vAlign w:val="center"/>
          </w:tcPr>
          <w:p w14:paraId="2A4EF9F7" w14:textId="75670117" w:rsidR="00B14519" w:rsidRPr="00781112" w:rsidRDefault="00B14519" w:rsidP="00360DD6">
            <w:pPr>
              <w:jc w:val="center"/>
              <w:rPr>
                <w:rFonts w:cs="Arial"/>
                <w:color w:val="000000" w:themeColor="text1"/>
                <w:szCs w:val="16"/>
              </w:rPr>
            </w:pPr>
            <w:r w:rsidRPr="00781112">
              <w:rPr>
                <w:rFonts w:cs="Arial"/>
                <w:color w:val="000000" w:themeColor="text1"/>
                <w:szCs w:val="16"/>
              </w:rPr>
              <w:t>78.83%</w:t>
            </w:r>
          </w:p>
        </w:tc>
        <w:tc>
          <w:tcPr>
            <w:tcW w:w="884" w:type="pct"/>
            <w:vAlign w:val="center"/>
          </w:tcPr>
          <w:p w14:paraId="32D84CBA" w14:textId="571DAFDE" w:rsidR="00B14519" w:rsidRPr="00781112" w:rsidRDefault="00B14519" w:rsidP="00360DD6">
            <w:pPr>
              <w:jc w:val="center"/>
              <w:rPr>
                <w:color w:val="000000" w:themeColor="text1"/>
              </w:rPr>
            </w:pPr>
            <w:r w:rsidRPr="00781112">
              <w:rPr>
                <w:color w:val="000000" w:themeColor="text1"/>
              </w:rPr>
              <w:t>78.93%</w:t>
            </w:r>
          </w:p>
        </w:tc>
        <w:tc>
          <w:tcPr>
            <w:tcW w:w="883" w:type="pct"/>
            <w:vAlign w:val="center"/>
          </w:tcPr>
          <w:p w14:paraId="2F0446CD" w14:textId="37D5578E" w:rsidR="00B14519" w:rsidRPr="00781112" w:rsidRDefault="00B14519" w:rsidP="00360DD6">
            <w:pPr>
              <w:jc w:val="center"/>
              <w:rPr>
                <w:color w:val="000000" w:themeColor="text1"/>
              </w:rPr>
            </w:pPr>
            <w:r w:rsidRPr="00781112">
              <w:rPr>
                <w:color w:val="000000" w:themeColor="text1"/>
              </w:rPr>
              <w:t>79.03%</w:t>
            </w:r>
          </w:p>
        </w:tc>
        <w:tc>
          <w:tcPr>
            <w:tcW w:w="883" w:type="pct"/>
            <w:vAlign w:val="center"/>
          </w:tcPr>
          <w:p w14:paraId="521CE809" w14:textId="4429012E" w:rsidR="00B14519" w:rsidRPr="00781112" w:rsidRDefault="00B14519" w:rsidP="00360DD6">
            <w:pPr>
              <w:jc w:val="center"/>
              <w:rPr>
                <w:color w:val="000000" w:themeColor="text1"/>
              </w:rPr>
            </w:pPr>
            <w:r w:rsidRPr="00781112">
              <w:rPr>
                <w:color w:val="000000" w:themeColor="text1"/>
              </w:rPr>
              <w:t>79.13%</w:t>
            </w:r>
          </w:p>
        </w:tc>
      </w:tr>
      <w:tr w:rsidR="00B14519" w:rsidRPr="00781112" w14:paraId="1CBDF891" w14:textId="77777777" w:rsidTr="00451D7E">
        <w:trPr>
          <w:trHeight w:val="303"/>
        </w:trPr>
        <w:tc>
          <w:tcPr>
            <w:tcW w:w="586" w:type="pct"/>
            <w:shd w:val="clear" w:color="auto" w:fill="auto"/>
            <w:vAlign w:val="center"/>
          </w:tcPr>
          <w:p w14:paraId="6E573B77" w14:textId="380593FD" w:rsidR="00B14519" w:rsidRPr="00781112" w:rsidRDefault="00B14519" w:rsidP="00C21BFD">
            <w:pPr>
              <w:rPr>
                <w:rFonts w:cs="Arial"/>
                <w:color w:val="000000" w:themeColor="text1"/>
                <w:szCs w:val="16"/>
              </w:rPr>
            </w:pPr>
            <w:r w:rsidRPr="00781112">
              <w:rPr>
                <w:rFonts w:cs="Arial"/>
                <w:color w:val="000000" w:themeColor="text1"/>
                <w:szCs w:val="16"/>
              </w:rPr>
              <w:t xml:space="preserve">Target B3, age 5 &lt;= </w:t>
            </w:r>
          </w:p>
        </w:tc>
        <w:tc>
          <w:tcPr>
            <w:tcW w:w="882" w:type="pct"/>
            <w:shd w:val="clear" w:color="auto" w:fill="auto"/>
            <w:vAlign w:val="center"/>
          </w:tcPr>
          <w:p w14:paraId="23912C75" w14:textId="09508A01" w:rsidR="00B14519" w:rsidRPr="00781112" w:rsidRDefault="00B14519" w:rsidP="00C21BFD">
            <w:pPr>
              <w:jc w:val="center"/>
              <w:rPr>
                <w:rFonts w:cs="Arial"/>
                <w:color w:val="000000" w:themeColor="text1"/>
                <w:szCs w:val="16"/>
              </w:rPr>
            </w:pPr>
            <w:r w:rsidRPr="00781112">
              <w:rPr>
                <w:rFonts w:cs="Arial"/>
                <w:color w:val="000000" w:themeColor="text1"/>
                <w:szCs w:val="16"/>
              </w:rPr>
              <w:t>2.78%</w:t>
            </w:r>
          </w:p>
        </w:tc>
        <w:tc>
          <w:tcPr>
            <w:tcW w:w="882" w:type="pct"/>
            <w:vAlign w:val="center"/>
          </w:tcPr>
          <w:p w14:paraId="13635175" w14:textId="11B0C9DA" w:rsidR="00B14519" w:rsidRPr="00781112" w:rsidRDefault="00B14519" w:rsidP="00360DD6">
            <w:pPr>
              <w:jc w:val="center"/>
              <w:rPr>
                <w:rFonts w:cs="Arial"/>
                <w:color w:val="000000" w:themeColor="text1"/>
                <w:szCs w:val="16"/>
              </w:rPr>
            </w:pPr>
            <w:r w:rsidRPr="00781112">
              <w:rPr>
                <w:rFonts w:cs="Arial"/>
                <w:color w:val="000000" w:themeColor="text1"/>
                <w:szCs w:val="16"/>
              </w:rPr>
              <w:t>2.58%</w:t>
            </w:r>
          </w:p>
        </w:tc>
        <w:tc>
          <w:tcPr>
            <w:tcW w:w="884" w:type="pct"/>
            <w:vAlign w:val="center"/>
          </w:tcPr>
          <w:p w14:paraId="6438BDE2" w14:textId="16C583C7" w:rsidR="00B14519" w:rsidRPr="00781112" w:rsidRDefault="00B14519" w:rsidP="00360DD6">
            <w:pPr>
              <w:jc w:val="center"/>
              <w:rPr>
                <w:color w:val="000000" w:themeColor="text1"/>
              </w:rPr>
            </w:pPr>
            <w:r w:rsidRPr="00781112">
              <w:rPr>
                <w:color w:val="000000" w:themeColor="text1"/>
              </w:rPr>
              <w:t>2.38%</w:t>
            </w:r>
          </w:p>
        </w:tc>
        <w:tc>
          <w:tcPr>
            <w:tcW w:w="883" w:type="pct"/>
            <w:vAlign w:val="center"/>
          </w:tcPr>
          <w:p w14:paraId="6FD972C5" w14:textId="3C391FCE" w:rsidR="00B14519" w:rsidRPr="00781112" w:rsidRDefault="00B14519" w:rsidP="00360DD6">
            <w:pPr>
              <w:jc w:val="center"/>
              <w:rPr>
                <w:color w:val="000000" w:themeColor="text1"/>
              </w:rPr>
            </w:pPr>
            <w:r w:rsidRPr="00781112">
              <w:rPr>
                <w:color w:val="000000" w:themeColor="text1"/>
              </w:rPr>
              <w:t>2.18%</w:t>
            </w:r>
          </w:p>
        </w:tc>
        <w:tc>
          <w:tcPr>
            <w:tcW w:w="883" w:type="pct"/>
            <w:vAlign w:val="center"/>
          </w:tcPr>
          <w:p w14:paraId="0414F072" w14:textId="0A858B02" w:rsidR="00B14519" w:rsidRPr="00781112" w:rsidRDefault="00B14519" w:rsidP="00360DD6">
            <w:pPr>
              <w:jc w:val="center"/>
              <w:rPr>
                <w:color w:val="000000" w:themeColor="text1"/>
              </w:rPr>
            </w:pPr>
            <w:r w:rsidRPr="00781112">
              <w:rPr>
                <w:color w:val="000000" w:themeColor="text1"/>
              </w:rPr>
              <w:t>1.98%</w:t>
            </w:r>
          </w:p>
        </w:tc>
      </w:tr>
    </w:tbl>
    <w:p w14:paraId="5C5E2A63" w14:textId="5D25E8DA" w:rsidR="008C34A2" w:rsidRDefault="008C34A2" w:rsidP="001C2B29">
      <w:pPr>
        <w:pStyle w:val="Subhed"/>
        <w:rPr>
          <w:b w:val="0"/>
          <w:color w:val="000000" w:themeColor="text1"/>
        </w:rPr>
      </w:pPr>
    </w:p>
    <w:p w14:paraId="38902644" w14:textId="77777777" w:rsidR="008C34A2" w:rsidRPr="001C443D" w:rsidRDefault="008C34A2" w:rsidP="001C443D">
      <w:pPr>
        <w:rPr>
          <w:b/>
          <w:bCs/>
        </w:rPr>
      </w:pPr>
      <w:r w:rsidRPr="001C443D">
        <w:rPr>
          <w:b/>
          <w:bCs/>
        </w:rPr>
        <w:t>Individual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DV"/>
      </w:tblPr>
      <w:tblGrid>
        <w:gridCol w:w="1076"/>
        <w:gridCol w:w="1617"/>
        <w:gridCol w:w="1617"/>
        <w:gridCol w:w="1621"/>
        <w:gridCol w:w="1619"/>
        <w:gridCol w:w="1619"/>
      </w:tblGrid>
      <w:tr w:rsidR="00B14519" w:rsidRPr="00781112" w14:paraId="0E3A729A" w14:textId="77777777" w:rsidTr="00451D7E">
        <w:trPr>
          <w:trHeight w:val="297"/>
        </w:trPr>
        <w:tc>
          <w:tcPr>
            <w:tcW w:w="586" w:type="pct"/>
            <w:tcBorders>
              <w:bottom w:val="single" w:sz="4" w:space="0" w:color="auto"/>
            </w:tcBorders>
            <w:shd w:val="clear" w:color="auto" w:fill="auto"/>
            <w:vAlign w:val="center"/>
          </w:tcPr>
          <w:p w14:paraId="0D18CAFC" w14:textId="77777777" w:rsidR="00B14519" w:rsidRPr="00781112" w:rsidRDefault="00B14519" w:rsidP="00DF5DC9">
            <w:pPr>
              <w:jc w:val="center"/>
              <w:rPr>
                <w:b/>
                <w:color w:val="000000" w:themeColor="text1"/>
              </w:rPr>
            </w:pPr>
            <w:r w:rsidRPr="00781112">
              <w:rPr>
                <w:b/>
                <w:color w:val="000000" w:themeColor="text1"/>
              </w:rPr>
              <w:t>FFY</w:t>
            </w:r>
          </w:p>
        </w:tc>
        <w:tc>
          <w:tcPr>
            <w:tcW w:w="882" w:type="pct"/>
            <w:shd w:val="clear" w:color="auto" w:fill="auto"/>
            <w:vAlign w:val="center"/>
          </w:tcPr>
          <w:p w14:paraId="0B2FD594" w14:textId="77777777" w:rsidR="00B14519" w:rsidRPr="00781112" w:rsidRDefault="00B14519" w:rsidP="00DF5DC9">
            <w:pPr>
              <w:jc w:val="center"/>
              <w:rPr>
                <w:b/>
                <w:color w:val="000000" w:themeColor="text1"/>
              </w:rPr>
            </w:pPr>
            <w:r w:rsidRPr="00781112">
              <w:rPr>
                <w:b/>
                <w:color w:val="000000" w:themeColor="text1"/>
              </w:rPr>
              <w:t>2021</w:t>
            </w:r>
          </w:p>
        </w:tc>
        <w:tc>
          <w:tcPr>
            <w:tcW w:w="882" w:type="pct"/>
            <w:vAlign w:val="center"/>
          </w:tcPr>
          <w:p w14:paraId="452152CD" w14:textId="77777777" w:rsidR="00B14519" w:rsidRPr="00781112" w:rsidRDefault="00B14519" w:rsidP="00DF5DC9">
            <w:pPr>
              <w:jc w:val="center"/>
              <w:rPr>
                <w:b/>
                <w:color w:val="000000" w:themeColor="text1"/>
              </w:rPr>
            </w:pPr>
            <w:r w:rsidRPr="00781112">
              <w:rPr>
                <w:b/>
                <w:color w:val="000000" w:themeColor="text1"/>
              </w:rPr>
              <w:t>2022</w:t>
            </w:r>
          </w:p>
        </w:tc>
        <w:tc>
          <w:tcPr>
            <w:tcW w:w="884" w:type="pct"/>
            <w:vAlign w:val="center"/>
          </w:tcPr>
          <w:p w14:paraId="2A72599E" w14:textId="77777777" w:rsidR="00B14519" w:rsidRPr="00781112" w:rsidRDefault="00B14519" w:rsidP="00DF5DC9">
            <w:pPr>
              <w:jc w:val="center"/>
              <w:rPr>
                <w:b/>
                <w:color w:val="000000" w:themeColor="text1"/>
              </w:rPr>
            </w:pPr>
            <w:r w:rsidRPr="00781112">
              <w:rPr>
                <w:b/>
                <w:color w:val="000000" w:themeColor="text1"/>
              </w:rPr>
              <w:t>2023</w:t>
            </w:r>
          </w:p>
        </w:tc>
        <w:tc>
          <w:tcPr>
            <w:tcW w:w="883" w:type="pct"/>
            <w:vAlign w:val="center"/>
          </w:tcPr>
          <w:p w14:paraId="7FE4BF63" w14:textId="77777777" w:rsidR="00B14519" w:rsidRPr="00781112" w:rsidRDefault="00B14519" w:rsidP="00DF5DC9">
            <w:pPr>
              <w:jc w:val="center"/>
              <w:rPr>
                <w:b/>
                <w:color w:val="000000" w:themeColor="text1"/>
              </w:rPr>
            </w:pPr>
            <w:r w:rsidRPr="00781112">
              <w:rPr>
                <w:b/>
                <w:color w:val="000000" w:themeColor="text1"/>
              </w:rPr>
              <w:t>2024</w:t>
            </w:r>
          </w:p>
        </w:tc>
        <w:tc>
          <w:tcPr>
            <w:tcW w:w="883" w:type="pct"/>
            <w:vAlign w:val="center"/>
          </w:tcPr>
          <w:p w14:paraId="058F33A0" w14:textId="77777777" w:rsidR="00B14519" w:rsidRPr="00781112" w:rsidRDefault="00B14519" w:rsidP="00DF5DC9">
            <w:pPr>
              <w:jc w:val="center"/>
              <w:rPr>
                <w:b/>
                <w:color w:val="000000" w:themeColor="text1"/>
              </w:rPr>
            </w:pPr>
            <w:r w:rsidRPr="00781112">
              <w:rPr>
                <w:b/>
                <w:color w:val="000000" w:themeColor="text1"/>
              </w:rPr>
              <w:t>2025</w:t>
            </w:r>
          </w:p>
        </w:tc>
      </w:tr>
      <w:tr w:rsidR="00B14519" w:rsidRPr="00781112" w14:paraId="25FE264F" w14:textId="77777777" w:rsidTr="00451D7E">
        <w:trPr>
          <w:trHeight w:val="303"/>
        </w:trPr>
        <w:tc>
          <w:tcPr>
            <w:tcW w:w="586" w:type="pct"/>
            <w:shd w:val="clear" w:color="auto" w:fill="auto"/>
            <w:vAlign w:val="center"/>
          </w:tcPr>
          <w:p w14:paraId="734B2C53" w14:textId="77777777" w:rsidR="00B14519" w:rsidRPr="00781112" w:rsidRDefault="00B14519" w:rsidP="00DF5DC9">
            <w:pPr>
              <w:rPr>
                <w:rFonts w:cs="Arial"/>
                <w:color w:val="000000" w:themeColor="text1"/>
                <w:szCs w:val="16"/>
              </w:rPr>
            </w:pPr>
            <w:r w:rsidRPr="00781112">
              <w:rPr>
                <w:rFonts w:cs="Arial"/>
                <w:color w:val="000000" w:themeColor="text1"/>
                <w:szCs w:val="16"/>
              </w:rPr>
              <w:t>Target C1, age 3 &lt;=</w:t>
            </w:r>
          </w:p>
        </w:tc>
        <w:tc>
          <w:tcPr>
            <w:tcW w:w="882" w:type="pct"/>
            <w:shd w:val="clear" w:color="auto" w:fill="auto"/>
            <w:vAlign w:val="center"/>
          </w:tcPr>
          <w:p w14:paraId="25F056B4" w14:textId="77777777" w:rsidR="00B14519" w:rsidRPr="00781112" w:rsidRDefault="00B14519" w:rsidP="00DF5DC9">
            <w:pPr>
              <w:jc w:val="center"/>
              <w:rPr>
                <w:color w:val="000000" w:themeColor="text1"/>
              </w:rPr>
            </w:pPr>
            <w:r w:rsidRPr="00781112">
              <w:rPr>
                <w:color w:val="000000" w:themeColor="text1"/>
              </w:rPr>
              <w:t>19.66%</w:t>
            </w:r>
          </w:p>
        </w:tc>
        <w:tc>
          <w:tcPr>
            <w:tcW w:w="882" w:type="pct"/>
            <w:vAlign w:val="center"/>
          </w:tcPr>
          <w:p w14:paraId="103AF642" w14:textId="77777777" w:rsidR="00B14519" w:rsidRPr="00781112" w:rsidRDefault="00B14519" w:rsidP="00DF5DC9">
            <w:pPr>
              <w:jc w:val="center"/>
              <w:rPr>
                <w:color w:val="000000" w:themeColor="text1"/>
              </w:rPr>
            </w:pPr>
            <w:r w:rsidRPr="00781112">
              <w:rPr>
                <w:color w:val="000000" w:themeColor="text1"/>
              </w:rPr>
              <w:t>19.16%</w:t>
            </w:r>
          </w:p>
        </w:tc>
        <w:tc>
          <w:tcPr>
            <w:tcW w:w="884" w:type="pct"/>
            <w:vAlign w:val="center"/>
          </w:tcPr>
          <w:p w14:paraId="410604AA" w14:textId="77777777" w:rsidR="00B14519" w:rsidRPr="00781112" w:rsidRDefault="00B14519" w:rsidP="00DF5DC9">
            <w:pPr>
              <w:jc w:val="center"/>
              <w:rPr>
                <w:color w:val="000000" w:themeColor="text1"/>
              </w:rPr>
            </w:pPr>
            <w:r w:rsidRPr="00781112">
              <w:rPr>
                <w:color w:val="000000" w:themeColor="text1"/>
              </w:rPr>
              <w:t>18.66%</w:t>
            </w:r>
          </w:p>
        </w:tc>
        <w:tc>
          <w:tcPr>
            <w:tcW w:w="883" w:type="pct"/>
            <w:vAlign w:val="center"/>
          </w:tcPr>
          <w:p w14:paraId="1EEDBA90" w14:textId="77777777" w:rsidR="00B14519" w:rsidRPr="00781112" w:rsidRDefault="00B14519" w:rsidP="00DF5DC9">
            <w:pPr>
              <w:jc w:val="center"/>
              <w:rPr>
                <w:color w:val="000000" w:themeColor="text1"/>
              </w:rPr>
            </w:pPr>
            <w:r w:rsidRPr="00781112">
              <w:rPr>
                <w:color w:val="000000" w:themeColor="text1"/>
              </w:rPr>
              <w:t>18.16%</w:t>
            </w:r>
          </w:p>
        </w:tc>
        <w:tc>
          <w:tcPr>
            <w:tcW w:w="883" w:type="pct"/>
            <w:vAlign w:val="center"/>
          </w:tcPr>
          <w:p w14:paraId="211AE0C2" w14:textId="77777777" w:rsidR="00B14519" w:rsidRPr="00781112" w:rsidRDefault="00B14519" w:rsidP="00DF5DC9">
            <w:pPr>
              <w:jc w:val="center"/>
              <w:rPr>
                <w:color w:val="000000" w:themeColor="text1"/>
              </w:rPr>
            </w:pPr>
            <w:r w:rsidRPr="00781112">
              <w:rPr>
                <w:color w:val="000000" w:themeColor="text1"/>
              </w:rPr>
              <w:t>17.66%</w:t>
            </w:r>
          </w:p>
        </w:tc>
      </w:tr>
      <w:tr w:rsidR="00B14519" w:rsidRPr="00781112" w14:paraId="679989A0" w14:textId="77777777" w:rsidTr="00451D7E">
        <w:trPr>
          <w:trHeight w:val="303"/>
        </w:trPr>
        <w:tc>
          <w:tcPr>
            <w:tcW w:w="586" w:type="pct"/>
            <w:shd w:val="clear" w:color="auto" w:fill="auto"/>
            <w:vAlign w:val="center"/>
          </w:tcPr>
          <w:p w14:paraId="22106F68" w14:textId="77777777" w:rsidR="00B14519" w:rsidRPr="00781112" w:rsidRDefault="00B14519" w:rsidP="00DF5DC9">
            <w:pPr>
              <w:rPr>
                <w:rFonts w:cs="Arial"/>
                <w:color w:val="000000" w:themeColor="text1"/>
                <w:szCs w:val="16"/>
              </w:rPr>
            </w:pPr>
            <w:r w:rsidRPr="00781112">
              <w:rPr>
                <w:rFonts w:cs="Arial"/>
                <w:color w:val="000000" w:themeColor="text1"/>
                <w:szCs w:val="16"/>
              </w:rPr>
              <w:t>Target C2, age 4 &lt;=</w:t>
            </w:r>
          </w:p>
        </w:tc>
        <w:tc>
          <w:tcPr>
            <w:tcW w:w="882" w:type="pct"/>
            <w:shd w:val="clear" w:color="auto" w:fill="auto"/>
            <w:vAlign w:val="center"/>
          </w:tcPr>
          <w:p w14:paraId="6B8E9FED" w14:textId="77777777" w:rsidR="00B14519" w:rsidRPr="00781112" w:rsidRDefault="00B14519" w:rsidP="00DF5DC9">
            <w:pPr>
              <w:jc w:val="center"/>
              <w:rPr>
                <w:rFonts w:cs="Arial"/>
                <w:color w:val="000000" w:themeColor="text1"/>
                <w:szCs w:val="16"/>
              </w:rPr>
            </w:pPr>
            <w:r w:rsidRPr="00781112">
              <w:rPr>
                <w:rFonts w:cs="Arial"/>
                <w:color w:val="000000" w:themeColor="text1"/>
                <w:szCs w:val="16"/>
              </w:rPr>
              <w:t>7.06%</w:t>
            </w:r>
          </w:p>
        </w:tc>
        <w:tc>
          <w:tcPr>
            <w:tcW w:w="882" w:type="pct"/>
            <w:vAlign w:val="center"/>
          </w:tcPr>
          <w:p w14:paraId="599A3B4F" w14:textId="77777777" w:rsidR="00B14519" w:rsidRPr="00781112" w:rsidRDefault="00B14519" w:rsidP="00DF5DC9">
            <w:pPr>
              <w:jc w:val="center"/>
              <w:rPr>
                <w:rFonts w:cs="Arial"/>
                <w:color w:val="000000" w:themeColor="text1"/>
                <w:szCs w:val="16"/>
              </w:rPr>
            </w:pPr>
            <w:r w:rsidRPr="00781112">
              <w:rPr>
                <w:rFonts w:cs="Arial"/>
                <w:color w:val="000000" w:themeColor="text1"/>
                <w:szCs w:val="16"/>
              </w:rPr>
              <w:t>6.96%</w:t>
            </w:r>
          </w:p>
        </w:tc>
        <w:tc>
          <w:tcPr>
            <w:tcW w:w="884" w:type="pct"/>
            <w:vAlign w:val="center"/>
          </w:tcPr>
          <w:p w14:paraId="0CE23B6A" w14:textId="77777777" w:rsidR="00B14519" w:rsidRPr="00781112" w:rsidRDefault="00B14519" w:rsidP="00DF5DC9">
            <w:pPr>
              <w:jc w:val="center"/>
              <w:rPr>
                <w:color w:val="000000" w:themeColor="text1"/>
              </w:rPr>
            </w:pPr>
            <w:r w:rsidRPr="00781112">
              <w:rPr>
                <w:color w:val="000000" w:themeColor="text1"/>
              </w:rPr>
              <w:t>6.86%</w:t>
            </w:r>
          </w:p>
        </w:tc>
        <w:tc>
          <w:tcPr>
            <w:tcW w:w="883" w:type="pct"/>
            <w:vAlign w:val="center"/>
          </w:tcPr>
          <w:p w14:paraId="5E0E12B2" w14:textId="77777777" w:rsidR="00B14519" w:rsidRPr="00781112" w:rsidRDefault="00B14519" w:rsidP="00DF5DC9">
            <w:pPr>
              <w:jc w:val="center"/>
              <w:rPr>
                <w:color w:val="000000" w:themeColor="text1"/>
              </w:rPr>
            </w:pPr>
            <w:r w:rsidRPr="00781112">
              <w:rPr>
                <w:color w:val="000000" w:themeColor="text1"/>
              </w:rPr>
              <w:t>6.76%</w:t>
            </w:r>
          </w:p>
        </w:tc>
        <w:tc>
          <w:tcPr>
            <w:tcW w:w="883" w:type="pct"/>
            <w:vAlign w:val="center"/>
          </w:tcPr>
          <w:p w14:paraId="5CF0118D" w14:textId="77777777" w:rsidR="00B14519" w:rsidRPr="00781112" w:rsidRDefault="00B14519" w:rsidP="00DF5DC9">
            <w:pPr>
              <w:jc w:val="center"/>
              <w:rPr>
                <w:color w:val="000000" w:themeColor="text1"/>
              </w:rPr>
            </w:pPr>
            <w:r w:rsidRPr="00781112">
              <w:rPr>
                <w:color w:val="000000" w:themeColor="text1"/>
              </w:rPr>
              <w:t>6.66%</w:t>
            </w:r>
          </w:p>
        </w:tc>
      </w:tr>
      <w:tr w:rsidR="00B14519" w:rsidRPr="00781112" w14:paraId="12923878" w14:textId="77777777" w:rsidTr="00451D7E">
        <w:trPr>
          <w:trHeight w:val="303"/>
        </w:trPr>
        <w:tc>
          <w:tcPr>
            <w:tcW w:w="586" w:type="pct"/>
            <w:shd w:val="clear" w:color="auto" w:fill="auto"/>
            <w:vAlign w:val="center"/>
          </w:tcPr>
          <w:p w14:paraId="0841B8F7" w14:textId="77777777" w:rsidR="00B14519" w:rsidRPr="00781112" w:rsidRDefault="00B14519" w:rsidP="00DF5DC9">
            <w:pPr>
              <w:rPr>
                <w:rFonts w:cs="Arial"/>
                <w:color w:val="000000" w:themeColor="text1"/>
                <w:szCs w:val="16"/>
              </w:rPr>
            </w:pPr>
            <w:r w:rsidRPr="00781112">
              <w:rPr>
                <w:rFonts w:cs="Arial"/>
                <w:color w:val="000000" w:themeColor="text1"/>
                <w:szCs w:val="16"/>
              </w:rPr>
              <w:t>Target C3, age 5 &lt;=</w:t>
            </w:r>
          </w:p>
        </w:tc>
        <w:tc>
          <w:tcPr>
            <w:tcW w:w="882" w:type="pct"/>
            <w:shd w:val="clear" w:color="auto" w:fill="auto"/>
            <w:vAlign w:val="center"/>
          </w:tcPr>
          <w:p w14:paraId="5C6181A5" w14:textId="77777777" w:rsidR="00B14519" w:rsidRPr="00781112" w:rsidRDefault="00B14519" w:rsidP="00DF5DC9">
            <w:pPr>
              <w:jc w:val="center"/>
              <w:rPr>
                <w:rFonts w:cs="Arial"/>
                <w:color w:val="000000" w:themeColor="text1"/>
                <w:szCs w:val="16"/>
              </w:rPr>
            </w:pPr>
            <w:r w:rsidRPr="00781112">
              <w:rPr>
                <w:color w:val="000000" w:themeColor="text1"/>
              </w:rPr>
              <w:t>6.63%</w:t>
            </w:r>
          </w:p>
        </w:tc>
        <w:tc>
          <w:tcPr>
            <w:tcW w:w="882" w:type="pct"/>
            <w:vAlign w:val="center"/>
          </w:tcPr>
          <w:p w14:paraId="23B76D56" w14:textId="77777777" w:rsidR="00B14519" w:rsidRPr="00781112" w:rsidRDefault="00B14519" w:rsidP="00DF5DC9">
            <w:pPr>
              <w:jc w:val="center"/>
              <w:rPr>
                <w:rFonts w:cs="Arial"/>
                <w:color w:val="000000" w:themeColor="text1"/>
                <w:szCs w:val="16"/>
              </w:rPr>
            </w:pPr>
            <w:r w:rsidRPr="00781112">
              <w:rPr>
                <w:rFonts w:cs="Arial"/>
                <w:color w:val="000000" w:themeColor="text1"/>
                <w:szCs w:val="16"/>
              </w:rPr>
              <w:t>6.43%</w:t>
            </w:r>
          </w:p>
        </w:tc>
        <w:tc>
          <w:tcPr>
            <w:tcW w:w="884" w:type="pct"/>
            <w:vAlign w:val="center"/>
          </w:tcPr>
          <w:p w14:paraId="4EEA4047" w14:textId="77777777" w:rsidR="00B14519" w:rsidRPr="00781112" w:rsidRDefault="00B14519" w:rsidP="00DF5DC9">
            <w:pPr>
              <w:jc w:val="center"/>
              <w:rPr>
                <w:color w:val="000000" w:themeColor="text1"/>
              </w:rPr>
            </w:pPr>
            <w:r w:rsidRPr="00781112">
              <w:rPr>
                <w:color w:val="000000" w:themeColor="text1"/>
              </w:rPr>
              <w:t>6.23%</w:t>
            </w:r>
          </w:p>
        </w:tc>
        <w:tc>
          <w:tcPr>
            <w:tcW w:w="883" w:type="pct"/>
            <w:vAlign w:val="center"/>
          </w:tcPr>
          <w:p w14:paraId="0BB0BAF0" w14:textId="77777777" w:rsidR="00B14519" w:rsidRPr="00781112" w:rsidRDefault="00B14519" w:rsidP="00DF5DC9">
            <w:pPr>
              <w:jc w:val="center"/>
              <w:rPr>
                <w:color w:val="000000" w:themeColor="text1"/>
              </w:rPr>
            </w:pPr>
            <w:r w:rsidRPr="00781112">
              <w:rPr>
                <w:color w:val="000000" w:themeColor="text1"/>
              </w:rPr>
              <w:t>6.03%</w:t>
            </w:r>
          </w:p>
        </w:tc>
        <w:tc>
          <w:tcPr>
            <w:tcW w:w="883" w:type="pct"/>
            <w:vAlign w:val="center"/>
          </w:tcPr>
          <w:p w14:paraId="1600462F" w14:textId="77777777" w:rsidR="00B14519" w:rsidRPr="00781112" w:rsidRDefault="00B14519" w:rsidP="00DF5DC9">
            <w:pPr>
              <w:jc w:val="center"/>
              <w:rPr>
                <w:color w:val="000000" w:themeColor="text1"/>
              </w:rPr>
            </w:pPr>
            <w:r w:rsidRPr="00781112">
              <w:rPr>
                <w:color w:val="000000" w:themeColor="text1"/>
              </w:rPr>
              <w:t>5.83%</w:t>
            </w:r>
          </w:p>
        </w:tc>
      </w:tr>
    </w:tbl>
    <w:p w14:paraId="770D6443" w14:textId="39B3F3FD" w:rsidR="004D796B" w:rsidRPr="00781112" w:rsidRDefault="004D796B" w:rsidP="004369B2">
      <w:pPr>
        <w:rPr>
          <w:color w:val="000000" w:themeColor="text1"/>
        </w:rPr>
      </w:pPr>
    </w:p>
    <w:p w14:paraId="6F4455E5" w14:textId="77777777" w:rsidR="0040181B" w:rsidRPr="00781112" w:rsidRDefault="0040181B" w:rsidP="0040181B">
      <w:pPr>
        <w:rPr>
          <w:color w:val="000000" w:themeColor="text1"/>
        </w:rPr>
      </w:pPr>
    </w:p>
    <w:p w14:paraId="56E7E444" w14:textId="77777777" w:rsidR="00452F19" w:rsidRDefault="00452F19">
      <w:pPr>
        <w:spacing w:before="0" w:after="200" w:line="276" w:lineRule="auto"/>
        <w:rPr>
          <w:b/>
          <w:color w:val="000000" w:themeColor="text1"/>
        </w:rPr>
      </w:pPr>
      <w:r>
        <w:rPr>
          <w:b/>
          <w:color w:val="000000" w:themeColor="text1"/>
        </w:rPr>
        <w:br w:type="page"/>
      </w:r>
    </w:p>
    <w:p w14:paraId="50508AD8" w14:textId="65966D31" w:rsidR="008751D3" w:rsidRPr="00781112" w:rsidRDefault="008751D3" w:rsidP="004369B2">
      <w:pPr>
        <w:rPr>
          <w:b/>
          <w:color w:val="000000" w:themeColor="text1"/>
        </w:rPr>
      </w:pPr>
      <w:r w:rsidRPr="00781112">
        <w:rPr>
          <w:b/>
          <w:color w:val="000000" w:themeColor="text1"/>
        </w:rPr>
        <w:lastRenderedPageBreak/>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1,382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2,222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614</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4,218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989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1,837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503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3,329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55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92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214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151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38</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403</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Default="00C910BC" w:rsidP="00C910BC">
      <w:pPr>
        <w:rPr>
          <w:color w:val="000000" w:themeColor="text1"/>
        </w:rPr>
      </w:pPr>
      <w:r w:rsidRPr="00781112">
        <w:rPr>
          <w:color w:val="000000" w:themeColor="text1"/>
        </w:rPr>
        <w:t>NO</w:t>
      </w:r>
    </w:p>
    <w:p w14:paraId="377872C9" w14:textId="77777777" w:rsidR="00452F19" w:rsidRPr="00781112" w:rsidRDefault="00452F19" w:rsidP="00C910BC">
      <w:pPr>
        <w:rPr>
          <w:color w:val="000000" w:themeColor="text1"/>
        </w:rPr>
      </w:pPr>
    </w:p>
    <w:p w14:paraId="5EC53FFB" w14:textId="4F199917" w:rsidR="002E1E70" w:rsidRPr="001C443D" w:rsidRDefault="0047313F" w:rsidP="001C443D">
      <w:pPr>
        <w:rPr>
          <w:b/>
          <w:bCs/>
        </w:rPr>
      </w:pPr>
      <w:r>
        <w:rPr>
          <w:b/>
          <w:bCs/>
        </w:rPr>
        <w:t>FFY 2021 SPP/APR Data for Age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CFFYAPRDATA618"/>
      </w:tblPr>
      <w:tblGrid>
        <w:gridCol w:w="2964"/>
        <w:gridCol w:w="1118"/>
        <w:gridCol w:w="1118"/>
        <w:gridCol w:w="1118"/>
        <w:gridCol w:w="1118"/>
        <w:gridCol w:w="1118"/>
        <w:gridCol w:w="1118"/>
        <w:gridCol w:w="1118"/>
      </w:tblGrid>
      <w:tr w:rsidR="00385049" w:rsidRPr="00781112" w14:paraId="06C565F1" w14:textId="77777777" w:rsidTr="00827FF4">
        <w:trPr>
          <w:trHeight w:val="354"/>
          <w:tblHeader/>
        </w:trPr>
        <w:tc>
          <w:tcPr>
            <w:tcW w:w="1373" w:type="pct"/>
            <w:shd w:val="clear" w:color="auto" w:fill="auto"/>
            <w:vAlign w:val="bottom"/>
          </w:tcPr>
          <w:p w14:paraId="1A43A265"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2FB9BFC1" w14:textId="73D03DB6" w:rsidR="00385049" w:rsidRPr="00781112" w:rsidRDefault="00385049" w:rsidP="00385049">
            <w:pPr>
              <w:jc w:val="center"/>
              <w:rPr>
                <w:rFonts w:cs="Arial"/>
                <w:b/>
                <w:color w:val="000000" w:themeColor="text1"/>
                <w:szCs w:val="16"/>
              </w:rPr>
            </w:pPr>
            <w:r w:rsidRPr="00781112">
              <w:rPr>
                <w:rFonts w:cs="Arial"/>
                <w:b/>
                <w:color w:val="000000" w:themeColor="text1"/>
                <w:szCs w:val="16"/>
              </w:rPr>
              <w:t xml:space="preserve">Number of children with IEPs aged </w:t>
            </w:r>
            <w:proofErr w:type="gramStart"/>
            <w:r w:rsidRPr="00781112">
              <w:rPr>
                <w:rFonts w:cs="Arial"/>
                <w:b/>
                <w:color w:val="000000" w:themeColor="text1"/>
                <w:szCs w:val="16"/>
              </w:rPr>
              <w:t>3</w:t>
            </w:r>
            <w:proofErr w:type="gramEnd"/>
            <w:r w:rsidRPr="00781112">
              <w:rPr>
                <w:rFonts w:cs="Arial"/>
                <w:b/>
                <w:color w:val="000000" w:themeColor="text1"/>
                <w:szCs w:val="16"/>
              </w:rPr>
              <w:t xml:space="preserve"> served</w:t>
            </w:r>
          </w:p>
        </w:tc>
        <w:tc>
          <w:tcPr>
            <w:tcW w:w="518" w:type="pct"/>
            <w:shd w:val="clear" w:color="auto" w:fill="auto"/>
            <w:vAlign w:val="bottom"/>
          </w:tcPr>
          <w:p w14:paraId="03FE1866" w14:textId="1DDBDA40" w:rsidR="00385049" w:rsidRPr="00781112" w:rsidRDefault="00385049" w:rsidP="00385049">
            <w:pPr>
              <w:jc w:val="center"/>
              <w:rPr>
                <w:rFonts w:cs="Arial"/>
                <w:b/>
                <w:color w:val="000000" w:themeColor="text1"/>
                <w:szCs w:val="16"/>
              </w:rPr>
            </w:pPr>
            <w:r w:rsidRPr="00781112">
              <w:rPr>
                <w:rFonts w:cs="Arial"/>
                <w:b/>
                <w:color w:val="000000" w:themeColor="text1"/>
                <w:szCs w:val="16"/>
              </w:rPr>
              <w:t xml:space="preserve">Total number of children with IEPs aged </w:t>
            </w:r>
            <w:proofErr w:type="gramStart"/>
            <w:r w:rsidRPr="00781112">
              <w:rPr>
                <w:rFonts w:cs="Arial"/>
                <w:b/>
                <w:color w:val="000000" w:themeColor="text1"/>
                <w:szCs w:val="16"/>
              </w:rPr>
              <w:t>3</w:t>
            </w:r>
            <w:proofErr w:type="gramEnd"/>
          </w:p>
        </w:tc>
        <w:tc>
          <w:tcPr>
            <w:tcW w:w="518" w:type="pct"/>
            <w:shd w:val="clear" w:color="auto" w:fill="auto"/>
            <w:vAlign w:val="bottom"/>
          </w:tcPr>
          <w:p w14:paraId="45FAA6E5" w14:textId="2412EBE9" w:rsidR="00385049" w:rsidRPr="00CC1061" w:rsidRDefault="00385049" w:rsidP="00385049">
            <w:pPr>
              <w:jc w:val="center"/>
              <w:rPr>
                <w:rFonts w:cs="Arial"/>
                <w:b/>
                <w:bCs/>
                <w:color w:val="000000" w:themeColor="text1"/>
                <w:szCs w:val="16"/>
              </w:rPr>
            </w:pPr>
            <w:r w:rsidRPr="00CC1061">
              <w:rPr>
                <w:b/>
                <w:bCs/>
              </w:rPr>
              <w:t>FFY 2020 Data</w:t>
            </w:r>
          </w:p>
        </w:tc>
        <w:tc>
          <w:tcPr>
            <w:tcW w:w="518" w:type="pct"/>
            <w:shd w:val="clear" w:color="auto" w:fill="auto"/>
            <w:vAlign w:val="bottom"/>
          </w:tcPr>
          <w:p w14:paraId="3BE16E9E" w14:textId="04F11A59" w:rsidR="00385049" w:rsidRPr="00CC1061" w:rsidRDefault="00385049" w:rsidP="00385049">
            <w:pPr>
              <w:jc w:val="center"/>
              <w:rPr>
                <w:rFonts w:cs="Arial"/>
                <w:b/>
                <w:bCs/>
                <w:color w:val="000000" w:themeColor="text1"/>
                <w:szCs w:val="16"/>
              </w:rPr>
            </w:pPr>
            <w:r w:rsidRPr="00CC1061">
              <w:rPr>
                <w:b/>
                <w:bCs/>
              </w:rPr>
              <w:t>FFY 2021 Target</w:t>
            </w:r>
          </w:p>
        </w:tc>
        <w:tc>
          <w:tcPr>
            <w:tcW w:w="518" w:type="pct"/>
            <w:shd w:val="clear" w:color="auto" w:fill="auto"/>
            <w:vAlign w:val="bottom"/>
          </w:tcPr>
          <w:p w14:paraId="525D6B8E" w14:textId="308C6D7F" w:rsidR="00385049" w:rsidRPr="00CC1061" w:rsidRDefault="00385049" w:rsidP="00385049">
            <w:pPr>
              <w:jc w:val="center"/>
              <w:rPr>
                <w:rFonts w:cs="Arial"/>
                <w:b/>
                <w:bCs/>
                <w:color w:val="000000" w:themeColor="text1"/>
                <w:szCs w:val="16"/>
              </w:rPr>
            </w:pPr>
            <w:r w:rsidRPr="00CC1061">
              <w:rPr>
                <w:b/>
                <w:bCs/>
              </w:rPr>
              <w:t>FFY 2021 Data</w:t>
            </w:r>
          </w:p>
        </w:tc>
        <w:tc>
          <w:tcPr>
            <w:tcW w:w="518" w:type="pct"/>
            <w:shd w:val="clear" w:color="auto" w:fill="auto"/>
            <w:vAlign w:val="bottom"/>
          </w:tcPr>
          <w:p w14:paraId="64F3FD5A"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F4B4C91"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Slippage</w:t>
            </w:r>
          </w:p>
        </w:tc>
      </w:tr>
      <w:tr w:rsidR="00846D41" w:rsidRPr="00781112" w14:paraId="28F4625C" w14:textId="77777777" w:rsidTr="00827FF4">
        <w:trPr>
          <w:trHeight w:val="917"/>
        </w:trPr>
        <w:tc>
          <w:tcPr>
            <w:tcW w:w="1373" w:type="pct"/>
            <w:shd w:val="clear" w:color="auto" w:fill="auto"/>
            <w:vAlign w:val="center"/>
          </w:tcPr>
          <w:p w14:paraId="5DE48D6A" w14:textId="04D841A5"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 xml:space="preserve">A1.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412048F" w14:textId="6FEE4C79" w:rsidR="00846D41" w:rsidRPr="00781112" w:rsidRDefault="00846D41" w:rsidP="00827FF4">
            <w:pPr>
              <w:jc w:val="center"/>
              <w:rPr>
                <w:rFonts w:cs="Arial"/>
                <w:color w:val="000000" w:themeColor="text1"/>
                <w:szCs w:val="16"/>
              </w:rPr>
            </w:pPr>
            <w:r w:rsidRPr="00781112">
              <w:rPr>
                <w:rFonts w:cs="Arial"/>
                <w:color w:val="000000" w:themeColor="text1"/>
                <w:szCs w:val="16"/>
              </w:rPr>
              <w:t>989</w:t>
            </w:r>
          </w:p>
          <w:p w14:paraId="6245AEC0" w14:textId="77777777"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264DDC8F" w14:textId="16508F16" w:rsidR="00846D41" w:rsidRPr="00781112" w:rsidRDefault="00846D41" w:rsidP="00827FF4">
            <w:pPr>
              <w:jc w:val="center"/>
              <w:rPr>
                <w:rFonts w:cs="Arial"/>
                <w:color w:val="000000" w:themeColor="text1"/>
                <w:szCs w:val="16"/>
              </w:rPr>
            </w:pPr>
            <w:r w:rsidRPr="00781112">
              <w:rPr>
                <w:rFonts w:cs="Arial"/>
                <w:color w:val="000000" w:themeColor="text1"/>
                <w:szCs w:val="16"/>
              </w:rPr>
              <w:t>1,382</w:t>
            </w:r>
          </w:p>
        </w:tc>
        <w:tc>
          <w:tcPr>
            <w:tcW w:w="518" w:type="pct"/>
            <w:shd w:val="clear" w:color="auto" w:fill="auto"/>
            <w:vAlign w:val="center"/>
          </w:tcPr>
          <w:p w14:paraId="14132781" w14:textId="181FC298" w:rsidR="00846D41" w:rsidRPr="00781112" w:rsidRDefault="00846D41" w:rsidP="00827FF4">
            <w:pPr>
              <w:jc w:val="center"/>
              <w:rPr>
                <w:rFonts w:cs="Arial"/>
                <w:color w:val="000000" w:themeColor="text1"/>
                <w:szCs w:val="16"/>
              </w:rPr>
            </w:pPr>
            <w:r w:rsidRPr="00781112">
              <w:rPr>
                <w:rFonts w:cs="Arial"/>
                <w:color w:val="000000" w:themeColor="text1"/>
                <w:szCs w:val="16"/>
              </w:rPr>
              <w:t>65.45%</w:t>
            </w:r>
          </w:p>
        </w:tc>
        <w:tc>
          <w:tcPr>
            <w:tcW w:w="518" w:type="pct"/>
            <w:shd w:val="clear" w:color="auto" w:fill="auto"/>
            <w:vAlign w:val="center"/>
          </w:tcPr>
          <w:p w14:paraId="3DDF3344" w14:textId="5CF3FAF6" w:rsidR="00846D41" w:rsidRPr="00781112" w:rsidRDefault="00846D41" w:rsidP="00827FF4">
            <w:pPr>
              <w:jc w:val="center"/>
              <w:rPr>
                <w:rFonts w:cs="Arial"/>
                <w:color w:val="000000" w:themeColor="text1"/>
                <w:szCs w:val="16"/>
              </w:rPr>
            </w:pPr>
            <w:r w:rsidRPr="00781112">
              <w:rPr>
                <w:rFonts w:cs="Arial"/>
                <w:color w:val="000000" w:themeColor="text1"/>
                <w:szCs w:val="16"/>
              </w:rPr>
              <w:t>65.95%</w:t>
            </w:r>
          </w:p>
        </w:tc>
        <w:tc>
          <w:tcPr>
            <w:tcW w:w="518" w:type="pct"/>
            <w:shd w:val="clear" w:color="auto" w:fill="auto"/>
            <w:vAlign w:val="center"/>
          </w:tcPr>
          <w:p w14:paraId="36BE8268" w14:textId="0368EEA3" w:rsidR="00846D41" w:rsidRPr="00781112" w:rsidRDefault="00846D41" w:rsidP="00827FF4">
            <w:pPr>
              <w:jc w:val="center"/>
              <w:rPr>
                <w:rFonts w:cs="Arial"/>
                <w:color w:val="000000" w:themeColor="text1"/>
                <w:szCs w:val="16"/>
              </w:rPr>
            </w:pPr>
            <w:r w:rsidRPr="00781112">
              <w:rPr>
                <w:rFonts w:cs="Arial"/>
                <w:color w:val="000000" w:themeColor="text1"/>
                <w:szCs w:val="16"/>
              </w:rPr>
              <w:t>71.56%</w:t>
            </w:r>
          </w:p>
        </w:tc>
        <w:tc>
          <w:tcPr>
            <w:tcW w:w="518" w:type="pct"/>
            <w:shd w:val="clear" w:color="auto" w:fill="auto"/>
            <w:vAlign w:val="center"/>
          </w:tcPr>
          <w:p w14:paraId="459DAD4B" w14:textId="33CA1B76" w:rsidR="00846D41" w:rsidRPr="00781112" w:rsidRDefault="00846D41" w:rsidP="00827FF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D0DE419" w14:textId="01DF8E80" w:rsidR="00846D41" w:rsidRPr="00781112" w:rsidRDefault="00846D41" w:rsidP="00827FF4">
            <w:pPr>
              <w:jc w:val="center"/>
              <w:rPr>
                <w:rFonts w:cs="Arial"/>
                <w:color w:val="000000" w:themeColor="text1"/>
                <w:szCs w:val="16"/>
              </w:rPr>
            </w:pPr>
            <w:r w:rsidRPr="00781112">
              <w:rPr>
                <w:rFonts w:cs="Arial"/>
                <w:color w:val="000000" w:themeColor="text1"/>
                <w:szCs w:val="16"/>
              </w:rPr>
              <w:t>No Slippage</w:t>
            </w:r>
          </w:p>
        </w:tc>
      </w:tr>
      <w:tr w:rsidR="00846D41" w:rsidRPr="00781112" w14:paraId="7C845514" w14:textId="77777777" w:rsidTr="00827FF4">
        <w:trPr>
          <w:trHeight w:val="361"/>
        </w:trPr>
        <w:tc>
          <w:tcPr>
            <w:tcW w:w="1373" w:type="pct"/>
            <w:shd w:val="clear" w:color="auto" w:fill="auto"/>
            <w:vAlign w:val="center"/>
          </w:tcPr>
          <w:p w14:paraId="426E1DA4" w14:textId="775B0FEB"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 xml:space="preserve">B1.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573FB97" w14:textId="73E2EAE7" w:rsidR="00846D41" w:rsidRPr="00781112" w:rsidRDefault="00846D41" w:rsidP="00827FF4">
            <w:pPr>
              <w:jc w:val="center"/>
              <w:rPr>
                <w:rFonts w:cs="Arial"/>
                <w:color w:val="000000" w:themeColor="text1"/>
                <w:szCs w:val="16"/>
              </w:rPr>
            </w:pPr>
            <w:r w:rsidRPr="00781112">
              <w:rPr>
                <w:rFonts w:cs="Arial"/>
                <w:color w:val="000000" w:themeColor="text1"/>
                <w:szCs w:val="16"/>
              </w:rPr>
              <w:t>60</w:t>
            </w:r>
          </w:p>
        </w:tc>
        <w:tc>
          <w:tcPr>
            <w:tcW w:w="518" w:type="pct"/>
            <w:shd w:val="clear" w:color="auto" w:fill="auto"/>
            <w:vAlign w:val="center"/>
          </w:tcPr>
          <w:p w14:paraId="1D878F9F" w14:textId="1F4F631C" w:rsidR="00846D41" w:rsidRPr="00781112" w:rsidRDefault="00846D41" w:rsidP="00827FF4">
            <w:pPr>
              <w:jc w:val="center"/>
              <w:rPr>
                <w:rFonts w:cs="Arial"/>
                <w:color w:val="000000" w:themeColor="text1"/>
                <w:szCs w:val="16"/>
              </w:rPr>
            </w:pPr>
            <w:r w:rsidRPr="00781112">
              <w:rPr>
                <w:rFonts w:cs="Arial"/>
                <w:color w:val="000000" w:themeColor="text1"/>
                <w:szCs w:val="16"/>
              </w:rPr>
              <w:t>1,382</w:t>
            </w:r>
          </w:p>
        </w:tc>
        <w:tc>
          <w:tcPr>
            <w:tcW w:w="518" w:type="pct"/>
            <w:shd w:val="clear" w:color="auto" w:fill="auto"/>
            <w:vAlign w:val="center"/>
          </w:tcPr>
          <w:p w14:paraId="749D9057" w14:textId="5984EB8B" w:rsidR="00846D41" w:rsidRPr="00781112" w:rsidRDefault="00846D41" w:rsidP="00827FF4">
            <w:pPr>
              <w:jc w:val="center"/>
              <w:rPr>
                <w:rFonts w:cs="Arial"/>
                <w:color w:val="000000" w:themeColor="text1"/>
                <w:szCs w:val="16"/>
              </w:rPr>
            </w:pPr>
            <w:r w:rsidRPr="00781112">
              <w:rPr>
                <w:rFonts w:cs="Arial"/>
                <w:color w:val="000000" w:themeColor="text1"/>
                <w:szCs w:val="16"/>
              </w:rPr>
              <w:t>4.51%</w:t>
            </w:r>
          </w:p>
        </w:tc>
        <w:tc>
          <w:tcPr>
            <w:tcW w:w="518" w:type="pct"/>
            <w:shd w:val="clear" w:color="auto" w:fill="auto"/>
            <w:vAlign w:val="center"/>
          </w:tcPr>
          <w:p w14:paraId="5BB741AE" w14:textId="5926C825" w:rsidR="00846D41" w:rsidRPr="00781112" w:rsidRDefault="00846D41" w:rsidP="00827FF4">
            <w:pPr>
              <w:jc w:val="center"/>
              <w:rPr>
                <w:rFonts w:cs="Arial"/>
                <w:color w:val="000000" w:themeColor="text1"/>
                <w:szCs w:val="16"/>
              </w:rPr>
            </w:pPr>
            <w:r w:rsidRPr="00781112">
              <w:rPr>
                <w:rFonts w:cs="Arial"/>
                <w:color w:val="000000" w:themeColor="text1"/>
                <w:szCs w:val="16"/>
              </w:rPr>
              <w:t>4.26%</w:t>
            </w:r>
          </w:p>
        </w:tc>
        <w:tc>
          <w:tcPr>
            <w:tcW w:w="518" w:type="pct"/>
            <w:shd w:val="clear" w:color="auto" w:fill="auto"/>
            <w:vAlign w:val="center"/>
          </w:tcPr>
          <w:p w14:paraId="205F9597" w14:textId="3FD9111A" w:rsidR="00846D41" w:rsidRPr="00781112" w:rsidRDefault="00846D41" w:rsidP="00827FF4">
            <w:pPr>
              <w:jc w:val="center"/>
              <w:rPr>
                <w:rFonts w:cs="Arial"/>
                <w:color w:val="000000" w:themeColor="text1"/>
                <w:szCs w:val="16"/>
              </w:rPr>
            </w:pPr>
            <w:r w:rsidRPr="00781112">
              <w:rPr>
                <w:rFonts w:cs="Arial"/>
                <w:color w:val="000000" w:themeColor="text1"/>
                <w:szCs w:val="16"/>
              </w:rPr>
              <w:t>4.34%</w:t>
            </w:r>
          </w:p>
        </w:tc>
        <w:tc>
          <w:tcPr>
            <w:tcW w:w="518" w:type="pct"/>
            <w:shd w:val="clear" w:color="auto" w:fill="auto"/>
            <w:vAlign w:val="center"/>
          </w:tcPr>
          <w:p w14:paraId="0DFA927B" w14:textId="0571EE3D" w:rsidR="00846D41" w:rsidRPr="00781112" w:rsidRDefault="00846D41"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0D23D3E" w14:textId="7ECD3AD3" w:rsidR="00846D41" w:rsidRPr="00781112" w:rsidRDefault="00846D41" w:rsidP="00827FF4">
            <w:pPr>
              <w:jc w:val="center"/>
              <w:rPr>
                <w:rFonts w:cs="Arial"/>
                <w:color w:val="000000" w:themeColor="text1"/>
                <w:szCs w:val="16"/>
              </w:rPr>
            </w:pPr>
            <w:r w:rsidRPr="00781112">
              <w:rPr>
                <w:rFonts w:cs="Arial"/>
                <w:color w:val="000000" w:themeColor="text1"/>
                <w:szCs w:val="16"/>
              </w:rPr>
              <w:t>No Slippage</w:t>
            </w:r>
          </w:p>
        </w:tc>
      </w:tr>
      <w:tr w:rsidR="006748D9" w:rsidRPr="00781112" w14:paraId="6D488F52" w14:textId="77777777" w:rsidTr="00827FF4">
        <w:trPr>
          <w:trHeight w:val="361"/>
        </w:trPr>
        <w:tc>
          <w:tcPr>
            <w:tcW w:w="1373" w:type="pct"/>
            <w:shd w:val="clear" w:color="auto" w:fill="auto"/>
            <w:vAlign w:val="center"/>
          </w:tcPr>
          <w:p w14:paraId="2DCDD2F9" w14:textId="7DCE7F57" w:rsidR="006748D9" w:rsidRPr="00781112" w:rsidRDefault="006748D9" w:rsidP="006748D9">
            <w:pPr>
              <w:rPr>
                <w:rFonts w:cs="Arial"/>
                <w:color w:val="000000" w:themeColor="text1"/>
                <w:szCs w:val="16"/>
                <w:shd w:val="clear" w:color="auto" w:fill="FFFFFF"/>
              </w:rPr>
            </w:pPr>
            <w:r w:rsidRPr="00781112">
              <w:rPr>
                <w:rFonts w:cs="Arial"/>
                <w:szCs w:val="16"/>
                <w:shd w:val="clear" w:color="auto" w:fill="FFFFFF"/>
              </w:rPr>
              <w:t>C1. Home</w:t>
            </w:r>
          </w:p>
        </w:tc>
        <w:tc>
          <w:tcPr>
            <w:tcW w:w="518" w:type="pct"/>
            <w:shd w:val="clear" w:color="auto" w:fill="auto"/>
            <w:vAlign w:val="center"/>
          </w:tcPr>
          <w:p w14:paraId="4C235B45" w14:textId="330E22EF" w:rsidR="006748D9" w:rsidRPr="00781112" w:rsidRDefault="006748D9" w:rsidP="006748D9">
            <w:pPr>
              <w:jc w:val="center"/>
              <w:rPr>
                <w:rFonts w:cs="Arial"/>
                <w:color w:val="000000" w:themeColor="text1"/>
                <w:szCs w:val="16"/>
              </w:rPr>
            </w:pPr>
            <w:r w:rsidRPr="00781112">
              <w:rPr>
                <w:rFonts w:cs="Arial"/>
                <w:color w:val="000000" w:themeColor="text1"/>
                <w:szCs w:val="16"/>
              </w:rPr>
              <w:t>214</w:t>
            </w:r>
          </w:p>
        </w:tc>
        <w:tc>
          <w:tcPr>
            <w:tcW w:w="518" w:type="pct"/>
            <w:shd w:val="clear" w:color="auto" w:fill="auto"/>
            <w:vAlign w:val="center"/>
          </w:tcPr>
          <w:p w14:paraId="0371447B" w14:textId="4399EC4F" w:rsidR="006748D9" w:rsidRPr="00781112" w:rsidRDefault="006748D9" w:rsidP="006748D9">
            <w:pPr>
              <w:jc w:val="center"/>
              <w:rPr>
                <w:rFonts w:cs="Arial"/>
                <w:color w:val="000000" w:themeColor="text1"/>
                <w:szCs w:val="16"/>
              </w:rPr>
            </w:pPr>
            <w:r w:rsidRPr="00781112">
              <w:rPr>
                <w:rFonts w:cs="Arial"/>
                <w:color w:val="000000" w:themeColor="text1"/>
                <w:szCs w:val="16"/>
              </w:rPr>
              <w:t>1,382</w:t>
            </w:r>
          </w:p>
        </w:tc>
        <w:tc>
          <w:tcPr>
            <w:tcW w:w="518" w:type="pct"/>
            <w:shd w:val="clear" w:color="auto" w:fill="auto"/>
            <w:vAlign w:val="center"/>
          </w:tcPr>
          <w:p w14:paraId="2B5CD111" w14:textId="092DCAA6" w:rsidR="006748D9" w:rsidRPr="00781112" w:rsidRDefault="006748D9" w:rsidP="006748D9">
            <w:pPr>
              <w:jc w:val="center"/>
              <w:rPr>
                <w:rFonts w:cs="Arial"/>
                <w:color w:val="000000" w:themeColor="text1"/>
                <w:szCs w:val="16"/>
              </w:rPr>
            </w:pPr>
            <w:r w:rsidRPr="00781112">
              <w:rPr>
                <w:rFonts w:cs="Arial"/>
                <w:color w:val="000000" w:themeColor="text1"/>
                <w:szCs w:val="16"/>
              </w:rPr>
              <w:t>20.16%</w:t>
            </w:r>
          </w:p>
        </w:tc>
        <w:tc>
          <w:tcPr>
            <w:tcW w:w="518" w:type="pct"/>
            <w:shd w:val="clear" w:color="auto" w:fill="auto"/>
            <w:vAlign w:val="center"/>
          </w:tcPr>
          <w:p w14:paraId="22CD3D5D" w14:textId="350A7E74" w:rsidR="006748D9" w:rsidRPr="00781112" w:rsidRDefault="00914535" w:rsidP="006748D9">
            <w:pPr>
              <w:jc w:val="center"/>
              <w:rPr>
                <w:rFonts w:cs="Arial"/>
                <w:color w:val="000000" w:themeColor="text1"/>
                <w:szCs w:val="16"/>
              </w:rPr>
            </w:pPr>
            <w:r w:rsidRPr="00781112">
              <w:rPr>
                <w:rFonts w:cs="Arial"/>
                <w:color w:val="000000" w:themeColor="text1"/>
                <w:szCs w:val="16"/>
              </w:rPr>
              <w:t>19.66%</w:t>
            </w:r>
          </w:p>
        </w:tc>
        <w:tc>
          <w:tcPr>
            <w:tcW w:w="518" w:type="pct"/>
            <w:shd w:val="clear" w:color="auto" w:fill="auto"/>
            <w:vAlign w:val="center"/>
          </w:tcPr>
          <w:p w14:paraId="36B7D780" w14:textId="4CDFD97B" w:rsidR="006748D9" w:rsidRPr="00781112" w:rsidRDefault="006748D9" w:rsidP="006748D9">
            <w:pPr>
              <w:jc w:val="center"/>
              <w:rPr>
                <w:rFonts w:cs="Arial"/>
                <w:color w:val="000000" w:themeColor="text1"/>
                <w:szCs w:val="16"/>
              </w:rPr>
            </w:pPr>
            <w:r w:rsidRPr="00781112">
              <w:rPr>
                <w:rFonts w:cs="Arial"/>
                <w:color w:val="000000" w:themeColor="text1"/>
                <w:szCs w:val="16"/>
              </w:rPr>
              <w:t>15.48%</w:t>
            </w:r>
          </w:p>
        </w:tc>
        <w:tc>
          <w:tcPr>
            <w:tcW w:w="518" w:type="pct"/>
            <w:shd w:val="clear" w:color="auto" w:fill="auto"/>
            <w:vAlign w:val="center"/>
          </w:tcPr>
          <w:p w14:paraId="45D3249D" w14:textId="112B44FF" w:rsidR="006748D9" w:rsidRPr="00781112" w:rsidRDefault="006748D9" w:rsidP="006748D9">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50307014" w14:textId="50640923" w:rsidR="006748D9" w:rsidRPr="00781112" w:rsidRDefault="006748D9" w:rsidP="006748D9">
            <w:pPr>
              <w:jc w:val="center"/>
              <w:rPr>
                <w:rFonts w:cs="Arial"/>
                <w:color w:val="000000" w:themeColor="text1"/>
                <w:szCs w:val="16"/>
              </w:rPr>
            </w:pPr>
            <w:r w:rsidRPr="00781112">
              <w:rPr>
                <w:rFonts w:cs="Arial"/>
                <w:color w:val="000000" w:themeColor="text1"/>
                <w:szCs w:val="16"/>
              </w:rPr>
              <w:t>No Slippage</w:t>
            </w:r>
          </w:p>
        </w:tc>
      </w:tr>
    </w:tbl>
    <w:p w14:paraId="7F2BEC7A" w14:textId="531BFFF3" w:rsidR="00983370" w:rsidRPr="00781112" w:rsidRDefault="00983370" w:rsidP="007D100A">
      <w:pPr>
        <w:rPr>
          <w:rFonts w:cs="Arial"/>
          <w:color w:val="000000" w:themeColor="text1"/>
          <w:szCs w:val="16"/>
        </w:rPr>
      </w:pPr>
    </w:p>
    <w:p w14:paraId="7D638C7E" w14:textId="4F613055" w:rsidR="00983370" w:rsidRPr="001C443D" w:rsidRDefault="0047313F" w:rsidP="001C443D">
      <w:pPr>
        <w:rPr>
          <w:b/>
          <w:bCs/>
        </w:rPr>
      </w:pPr>
      <w:r>
        <w:rPr>
          <w:b/>
          <w:bCs/>
        </w:rPr>
        <w:t>FFY 2021 SPP/APR Data for Age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4CFFYAPRDATA618"/>
      </w:tblPr>
      <w:tblGrid>
        <w:gridCol w:w="2964"/>
        <w:gridCol w:w="1118"/>
        <w:gridCol w:w="1118"/>
        <w:gridCol w:w="1118"/>
        <w:gridCol w:w="1118"/>
        <w:gridCol w:w="1118"/>
        <w:gridCol w:w="1118"/>
        <w:gridCol w:w="1118"/>
      </w:tblGrid>
      <w:tr w:rsidR="00385049" w:rsidRPr="00781112" w14:paraId="043A570E" w14:textId="77777777" w:rsidTr="00CB5840">
        <w:trPr>
          <w:trHeight w:val="354"/>
          <w:tblHeader/>
          <w:jc w:val="center"/>
        </w:trPr>
        <w:tc>
          <w:tcPr>
            <w:tcW w:w="1373" w:type="pct"/>
            <w:shd w:val="clear" w:color="auto" w:fill="auto"/>
            <w:vAlign w:val="bottom"/>
          </w:tcPr>
          <w:p w14:paraId="6F11B9C7"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1610F8D0" w14:textId="29578F16" w:rsidR="00385049" w:rsidRPr="00781112" w:rsidRDefault="00385049" w:rsidP="00385049">
            <w:pPr>
              <w:jc w:val="center"/>
              <w:rPr>
                <w:rFonts w:cs="Arial"/>
                <w:b/>
                <w:color w:val="000000" w:themeColor="text1"/>
                <w:szCs w:val="16"/>
              </w:rPr>
            </w:pPr>
            <w:r w:rsidRPr="00781112">
              <w:rPr>
                <w:rFonts w:cs="Arial"/>
                <w:b/>
                <w:color w:val="000000" w:themeColor="text1"/>
                <w:szCs w:val="16"/>
              </w:rPr>
              <w:t xml:space="preserve">Number of children with IEPs aged </w:t>
            </w:r>
            <w:proofErr w:type="gramStart"/>
            <w:r w:rsidRPr="00781112">
              <w:rPr>
                <w:rFonts w:cs="Arial"/>
                <w:b/>
                <w:color w:val="000000" w:themeColor="text1"/>
                <w:szCs w:val="16"/>
              </w:rPr>
              <w:t>4</w:t>
            </w:r>
            <w:proofErr w:type="gramEnd"/>
            <w:r w:rsidRPr="00781112">
              <w:rPr>
                <w:rFonts w:cs="Arial"/>
                <w:b/>
                <w:color w:val="000000" w:themeColor="text1"/>
                <w:szCs w:val="16"/>
              </w:rPr>
              <w:t xml:space="preserve"> served</w:t>
            </w:r>
          </w:p>
        </w:tc>
        <w:tc>
          <w:tcPr>
            <w:tcW w:w="518" w:type="pct"/>
            <w:shd w:val="clear" w:color="auto" w:fill="auto"/>
            <w:vAlign w:val="bottom"/>
          </w:tcPr>
          <w:p w14:paraId="2425FE3C" w14:textId="7E51BF58" w:rsidR="00385049" w:rsidRPr="00781112" w:rsidRDefault="00385049" w:rsidP="00385049">
            <w:pPr>
              <w:jc w:val="center"/>
              <w:rPr>
                <w:rFonts w:cs="Arial"/>
                <w:b/>
                <w:color w:val="000000" w:themeColor="text1"/>
                <w:szCs w:val="16"/>
              </w:rPr>
            </w:pPr>
            <w:r w:rsidRPr="00781112">
              <w:rPr>
                <w:rFonts w:cs="Arial"/>
                <w:b/>
                <w:color w:val="000000" w:themeColor="text1"/>
                <w:szCs w:val="16"/>
              </w:rPr>
              <w:t xml:space="preserve">Total number of children with IEPs aged </w:t>
            </w:r>
            <w:proofErr w:type="gramStart"/>
            <w:r w:rsidRPr="00781112">
              <w:rPr>
                <w:rFonts w:cs="Arial"/>
                <w:b/>
                <w:color w:val="000000" w:themeColor="text1"/>
                <w:szCs w:val="16"/>
              </w:rPr>
              <w:t>4</w:t>
            </w:r>
            <w:proofErr w:type="gramEnd"/>
          </w:p>
        </w:tc>
        <w:tc>
          <w:tcPr>
            <w:tcW w:w="518" w:type="pct"/>
            <w:shd w:val="clear" w:color="auto" w:fill="auto"/>
            <w:vAlign w:val="bottom"/>
          </w:tcPr>
          <w:p w14:paraId="6096FFE3" w14:textId="5E880ECF" w:rsidR="00385049" w:rsidRPr="00CC1061" w:rsidRDefault="00385049" w:rsidP="00385049">
            <w:pPr>
              <w:jc w:val="center"/>
              <w:rPr>
                <w:rFonts w:cs="Arial"/>
                <w:b/>
                <w:bCs/>
                <w:color w:val="000000" w:themeColor="text1"/>
                <w:szCs w:val="16"/>
              </w:rPr>
            </w:pPr>
            <w:r w:rsidRPr="00CC1061">
              <w:rPr>
                <w:b/>
                <w:bCs/>
              </w:rPr>
              <w:t>FFY 2020 Data</w:t>
            </w:r>
          </w:p>
        </w:tc>
        <w:tc>
          <w:tcPr>
            <w:tcW w:w="518" w:type="pct"/>
            <w:shd w:val="clear" w:color="auto" w:fill="auto"/>
            <w:vAlign w:val="bottom"/>
          </w:tcPr>
          <w:p w14:paraId="1BE39B3B" w14:textId="24AD048D" w:rsidR="00385049" w:rsidRPr="00CC1061" w:rsidRDefault="00385049" w:rsidP="00385049">
            <w:pPr>
              <w:jc w:val="center"/>
              <w:rPr>
                <w:rFonts w:cs="Arial"/>
                <w:b/>
                <w:bCs/>
                <w:color w:val="000000" w:themeColor="text1"/>
                <w:szCs w:val="16"/>
              </w:rPr>
            </w:pPr>
            <w:r w:rsidRPr="00CC1061">
              <w:rPr>
                <w:b/>
                <w:bCs/>
              </w:rPr>
              <w:t>FFY 2021 Target</w:t>
            </w:r>
          </w:p>
        </w:tc>
        <w:tc>
          <w:tcPr>
            <w:tcW w:w="518" w:type="pct"/>
            <w:shd w:val="clear" w:color="auto" w:fill="auto"/>
            <w:vAlign w:val="bottom"/>
          </w:tcPr>
          <w:p w14:paraId="05C6F244" w14:textId="1C945789" w:rsidR="00385049" w:rsidRPr="00CC1061" w:rsidRDefault="00385049" w:rsidP="00385049">
            <w:pPr>
              <w:jc w:val="center"/>
              <w:rPr>
                <w:rFonts w:cs="Arial"/>
                <w:b/>
                <w:bCs/>
                <w:color w:val="000000" w:themeColor="text1"/>
                <w:szCs w:val="16"/>
              </w:rPr>
            </w:pPr>
            <w:r w:rsidRPr="00CC1061">
              <w:rPr>
                <w:b/>
                <w:bCs/>
              </w:rPr>
              <w:t>FFY 2021 Data</w:t>
            </w:r>
          </w:p>
        </w:tc>
        <w:tc>
          <w:tcPr>
            <w:tcW w:w="518" w:type="pct"/>
            <w:shd w:val="clear" w:color="auto" w:fill="auto"/>
            <w:vAlign w:val="bottom"/>
          </w:tcPr>
          <w:p w14:paraId="3C48C749"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F121848"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Slippage</w:t>
            </w:r>
          </w:p>
        </w:tc>
      </w:tr>
      <w:tr w:rsidR="00983370" w:rsidRPr="00781112" w14:paraId="09A0E451" w14:textId="77777777" w:rsidTr="00CB5840">
        <w:trPr>
          <w:trHeight w:val="917"/>
          <w:jc w:val="center"/>
        </w:trPr>
        <w:tc>
          <w:tcPr>
            <w:tcW w:w="1373" w:type="pct"/>
            <w:shd w:val="clear" w:color="auto" w:fill="auto"/>
            <w:vAlign w:val="center"/>
          </w:tcPr>
          <w:p w14:paraId="4D2A5FD8" w14:textId="7F2CD3E1"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 xml:space="preserve">A2.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6DABBE4D" w14:textId="21C81CC8" w:rsidR="00983370" w:rsidRPr="00781112" w:rsidRDefault="00983370" w:rsidP="00827FF4">
            <w:pPr>
              <w:jc w:val="center"/>
              <w:rPr>
                <w:rFonts w:cs="Arial"/>
                <w:color w:val="000000" w:themeColor="text1"/>
                <w:szCs w:val="16"/>
              </w:rPr>
            </w:pPr>
            <w:r w:rsidRPr="00781112">
              <w:rPr>
                <w:rFonts w:cs="Arial"/>
                <w:color w:val="000000" w:themeColor="text1"/>
                <w:szCs w:val="16"/>
              </w:rPr>
              <w:t>1,837</w:t>
            </w:r>
          </w:p>
          <w:p w14:paraId="70B09232" w14:textId="77777777"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40E57CAE" w14:textId="5D313007" w:rsidR="00983370" w:rsidRPr="00781112" w:rsidRDefault="00983370" w:rsidP="00827FF4">
            <w:pPr>
              <w:jc w:val="center"/>
              <w:rPr>
                <w:rFonts w:cs="Arial"/>
                <w:color w:val="000000" w:themeColor="text1"/>
                <w:szCs w:val="16"/>
              </w:rPr>
            </w:pPr>
            <w:r w:rsidRPr="00781112">
              <w:rPr>
                <w:rFonts w:cs="Arial"/>
                <w:color w:val="000000" w:themeColor="text1"/>
                <w:szCs w:val="16"/>
              </w:rPr>
              <w:t>2,222</w:t>
            </w:r>
          </w:p>
        </w:tc>
        <w:tc>
          <w:tcPr>
            <w:tcW w:w="518" w:type="pct"/>
            <w:shd w:val="clear" w:color="auto" w:fill="auto"/>
            <w:vAlign w:val="center"/>
          </w:tcPr>
          <w:p w14:paraId="3EECE412" w14:textId="084EFC04" w:rsidR="00983370" w:rsidRPr="00781112" w:rsidRDefault="00983370" w:rsidP="00827FF4">
            <w:pPr>
              <w:jc w:val="center"/>
              <w:rPr>
                <w:rFonts w:cs="Arial"/>
                <w:color w:val="000000" w:themeColor="text1"/>
                <w:szCs w:val="16"/>
              </w:rPr>
            </w:pPr>
            <w:r w:rsidRPr="00781112">
              <w:rPr>
                <w:rFonts w:cs="Arial"/>
                <w:color w:val="000000" w:themeColor="text1"/>
                <w:szCs w:val="16"/>
              </w:rPr>
              <w:t>81.65%</w:t>
            </w:r>
          </w:p>
        </w:tc>
        <w:tc>
          <w:tcPr>
            <w:tcW w:w="518" w:type="pct"/>
            <w:shd w:val="clear" w:color="auto" w:fill="auto"/>
            <w:vAlign w:val="center"/>
          </w:tcPr>
          <w:p w14:paraId="20F65D9C" w14:textId="73EB065F" w:rsidR="00983370" w:rsidRPr="00781112" w:rsidRDefault="00983370" w:rsidP="00827FF4">
            <w:pPr>
              <w:jc w:val="center"/>
              <w:rPr>
                <w:rFonts w:cs="Arial"/>
                <w:color w:val="000000" w:themeColor="text1"/>
                <w:szCs w:val="16"/>
              </w:rPr>
            </w:pPr>
            <w:r w:rsidRPr="00781112">
              <w:rPr>
                <w:rFonts w:cs="Arial"/>
                <w:color w:val="000000" w:themeColor="text1"/>
                <w:szCs w:val="16"/>
              </w:rPr>
              <w:t>82.15%</w:t>
            </w:r>
          </w:p>
        </w:tc>
        <w:tc>
          <w:tcPr>
            <w:tcW w:w="518" w:type="pct"/>
            <w:shd w:val="clear" w:color="auto" w:fill="auto"/>
            <w:vAlign w:val="center"/>
          </w:tcPr>
          <w:p w14:paraId="2671DFB2" w14:textId="6E9181D5" w:rsidR="00983370" w:rsidRPr="00781112" w:rsidRDefault="00983370" w:rsidP="00827FF4">
            <w:pPr>
              <w:jc w:val="center"/>
              <w:rPr>
                <w:rFonts w:cs="Arial"/>
                <w:color w:val="000000" w:themeColor="text1"/>
                <w:szCs w:val="16"/>
              </w:rPr>
            </w:pPr>
            <w:r w:rsidRPr="00781112">
              <w:rPr>
                <w:rFonts w:cs="Arial"/>
                <w:color w:val="000000" w:themeColor="text1"/>
                <w:szCs w:val="16"/>
              </w:rPr>
              <w:t>82.67%</w:t>
            </w:r>
          </w:p>
        </w:tc>
        <w:tc>
          <w:tcPr>
            <w:tcW w:w="518" w:type="pct"/>
            <w:shd w:val="clear" w:color="auto" w:fill="auto"/>
            <w:vAlign w:val="center"/>
          </w:tcPr>
          <w:p w14:paraId="799F8814" w14:textId="1E734917" w:rsidR="00983370" w:rsidRPr="00781112" w:rsidRDefault="00983370" w:rsidP="00827FF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78344DFD" w14:textId="55B473BA" w:rsidR="00983370" w:rsidRPr="00781112" w:rsidRDefault="00983370" w:rsidP="00827FF4">
            <w:pPr>
              <w:jc w:val="center"/>
              <w:rPr>
                <w:rFonts w:cs="Arial"/>
                <w:color w:val="000000" w:themeColor="text1"/>
                <w:szCs w:val="16"/>
              </w:rPr>
            </w:pPr>
            <w:r w:rsidRPr="00781112">
              <w:rPr>
                <w:rFonts w:cs="Arial"/>
                <w:color w:val="000000" w:themeColor="text1"/>
                <w:szCs w:val="16"/>
              </w:rPr>
              <w:t>No Slippage</w:t>
            </w:r>
          </w:p>
        </w:tc>
      </w:tr>
      <w:tr w:rsidR="00983370" w:rsidRPr="00781112" w14:paraId="41CB7F6C" w14:textId="77777777" w:rsidTr="00CB5840">
        <w:trPr>
          <w:trHeight w:val="361"/>
          <w:jc w:val="center"/>
        </w:trPr>
        <w:tc>
          <w:tcPr>
            <w:tcW w:w="1373" w:type="pct"/>
            <w:shd w:val="clear" w:color="auto" w:fill="auto"/>
            <w:vAlign w:val="center"/>
          </w:tcPr>
          <w:p w14:paraId="7C639F36" w14:textId="4658173C"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 xml:space="preserve">B2.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4DFC5C5" w14:textId="77CFEBE8" w:rsidR="00983370" w:rsidRPr="00781112" w:rsidRDefault="00983370" w:rsidP="00827FF4">
            <w:pPr>
              <w:jc w:val="center"/>
              <w:rPr>
                <w:rFonts w:cs="Arial"/>
                <w:color w:val="000000" w:themeColor="text1"/>
                <w:szCs w:val="16"/>
              </w:rPr>
            </w:pPr>
            <w:r w:rsidRPr="00781112">
              <w:rPr>
                <w:rFonts w:cs="Arial"/>
                <w:color w:val="000000" w:themeColor="text1"/>
                <w:szCs w:val="16"/>
              </w:rPr>
              <w:t>42</w:t>
            </w:r>
          </w:p>
        </w:tc>
        <w:tc>
          <w:tcPr>
            <w:tcW w:w="518" w:type="pct"/>
            <w:shd w:val="clear" w:color="auto" w:fill="auto"/>
            <w:vAlign w:val="center"/>
          </w:tcPr>
          <w:p w14:paraId="67B2C073" w14:textId="4C4F1448" w:rsidR="00983370" w:rsidRPr="00781112" w:rsidRDefault="00983370" w:rsidP="00827FF4">
            <w:pPr>
              <w:jc w:val="center"/>
              <w:rPr>
                <w:rFonts w:cs="Arial"/>
                <w:color w:val="000000" w:themeColor="text1"/>
                <w:szCs w:val="16"/>
              </w:rPr>
            </w:pPr>
            <w:r w:rsidRPr="00781112">
              <w:rPr>
                <w:rFonts w:cs="Arial"/>
                <w:color w:val="000000" w:themeColor="text1"/>
                <w:szCs w:val="16"/>
              </w:rPr>
              <w:t>2,222</w:t>
            </w:r>
          </w:p>
        </w:tc>
        <w:tc>
          <w:tcPr>
            <w:tcW w:w="518" w:type="pct"/>
            <w:shd w:val="clear" w:color="auto" w:fill="auto"/>
            <w:vAlign w:val="center"/>
          </w:tcPr>
          <w:p w14:paraId="4F8DEA39" w14:textId="75F03ADD" w:rsidR="00983370" w:rsidRPr="00781112" w:rsidRDefault="00983370" w:rsidP="00827FF4">
            <w:pPr>
              <w:jc w:val="center"/>
              <w:rPr>
                <w:rFonts w:cs="Arial"/>
                <w:color w:val="000000" w:themeColor="text1"/>
                <w:szCs w:val="16"/>
              </w:rPr>
            </w:pPr>
            <w:r w:rsidRPr="00781112">
              <w:rPr>
                <w:rFonts w:cs="Arial"/>
                <w:color w:val="000000" w:themeColor="text1"/>
                <w:szCs w:val="16"/>
              </w:rPr>
              <w:t>2.70%</w:t>
            </w:r>
          </w:p>
        </w:tc>
        <w:tc>
          <w:tcPr>
            <w:tcW w:w="518" w:type="pct"/>
            <w:shd w:val="clear" w:color="auto" w:fill="auto"/>
            <w:vAlign w:val="center"/>
          </w:tcPr>
          <w:p w14:paraId="125F5C82" w14:textId="1C0F14FE" w:rsidR="00983370" w:rsidRPr="00781112" w:rsidRDefault="00983370" w:rsidP="00827FF4">
            <w:pPr>
              <w:jc w:val="center"/>
              <w:rPr>
                <w:rFonts w:cs="Arial"/>
                <w:color w:val="000000" w:themeColor="text1"/>
                <w:szCs w:val="16"/>
              </w:rPr>
            </w:pPr>
            <w:r w:rsidRPr="00781112">
              <w:rPr>
                <w:rFonts w:cs="Arial"/>
                <w:color w:val="000000" w:themeColor="text1"/>
                <w:szCs w:val="16"/>
              </w:rPr>
              <w:t>2.60%</w:t>
            </w:r>
          </w:p>
        </w:tc>
        <w:tc>
          <w:tcPr>
            <w:tcW w:w="518" w:type="pct"/>
            <w:shd w:val="clear" w:color="auto" w:fill="auto"/>
            <w:vAlign w:val="center"/>
          </w:tcPr>
          <w:p w14:paraId="6F6CABDC" w14:textId="09A50C8C" w:rsidR="00983370" w:rsidRPr="00781112" w:rsidRDefault="00983370" w:rsidP="00827FF4">
            <w:pPr>
              <w:jc w:val="center"/>
              <w:rPr>
                <w:rFonts w:cs="Arial"/>
                <w:color w:val="000000" w:themeColor="text1"/>
                <w:szCs w:val="16"/>
              </w:rPr>
            </w:pPr>
            <w:r w:rsidRPr="00781112">
              <w:rPr>
                <w:rFonts w:cs="Arial"/>
                <w:color w:val="000000" w:themeColor="text1"/>
                <w:szCs w:val="16"/>
              </w:rPr>
              <w:t>1.89%</w:t>
            </w:r>
          </w:p>
        </w:tc>
        <w:tc>
          <w:tcPr>
            <w:tcW w:w="518" w:type="pct"/>
            <w:shd w:val="clear" w:color="auto" w:fill="auto"/>
            <w:vAlign w:val="center"/>
          </w:tcPr>
          <w:p w14:paraId="3709FF73" w14:textId="1BDF1A26" w:rsidR="00983370" w:rsidRPr="00781112" w:rsidRDefault="00983370" w:rsidP="00827FF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1599A13E" w14:textId="58FADBA0" w:rsidR="00983370" w:rsidRPr="00781112" w:rsidRDefault="00983370" w:rsidP="00827FF4">
            <w:pPr>
              <w:jc w:val="center"/>
              <w:rPr>
                <w:rFonts w:cs="Arial"/>
                <w:color w:val="000000" w:themeColor="text1"/>
                <w:szCs w:val="16"/>
              </w:rPr>
            </w:pPr>
            <w:r w:rsidRPr="00781112">
              <w:rPr>
                <w:rFonts w:cs="Arial"/>
                <w:color w:val="000000" w:themeColor="text1"/>
                <w:szCs w:val="16"/>
              </w:rPr>
              <w:t>No Slippage</w:t>
            </w:r>
          </w:p>
        </w:tc>
      </w:tr>
      <w:tr w:rsidR="00983370" w:rsidRPr="00781112" w14:paraId="6C2983B9" w14:textId="77777777" w:rsidTr="00CB5840">
        <w:trPr>
          <w:trHeight w:val="361"/>
          <w:jc w:val="center"/>
        </w:trPr>
        <w:tc>
          <w:tcPr>
            <w:tcW w:w="1373" w:type="pct"/>
            <w:shd w:val="clear" w:color="auto" w:fill="auto"/>
            <w:vAlign w:val="center"/>
          </w:tcPr>
          <w:p w14:paraId="36E4190B" w14:textId="1E87D8DA" w:rsidR="00983370" w:rsidRPr="00781112" w:rsidRDefault="00983370" w:rsidP="00827FF4">
            <w:pPr>
              <w:rPr>
                <w:rFonts w:cs="Arial"/>
                <w:color w:val="000000" w:themeColor="text1"/>
                <w:szCs w:val="16"/>
                <w:shd w:val="clear" w:color="auto" w:fill="FFFFFF"/>
              </w:rPr>
            </w:pPr>
            <w:r w:rsidRPr="00781112">
              <w:rPr>
                <w:rFonts w:cs="Arial"/>
                <w:szCs w:val="16"/>
                <w:shd w:val="clear" w:color="auto" w:fill="FFFFFF"/>
              </w:rPr>
              <w:t>C2. Home</w:t>
            </w:r>
          </w:p>
        </w:tc>
        <w:tc>
          <w:tcPr>
            <w:tcW w:w="518" w:type="pct"/>
            <w:shd w:val="clear" w:color="auto" w:fill="auto"/>
            <w:vAlign w:val="center"/>
          </w:tcPr>
          <w:p w14:paraId="67A1876C" w14:textId="781F96EF" w:rsidR="00983370" w:rsidRPr="00781112" w:rsidRDefault="00983370" w:rsidP="00827FF4">
            <w:pPr>
              <w:jc w:val="center"/>
              <w:rPr>
                <w:rFonts w:cs="Arial"/>
                <w:color w:val="000000" w:themeColor="text1"/>
                <w:szCs w:val="16"/>
              </w:rPr>
            </w:pPr>
            <w:r w:rsidRPr="00781112">
              <w:rPr>
                <w:rFonts w:cs="Arial"/>
                <w:color w:val="000000" w:themeColor="text1"/>
                <w:szCs w:val="16"/>
              </w:rPr>
              <w:t>151</w:t>
            </w:r>
          </w:p>
        </w:tc>
        <w:tc>
          <w:tcPr>
            <w:tcW w:w="518" w:type="pct"/>
            <w:shd w:val="clear" w:color="auto" w:fill="auto"/>
            <w:vAlign w:val="center"/>
          </w:tcPr>
          <w:p w14:paraId="3AD51E90" w14:textId="2C041CC0" w:rsidR="00983370" w:rsidRPr="00781112" w:rsidRDefault="00983370" w:rsidP="00827FF4">
            <w:pPr>
              <w:jc w:val="center"/>
              <w:rPr>
                <w:rFonts w:cs="Arial"/>
                <w:color w:val="000000" w:themeColor="text1"/>
                <w:szCs w:val="16"/>
              </w:rPr>
            </w:pPr>
            <w:r w:rsidRPr="00781112">
              <w:rPr>
                <w:rFonts w:cs="Arial"/>
                <w:color w:val="000000" w:themeColor="text1"/>
                <w:szCs w:val="16"/>
              </w:rPr>
              <w:t>2,222</w:t>
            </w:r>
          </w:p>
        </w:tc>
        <w:tc>
          <w:tcPr>
            <w:tcW w:w="518" w:type="pct"/>
            <w:shd w:val="clear" w:color="auto" w:fill="auto"/>
            <w:vAlign w:val="center"/>
          </w:tcPr>
          <w:p w14:paraId="1D025C79" w14:textId="6663BA10" w:rsidR="00983370" w:rsidRPr="00781112" w:rsidRDefault="00983370" w:rsidP="00827FF4">
            <w:pPr>
              <w:jc w:val="center"/>
              <w:rPr>
                <w:rFonts w:cs="Arial"/>
                <w:color w:val="000000" w:themeColor="text1"/>
                <w:szCs w:val="16"/>
              </w:rPr>
            </w:pPr>
            <w:r w:rsidRPr="00781112">
              <w:rPr>
                <w:rFonts w:cs="Arial"/>
                <w:color w:val="000000" w:themeColor="text1"/>
                <w:szCs w:val="16"/>
              </w:rPr>
              <w:t>7.16%</w:t>
            </w:r>
          </w:p>
        </w:tc>
        <w:tc>
          <w:tcPr>
            <w:tcW w:w="518" w:type="pct"/>
            <w:shd w:val="clear" w:color="auto" w:fill="auto"/>
            <w:vAlign w:val="center"/>
          </w:tcPr>
          <w:p w14:paraId="7EA23F7B" w14:textId="648CF24E" w:rsidR="00983370" w:rsidRPr="00781112" w:rsidRDefault="00983370" w:rsidP="00827FF4">
            <w:pPr>
              <w:jc w:val="center"/>
              <w:rPr>
                <w:rFonts w:cs="Arial"/>
                <w:color w:val="000000" w:themeColor="text1"/>
                <w:szCs w:val="16"/>
              </w:rPr>
            </w:pPr>
            <w:r w:rsidRPr="00781112">
              <w:rPr>
                <w:rFonts w:cs="Arial"/>
                <w:color w:val="000000" w:themeColor="text1"/>
                <w:szCs w:val="16"/>
              </w:rPr>
              <w:t>7.06%</w:t>
            </w:r>
          </w:p>
        </w:tc>
        <w:tc>
          <w:tcPr>
            <w:tcW w:w="518" w:type="pct"/>
            <w:shd w:val="clear" w:color="auto" w:fill="auto"/>
            <w:vAlign w:val="center"/>
          </w:tcPr>
          <w:p w14:paraId="316A545C" w14:textId="282C643E" w:rsidR="00983370" w:rsidRPr="00781112" w:rsidRDefault="00983370" w:rsidP="00827FF4">
            <w:pPr>
              <w:jc w:val="center"/>
              <w:rPr>
                <w:rFonts w:cs="Arial"/>
                <w:color w:val="000000" w:themeColor="text1"/>
                <w:szCs w:val="16"/>
              </w:rPr>
            </w:pPr>
            <w:r w:rsidRPr="00781112">
              <w:rPr>
                <w:rFonts w:cs="Arial"/>
                <w:color w:val="000000" w:themeColor="text1"/>
                <w:szCs w:val="16"/>
              </w:rPr>
              <w:t>6.80%</w:t>
            </w:r>
          </w:p>
        </w:tc>
        <w:tc>
          <w:tcPr>
            <w:tcW w:w="518" w:type="pct"/>
            <w:shd w:val="clear" w:color="auto" w:fill="auto"/>
            <w:vAlign w:val="center"/>
          </w:tcPr>
          <w:p w14:paraId="57331EDE" w14:textId="277FE138" w:rsidR="00983370" w:rsidRPr="00781112" w:rsidRDefault="00983370" w:rsidP="00827FF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5F34157F" w14:textId="61427140" w:rsidR="00983370" w:rsidRPr="00781112" w:rsidRDefault="00983370" w:rsidP="00827FF4">
            <w:pPr>
              <w:jc w:val="center"/>
              <w:rPr>
                <w:rFonts w:cs="Arial"/>
                <w:color w:val="000000" w:themeColor="text1"/>
                <w:szCs w:val="16"/>
              </w:rPr>
            </w:pPr>
            <w:r w:rsidRPr="00781112">
              <w:rPr>
                <w:rFonts w:cs="Arial"/>
                <w:color w:val="000000" w:themeColor="text1"/>
                <w:szCs w:val="16"/>
              </w:rPr>
              <w:t>No Slippage</w:t>
            </w:r>
          </w:p>
        </w:tc>
      </w:tr>
    </w:tbl>
    <w:p w14:paraId="7209A96F" w14:textId="42CF60EA" w:rsidR="00A00E1D" w:rsidRDefault="00A00E1D" w:rsidP="00983370">
      <w:pPr>
        <w:rPr>
          <w:b/>
          <w:color w:val="000000" w:themeColor="text1"/>
        </w:rPr>
      </w:pPr>
    </w:p>
    <w:p w14:paraId="74370263" w14:textId="04BAA094" w:rsidR="00983370" w:rsidRDefault="00983370" w:rsidP="007D100A">
      <w:pPr>
        <w:rPr>
          <w:rFonts w:cs="Arial"/>
          <w:color w:val="000000" w:themeColor="text1"/>
          <w:szCs w:val="16"/>
        </w:rPr>
      </w:pPr>
    </w:p>
    <w:p w14:paraId="68DB323E" w14:textId="77777777" w:rsidR="00452F19" w:rsidRDefault="00452F19">
      <w:pPr>
        <w:spacing w:before="0" w:after="200" w:line="276" w:lineRule="auto"/>
        <w:rPr>
          <w:b/>
          <w:bCs/>
        </w:rPr>
      </w:pPr>
      <w:r>
        <w:rPr>
          <w:b/>
          <w:bCs/>
        </w:rPr>
        <w:br w:type="page"/>
      </w:r>
    </w:p>
    <w:p w14:paraId="1BB1B469" w14:textId="192CDB06" w:rsidR="00D16730" w:rsidRPr="00306EB6" w:rsidRDefault="0047313F" w:rsidP="00306EB6">
      <w:pPr>
        <w:rPr>
          <w:b/>
          <w:bCs/>
        </w:rPr>
      </w:pPr>
      <w:r>
        <w:rPr>
          <w:b/>
          <w:bCs/>
        </w:rPr>
        <w:lastRenderedPageBreak/>
        <w:t>FFY 2021 SPP/APR Data for Age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5CFFYAPRDATA618"/>
      </w:tblPr>
      <w:tblGrid>
        <w:gridCol w:w="2964"/>
        <w:gridCol w:w="1118"/>
        <w:gridCol w:w="1118"/>
        <w:gridCol w:w="1118"/>
        <w:gridCol w:w="1118"/>
        <w:gridCol w:w="1118"/>
        <w:gridCol w:w="1118"/>
        <w:gridCol w:w="1118"/>
      </w:tblGrid>
      <w:tr w:rsidR="00385049" w:rsidRPr="00781112" w14:paraId="23C089CD" w14:textId="77777777" w:rsidTr="00AA46D2">
        <w:trPr>
          <w:trHeight w:val="354"/>
          <w:tblHeader/>
          <w:jc w:val="center"/>
        </w:trPr>
        <w:tc>
          <w:tcPr>
            <w:tcW w:w="1373" w:type="pct"/>
            <w:shd w:val="clear" w:color="auto" w:fill="auto"/>
            <w:vAlign w:val="bottom"/>
          </w:tcPr>
          <w:p w14:paraId="0B62D246"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69298EC2" w14:textId="67C8F326" w:rsidR="00385049" w:rsidRPr="00781112" w:rsidRDefault="00385049" w:rsidP="00385049">
            <w:pPr>
              <w:jc w:val="center"/>
              <w:rPr>
                <w:rFonts w:cs="Arial"/>
                <w:b/>
                <w:color w:val="000000" w:themeColor="text1"/>
                <w:szCs w:val="16"/>
              </w:rPr>
            </w:pPr>
            <w:r w:rsidRPr="00781112">
              <w:rPr>
                <w:rFonts w:cs="Arial"/>
                <w:b/>
                <w:color w:val="000000" w:themeColor="text1"/>
                <w:szCs w:val="16"/>
              </w:rPr>
              <w:t xml:space="preserve">Number of children with IEPs aged </w:t>
            </w:r>
            <w:proofErr w:type="gramStart"/>
            <w:r w:rsidRPr="00781112">
              <w:rPr>
                <w:rFonts w:cs="Arial"/>
                <w:b/>
                <w:color w:val="000000" w:themeColor="text1"/>
                <w:szCs w:val="16"/>
              </w:rPr>
              <w:t>5</w:t>
            </w:r>
            <w:proofErr w:type="gramEnd"/>
            <w:r w:rsidRPr="00781112">
              <w:rPr>
                <w:rFonts w:cs="Arial"/>
                <w:b/>
                <w:color w:val="000000" w:themeColor="text1"/>
                <w:szCs w:val="16"/>
              </w:rPr>
              <w:t xml:space="preserve"> served</w:t>
            </w:r>
          </w:p>
        </w:tc>
        <w:tc>
          <w:tcPr>
            <w:tcW w:w="518" w:type="pct"/>
            <w:shd w:val="clear" w:color="auto" w:fill="auto"/>
            <w:vAlign w:val="bottom"/>
          </w:tcPr>
          <w:p w14:paraId="7A56A5AE" w14:textId="5AD2361F" w:rsidR="00385049" w:rsidRPr="00781112" w:rsidRDefault="00385049" w:rsidP="00385049">
            <w:pPr>
              <w:jc w:val="center"/>
              <w:rPr>
                <w:rFonts w:cs="Arial"/>
                <w:b/>
                <w:color w:val="000000" w:themeColor="text1"/>
                <w:szCs w:val="16"/>
              </w:rPr>
            </w:pPr>
            <w:r w:rsidRPr="00781112">
              <w:rPr>
                <w:rFonts w:cs="Arial"/>
                <w:b/>
                <w:color w:val="000000" w:themeColor="text1"/>
                <w:szCs w:val="16"/>
              </w:rPr>
              <w:t xml:space="preserve">Total number of children with IEPs aged </w:t>
            </w:r>
            <w:proofErr w:type="gramStart"/>
            <w:r w:rsidRPr="00781112">
              <w:rPr>
                <w:rFonts w:cs="Arial"/>
                <w:b/>
                <w:color w:val="000000" w:themeColor="text1"/>
                <w:szCs w:val="16"/>
              </w:rPr>
              <w:t>5</w:t>
            </w:r>
            <w:proofErr w:type="gramEnd"/>
          </w:p>
        </w:tc>
        <w:tc>
          <w:tcPr>
            <w:tcW w:w="518" w:type="pct"/>
            <w:shd w:val="clear" w:color="auto" w:fill="auto"/>
            <w:vAlign w:val="bottom"/>
          </w:tcPr>
          <w:p w14:paraId="691EF20E" w14:textId="4A10DF3B" w:rsidR="00385049" w:rsidRPr="00CC1061" w:rsidRDefault="00385049" w:rsidP="00385049">
            <w:pPr>
              <w:jc w:val="center"/>
              <w:rPr>
                <w:rFonts w:cs="Arial"/>
                <w:b/>
                <w:bCs/>
                <w:color w:val="000000" w:themeColor="text1"/>
                <w:szCs w:val="16"/>
              </w:rPr>
            </w:pPr>
            <w:r w:rsidRPr="00CC1061">
              <w:rPr>
                <w:b/>
                <w:bCs/>
              </w:rPr>
              <w:t>FFY 2020 Data</w:t>
            </w:r>
          </w:p>
        </w:tc>
        <w:tc>
          <w:tcPr>
            <w:tcW w:w="518" w:type="pct"/>
            <w:shd w:val="clear" w:color="auto" w:fill="auto"/>
            <w:vAlign w:val="bottom"/>
          </w:tcPr>
          <w:p w14:paraId="6338E803" w14:textId="0450B6E6" w:rsidR="00385049" w:rsidRPr="00CC1061" w:rsidRDefault="00385049" w:rsidP="00385049">
            <w:pPr>
              <w:jc w:val="center"/>
              <w:rPr>
                <w:rFonts w:cs="Arial"/>
                <w:b/>
                <w:bCs/>
                <w:color w:val="000000" w:themeColor="text1"/>
                <w:szCs w:val="16"/>
              </w:rPr>
            </w:pPr>
            <w:r w:rsidRPr="00CC1061">
              <w:rPr>
                <w:b/>
                <w:bCs/>
              </w:rPr>
              <w:t>FFY 2021 Target</w:t>
            </w:r>
          </w:p>
        </w:tc>
        <w:tc>
          <w:tcPr>
            <w:tcW w:w="518" w:type="pct"/>
            <w:shd w:val="clear" w:color="auto" w:fill="auto"/>
            <w:vAlign w:val="bottom"/>
          </w:tcPr>
          <w:p w14:paraId="1929AEA2" w14:textId="27854E94" w:rsidR="00385049" w:rsidRPr="00CC1061" w:rsidRDefault="00385049" w:rsidP="00385049">
            <w:pPr>
              <w:jc w:val="center"/>
              <w:rPr>
                <w:rFonts w:cs="Arial"/>
                <w:b/>
                <w:bCs/>
                <w:color w:val="000000" w:themeColor="text1"/>
                <w:szCs w:val="16"/>
              </w:rPr>
            </w:pPr>
            <w:r w:rsidRPr="00CC1061">
              <w:rPr>
                <w:b/>
                <w:bCs/>
              </w:rPr>
              <w:t>FFY 2021 Data</w:t>
            </w:r>
          </w:p>
        </w:tc>
        <w:tc>
          <w:tcPr>
            <w:tcW w:w="518" w:type="pct"/>
            <w:shd w:val="clear" w:color="auto" w:fill="auto"/>
            <w:vAlign w:val="bottom"/>
          </w:tcPr>
          <w:p w14:paraId="6F1D33C5"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E58123D"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Slippage</w:t>
            </w:r>
          </w:p>
        </w:tc>
      </w:tr>
      <w:tr w:rsidR="00D16730" w:rsidRPr="00781112" w14:paraId="34836B23" w14:textId="77777777" w:rsidTr="00AA46D2">
        <w:trPr>
          <w:trHeight w:val="917"/>
          <w:jc w:val="center"/>
        </w:trPr>
        <w:tc>
          <w:tcPr>
            <w:tcW w:w="1373" w:type="pct"/>
            <w:shd w:val="clear" w:color="auto" w:fill="auto"/>
            <w:vAlign w:val="center"/>
          </w:tcPr>
          <w:p w14:paraId="2C733692" w14:textId="63729A92"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 xml:space="preserve">A3.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5B014240" w14:textId="1D65C30F" w:rsidR="00D16730" w:rsidRPr="00781112" w:rsidRDefault="00D16730" w:rsidP="00827FF4">
            <w:pPr>
              <w:jc w:val="center"/>
              <w:rPr>
                <w:rFonts w:cs="Arial"/>
                <w:color w:val="000000" w:themeColor="text1"/>
                <w:szCs w:val="16"/>
              </w:rPr>
            </w:pPr>
            <w:r w:rsidRPr="00781112">
              <w:rPr>
                <w:rFonts w:cs="Arial"/>
                <w:color w:val="000000" w:themeColor="text1"/>
                <w:szCs w:val="16"/>
              </w:rPr>
              <w:t>503</w:t>
            </w:r>
          </w:p>
          <w:p w14:paraId="5A576877" w14:textId="77777777"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664F878D" w14:textId="17017D56" w:rsidR="00D16730" w:rsidRPr="00781112" w:rsidRDefault="00D16730" w:rsidP="00827FF4">
            <w:pPr>
              <w:jc w:val="center"/>
              <w:rPr>
                <w:rFonts w:cs="Arial"/>
                <w:color w:val="000000" w:themeColor="text1"/>
                <w:szCs w:val="16"/>
              </w:rPr>
            </w:pPr>
            <w:r w:rsidRPr="00781112">
              <w:rPr>
                <w:rFonts w:cs="Arial"/>
                <w:color w:val="000000" w:themeColor="text1"/>
                <w:szCs w:val="16"/>
              </w:rPr>
              <w:t>614</w:t>
            </w:r>
          </w:p>
        </w:tc>
        <w:tc>
          <w:tcPr>
            <w:tcW w:w="518" w:type="pct"/>
            <w:shd w:val="clear" w:color="auto" w:fill="auto"/>
            <w:vAlign w:val="center"/>
          </w:tcPr>
          <w:p w14:paraId="141022C3" w14:textId="204F96AB" w:rsidR="00D16730" w:rsidRPr="00781112" w:rsidRDefault="00D16730" w:rsidP="00827FF4">
            <w:pPr>
              <w:jc w:val="center"/>
              <w:rPr>
                <w:rFonts w:cs="Arial"/>
                <w:color w:val="000000" w:themeColor="text1"/>
                <w:szCs w:val="16"/>
              </w:rPr>
            </w:pPr>
            <w:r w:rsidRPr="00781112">
              <w:rPr>
                <w:rFonts w:cs="Arial"/>
                <w:color w:val="000000" w:themeColor="text1"/>
                <w:szCs w:val="16"/>
              </w:rPr>
              <w:t>78.63%</w:t>
            </w:r>
          </w:p>
        </w:tc>
        <w:tc>
          <w:tcPr>
            <w:tcW w:w="518" w:type="pct"/>
            <w:shd w:val="clear" w:color="auto" w:fill="auto"/>
            <w:vAlign w:val="center"/>
          </w:tcPr>
          <w:p w14:paraId="4A1253F4" w14:textId="53A9CB32" w:rsidR="00D16730" w:rsidRPr="00781112" w:rsidRDefault="00D16730" w:rsidP="00827FF4">
            <w:pPr>
              <w:jc w:val="center"/>
              <w:rPr>
                <w:rFonts w:cs="Arial"/>
                <w:color w:val="000000" w:themeColor="text1"/>
                <w:szCs w:val="16"/>
              </w:rPr>
            </w:pPr>
            <w:r w:rsidRPr="00781112">
              <w:rPr>
                <w:rFonts w:cs="Arial"/>
                <w:color w:val="000000" w:themeColor="text1"/>
                <w:szCs w:val="16"/>
              </w:rPr>
              <w:t>78.73%</w:t>
            </w:r>
          </w:p>
        </w:tc>
        <w:tc>
          <w:tcPr>
            <w:tcW w:w="518" w:type="pct"/>
            <w:shd w:val="clear" w:color="auto" w:fill="auto"/>
            <w:vAlign w:val="center"/>
          </w:tcPr>
          <w:p w14:paraId="3C2B8B90" w14:textId="2129AEC2" w:rsidR="00D16730" w:rsidRPr="00781112" w:rsidRDefault="00D16730" w:rsidP="00827FF4">
            <w:pPr>
              <w:jc w:val="center"/>
              <w:rPr>
                <w:rFonts w:cs="Arial"/>
                <w:color w:val="000000" w:themeColor="text1"/>
                <w:szCs w:val="16"/>
              </w:rPr>
            </w:pPr>
            <w:r w:rsidRPr="00781112">
              <w:rPr>
                <w:rFonts w:cs="Arial"/>
                <w:color w:val="000000" w:themeColor="text1"/>
                <w:szCs w:val="16"/>
              </w:rPr>
              <w:t>81.92%</w:t>
            </w:r>
          </w:p>
        </w:tc>
        <w:tc>
          <w:tcPr>
            <w:tcW w:w="518" w:type="pct"/>
            <w:shd w:val="clear" w:color="auto" w:fill="auto"/>
            <w:vAlign w:val="center"/>
          </w:tcPr>
          <w:p w14:paraId="6D95D792" w14:textId="22D1E519" w:rsidR="00D16730" w:rsidRPr="00781112" w:rsidRDefault="00D16730" w:rsidP="00827FF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287BE816" w14:textId="6D6E6568" w:rsidR="00D16730" w:rsidRPr="00781112" w:rsidRDefault="00D16730" w:rsidP="00827FF4">
            <w:pPr>
              <w:jc w:val="center"/>
              <w:rPr>
                <w:rFonts w:cs="Arial"/>
                <w:color w:val="000000" w:themeColor="text1"/>
                <w:szCs w:val="16"/>
              </w:rPr>
            </w:pPr>
            <w:r w:rsidRPr="00781112">
              <w:rPr>
                <w:rFonts w:cs="Arial"/>
                <w:color w:val="000000" w:themeColor="text1"/>
                <w:szCs w:val="16"/>
              </w:rPr>
              <w:t>No Slippage</w:t>
            </w:r>
          </w:p>
        </w:tc>
      </w:tr>
      <w:tr w:rsidR="00D16730" w:rsidRPr="00781112" w14:paraId="557FAC90" w14:textId="77777777" w:rsidTr="00AA46D2">
        <w:trPr>
          <w:trHeight w:val="361"/>
          <w:jc w:val="center"/>
        </w:trPr>
        <w:tc>
          <w:tcPr>
            <w:tcW w:w="1373" w:type="pct"/>
            <w:shd w:val="clear" w:color="auto" w:fill="auto"/>
            <w:vAlign w:val="center"/>
          </w:tcPr>
          <w:p w14:paraId="30B1DAB5" w14:textId="37DB0578"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 xml:space="preserve">B3.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3220260D" w14:textId="59BDC266" w:rsidR="00D16730" w:rsidRPr="00781112" w:rsidRDefault="00D16730" w:rsidP="00827FF4">
            <w:pPr>
              <w:jc w:val="center"/>
              <w:rPr>
                <w:rFonts w:cs="Arial"/>
                <w:color w:val="000000" w:themeColor="text1"/>
                <w:szCs w:val="16"/>
              </w:rPr>
            </w:pPr>
            <w:r w:rsidRPr="00781112">
              <w:rPr>
                <w:rFonts w:cs="Arial"/>
                <w:color w:val="000000" w:themeColor="text1"/>
                <w:szCs w:val="16"/>
              </w:rPr>
              <w:t>8</w:t>
            </w:r>
          </w:p>
        </w:tc>
        <w:tc>
          <w:tcPr>
            <w:tcW w:w="518" w:type="pct"/>
            <w:shd w:val="clear" w:color="auto" w:fill="auto"/>
            <w:vAlign w:val="center"/>
          </w:tcPr>
          <w:p w14:paraId="16608177" w14:textId="2E7F0CBF" w:rsidR="00D16730" w:rsidRPr="00781112" w:rsidRDefault="00D16730" w:rsidP="00827FF4">
            <w:pPr>
              <w:jc w:val="center"/>
              <w:rPr>
                <w:rFonts w:cs="Arial"/>
                <w:color w:val="000000" w:themeColor="text1"/>
                <w:szCs w:val="16"/>
              </w:rPr>
            </w:pPr>
            <w:r w:rsidRPr="00781112">
              <w:rPr>
                <w:rFonts w:cs="Arial"/>
                <w:color w:val="000000" w:themeColor="text1"/>
                <w:szCs w:val="16"/>
              </w:rPr>
              <w:t>614</w:t>
            </w:r>
          </w:p>
        </w:tc>
        <w:tc>
          <w:tcPr>
            <w:tcW w:w="518" w:type="pct"/>
            <w:shd w:val="clear" w:color="auto" w:fill="auto"/>
            <w:vAlign w:val="center"/>
          </w:tcPr>
          <w:p w14:paraId="0F536350" w14:textId="59E98446" w:rsidR="00D16730" w:rsidRPr="00781112" w:rsidRDefault="00D16730" w:rsidP="00827FF4">
            <w:pPr>
              <w:jc w:val="center"/>
              <w:rPr>
                <w:rFonts w:cs="Arial"/>
                <w:color w:val="000000" w:themeColor="text1"/>
                <w:szCs w:val="16"/>
              </w:rPr>
            </w:pPr>
            <w:r w:rsidRPr="00781112">
              <w:rPr>
                <w:rFonts w:cs="Arial"/>
                <w:color w:val="000000" w:themeColor="text1"/>
                <w:szCs w:val="16"/>
              </w:rPr>
              <w:t>2.98%</w:t>
            </w:r>
          </w:p>
        </w:tc>
        <w:tc>
          <w:tcPr>
            <w:tcW w:w="518" w:type="pct"/>
            <w:shd w:val="clear" w:color="auto" w:fill="auto"/>
            <w:vAlign w:val="center"/>
          </w:tcPr>
          <w:p w14:paraId="0D15A691" w14:textId="33E52072" w:rsidR="00D16730" w:rsidRPr="00781112" w:rsidRDefault="00D16730" w:rsidP="00827FF4">
            <w:pPr>
              <w:jc w:val="center"/>
              <w:rPr>
                <w:rFonts w:cs="Arial"/>
                <w:color w:val="000000" w:themeColor="text1"/>
                <w:szCs w:val="16"/>
              </w:rPr>
            </w:pPr>
            <w:r w:rsidRPr="00781112">
              <w:rPr>
                <w:rFonts w:cs="Arial"/>
                <w:color w:val="000000" w:themeColor="text1"/>
                <w:szCs w:val="16"/>
              </w:rPr>
              <w:t>2.78%</w:t>
            </w:r>
          </w:p>
        </w:tc>
        <w:tc>
          <w:tcPr>
            <w:tcW w:w="518" w:type="pct"/>
            <w:shd w:val="clear" w:color="auto" w:fill="auto"/>
            <w:vAlign w:val="center"/>
          </w:tcPr>
          <w:p w14:paraId="12A3CC7D" w14:textId="57221594" w:rsidR="00D16730" w:rsidRPr="00781112" w:rsidRDefault="00D16730" w:rsidP="00827FF4">
            <w:pPr>
              <w:jc w:val="center"/>
              <w:rPr>
                <w:rFonts w:cs="Arial"/>
                <w:color w:val="000000" w:themeColor="text1"/>
                <w:szCs w:val="16"/>
              </w:rPr>
            </w:pPr>
            <w:r w:rsidRPr="00781112">
              <w:rPr>
                <w:rFonts w:cs="Arial"/>
                <w:color w:val="000000" w:themeColor="text1"/>
                <w:szCs w:val="16"/>
              </w:rPr>
              <w:t>1.30%</w:t>
            </w:r>
          </w:p>
        </w:tc>
        <w:tc>
          <w:tcPr>
            <w:tcW w:w="518" w:type="pct"/>
            <w:shd w:val="clear" w:color="auto" w:fill="auto"/>
            <w:vAlign w:val="center"/>
          </w:tcPr>
          <w:p w14:paraId="30E899A6" w14:textId="694EC7E5" w:rsidR="00D16730" w:rsidRPr="00781112" w:rsidRDefault="00D16730" w:rsidP="00827FF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65B3EA8" w14:textId="3F352604" w:rsidR="00D16730" w:rsidRPr="00781112" w:rsidRDefault="00D16730" w:rsidP="00827FF4">
            <w:pPr>
              <w:jc w:val="center"/>
              <w:rPr>
                <w:rFonts w:cs="Arial"/>
                <w:color w:val="000000" w:themeColor="text1"/>
                <w:szCs w:val="16"/>
              </w:rPr>
            </w:pPr>
            <w:r w:rsidRPr="00781112">
              <w:rPr>
                <w:rFonts w:cs="Arial"/>
                <w:color w:val="000000" w:themeColor="text1"/>
                <w:szCs w:val="16"/>
              </w:rPr>
              <w:t>No Slippage</w:t>
            </w:r>
          </w:p>
        </w:tc>
      </w:tr>
      <w:tr w:rsidR="00D16730" w:rsidRPr="00781112" w14:paraId="42323ACA" w14:textId="77777777" w:rsidTr="00AA46D2">
        <w:trPr>
          <w:trHeight w:val="361"/>
          <w:jc w:val="center"/>
        </w:trPr>
        <w:tc>
          <w:tcPr>
            <w:tcW w:w="1373" w:type="pct"/>
            <w:shd w:val="clear" w:color="auto" w:fill="auto"/>
            <w:vAlign w:val="center"/>
          </w:tcPr>
          <w:p w14:paraId="1E0C01FB" w14:textId="4E74C614" w:rsidR="00D16730" w:rsidRPr="00781112" w:rsidRDefault="00D16730" w:rsidP="00827FF4">
            <w:pPr>
              <w:rPr>
                <w:rFonts w:cs="Arial"/>
                <w:color w:val="000000" w:themeColor="text1"/>
                <w:szCs w:val="16"/>
                <w:shd w:val="clear" w:color="auto" w:fill="FFFFFF"/>
              </w:rPr>
            </w:pPr>
            <w:r w:rsidRPr="00781112">
              <w:rPr>
                <w:rFonts w:cs="Arial"/>
                <w:szCs w:val="16"/>
                <w:shd w:val="clear" w:color="auto" w:fill="FFFFFF"/>
              </w:rPr>
              <w:t>C3. Home</w:t>
            </w:r>
          </w:p>
        </w:tc>
        <w:tc>
          <w:tcPr>
            <w:tcW w:w="518" w:type="pct"/>
            <w:shd w:val="clear" w:color="auto" w:fill="auto"/>
            <w:vAlign w:val="center"/>
          </w:tcPr>
          <w:p w14:paraId="4DB4C2B7" w14:textId="6F8AD943" w:rsidR="00D16730" w:rsidRPr="00781112" w:rsidRDefault="00D16730" w:rsidP="00827FF4">
            <w:pPr>
              <w:jc w:val="center"/>
              <w:rPr>
                <w:rFonts w:cs="Arial"/>
                <w:color w:val="000000" w:themeColor="text1"/>
                <w:szCs w:val="16"/>
              </w:rPr>
            </w:pPr>
            <w:r w:rsidRPr="00781112">
              <w:rPr>
                <w:rFonts w:cs="Arial"/>
                <w:color w:val="000000" w:themeColor="text1"/>
                <w:szCs w:val="16"/>
              </w:rPr>
              <w:t>38</w:t>
            </w:r>
          </w:p>
        </w:tc>
        <w:tc>
          <w:tcPr>
            <w:tcW w:w="518" w:type="pct"/>
            <w:shd w:val="clear" w:color="auto" w:fill="auto"/>
            <w:vAlign w:val="center"/>
          </w:tcPr>
          <w:p w14:paraId="2A9EB9BA" w14:textId="614BD42A" w:rsidR="00D16730" w:rsidRPr="00781112" w:rsidRDefault="00D16730" w:rsidP="00827FF4">
            <w:pPr>
              <w:jc w:val="center"/>
              <w:rPr>
                <w:rFonts w:cs="Arial"/>
                <w:color w:val="000000" w:themeColor="text1"/>
                <w:szCs w:val="16"/>
              </w:rPr>
            </w:pPr>
            <w:r w:rsidRPr="00781112">
              <w:rPr>
                <w:rFonts w:cs="Arial"/>
                <w:color w:val="000000" w:themeColor="text1"/>
                <w:szCs w:val="16"/>
              </w:rPr>
              <w:t>614</w:t>
            </w:r>
          </w:p>
        </w:tc>
        <w:tc>
          <w:tcPr>
            <w:tcW w:w="518" w:type="pct"/>
            <w:shd w:val="clear" w:color="auto" w:fill="auto"/>
            <w:vAlign w:val="center"/>
          </w:tcPr>
          <w:p w14:paraId="2647E6D8" w14:textId="2853D14D" w:rsidR="00D16730" w:rsidRPr="00781112" w:rsidRDefault="00D16730" w:rsidP="00827FF4">
            <w:pPr>
              <w:jc w:val="center"/>
              <w:rPr>
                <w:rFonts w:cs="Arial"/>
                <w:color w:val="000000" w:themeColor="text1"/>
                <w:szCs w:val="16"/>
              </w:rPr>
            </w:pPr>
            <w:r w:rsidRPr="00781112">
              <w:rPr>
                <w:rFonts w:cs="Arial"/>
                <w:color w:val="000000" w:themeColor="text1"/>
                <w:szCs w:val="16"/>
              </w:rPr>
              <w:t>6.83%</w:t>
            </w:r>
          </w:p>
        </w:tc>
        <w:tc>
          <w:tcPr>
            <w:tcW w:w="518" w:type="pct"/>
            <w:shd w:val="clear" w:color="auto" w:fill="auto"/>
            <w:vAlign w:val="center"/>
          </w:tcPr>
          <w:p w14:paraId="6AE17B5B" w14:textId="666A5DE0" w:rsidR="00D16730" w:rsidRPr="00781112" w:rsidRDefault="00D16730" w:rsidP="00827FF4">
            <w:pPr>
              <w:jc w:val="center"/>
              <w:rPr>
                <w:rFonts w:cs="Arial"/>
                <w:color w:val="000000" w:themeColor="text1"/>
                <w:szCs w:val="16"/>
              </w:rPr>
            </w:pPr>
            <w:r w:rsidRPr="00781112">
              <w:rPr>
                <w:rFonts w:cs="Arial"/>
                <w:color w:val="000000" w:themeColor="text1"/>
                <w:szCs w:val="16"/>
              </w:rPr>
              <w:t>6.63%</w:t>
            </w:r>
          </w:p>
        </w:tc>
        <w:tc>
          <w:tcPr>
            <w:tcW w:w="518" w:type="pct"/>
            <w:shd w:val="clear" w:color="auto" w:fill="auto"/>
            <w:vAlign w:val="center"/>
          </w:tcPr>
          <w:p w14:paraId="6746472B" w14:textId="67A3FA0F" w:rsidR="00D16730" w:rsidRPr="00781112" w:rsidRDefault="00D16730" w:rsidP="00827FF4">
            <w:pPr>
              <w:jc w:val="center"/>
              <w:rPr>
                <w:rFonts w:cs="Arial"/>
                <w:color w:val="000000" w:themeColor="text1"/>
                <w:szCs w:val="16"/>
              </w:rPr>
            </w:pPr>
            <w:r w:rsidRPr="00781112">
              <w:rPr>
                <w:rFonts w:cs="Arial"/>
                <w:color w:val="000000" w:themeColor="text1"/>
                <w:szCs w:val="16"/>
              </w:rPr>
              <w:t>6.19%</w:t>
            </w:r>
          </w:p>
        </w:tc>
        <w:tc>
          <w:tcPr>
            <w:tcW w:w="518" w:type="pct"/>
            <w:shd w:val="clear" w:color="auto" w:fill="auto"/>
            <w:vAlign w:val="center"/>
          </w:tcPr>
          <w:p w14:paraId="0E25393B" w14:textId="516B281F" w:rsidR="00D16730" w:rsidRPr="00781112" w:rsidRDefault="00D16730" w:rsidP="00827FF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114288" w14:textId="251234B7" w:rsidR="00D16730" w:rsidRPr="00781112" w:rsidRDefault="00D16730" w:rsidP="00827FF4">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Beginning with the FFY 2020 SPP/APR, Nebraska set its targets separately for each age. The platform in which the SPP/APR </w:t>
      </w:r>
      <w:proofErr w:type="gramStart"/>
      <w:r w:rsidRPr="00781112">
        <w:rPr>
          <w:rFonts w:cs="Arial"/>
          <w:color w:val="000000" w:themeColor="text1"/>
          <w:szCs w:val="16"/>
        </w:rPr>
        <w:t>is submitted</w:t>
      </w:r>
      <w:proofErr w:type="gramEnd"/>
      <w:r w:rsidRPr="00781112">
        <w:rPr>
          <w:rFonts w:cs="Arial"/>
          <w:color w:val="000000" w:themeColor="text1"/>
          <w:szCs w:val="16"/>
        </w:rPr>
        <w:t xml:space="preserve">, EMAPS, does not provide for three separate target boxes within the Historical Data table. In this SPP/APR the FFY 2020 targets show as blank in the Historical Data table and the FFY 2020 data </w:t>
      </w:r>
      <w:proofErr w:type="gramStart"/>
      <w:r w:rsidRPr="00781112">
        <w:rPr>
          <w:rFonts w:cs="Arial"/>
          <w:color w:val="000000" w:themeColor="text1"/>
          <w:szCs w:val="16"/>
        </w:rPr>
        <w:t>is automatically filled</w:t>
      </w:r>
      <w:proofErr w:type="gramEnd"/>
      <w:r w:rsidRPr="00781112">
        <w:rPr>
          <w:rFonts w:cs="Arial"/>
          <w:color w:val="000000" w:themeColor="text1"/>
          <w:szCs w:val="16"/>
        </w:rPr>
        <w:t xml:space="preserve"> in and Nebraska cannot edit it. The FFY 2020 targets can </w:t>
      </w:r>
      <w:proofErr w:type="gramStart"/>
      <w:r w:rsidRPr="00781112">
        <w:rPr>
          <w:rFonts w:cs="Arial"/>
          <w:color w:val="000000" w:themeColor="text1"/>
          <w:szCs w:val="16"/>
        </w:rPr>
        <w:t>be reviewed</w:t>
      </w:r>
      <w:proofErr w:type="gramEnd"/>
      <w:r w:rsidRPr="00781112">
        <w:rPr>
          <w:rFonts w:cs="Arial"/>
          <w:color w:val="000000" w:themeColor="text1"/>
          <w:szCs w:val="16"/>
        </w:rPr>
        <w:t xml:space="preserve"> in the section Baselines for Individual Targets option (A, B, C) and the FFY 2020 data can be reviewed in the FFY 2021 SPP/APR Data sections for each age.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p>
    <w:p w14:paraId="1404DCF9" w14:textId="77777777" w:rsidR="00531E54" w:rsidRPr="00781112" w:rsidRDefault="00531E54" w:rsidP="00A018D4">
      <w:pPr>
        <w:rPr>
          <w:color w:val="000000" w:themeColor="text1"/>
          <w:szCs w:val="20"/>
        </w:rPr>
      </w:pPr>
      <w:bookmarkStart w:id="35"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74.75%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75.25%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75.25%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65.67%</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57.65%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76.45%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67.57%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65.64%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63.24%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65.67%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59.60%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60.54%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68.84%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59.28%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56.25%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59.60%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75.25%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70.04%</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62.74%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74.23%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64.85%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70.04%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62.64%</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69.23%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70.27%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65.26%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62.64%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76.25%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62.43%</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58.58%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74.28%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95.77%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24.03%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45.03%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62.43%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75.25%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51.80%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64.65%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88.04%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96.18%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55.59%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51.80%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56.95%</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57.20%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57.45%</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57.70%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58.20%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59.75%</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60.00%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60.25%</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60.50%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61.00%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61.95%</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62.20%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62.45%</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62.70%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63.20%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55.15%</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55.40%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55.65%</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55.90%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56.40%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57.85%</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58.10%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58.35%</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58.60%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59.10%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63.85%</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64.10%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64.35%</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64.60%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65.10%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In addition to the broad stakeholder input that NDE seeks on State targets in the SPP/APR, NDE sought specific stakeholder input from the Results Matter Nebraska Task Force for its changes to the Indicator 7 baseline and FFY 2021–25 targets. The Task Force, including its parent members, provided input in setting Indicator 7 targets, analyzing Indicator 7 data, developing Indicator 7 improvement strategies, and evaluating Indicator 7 progress. NDE considered the Task Force feedback and then provided the Task Force with its decision on Indicator 7 targets, shared the most recent Indicator 7 data, plans for Indicator 7 improvement strategies, and how it will evaluate Indicator 7 progress. NDE also regularly engages with district staff to evaluate Indicator 7 progress </w:t>
      </w:r>
    </w:p>
    <w:p w14:paraId="1512BEE4" w14:textId="77777777" w:rsidR="007870F8" w:rsidRPr="00781112" w:rsidRDefault="007870F8" w:rsidP="004369B2">
      <w:pPr>
        <w:rPr>
          <w:color w:val="000000" w:themeColor="text1"/>
        </w:rPr>
      </w:pPr>
    </w:p>
    <w:p w14:paraId="6207C715" w14:textId="77777777" w:rsidR="00452F19" w:rsidRDefault="00452F19">
      <w:pPr>
        <w:spacing w:before="0" w:after="200" w:line="276" w:lineRule="auto"/>
        <w:rPr>
          <w:b/>
          <w:color w:val="000000" w:themeColor="text1"/>
        </w:rPr>
      </w:pPr>
      <w:r>
        <w:rPr>
          <w:b/>
          <w:color w:val="000000" w:themeColor="text1"/>
        </w:rPr>
        <w:br w:type="page"/>
      </w:r>
    </w:p>
    <w:p w14:paraId="4D0201C3" w14:textId="22D860D6" w:rsidR="008751D3" w:rsidRPr="00781112" w:rsidRDefault="0047313F">
      <w:pPr>
        <w:rPr>
          <w:b/>
          <w:color w:val="000000" w:themeColor="text1"/>
        </w:rPr>
      </w:pPr>
      <w:r>
        <w:rPr>
          <w:b/>
          <w:color w:val="000000" w:themeColor="text1"/>
        </w:rPr>
        <w:lastRenderedPageBreak/>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2,311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0.87%</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611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26.44%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281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12.16%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578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25.01%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821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35.53%</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859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1,490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65.67%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56.95%</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57.65%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1,399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2,311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59.60%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59.75%</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60.54%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0.30%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616</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26.66%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395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17.09%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654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28.30%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639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27.65%</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1,049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1,672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70.04%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61.95%</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62.74%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t>
            </w:r>
            <w:r w:rsidRPr="00781112">
              <w:rPr>
                <w:rFonts w:cs="Arial"/>
                <w:color w:val="000000" w:themeColor="text1"/>
                <w:szCs w:val="16"/>
              </w:rPr>
              <w:lastRenderedPageBreak/>
              <w:t xml:space="preserve">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1,293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2,311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62.64%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55.15%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1.86%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556</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24.06%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218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9.43%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629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27.22%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865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37.43%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847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1,446</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62.43%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57.85%</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58.58%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1,494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2,311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63.85%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64.65%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 xml:space="preserve">Criteria for defining “comparable to same-aged peers” was determined through Item Response Theory (IRT) analyses by Teaching Strategies, based on a national sample. The algorithms result in a 7-point rating system that parallels the Child Outcomes Summary (COS) ratings. These ratings, by age, </w:t>
      </w:r>
      <w:proofErr w:type="gramStart"/>
      <w:r w:rsidRPr="00781112">
        <w:rPr>
          <w:rFonts w:cs="Arial"/>
          <w:color w:val="000000" w:themeColor="text1"/>
          <w:szCs w:val="16"/>
        </w:rPr>
        <w:t>are input</w:t>
      </w:r>
      <w:proofErr w:type="gramEnd"/>
      <w:r w:rsidRPr="00781112">
        <w:rPr>
          <w:rFonts w:cs="Arial"/>
          <w:color w:val="000000" w:themeColor="text1"/>
          <w:szCs w:val="16"/>
        </w:rPr>
        <w:t xml:space="preserve"> into the Teaching Strategies (TS) GOLD online system which generates a rating based on TS GOLD scores for each functional outcome. Research studies examining the reliability and validity of the TS GOLD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at: https://teachingstrategies.com/research/#assessment  </w:t>
      </w:r>
    </w:p>
    <w:p w14:paraId="015A471A" w14:textId="77777777" w:rsidR="004611C1" w:rsidRPr="00781112" w:rsidRDefault="004611C1" w:rsidP="00401663">
      <w:pPr>
        <w:rPr>
          <w:rFonts w:cs="Arial"/>
          <w:b/>
          <w:color w:val="000000" w:themeColor="text1"/>
          <w:szCs w:val="16"/>
        </w:rPr>
      </w:pPr>
      <w:bookmarkStart w:id="36" w:name="_Toc382082381"/>
      <w:bookmarkStart w:id="37"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Teaching Strategies (TS) GOLD, an authentic, observational assessment designed for children birth through third grade, is the assessment used to gather data for Indicator C3. At the child’s entry or at six months of age and at the time of exit from Part C or at age 3, teachers/providers gather and document information from observations of the child or from an interview (e.g., Routine Based Interview) with the parent(s). This data forms the basis of the scoring across four areas of development (social emotional, physical, language, and cognitive) and two areas of content learning (literacy and mathematics). TS GOLD objectives and dimensions that comprise each of the functional outcomes that </w:t>
      </w:r>
      <w:proofErr w:type="gramStart"/>
      <w:r w:rsidRPr="00781112">
        <w:rPr>
          <w:rFonts w:cs="Arial"/>
          <w:color w:val="000000" w:themeColor="text1"/>
          <w:szCs w:val="16"/>
        </w:rPr>
        <w:t>are reported</w:t>
      </w:r>
      <w:proofErr w:type="gramEnd"/>
      <w:r w:rsidRPr="00781112">
        <w:rPr>
          <w:rFonts w:cs="Arial"/>
          <w:color w:val="000000" w:themeColor="text1"/>
          <w:szCs w:val="16"/>
        </w:rPr>
        <w:t xml:space="preserve"> are based on a crosswalk recommended by the national Early Child Outcomes (ECO) Center. Criteria for defining “comparable to same-aged peers” was determined through Item Response Theory (IRT) analyses by Teaching Strategies, based on a national sample. The algorithms result in a 7-point rating system that parallels the </w:t>
      </w:r>
      <w:r w:rsidRPr="00781112">
        <w:rPr>
          <w:rFonts w:cs="Arial"/>
          <w:color w:val="000000" w:themeColor="text1"/>
          <w:szCs w:val="16"/>
        </w:rPr>
        <w:lastRenderedPageBreak/>
        <w:t xml:space="preserve">Child Outcomes Summary (COS) ratings. These ratings by age </w:t>
      </w:r>
      <w:proofErr w:type="gramStart"/>
      <w:r w:rsidRPr="00781112">
        <w:rPr>
          <w:rFonts w:cs="Arial"/>
          <w:color w:val="000000" w:themeColor="text1"/>
          <w:szCs w:val="16"/>
        </w:rPr>
        <w:t>are programmed</w:t>
      </w:r>
      <w:proofErr w:type="gramEnd"/>
      <w:r w:rsidRPr="00781112">
        <w:rPr>
          <w:rFonts w:cs="Arial"/>
          <w:color w:val="000000" w:themeColor="text1"/>
          <w:szCs w:val="16"/>
        </w:rPr>
        <w:t xml:space="preserve"> into the TS GOLD online system which generates a rating based on TS GOLD scores for each functional outcome. Research studies examining the reliability and validity of the TS GOLD may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https://teachingstrategies.com/research/#assessment .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In 2020, the Teaching Strategies GOLD (TSG) Research Team determined the GOLD thresholds for establishing age-expected functioning were too high for measuring progress in Part C and disproportionately higher than thresholds applied in other assessment tools that Part C providers in other states may choose to use. The discrepancy </w:t>
      </w:r>
      <w:proofErr w:type="gramStart"/>
      <w:r w:rsidRPr="00781112">
        <w:rPr>
          <w:rFonts w:cs="Arial"/>
          <w:color w:val="000000" w:themeColor="text1"/>
          <w:szCs w:val="16"/>
        </w:rPr>
        <w:t>was attributed</w:t>
      </w:r>
      <w:proofErr w:type="gramEnd"/>
      <w:r w:rsidRPr="00781112">
        <w:rPr>
          <w:rFonts w:cs="Arial"/>
          <w:color w:val="000000" w:themeColor="text1"/>
          <w:szCs w:val="16"/>
        </w:rPr>
        <w:t xml:space="preserve"> to a need for better guidance from OSEP and for a revised methodology from TSG. To update the scoring algorithm, TSG convened a council of stakeholders who use GOLD for OSEP reporting, and the stakeholder team included high representation from Nebraska. The team collaborated to determine the appropriate cut scores used for converting from scores on GOLD to a 7-point scale. The process included reviewing </w:t>
      </w:r>
      <w:proofErr w:type="gramStart"/>
      <w:r w:rsidRPr="00781112">
        <w:rPr>
          <w:rFonts w:cs="Arial"/>
          <w:color w:val="000000" w:themeColor="text1"/>
          <w:szCs w:val="16"/>
        </w:rPr>
        <w:t>numerous</w:t>
      </w:r>
      <w:proofErr w:type="gramEnd"/>
      <w:r w:rsidRPr="00781112">
        <w:rPr>
          <w:rFonts w:cs="Arial"/>
          <w:color w:val="000000" w:themeColor="text1"/>
          <w:szCs w:val="16"/>
        </w:rPr>
        <w:t xml:space="preserve"> simulations of impacts to data based on different thresholds for age-expected functioning and discussions of the potential impact to comparisons of historical and future data. After multiple reviews, the Council came to consensus on the new thresholds. The changes, while motivated by the need to revise the algorithm for Part C reporting, also have downstream effects on Part B reporting. For Part B services, effects will be more variable, but most programs will observe that Summary Statements 1 and 2 look lower with respect to previous years’ data across all outcome areas; however, with the new algorithm in place, it is anticipated that the Summary Statement data for all areas will stabilize in the upcoming reporting periods. Nebraska adopted the updated algorithm for the OSEP Part B reporting process for the 2021–22 reporting period; therefore, Nebraska reestablished baseline and targets for this reporting period with the two-year longitudinal data based on the new algorithm (Nebraska manually calculated FFY 2020 data for another year of longitudinal data). Additionally, to better match OSEP’s definition of no improvement in functioning, TSG revised its algorithm for assignment to progress category A. Previously, the algorithm assigned children to category A if there was no change or a regression in the total score for the outcome between entry and exit. The revised algorithm now evaluates progress at the item level. This change provides a more incremental way to measure children’s growth and development and, thus, enhances progress monitoring for children with severe developmental delays. This change yielded a positive effect on the progress category distributions this year resulting in a smaller proportion of children falling into progress category A and a larger proportion of children falling into progress category </w:t>
      </w:r>
      <w:proofErr w:type="gramStart"/>
      <w:r w:rsidRPr="00781112">
        <w:rPr>
          <w:rFonts w:cs="Arial"/>
          <w:color w:val="000000" w:themeColor="text1"/>
          <w:szCs w:val="16"/>
        </w:rPr>
        <w:t xml:space="preserve">B.  </w:t>
      </w:r>
      <w:proofErr w:type="gramEnd"/>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The State did not provide targets, as required by the measurement table. The State must provide the required targets for FFY 2020 through FFY 2025 in the FFY 2021 SPP/APR.</w:t>
      </w:r>
    </w:p>
    <w:p w14:paraId="342951AE" w14:textId="530DEEBF" w:rsidR="00B1280F" w:rsidRPr="00781112" w:rsidRDefault="00B1280F" w:rsidP="000A2C83">
      <w:pPr>
        <w:rPr>
          <w:rFonts w:cs="Arial"/>
          <w:color w:val="000000" w:themeColor="text1"/>
          <w:szCs w:val="16"/>
        </w:rPr>
      </w:pPr>
    </w:p>
    <w:p w14:paraId="32819AD2" w14:textId="140A4495" w:rsidR="000A2C83" w:rsidRPr="00781112" w:rsidRDefault="007639D7" w:rsidP="004369B2">
      <w:pPr>
        <w:rPr>
          <w:b/>
          <w:color w:val="000000" w:themeColor="text1"/>
        </w:rPr>
      </w:pPr>
      <w:r>
        <w:rPr>
          <w:b/>
          <w:color w:val="000000" w:themeColor="text1"/>
        </w:rPr>
        <w:t>Response to actions required in FFY 2020 SPP/APR</w:t>
      </w:r>
    </w:p>
    <w:p w14:paraId="0E03AAE5" w14:textId="77777777" w:rsidR="00B1280F" w:rsidRPr="00781112" w:rsidRDefault="002B7490" w:rsidP="000A2C83">
      <w:pPr>
        <w:rPr>
          <w:rFonts w:cs="Arial"/>
          <w:color w:val="000000" w:themeColor="text1"/>
          <w:szCs w:val="16"/>
        </w:rPr>
      </w:pPr>
      <w:r w:rsidRPr="00781112">
        <w:rPr>
          <w:rFonts w:cs="Arial"/>
          <w:color w:val="000000" w:themeColor="text1"/>
          <w:szCs w:val="16"/>
        </w:rPr>
        <w:t xml:space="preserve">The State has provided the required targets for FFY 2020 through FFY 2025 and described its stakeholder input process. </w:t>
      </w: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 provided targets for FFYs 2021 through 2025 for this indicator, and OSEP accepts those targets.</w:t>
      </w: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6"/>
      <w:bookmarkEnd w:id="37"/>
    </w:p>
    <w:p w14:paraId="66FBCA03" w14:textId="77777777" w:rsidR="00B654C1" w:rsidRPr="00781112" w:rsidRDefault="00B654C1" w:rsidP="00A018D4">
      <w:pPr>
        <w:rPr>
          <w:color w:val="000000" w:themeColor="text1"/>
          <w:szCs w:val="20"/>
        </w:rPr>
      </w:pPr>
      <w:bookmarkStart w:id="38"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39"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39"/>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8"/>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03EA946D" w14:textId="77777777" w:rsidR="00452F19" w:rsidRDefault="00452F19">
      <w:pPr>
        <w:spacing w:before="0" w:after="200" w:line="276" w:lineRule="auto"/>
        <w:rPr>
          <w:b/>
          <w:color w:val="000000" w:themeColor="text1"/>
        </w:rPr>
      </w:pPr>
      <w:r>
        <w:rPr>
          <w:b/>
          <w:color w:val="000000" w:themeColor="text1"/>
        </w:rPr>
        <w:br w:type="page"/>
      </w:r>
    </w:p>
    <w:p w14:paraId="39D78FC4" w14:textId="5F6D6C8F" w:rsidR="00ED0065" w:rsidRPr="00781112" w:rsidRDefault="00ED0065" w:rsidP="004369B2">
      <w:pPr>
        <w:rPr>
          <w:b/>
          <w:color w:val="000000" w:themeColor="text1"/>
        </w:rPr>
      </w:pPr>
      <w:r w:rsidRPr="00781112">
        <w:rPr>
          <w:b/>
          <w:color w:val="000000" w:themeColor="text1"/>
        </w:rPr>
        <w:lastRenderedPageBreak/>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2013</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89.37%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90.20%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90.80%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91.80%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91.80%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90.71%</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89.40%</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91.56%</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86.75%</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90.71%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84.63%</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90.76%</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90.81%</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90.86%</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90.91%</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90.98%</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9,190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10,979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84.63%</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90.76%</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83.71%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Parents of children with disabilities, including parents of preschool children with disabilities,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the opportunity to take the parent survey. Surveys </w:t>
      </w:r>
      <w:proofErr w:type="gramStart"/>
      <w:r w:rsidRPr="00781112">
        <w:rPr>
          <w:rFonts w:cs="Arial"/>
          <w:color w:val="000000" w:themeColor="text1"/>
          <w:szCs w:val="16"/>
        </w:rPr>
        <w:t>are given</w:t>
      </w:r>
      <w:proofErr w:type="gramEnd"/>
      <w:r w:rsidRPr="00781112">
        <w:rPr>
          <w:rFonts w:cs="Arial"/>
          <w:color w:val="000000" w:themeColor="text1"/>
          <w:szCs w:val="16"/>
        </w:rPr>
        <w:t xml:space="preserve"> to all parents of children with disabilities in the districts for students ages 3–21 via email with a link to the survey as the first attempt to provide parents an opportunity to share their satisfaction with their parent involvement in the process to improve services for their child. Parents </w:t>
      </w:r>
      <w:proofErr w:type="gramStart"/>
      <w:r w:rsidRPr="00781112">
        <w:rPr>
          <w:rFonts w:cs="Arial"/>
          <w:color w:val="000000" w:themeColor="text1"/>
          <w:szCs w:val="16"/>
        </w:rPr>
        <w:t>are also provided</w:t>
      </w:r>
      <w:proofErr w:type="gramEnd"/>
      <w:r w:rsidRPr="00781112">
        <w:rPr>
          <w:rFonts w:cs="Arial"/>
          <w:color w:val="000000" w:themeColor="text1"/>
          <w:szCs w:val="16"/>
        </w:rPr>
        <w:t xml:space="preserve"> with the information at parent teacher conferences, at the child’s IEP Team meeting, and other school events. Parents of preschool children with disabilities </w:t>
      </w:r>
      <w:proofErr w:type="gramStart"/>
      <w:r w:rsidRPr="00781112">
        <w:rPr>
          <w:rFonts w:cs="Arial"/>
          <w:color w:val="000000" w:themeColor="text1"/>
          <w:szCs w:val="16"/>
        </w:rPr>
        <w:t>are also included</w:t>
      </w:r>
      <w:proofErr w:type="gramEnd"/>
      <w:r w:rsidRPr="00781112">
        <w:rPr>
          <w:rFonts w:cs="Arial"/>
          <w:color w:val="000000" w:themeColor="text1"/>
          <w:szCs w:val="16"/>
        </w:rPr>
        <w:t xml:space="preserve"> in these same processes. If parents are unable to access a computer or the internet and have not responded, families receive the survey by mail. The return rate for surveys for preschool parents was the highest return rate for all grade levels. The questions in the survey are not specific to grade level but can </w:t>
      </w:r>
      <w:proofErr w:type="gramStart"/>
      <w:r w:rsidRPr="00781112">
        <w:rPr>
          <w:rFonts w:cs="Arial"/>
          <w:color w:val="000000" w:themeColor="text1"/>
          <w:szCs w:val="16"/>
        </w:rPr>
        <w:t>be applied</w:t>
      </w:r>
      <w:proofErr w:type="gramEnd"/>
      <w:r w:rsidRPr="00781112">
        <w:rPr>
          <w:rFonts w:cs="Arial"/>
          <w:color w:val="000000" w:themeColor="text1"/>
          <w:szCs w:val="16"/>
        </w:rPr>
        <w:t xml:space="preserve"> to parents of children of any age.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53,064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20.69%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59.03%</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20.69%</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In 2023, NDE will continue to distribute the survey to parents of all students receiving special education services. Additionally, all districts will </w:t>
      </w:r>
      <w:proofErr w:type="gramStart"/>
      <w:r w:rsidRPr="0061205F">
        <w:rPr>
          <w:rFonts w:cs="Arial"/>
          <w:bCs/>
          <w:color w:val="000000" w:themeColor="text1"/>
          <w:szCs w:val="16"/>
        </w:rPr>
        <w:t>be required</w:t>
      </w:r>
      <w:proofErr w:type="gramEnd"/>
      <w:r w:rsidRPr="0061205F">
        <w:rPr>
          <w:rFonts w:cs="Arial"/>
          <w:bCs/>
          <w:color w:val="000000" w:themeColor="text1"/>
          <w:szCs w:val="16"/>
        </w:rPr>
        <w:t xml:space="preserve"> to create and submit a “Parent Survey Data Collection Plan” to ensure each district has an effective plan for collecting accurate parent feedback. Each district will have access to a planning template on the district’s individualized portal to the statewide online platform with instructions requiring the district to send the survey to each family of a child with an IEP, detail at least two methods for survey distribution, a minimum of two dates the district will provide follow-up reminders, and an attainable goal for the district’s parent response rate based on previous district data. NDE will communicate directly with districts with a high percentage of underrepresented groups and provide technical assistance to ensure a targeted effort towards those groups.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To analyze response rate, NDE compared the responders to the parents who should have received the survey. NDE identified nonresponse bias for parents of children with disabilities who are African American or Black, </w:t>
      </w:r>
      <w:proofErr w:type="gramStart"/>
      <w:r>
        <w:rPr>
          <w:rFonts w:cs="Arial"/>
          <w:szCs w:val="16"/>
        </w:rPr>
        <w:t>Hispanic</w:t>
      </w:r>
      <w:proofErr w:type="gramEnd"/>
      <w:r>
        <w:rPr>
          <w:rFonts w:cs="Arial"/>
          <w:szCs w:val="16"/>
        </w:rPr>
        <w:t xml:space="preserve"> or Latino, and Asian. NDE did not identify any nonresponse bias based on geographic location. NDE sent the survey to all parents of children with disabilities in the 2021–22 school year, resulting in over three times the number of respondents compared to FFY 2020. NDE also worked </w:t>
      </w:r>
      <w:proofErr w:type="gramStart"/>
      <w:r>
        <w:rPr>
          <w:rFonts w:cs="Arial"/>
          <w:szCs w:val="16"/>
        </w:rPr>
        <w:t>with districts closely</w:t>
      </w:r>
      <w:proofErr w:type="gramEnd"/>
      <w:r>
        <w:rPr>
          <w:rFonts w:cs="Arial"/>
          <w:szCs w:val="16"/>
        </w:rPr>
        <w:t xml:space="preserve"> to make sure surveys </w:t>
      </w:r>
      <w:proofErr w:type="gramStart"/>
      <w:r>
        <w:rPr>
          <w:rFonts w:cs="Arial"/>
          <w:szCs w:val="16"/>
        </w:rPr>
        <w:t>were distributed</w:t>
      </w:r>
      <w:proofErr w:type="gramEnd"/>
      <w:r>
        <w:rPr>
          <w:rFonts w:cs="Arial"/>
          <w:szCs w:val="16"/>
        </w:rPr>
        <w:t xml:space="preserve"> to all parents of children with disabilities and that parents were encouraged and reminded to complete the survey. To avoid nonresponse bias in FFY 2022, NDE plans to provide technical assistance and support to the largest, most diverse districts in Nebraska. Increasing the response rate for these urban districts should improve overall representativeness.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lastRenderedPageBreak/>
        <w:t xml:space="preserve">Include the State’s analyses of the extent to which the demographics of the parents responding are representative of the demographics of children receiving special education services. </w:t>
      </w:r>
      <w:bookmarkStart w:id="42" w:name="_Hlk112070690"/>
      <w:bookmarkStart w:id="43"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2"/>
    <w:bookmarkEnd w:id="43"/>
    <w:p w14:paraId="513A1FE6" w14:textId="77777777" w:rsidR="00090132" w:rsidRDefault="00090132" w:rsidP="006F6351">
      <w:pPr>
        <w:rPr>
          <w:b/>
          <w:bCs/>
        </w:rPr>
      </w:pPr>
      <w:r w:rsidRPr="000A2B9F">
        <w:rPr>
          <w:bCs/>
          <w:color w:val="000000" w:themeColor="text1"/>
        </w:rPr>
        <w:t xml:space="preserve">NDE assessed the representativeness of the survey responses by examining the demographic characteristics of the children of the parents who responded to the survey to the demographic characteristics of all children receiving special education services. This comparison indicates the percentage of responses received is representative of the percentage of surveys distributed by district. Results are not representative by race/ethnicity with responses from parents whose child with a disability is African American or Black, American </w:t>
      </w:r>
      <w:proofErr w:type="gramStart"/>
      <w:r w:rsidRPr="000A2B9F">
        <w:rPr>
          <w:bCs/>
          <w:color w:val="000000" w:themeColor="text1"/>
        </w:rPr>
        <w:t>Indian</w:t>
      </w:r>
      <w:proofErr w:type="gramEnd"/>
      <w:r w:rsidRPr="000A2B9F">
        <w:rPr>
          <w:bCs/>
          <w:color w:val="000000" w:themeColor="text1"/>
        </w:rPr>
        <w:t xml:space="preserve"> or Alaska Native, Hispanic/Latino, and multiple races are underrepresented, and responses from parents whose child is white are overrepresented. Responses are not representative for any geographic area, with rural areas overrepresented and the more urban areas underrepresented. The lack of representativeness </w:t>
      </w:r>
      <w:proofErr w:type="gramStart"/>
      <w:r w:rsidRPr="000A2B9F">
        <w:rPr>
          <w:bCs/>
          <w:color w:val="000000" w:themeColor="text1"/>
        </w:rPr>
        <w:t>is linked</w:t>
      </w:r>
      <w:proofErr w:type="gramEnd"/>
      <w:r w:rsidRPr="000A2B9F">
        <w:rPr>
          <w:bCs/>
          <w:color w:val="000000" w:themeColor="text1"/>
        </w:rPr>
        <w:t xml:space="preserve"> to issues with the response rate, the number of surveys distributed, and the unequal distribution of surveys.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For 2023, NDE will conduct a census, sending the survey to all parents of children with disabilities in the state. NDE will work closely with districts to be sure the survey </w:t>
      </w:r>
      <w:proofErr w:type="gramStart"/>
      <w:r w:rsidRPr="000A2B9F">
        <w:rPr>
          <w:b w:val="0"/>
          <w:bCs/>
          <w:color w:val="000000" w:themeColor="text1"/>
        </w:rPr>
        <w:t>is distributed</w:t>
      </w:r>
      <w:proofErr w:type="gramEnd"/>
      <w:r w:rsidRPr="000A2B9F">
        <w:rPr>
          <w:b w:val="0"/>
          <w:bCs/>
          <w:color w:val="000000" w:themeColor="text1"/>
        </w:rPr>
        <w:t xml:space="preserve"> to all parents of children with disabilities. The “Parent Survey Data Collection Plan” will also promote improved representativeness across demographic categories by improving response rates. Namely, the planning template requires districts to create a specific plan for survey distribution that meets the needs of their district. This careful planning and follow-up from NDE </w:t>
      </w:r>
      <w:proofErr w:type="gramStart"/>
      <w:r w:rsidRPr="000A2B9F">
        <w:rPr>
          <w:b w:val="0"/>
          <w:bCs/>
          <w:color w:val="000000" w:themeColor="text1"/>
        </w:rPr>
        <w:t>are intended</w:t>
      </w:r>
      <w:proofErr w:type="gramEnd"/>
      <w:r w:rsidRPr="000A2B9F">
        <w:rPr>
          <w:b w:val="0"/>
          <w:bCs/>
          <w:color w:val="000000" w:themeColor="text1"/>
        </w:rPr>
        <w:t xml:space="preserve"> to result in the demographics of the children whose parents responded to the survey being representative of the children receiving special education services.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NDE used the Early Childhood Technical Assistance Center (ECTA) Representativeness Calculator to determine representativeness for race, grade, and disability. The ECTA Calculator uses an accepted formula (test of proportional difference) to determine whether the difference between the two percentages is statistically significant (or meaningful), based upon the 90% confidence intervals for each indicator (significance level = .10). The number of districts was too large to analyze using the Representativeness Calculator, so NDE instead used a metric of +/- 3% discrepancy in the proportion of responders per district compared to the proportion of surveys sent per district.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Analysis of the FFY 2021 survey response data indicates the responses received are not representative by race/ethnicity with responses from parents whose child with a disability is African American or Black, American Indian or Alaska Native, Hispanic/Latino, and multiple races are underrepresented, and responses from parents whose child is white are overrepresented compared to the demographics of children receiving special education services. Responses are not representative for any geographic area, with rural areas overrepresented and the more urban areas underrepresented. For FFY 2022, NDE will conduct a census, sending the survey to all parents of children with disabilities in the state. NDE will work closely with districts to be sure the survey </w:t>
      </w:r>
      <w:proofErr w:type="gramStart"/>
      <w:r w:rsidRPr="00781112">
        <w:rPr>
          <w:rFonts w:cs="Arial"/>
          <w:color w:val="000000" w:themeColor="text1"/>
          <w:szCs w:val="16"/>
        </w:rPr>
        <w:t>is distributed</w:t>
      </w:r>
      <w:proofErr w:type="gramEnd"/>
      <w:r w:rsidRPr="00781112">
        <w:rPr>
          <w:rFonts w:cs="Arial"/>
          <w:color w:val="000000" w:themeColor="text1"/>
          <w:szCs w:val="16"/>
        </w:rPr>
        <w:t xml:space="preserve"> to all parents of children with disabilities. The “Parent Survey Data Collection Plan” will also promote improved representativeness across demographic categories by improving response rates. Namely, the planning template requires districts to create a specific plan for survey distribution that meets the needs of their district. This careful planning and follow-up from NDE </w:t>
      </w:r>
      <w:proofErr w:type="gramStart"/>
      <w:r w:rsidRPr="00781112">
        <w:rPr>
          <w:rFonts w:cs="Arial"/>
          <w:color w:val="000000" w:themeColor="text1"/>
          <w:szCs w:val="16"/>
        </w:rPr>
        <w:t>is</w:t>
      </w:r>
      <w:proofErr w:type="gramEnd"/>
      <w:r w:rsidRPr="00781112">
        <w:rPr>
          <w:rFonts w:cs="Arial"/>
          <w:color w:val="000000" w:themeColor="text1"/>
          <w:szCs w:val="16"/>
        </w:rPr>
        <w:t xml:space="preserve"> intended to result in the demographics of the children whose parents responded to the survey being representative of the children receiving special education services.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4" w:name="_Toc384383343"/>
      <w:bookmarkStart w:id="45"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6" w:name="_Toc384383344"/>
      <w:bookmarkStart w:id="47" w:name="_Toc392159312"/>
      <w:bookmarkEnd w:id="44"/>
      <w:bookmarkEnd w:id="45"/>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6"/>
      <w:bookmarkEnd w:id="47"/>
    </w:tbl>
    <w:p w14:paraId="7307FC33" w14:textId="77777777" w:rsidR="00452F19" w:rsidRDefault="00452F19">
      <w:pPr>
        <w:rPr>
          <w:b/>
          <w:color w:val="000000" w:themeColor="text1"/>
        </w:rPr>
      </w:pPr>
    </w:p>
    <w:p w14:paraId="3B8AF0AE" w14:textId="77777777" w:rsidR="00452F19" w:rsidRDefault="00452F19">
      <w:pPr>
        <w:spacing w:before="0" w:after="200" w:line="276" w:lineRule="auto"/>
        <w:rPr>
          <w:b/>
          <w:color w:val="000000" w:themeColor="text1"/>
        </w:rPr>
      </w:pPr>
      <w:r>
        <w:rPr>
          <w:b/>
          <w:color w:val="000000" w:themeColor="text1"/>
        </w:rPr>
        <w:br w:type="page"/>
      </w:r>
    </w:p>
    <w:p w14:paraId="77101B89" w14:textId="14632B90"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239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8" w:name="_Hlk494459610"/>
      <w:r w:rsidRPr="00781112">
        <w:rPr>
          <w:rFonts w:cs="Arial"/>
          <w:color w:val="000000" w:themeColor="text1"/>
          <w:szCs w:val="16"/>
        </w:rPr>
        <w:t xml:space="preserve">Disproportionate representation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risk ratio of 3.0 and above for a single year. The minimum cell size for all calculations is </w:t>
      </w:r>
      <w:proofErr w:type="gramStart"/>
      <w:r w:rsidRPr="00781112">
        <w:rPr>
          <w:rFonts w:cs="Arial"/>
          <w:color w:val="000000" w:themeColor="text1"/>
          <w:szCs w:val="16"/>
        </w:rPr>
        <w:t>10</w:t>
      </w:r>
      <w:proofErr w:type="gramEnd"/>
      <w:r w:rsidRPr="00781112">
        <w:rPr>
          <w:rFonts w:cs="Arial"/>
          <w:color w:val="000000" w:themeColor="text1"/>
          <w:szCs w:val="16"/>
        </w:rPr>
        <w:t xml:space="preserve"> and the minimum n size is 30. The alternate risk ratio was used for any districts where the comparison group failed to meet the cell or n size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bookmarkEnd w:id="48"/>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Nebraska reviews policies, procedures, and student file review sheets and supporting documents submitted by the district from the district’s self-assessment, for districts with disproportionate representation to determine if the disproportionate representation is the result of inappropriate identification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3B71A72A" w14:textId="77777777" w:rsidR="00DF1529" w:rsidRPr="00781112" w:rsidRDefault="00DF1529" w:rsidP="00DF1529">
      <w:pPr>
        <w:rPr>
          <w:rFonts w:cs="Arial"/>
          <w:b/>
          <w:color w:val="000000" w:themeColor="text1"/>
          <w:szCs w:val="16"/>
        </w:rPr>
      </w:pPr>
      <w:bookmarkStart w:id="49" w:name="_Toc381956337"/>
      <w:bookmarkStart w:id="50" w:name="_Toc384383347"/>
      <w:bookmarkStart w:id="51"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9"/>
      <w:bookmarkEnd w:id="50"/>
      <w:bookmarkEnd w:id="51"/>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2" w:name="_Toc384383348"/>
      <w:bookmarkStart w:id="53"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4" w:name="_Toc384383349"/>
      <w:bookmarkStart w:id="55" w:name="_Toc392159317"/>
      <w:bookmarkEnd w:id="52"/>
      <w:bookmarkEnd w:id="53"/>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2.16%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2.16%</w:t>
            </w:r>
          </w:p>
        </w:tc>
      </w:tr>
      <w:bookmarkEnd w:id="54"/>
      <w:bookmarkEnd w:id="55"/>
    </w:tbl>
    <w:p w14:paraId="1840A66A" w14:textId="77777777" w:rsidR="00BA687C" w:rsidRPr="00781112" w:rsidRDefault="00BA687C" w:rsidP="004369B2">
      <w:pPr>
        <w:rPr>
          <w:color w:val="000000" w:themeColor="text1"/>
        </w:rPr>
      </w:pPr>
    </w:p>
    <w:p w14:paraId="59CCC0BF" w14:textId="77777777" w:rsidR="00452F19" w:rsidRDefault="00452F19">
      <w:pPr>
        <w:spacing w:before="0" w:after="200" w:line="276" w:lineRule="auto"/>
        <w:rPr>
          <w:b/>
          <w:color w:val="000000" w:themeColor="text1"/>
        </w:rPr>
      </w:pPr>
      <w:r>
        <w:rPr>
          <w:b/>
          <w:color w:val="000000" w:themeColor="text1"/>
        </w:rPr>
        <w:br w:type="page"/>
      </w:r>
    </w:p>
    <w:p w14:paraId="618FFFDA" w14:textId="189651CC"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6" w:name="_Hlk20258880"/>
      <w:r w:rsidRPr="00781112">
        <w:rPr>
          <w:rFonts w:cs="Arial"/>
          <w:color w:val="000000" w:themeColor="text1"/>
          <w:szCs w:val="16"/>
        </w:rPr>
        <w:t>YES</w:t>
      </w:r>
    </w:p>
    <w:bookmarkEnd w:id="56"/>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5</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191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2.16%</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2.62%</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 xml:space="preserve">NDE believes the slippage is due to its increase of the rigor of the district’s self-assessment results. While NDE provided LEAs with disproportionate representation the same self-assessment tools as past years (other than minor revisions for clarification purposes) to determine whether the disproportionate representation was the result of inappropriate identification, NDE increased the rigor of its review of the LEA’s completed self–assessment. Specifically, NDE requested more evidence from LEAs to verify the self-assessment results, provided norming sessions for NDE staff who </w:t>
      </w:r>
      <w:proofErr w:type="gramStart"/>
      <w:r w:rsidRPr="00781112">
        <w:rPr>
          <w:rFonts w:cs="Arial"/>
          <w:color w:val="000000" w:themeColor="text1"/>
          <w:szCs w:val="16"/>
        </w:rPr>
        <w:t>acted as</w:t>
      </w:r>
      <w:proofErr w:type="gramEnd"/>
      <w:r w:rsidRPr="00781112">
        <w:rPr>
          <w:rFonts w:cs="Arial"/>
          <w:color w:val="000000" w:themeColor="text1"/>
          <w:szCs w:val="16"/>
        </w:rPr>
        <w:t xml:space="preserve"> reviewers, met as a team to discuss results, and developed a scoring rubric. Based on these additional efforts, NDE found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districts whose policies, procedures, or practices may lead to inappropriate identification and need correction. NDE </w:t>
      </w:r>
      <w:proofErr w:type="gramStart"/>
      <w:r w:rsidRPr="00781112">
        <w:rPr>
          <w:rFonts w:cs="Arial"/>
          <w:color w:val="000000" w:themeColor="text1"/>
          <w:szCs w:val="16"/>
        </w:rPr>
        <w:t>is focused</w:t>
      </w:r>
      <w:proofErr w:type="gramEnd"/>
      <w:r w:rsidRPr="00781112">
        <w:rPr>
          <w:rFonts w:cs="Arial"/>
          <w:color w:val="000000" w:themeColor="text1"/>
          <w:szCs w:val="16"/>
        </w:rPr>
        <w:t xml:space="preserve"> on ensuring policies, procedures, and practices prevent inequities and inappropriate identification. </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risk ratio of 3.0 and above for a single year. The minimum cell size for all calculations is </w:t>
      </w:r>
      <w:proofErr w:type="gramStart"/>
      <w:r w:rsidRPr="00781112">
        <w:rPr>
          <w:rFonts w:cs="Arial"/>
          <w:color w:val="000000" w:themeColor="text1"/>
          <w:szCs w:val="16"/>
        </w:rPr>
        <w:t>10</w:t>
      </w:r>
      <w:proofErr w:type="gramEnd"/>
      <w:r w:rsidRPr="00781112">
        <w:rPr>
          <w:rFonts w:cs="Arial"/>
          <w:color w:val="000000" w:themeColor="text1"/>
          <w:szCs w:val="16"/>
        </w:rPr>
        <w:t xml:space="preserve"> and the minimum n size is 30. The alternate risk ratio was used for any districts where the comparison group failed to meet the cell or n size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Each district who demonstrates disproportionate representation of a racial and ethnic group must complete a self-assessment related to district policies, procedures, and practices implementing the requirements of 34 C.F.R. 300.111 for child find and evaluation practices and provide evidence that supports the district’s analysis. Additionally, the district must complete file reviews for randomly selected files of students within the disproportionate subgroup (disability category and racial and ethnic group) to provide a review of practices. All self-assessments, evidence, and file reviews </w:t>
      </w:r>
      <w:proofErr w:type="gramStart"/>
      <w:r w:rsidRPr="00781112">
        <w:rPr>
          <w:rFonts w:cs="Arial"/>
          <w:color w:val="000000" w:themeColor="text1"/>
          <w:szCs w:val="16"/>
        </w:rPr>
        <w:t>are returned</w:t>
      </w:r>
      <w:proofErr w:type="gramEnd"/>
      <w:r w:rsidRPr="00781112">
        <w:rPr>
          <w:rFonts w:cs="Arial"/>
          <w:color w:val="000000" w:themeColor="text1"/>
          <w:szCs w:val="16"/>
        </w:rPr>
        <w:t xml:space="preserve"> to NDE. Upon receipt, NDE completes a desk audit review of each district's responses to the self-assessment and NDE determines if each district is correctly implementing the related regulatory requirements and has appropriate identification policies, procedures, and practices. If NDE finds that the disproportionate representation it identified of racial and ethnic groups in special education and related services is the result of inappropriate identification, NDE notifies the district of all findings and ensures any noncompliance </w:t>
      </w:r>
      <w:proofErr w:type="gramStart"/>
      <w:r w:rsidRPr="00781112">
        <w:rPr>
          <w:rFonts w:cs="Arial"/>
          <w:color w:val="000000" w:themeColor="text1"/>
          <w:szCs w:val="16"/>
        </w:rPr>
        <w:t>is corrected</w:t>
      </w:r>
      <w:proofErr w:type="gramEnd"/>
      <w:r w:rsidRPr="00781112">
        <w:rPr>
          <w:rFonts w:cs="Arial"/>
          <w:color w:val="000000" w:themeColor="text1"/>
          <w:szCs w:val="16"/>
        </w:rPr>
        <w:t xml:space="preserve"> within one year. </w:t>
      </w:r>
    </w:p>
    <w:p w14:paraId="1FCF1BF3" w14:textId="77777777" w:rsidR="00DF1529" w:rsidRPr="00781112" w:rsidRDefault="00DF1529" w:rsidP="00DF1529">
      <w:pPr>
        <w:rPr>
          <w:rFonts w:cs="Arial"/>
          <w:b/>
          <w:color w:val="000000" w:themeColor="text1"/>
          <w:szCs w:val="16"/>
        </w:rPr>
      </w:pPr>
      <w:bookmarkStart w:id="57" w:name="_Toc381956338"/>
      <w:bookmarkStart w:id="58" w:name="_Toc384383352"/>
      <w:bookmarkStart w:id="59"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In the LEAs where NDE found noncompliance, NDE required the LEA to put a Corrective Action Plan (CAP) in place and required the LEA to implement the CAP and correct all found noncompliance within one year. Within the CAP, NDE required the LEA to account for all instances of noncompliance and identify the root cause of the noncompliance, provide any needed professional development to staff, and, if needed, modify the policies, procedures, and/or practices that contributed to or resulted in noncompliance</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To meet the requirements of OSEP Memorandum 09-02, NDE collected an additional updated data set (i.e., i.e., a review of student files focusing on evaluations related to the disproportionate represented category that occurred following the LEA’s CAP implementation) from each of the LEAs with noncompliance through a state data system. Based on this subsequent review of the updated data, NDE verified that all LEAs have achieved 100% compliance with implementing the specific regulatory requirements following the district implementing its CAP and within one year of NDE issuing the finding of noncompliance. </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NDE assigned NDE Equity team members to the identified LEAs to conduct follow up of all CAPs as well as conduct a review of student files that NDE found to be noncompliant within the initial review. NDE required the LEA to correct all individual instances of noncompliance and then NDE reviewed the corrected files to ensure accurate correction. NDE then followed with a review of additional files based on student population in the race category and disability category that led to NDE finding disproportionate representation, to verify the district’s corrections in process and procedures were translating accurately to practice. NDE maintains records to document its review of correction of noncompliance through review of individual student files which initially showed noncompliance and then NDE verified as corrected, and review of additional student files to ensure correction, as compared to the relevant regulations. NDE verified through this process that each LEA corrected each individual case of noncompliance, unless the child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 consistent with OSEP Memo 09-02. </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five districts identified in FFY 2021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7"/>
      <w:bookmarkEnd w:id="58"/>
      <w:bookmarkEnd w:id="59"/>
    </w:p>
    <w:p w14:paraId="4F5D642D" w14:textId="77777777" w:rsidR="00E119B0" w:rsidRPr="00781112" w:rsidRDefault="00E119B0" w:rsidP="00A018D4">
      <w:pPr>
        <w:rPr>
          <w:color w:val="000000" w:themeColor="text1"/>
          <w:szCs w:val="20"/>
        </w:rPr>
      </w:pPr>
      <w:bookmarkStart w:id="60" w:name="_Toc384383353"/>
      <w:bookmarkStart w:id="61"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2" w:name="_Toc384383354"/>
      <w:bookmarkStart w:id="63" w:name="_Toc392159322"/>
      <w:bookmarkEnd w:id="60"/>
      <w:bookmarkEnd w:id="61"/>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92.76%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98.43%</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99.07%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99.54%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85.24%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96.51%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2"/>
    <w:bookmarkEnd w:id="63"/>
    <w:p w14:paraId="0D4BAFFC" w14:textId="77777777" w:rsidR="00452F19" w:rsidRDefault="00452F19">
      <w:pPr>
        <w:spacing w:before="0" w:after="200" w:line="276" w:lineRule="auto"/>
        <w:rPr>
          <w:b/>
          <w:color w:val="000000" w:themeColor="text1"/>
        </w:rPr>
      </w:pPr>
      <w:r>
        <w:rPr>
          <w:b/>
          <w:color w:val="000000" w:themeColor="text1"/>
        </w:rPr>
        <w:br w:type="page"/>
      </w:r>
    </w:p>
    <w:p w14:paraId="3FAEB3AB" w14:textId="1F0B3DB9"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9,259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8,716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96.51%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94.14%</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NDE reports slippage of 2.37% from FFY 2020 to FFY 2021. NDE attributes the overall slippage in the state compliance rate to significant shortages in district staff, particularly in the state’s largest school district. </w:t>
      </w:r>
      <w:proofErr w:type="gramStart"/>
      <w:r w:rsidRPr="00781112">
        <w:rPr>
          <w:rFonts w:cs="Arial"/>
          <w:color w:val="000000" w:themeColor="text1"/>
          <w:szCs w:val="16"/>
        </w:rPr>
        <w:t>Most of</w:t>
      </w:r>
      <w:proofErr w:type="gramEnd"/>
      <w:r w:rsidRPr="00781112">
        <w:rPr>
          <w:rFonts w:cs="Arial"/>
          <w:color w:val="000000" w:themeColor="text1"/>
          <w:szCs w:val="16"/>
        </w:rPr>
        <w:t xml:space="preserve"> the reasons for delay LEAs reported can be attributed to insufficient staff available to complete comprehensive evaluations within the 45-school day State-established timeline (that does not exceed the 60-calendar day timeline). Additionally, most districts reported delays due to substantial staff, parent or student illnesses that postponed assessment completion and/or the ability to schedule multidisciplinary meetings, where the team determines eligibility, within the required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543</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Nebraska districts completed 94.14% of initial evaluations within the 45-school day State-established timeline (that does not exceed the 60-calendar day timeline) upon receipt of parent consent for the initial evaluation. Nebraska districts received 9,259 parental consents for an initial evaluation and completed 8,716 initial evaluations within the State-established timeline. Initial evaluations completed outside the State-established timeline ranged from 1 to 162 days beyond the timeline. Initial evaluations that exceeded the timeline between one and 60 days were the result of multidisciplinary team scheduling conflicts, staff shortages, school closures due to weather, timeline miscalculations, evaluator medical emergencies, and school breaks. For evaluations that </w:t>
      </w:r>
      <w:proofErr w:type="gramStart"/>
      <w:r w:rsidRPr="00781112">
        <w:rPr>
          <w:color w:val="000000" w:themeColor="text1"/>
        </w:rPr>
        <w:t>were delayed</w:t>
      </w:r>
      <w:proofErr w:type="gramEnd"/>
      <w:r w:rsidRPr="00781112">
        <w:rPr>
          <w:color w:val="000000" w:themeColor="text1"/>
        </w:rPr>
        <w:t xml:space="preserve"> 61 to 100 days beyond the timeline, reasons included timeline misunderstanding, evaluator shortages and illness, district team availability, and COVID-19. When initial evaluations were completed 101 to 162 days past the </w:t>
      </w:r>
      <w:proofErr w:type="gramStart"/>
      <w:r w:rsidRPr="00781112">
        <w:rPr>
          <w:color w:val="000000" w:themeColor="text1"/>
        </w:rPr>
        <w:t>timeframe</w:t>
      </w:r>
      <w:proofErr w:type="gramEnd"/>
      <w:r w:rsidRPr="00781112">
        <w:rPr>
          <w:color w:val="000000" w:themeColor="text1"/>
        </w:rPr>
        <w:t xml:space="preserve">, limited staff availability to complete testing and missing paperwork from parents were the documented reasons for the delays. NDE data analysis revealed that the overall slippage in the state compliance rate was most attributed to significant shortages in district staff, particularly in the state’s largest school district. The other most frequent reasons for delay districts reported included insufficient staff availability to complete comprehensive evaluations within the 45-school day State-established timeline (that does not exceed the 60-calendar day timeline), school closure due to weather, staff scheduling conflicts, and evaluator absences. Additionally, most districts reported delays due to substantial staff illnesses that postponed assessment completion and/or ability to schedule multidisciplinary meetings, where eligibility is determined, within the required </w:t>
      </w:r>
      <w:proofErr w:type="gramStart"/>
      <w:r w:rsidRPr="00781112">
        <w:rPr>
          <w:color w:val="000000" w:themeColor="text1"/>
        </w:rPr>
        <w:t>timeframe</w:t>
      </w:r>
      <w:proofErr w:type="gramEnd"/>
      <w:r w:rsidRPr="00781112">
        <w:rPr>
          <w:color w:val="000000" w:themeColor="text1"/>
        </w:rPr>
        <w:t xml:space="preserve">. Overall, there were 543 instances of delays for nonallowable reasons.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Nebraska regulations, at Neb. Admin. Code § 92-009.04A1, establishes the timeline of </w:t>
      </w:r>
      <w:proofErr w:type="gramStart"/>
      <w:r w:rsidRPr="00781112">
        <w:rPr>
          <w:rFonts w:cs="Arial"/>
          <w:color w:val="000000" w:themeColor="text1"/>
          <w:szCs w:val="16"/>
        </w:rPr>
        <w:t>45</w:t>
      </w:r>
      <w:proofErr w:type="gramEnd"/>
      <w:r w:rsidRPr="00781112">
        <w:rPr>
          <w:rFonts w:cs="Arial"/>
          <w:color w:val="000000" w:themeColor="text1"/>
          <w:szCs w:val="16"/>
        </w:rPr>
        <w:t xml:space="preserve"> school days to complete an initial evaluation. This timeline does not exceed </w:t>
      </w:r>
      <w:proofErr w:type="gramStart"/>
      <w:r w:rsidRPr="00781112">
        <w:rPr>
          <w:rFonts w:cs="Arial"/>
          <w:color w:val="000000" w:themeColor="text1"/>
          <w:szCs w:val="16"/>
        </w:rPr>
        <w:t>60</w:t>
      </w:r>
      <w:proofErr w:type="gramEnd"/>
      <w:r w:rsidRPr="00781112">
        <w:rPr>
          <w:rFonts w:cs="Arial"/>
          <w:color w:val="000000" w:themeColor="text1"/>
          <w:szCs w:val="16"/>
        </w:rPr>
        <w:t xml:space="preserve"> calendar days.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Nebraska Department of Education, Office of Special Education annually requires LEAs to compile initial evaluation data including:   </w:t>
      </w:r>
      <w:r w:rsidRPr="00781112">
        <w:rPr>
          <w:rFonts w:cs="Arial"/>
          <w:color w:val="000000" w:themeColor="text1"/>
          <w:szCs w:val="16"/>
        </w:rPr>
        <w:br/>
        <w:t xml:space="preserve"> </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Total number of evaluations completed. </w:t>
      </w:r>
      <w:r w:rsidRPr="00781112">
        <w:rPr>
          <w:rFonts w:cs="Arial"/>
          <w:color w:val="000000" w:themeColor="text1"/>
          <w:szCs w:val="16"/>
        </w:rPr>
        <w:br/>
        <w:t xml:space="preserve"> </w:t>
      </w:r>
      <w:r w:rsidRPr="00781112">
        <w:rPr>
          <w:rFonts w:cs="Arial"/>
          <w:color w:val="000000" w:themeColor="text1"/>
          <w:szCs w:val="16"/>
        </w:rPr>
        <w:br/>
        <w:t xml:space="preserve">2. The number of students who qualified within the 45-school day </w:t>
      </w:r>
      <w:proofErr w:type="gramStart"/>
      <w:r w:rsidRPr="00781112">
        <w:rPr>
          <w:rFonts w:cs="Arial"/>
          <w:color w:val="000000" w:themeColor="text1"/>
          <w:szCs w:val="16"/>
        </w:rPr>
        <w:t>timeline that</w:t>
      </w:r>
      <w:proofErr w:type="gramEnd"/>
      <w:r w:rsidRPr="00781112">
        <w:rPr>
          <w:rFonts w:cs="Arial"/>
          <w:color w:val="000000" w:themeColor="text1"/>
          <w:szCs w:val="16"/>
        </w:rPr>
        <w:t xml:space="preserve"> does not exceed </w:t>
      </w:r>
      <w:proofErr w:type="gramStart"/>
      <w:r w:rsidRPr="00781112">
        <w:rPr>
          <w:rFonts w:cs="Arial"/>
          <w:color w:val="000000" w:themeColor="text1"/>
          <w:szCs w:val="16"/>
        </w:rPr>
        <w:t>60</w:t>
      </w:r>
      <w:proofErr w:type="gramEnd"/>
      <w:r w:rsidRPr="00781112">
        <w:rPr>
          <w:rFonts w:cs="Arial"/>
          <w:color w:val="000000" w:themeColor="text1"/>
          <w:szCs w:val="16"/>
        </w:rPr>
        <w:t xml:space="preserve"> calendar days.   </w:t>
      </w:r>
      <w:r w:rsidRPr="00781112">
        <w:rPr>
          <w:rFonts w:cs="Arial"/>
          <w:color w:val="000000" w:themeColor="text1"/>
          <w:szCs w:val="16"/>
        </w:rPr>
        <w:br/>
        <w:t xml:space="preserve"> </w:t>
      </w:r>
      <w:r w:rsidRPr="00781112">
        <w:rPr>
          <w:rFonts w:cs="Arial"/>
          <w:color w:val="000000" w:themeColor="text1"/>
          <w:szCs w:val="16"/>
        </w:rPr>
        <w:br/>
        <w:t xml:space="preserve">3. The number of students who did not qualify within the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established.   </w:t>
      </w:r>
      <w:r w:rsidRPr="00781112">
        <w:rPr>
          <w:rFonts w:cs="Arial"/>
          <w:color w:val="000000" w:themeColor="text1"/>
          <w:szCs w:val="16"/>
        </w:rPr>
        <w:br/>
        <w:t xml:space="preserve"> </w:t>
      </w:r>
      <w:r w:rsidRPr="00781112">
        <w:rPr>
          <w:rFonts w:cs="Arial"/>
          <w:color w:val="000000" w:themeColor="text1"/>
          <w:szCs w:val="16"/>
        </w:rPr>
        <w:br/>
        <w:t xml:space="preserve">4. The number of students whose initial evaluation did not meet the timeline, and   </w:t>
      </w:r>
      <w:r w:rsidRPr="00781112">
        <w:rPr>
          <w:rFonts w:cs="Arial"/>
          <w:color w:val="000000" w:themeColor="text1"/>
          <w:szCs w:val="16"/>
        </w:rPr>
        <w:br/>
        <w:t xml:space="preserve"> </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xml:space="preserve">. The reason(s) for the initial evaluation not occurring within the 45-school day timeline that does not exceed </w:t>
      </w:r>
      <w:proofErr w:type="gramStart"/>
      <w:r w:rsidRPr="00781112">
        <w:rPr>
          <w:rFonts w:cs="Arial"/>
          <w:color w:val="000000" w:themeColor="text1"/>
          <w:szCs w:val="16"/>
        </w:rPr>
        <w:t>60</w:t>
      </w:r>
      <w:proofErr w:type="gramEnd"/>
      <w:r w:rsidRPr="00781112">
        <w:rPr>
          <w:rFonts w:cs="Arial"/>
          <w:color w:val="000000" w:themeColor="text1"/>
          <w:szCs w:val="16"/>
        </w:rPr>
        <w:t xml:space="preserve"> calendar days for each of the evaluations, whether the student qualified or not.  </w:t>
      </w:r>
      <w:r w:rsidRPr="00781112">
        <w:rPr>
          <w:rFonts w:cs="Arial"/>
          <w:color w:val="000000" w:themeColor="text1"/>
          <w:szCs w:val="16"/>
        </w:rPr>
        <w:br/>
        <w:t xml:space="preserve"> </w:t>
      </w:r>
      <w:r w:rsidRPr="00781112">
        <w:rPr>
          <w:rFonts w:cs="Arial"/>
          <w:color w:val="000000" w:themeColor="text1"/>
          <w:szCs w:val="16"/>
        </w:rPr>
        <w:br/>
        <w:t>Based on this information, NDE made compliance determinations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4F981BFF" w14:textId="77777777" w:rsidR="00C86164" w:rsidRPr="00781112" w:rsidRDefault="00C86164" w:rsidP="00C86164">
      <w:pPr>
        <w:rPr>
          <w:rFonts w:cs="Arial"/>
          <w:b/>
          <w:color w:val="000000" w:themeColor="text1"/>
          <w:szCs w:val="16"/>
        </w:rPr>
      </w:pPr>
      <w:bookmarkStart w:id="64" w:name="_Toc381956339"/>
      <w:bookmarkStart w:id="65" w:name="_Toc384383357"/>
      <w:bookmarkStart w:id="66"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301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301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lastRenderedPageBreak/>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In the LEAs where NDE found noncompliance, NDE required the LEA to develop and implement a Corrective Action Plan (CAP) to plan for the correction of noncompliance, within a required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the CAP, NDE required the LEA to: Account for all instances of noncompliance including the root cause of the noncompliance and; if needed, how it would modify the policies, procedures, and/or practices that contributed to or resulted in the noncompliance; and plan for staff training to ensure staff understood the requirements and how to implement them within the LEA. NDE reviewed all LEA staff training materials prior to each training to ensure compliance and reviewed updated LEA policies and procedures.  </w:t>
      </w:r>
      <w:r w:rsidRPr="00781112">
        <w:rPr>
          <w:rFonts w:cs="Arial"/>
          <w:color w:val="000000" w:themeColor="text1"/>
          <w:szCs w:val="16"/>
        </w:rPr>
        <w:br/>
      </w:r>
      <w:r w:rsidRPr="00781112">
        <w:rPr>
          <w:rFonts w:cs="Arial"/>
          <w:color w:val="000000" w:themeColor="text1"/>
          <w:szCs w:val="16"/>
        </w:rPr>
        <w:br/>
        <w:t xml:space="preserve">To meet the requirements of OSEP Memorandum 09-02, NDE collected an additional updated data set (i.e., initial student evaluation documentation for a specific number of students whose initial evaluation occurred following the LEA’s CAP implementation) from each of the LEAs with noncompliance through a state data system. Based on this subsequent review of the updated data, NDE verified that all LEAs have achieved 100% compliance with implementing the specific regulatory requirements following the district implementing its CAP and within one year of NDE issuing the finding of noncompliance.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NDE assigned individual monitoring teams to the LEAs with identified noncompliance to conduct follow up of all CAPs as well as conduct a review of the noncompliant initial evaluation data. The review of the noncompliant initial evaluation data included ensuring the LEA had appropriately planned in its CAP for the correct of the individual noncompliance. NDE required the LEA to address each individual case of noncompliance by considering compensatory services for individual delays in initial evaluations. NDE required the LEA to submit documentation showing the individual noncompliance had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and NDE reviewed this documentation to ensure the noncompliance had been corrected. If the noncompliance had not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appropriately, NDE provided specific feedback about how to correct the noncompliance and required the LEA to submit additional documentation showing correction. NDE reviewed the additional documentation to ensure the LEA corrected each individual case of noncompliance. The NDE has verified through a review of the documentation LEAs submitted that each individual case of noncompliance has been corrected (unless the child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district or LEA) consistent with OSEP Memorandum 09-02. </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NDE has reported on the status of correction of noncompliance identified in FFY 2020 for this indicator. When reporting on the correction of noncompliance, NDE reported that it has verified that all LEAs with noncompliance identified in FFY 2020 for this indicator: (1) are correctly implementing the specific regulatory requirements (i.e., achieved 100% compliance) based on a review of updated data; and (2) have corrected each individual case of noncompliance, unless the child is no longer within the jurisdiction of the LEA, consistent with OSEP Memo 09-02. NDE also described the specific actions that it took to verify the correction</w:t>
      </w:r>
      <w:proofErr w:type="gramStart"/>
      <w:r w:rsidRPr="00781112">
        <w:rPr>
          <w:rFonts w:cs="Arial"/>
          <w:color w:val="000000" w:themeColor="text1"/>
          <w:szCs w:val="16"/>
        </w:rPr>
        <w:t xml:space="preserve">.  </w:t>
      </w:r>
      <w:proofErr w:type="gramEnd"/>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4"/>
      <w:bookmarkEnd w:id="65"/>
      <w:bookmarkEnd w:id="66"/>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7" w:name="_Toc384383358"/>
      <w:bookmarkStart w:id="68"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9" w:name="_Toc384383359"/>
      <w:bookmarkStart w:id="70" w:name="_Toc392159327"/>
      <w:bookmarkEnd w:id="67"/>
      <w:bookmarkEnd w:id="68"/>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100.00%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9"/>
          <w:bookmarkEnd w:id="70"/>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92.81%</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1,346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259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33</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108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911</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259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283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91.52%</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NDE created a specific Indicator 12 data collection, which led to more accurate data reporting and revealed data inconsistencies with the prior Indicator 12 data collection. NDE’s Office of Special Education (OSE) is actively revising the data collection as well as the technical assistance provided to districts to ensure continued accurate data submissions. For those instances found to be outside of data reporting inaccuracies, districts note that the main reason for a delay in developing and implementing an IEP by a child’s third birthday was an inability to hold IEP Team meetings in a timely fashion due to parent requests to reschedule established meetings. Most districts noted continual struggles because of the impacts of COVID-19, such as substantial staff, parent, or student illness that postponed evaluation completion and/or the ability to schedule eligibility meetings within the required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There are 24 children that were found </w:t>
      </w:r>
      <w:proofErr w:type="gramStart"/>
      <w:r w:rsidRPr="00781112">
        <w:rPr>
          <w:bCs/>
          <w:color w:val="000000" w:themeColor="text1"/>
        </w:rPr>
        <w:t>eligible</w:t>
      </w:r>
      <w:proofErr w:type="gramEnd"/>
      <w:r w:rsidRPr="00781112">
        <w:rPr>
          <w:bCs/>
          <w:color w:val="000000" w:themeColor="text1"/>
        </w:rPr>
        <w:t xml:space="preserve"> and the district did not develop and implement their IEP by their third birthday. The number of days beyond their third birthday when eligibility was </w:t>
      </w:r>
      <w:proofErr w:type="gramStart"/>
      <w:r w:rsidRPr="00781112">
        <w:rPr>
          <w:bCs/>
          <w:color w:val="000000" w:themeColor="text1"/>
        </w:rPr>
        <w:t>determined</w:t>
      </w:r>
      <w:proofErr w:type="gramEnd"/>
      <w:r w:rsidRPr="00781112">
        <w:rPr>
          <w:bCs/>
          <w:color w:val="000000" w:themeColor="text1"/>
        </w:rPr>
        <w:t xml:space="preserve"> and the IEP developed ranged from 1 to 273 days. Districts indicated the reasons for the delays were parents not making the child available for the evaluation and difficulty scheduling meetings due to staff, parent, or student illness. In cases where the district reported that the parent did not make the child available for evaluation, NDE determined that district staff did not make an early enough or adequate attempt to complete the evaluations to determine eligibility prior to the child's third birthday. Districts did not provide documentation showing the district made multiple attempts to contact the parent. For these reasons, NDE determined the exception under 34 C.F.R. § 300.301(d) did not apply</w:t>
      </w:r>
      <w:proofErr w:type="gramStart"/>
      <w:r w:rsidRPr="00781112">
        <w:rPr>
          <w:bCs/>
          <w:color w:val="000000" w:themeColor="text1"/>
        </w:rPr>
        <w:t xml:space="preserve">.  </w:t>
      </w:r>
      <w:proofErr w:type="gramEnd"/>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1" w:name="_Hlk20318414"/>
      <w:bookmarkEnd w:id="71"/>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Nebraska's student information system (ADVISER) collects information on children with disabilities from birth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which permits NDE to easily determine which children are to transition from Part C to Part B. LEAs report Indicator 12 data within ADVISER.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9A755E" w:rsidP="00A018D4">
            <w:pPr>
              <w:jc w:val="center"/>
              <w:rPr>
                <w:rFonts w:cs="Arial"/>
                <w:color w:val="000000" w:themeColor="text1"/>
                <w:szCs w:val="16"/>
              </w:rPr>
            </w:pPr>
          </w:p>
        </w:tc>
        <w:tc>
          <w:tcPr>
            <w:tcW w:w="1288" w:type="pct"/>
            <w:shd w:val="clear" w:color="auto" w:fill="auto"/>
          </w:tcPr>
          <w:p w14:paraId="30E75C81" w14:textId="5263D718" w:rsidR="009A755E" w:rsidRPr="00781112" w:rsidRDefault="009A755E" w:rsidP="00A018D4">
            <w:pPr>
              <w:jc w:val="center"/>
              <w:rPr>
                <w:rFonts w:cs="Arial"/>
                <w:color w:val="000000" w:themeColor="text1"/>
                <w:szCs w:val="16"/>
              </w:rPr>
            </w:pP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9A755E" w:rsidP="00A018D4">
            <w:pPr>
              <w:jc w:val="center"/>
              <w:rPr>
                <w:rFonts w:cs="Arial"/>
                <w:color w:val="000000" w:themeColor="text1"/>
                <w:szCs w:val="16"/>
              </w:rPr>
            </w:pPr>
          </w:p>
        </w:tc>
      </w:tr>
    </w:tbl>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lastRenderedPageBreak/>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2" w:name="_Toc384383363"/>
      <w:bookmarkStart w:id="73"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4" w:name="_Toc384383364"/>
      <w:bookmarkStart w:id="75" w:name="_Toc392159332"/>
      <w:bookmarkEnd w:id="72"/>
      <w:bookmarkEnd w:id="73"/>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86.73%</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89.41%</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85.16%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90.85%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29.29%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55.66%</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4"/>
    <w:bookmarkEnd w:id="75"/>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55.66%</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52.94%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Nebraska has experienced slippage for FFY 2021 because of the Nebraska Department of Education’s (NDE) continued differentiated monitoring process. In addition to this, NDE, through the implementation of an annual risk analysis, shifted monitoring from a five-year set cycle to annual monitoring of all LEAs and targeted monitoring of those LEAs at the highest risk. Due to these shifts in monitoring, NDE found more LEAs out of compliance and in need of corrective action. In addition, Nebraska passed a new state statute that changed the age of transition planning to begin at 14 instead of </w:t>
      </w:r>
      <w:proofErr w:type="gramStart"/>
      <w:r w:rsidRPr="00781112">
        <w:rPr>
          <w:rFonts w:cs="Arial"/>
          <w:color w:val="000000" w:themeColor="text1"/>
          <w:szCs w:val="16"/>
        </w:rPr>
        <w:t>16</w:t>
      </w:r>
      <w:proofErr w:type="gramEnd"/>
      <w:r w:rsidRPr="00781112">
        <w:rPr>
          <w:rFonts w:cs="Arial"/>
          <w:color w:val="000000" w:themeColor="text1"/>
          <w:szCs w:val="16"/>
        </w:rPr>
        <w:t xml:space="preserve">. This change resulted in some districts beginning transition planning at age 14 before the statute went into effect and NDE chose to include youth younger than 16 in the Indicator 13 data collection and identified additional noncompliance with LEAs not correctly implementing transition requirements with youth ages 14 and 15. NDE identified areas of need through LEA file reviews and has established targeted monitoring on those areas to better structure corrective action. </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Nebraska Department of Education, Office of Special Education requires school districts to participate in an annual risk analysis where all LEA data is </w:t>
      </w:r>
      <w:proofErr w:type="gramStart"/>
      <w:r w:rsidRPr="00781112">
        <w:rPr>
          <w:rFonts w:cs="Arial"/>
          <w:color w:val="000000" w:themeColor="text1"/>
          <w:szCs w:val="16"/>
        </w:rPr>
        <w:t>reviewed</w:t>
      </w:r>
      <w:proofErr w:type="gramEnd"/>
      <w:r w:rsidRPr="00781112">
        <w:rPr>
          <w:rFonts w:cs="Arial"/>
          <w:color w:val="000000" w:themeColor="text1"/>
          <w:szCs w:val="16"/>
        </w:rPr>
        <w:t xml:space="preserve"> and LEAs are provided differentiated monitoring based on their risk. One component of this differentiated monitoring is a district file review, where NDE staff monitor school district implementation of the secondary transition requirements in IDEA and Nebraska’s special education regulations, 92 Neb. Admin. Code § 51. </w:t>
      </w:r>
      <w:r w:rsidRPr="00781112">
        <w:rPr>
          <w:rFonts w:cs="Arial"/>
          <w:color w:val="000000" w:themeColor="text1"/>
          <w:szCs w:val="16"/>
        </w:rPr>
        <w:br/>
        <w:t xml:space="preserve">  </w:t>
      </w:r>
      <w:r w:rsidRPr="00781112">
        <w:rPr>
          <w:rFonts w:cs="Arial"/>
          <w:color w:val="000000" w:themeColor="text1"/>
          <w:szCs w:val="16"/>
        </w:rPr>
        <w:br/>
        <w:t xml:space="preserve">To complete the file review, NDE monitoring team reviewers use a checklist to collect data on district compliance with secondary transition requirements. The Indicator 13 requirements are all included in the checklist. NDE monitoring team members used the NTACT-C, National Technical Assistance Center on Transition-Collaborative, “Indicator 13 Checklist Form A” questions to collect the Indicator 13 data. NDE monitoring team reviewers are trained on the file review checklist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ensure reporting consistency and inter-</w:t>
      </w:r>
      <w:proofErr w:type="gramStart"/>
      <w:r w:rsidRPr="00781112">
        <w:rPr>
          <w:rFonts w:cs="Arial"/>
          <w:color w:val="000000" w:themeColor="text1"/>
          <w:szCs w:val="16"/>
        </w:rPr>
        <w:t>rater</w:t>
      </w:r>
      <w:proofErr w:type="gramEnd"/>
      <w:r w:rsidRPr="00781112">
        <w:rPr>
          <w:rFonts w:cs="Arial"/>
          <w:color w:val="000000" w:themeColor="text1"/>
          <w:szCs w:val="16"/>
        </w:rPr>
        <w:t xml:space="preserve"> reliability. The file review checklist is available electronically to allow for opportunity for NDE monitoring team members to review each other’s ratings. NDE monitoring team members meet to discuss findings and review the summary report for each district. The summary report provides individual findings for each Indicator 13 component</w:t>
      </w:r>
      <w:proofErr w:type="gramStart"/>
      <w:r w:rsidRPr="00781112">
        <w:rPr>
          <w:rFonts w:cs="Arial"/>
          <w:color w:val="000000" w:themeColor="text1"/>
          <w:szCs w:val="16"/>
        </w:rPr>
        <w:t xml:space="preserve">.  </w:t>
      </w:r>
      <w:proofErr w:type="gramEnd"/>
      <w:r w:rsidRPr="00781112">
        <w:rPr>
          <w:rFonts w:cs="Arial"/>
          <w:color w:val="000000" w:themeColor="text1"/>
          <w:szCs w:val="16"/>
        </w:rPr>
        <w:t>The monitoring team uses the summary report as Indicator 13 technical assistance for each district</w:t>
      </w:r>
      <w:proofErr w:type="gramStart"/>
      <w:r w:rsidRPr="00781112">
        <w:rPr>
          <w:rFonts w:cs="Arial"/>
          <w:color w:val="000000" w:themeColor="text1"/>
          <w:szCs w:val="16"/>
        </w:rPr>
        <w:t xml:space="preserve">.  </w:t>
      </w:r>
      <w:proofErr w:type="gramEnd"/>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6"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The Nebraska Department of Education, </w:t>
      </w:r>
      <w:proofErr w:type="gramStart"/>
      <w:r w:rsidRPr="00781112">
        <w:rPr>
          <w:rFonts w:cs="Arial"/>
          <w:color w:val="000000" w:themeColor="text1"/>
          <w:szCs w:val="16"/>
        </w:rPr>
        <w:t>OSE</w:t>
      </w:r>
      <w:proofErr w:type="gramEnd"/>
      <w:r w:rsidRPr="00781112">
        <w:rPr>
          <w:rFonts w:cs="Arial"/>
          <w:color w:val="000000" w:themeColor="text1"/>
          <w:szCs w:val="16"/>
        </w:rPr>
        <w:t xml:space="preserve"> have been utilizing district data to improve focused monitoring efforts. Reviewing Indicator 13 data shows NDE staff that we need to provide more statewide technical assistance on secondary transition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increase compliance with this indicator. NDE’s 2022 Focused Monitoring results led to the decision to conduct a statewide Indicator 13 monitoring as a pilot to determine best Indicator 13 monitoring practices going forward. NDE will report the statewide Indicator 13 Pilot results in the FFY 2022 SPP/APR. This pilot will begin an annual Indicator 13 monitoring of all districts.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47</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47</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In the LEAs where NDE found noncompliance, NDE established a Corrective Action Plan (CAP) to plan for the correction of noncompliance, within a required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the CAP, NDE required the LEA to: Account for all instances of noncompliance including the root cause of the noncompliance and; if needed, how the LEA would modify its policies, procedures, and/or practices that contributed to or resulted in the noncompliance; and plan for staff training to ensure staff understood the requirements and how to implement them within the LEA. NDE reviewed all LEA staff training materials prior to each training to ensure compliance and reviewed updated LEA policies and procedures. </w:t>
      </w:r>
      <w:r w:rsidRPr="00781112">
        <w:rPr>
          <w:rFonts w:cs="Arial"/>
          <w:color w:val="000000" w:themeColor="text1"/>
          <w:szCs w:val="16"/>
        </w:rPr>
        <w:br/>
      </w:r>
      <w:r w:rsidRPr="00781112">
        <w:rPr>
          <w:rFonts w:cs="Arial"/>
          <w:color w:val="000000" w:themeColor="text1"/>
          <w:szCs w:val="16"/>
        </w:rPr>
        <w:br/>
        <w:t>To meet the requirements of OSEP Memorandum 09-02, NDE collected an additional updated data set (i.e., secondary transition documentation for a specific number of students following the LEA’s CAP implementation) from each of the LEAs with noncompliance through a follow-up to the monitoring that found noncompliance. Based on this subsequent review of the updated data, NDE verified that all LEAs have achieved 100% compliance with implementing the specific regulatory requirements following the district implementing its CAP and within one year of NDE issuing the finding of 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NDE assigned monitoring teams to an LEA with individual cases of noncompliance to verify the implementation of the LEA’s CAP. A required CAP step for any LEA with individual cases of noncompliance was correcting each individual instance of noncompliance. Following implementation of the CAP, NDE monitoring team members reviewed updates to each of the student files that NDE found to be noncompliant within its initial review, to ensure each individual case was now compliant. NDE maintains a record of all student files reviewed and the regulations reviewed in each file to document full correction of individual noncompliance. Following the completion of the verification activities, NDE issued a letter to the LEAs that completed CAP activities and corrected individual noncompliance to notify the LEA of the completion of the CAP and verification of correction of each individual case of noncompliance. </w:t>
      </w:r>
    </w:p>
    <w:p w14:paraId="09CD9C74" w14:textId="77777777" w:rsidR="00A947D9" w:rsidRPr="00781112" w:rsidRDefault="00A947D9" w:rsidP="004369B2">
      <w:pPr>
        <w:rPr>
          <w:color w:val="000000" w:themeColor="text1"/>
        </w:rPr>
      </w:pPr>
    </w:p>
    <w:p w14:paraId="5ECB75E6" w14:textId="77777777" w:rsidR="00452F19" w:rsidRDefault="00452F19">
      <w:pPr>
        <w:spacing w:before="0" w:after="200" w:line="276" w:lineRule="auto"/>
        <w:rPr>
          <w:b/>
          <w:color w:val="000000" w:themeColor="text1"/>
        </w:rPr>
      </w:pPr>
      <w:r>
        <w:rPr>
          <w:b/>
          <w:color w:val="000000" w:themeColor="text1"/>
        </w:rPr>
        <w:br w:type="page"/>
      </w:r>
    </w:p>
    <w:p w14:paraId="59FD8363" w14:textId="2BAB1EDB"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29</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29</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2754C03" w14:textId="77777777" w:rsidTr="00A947D9">
        <w:tc>
          <w:tcPr>
            <w:tcW w:w="988" w:type="pct"/>
            <w:shd w:val="clear" w:color="auto" w:fill="auto"/>
          </w:tcPr>
          <w:p w14:paraId="3F1CDA29" w14:textId="16C6A591" w:rsidR="009A755E" w:rsidRPr="00781112" w:rsidRDefault="001E7916" w:rsidP="00A018D4">
            <w:pPr>
              <w:jc w:val="center"/>
              <w:rPr>
                <w:rFonts w:cs="Arial"/>
                <w:color w:val="000000" w:themeColor="text1"/>
                <w:szCs w:val="16"/>
              </w:rPr>
            </w:pPr>
            <w:r w:rsidRPr="00781112">
              <w:rPr>
                <w:rFonts w:cs="Arial"/>
                <w:color w:val="000000" w:themeColor="text1"/>
                <w:szCs w:val="16"/>
              </w:rPr>
              <w:t>FFY 2017</w:t>
            </w:r>
          </w:p>
        </w:tc>
        <w:tc>
          <w:tcPr>
            <w:tcW w:w="1461" w:type="pct"/>
            <w:shd w:val="clear" w:color="auto" w:fill="auto"/>
          </w:tcPr>
          <w:p w14:paraId="50EA299D" w14:textId="70FCF876" w:rsidR="009A755E" w:rsidRPr="00781112" w:rsidRDefault="001E7916">
            <w:pPr>
              <w:jc w:val="center"/>
              <w:rPr>
                <w:rFonts w:cs="Arial"/>
                <w:noProof/>
                <w:color w:val="000000" w:themeColor="text1"/>
                <w:szCs w:val="16"/>
              </w:rPr>
            </w:pPr>
            <w:r w:rsidRPr="00781112">
              <w:rPr>
                <w:rFonts w:cs="Arial"/>
                <w:color w:val="000000" w:themeColor="text1"/>
                <w:szCs w:val="16"/>
              </w:rPr>
              <w:t>42</w:t>
            </w:r>
          </w:p>
        </w:tc>
        <w:tc>
          <w:tcPr>
            <w:tcW w:w="1317" w:type="pct"/>
            <w:shd w:val="clear" w:color="auto" w:fill="auto"/>
          </w:tcPr>
          <w:p w14:paraId="424B5A41" w14:textId="57F0D24B" w:rsidR="009A755E" w:rsidRPr="00781112" w:rsidRDefault="002B7490">
            <w:pPr>
              <w:jc w:val="center"/>
              <w:rPr>
                <w:rFonts w:cs="Arial"/>
                <w:noProof/>
                <w:color w:val="000000" w:themeColor="text1"/>
                <w:szCs w:val="16"/>
              </w:rPr>
            </w:pPr>
            <w:r w:rsidRPr="00781112">
              <w:rPr>
                <w:rFonts w:cs="Arial"/>
                <w:color w:val="000000" w:themeColor="text1"/>
                <w:szCs w:val="16"/>
              </w:rPr>
              <w:t>42</w:t>
            </w:r>
          </w:p>
        </w:tc>
        <w:tc>
          <w:tcPr>
            <w:tcW w:w="1234" w:type="pct"/>
            <w:shd w:val="clear" w:color="auto" w:fill="auto"/>
          </w:tcPr>
          <w:p w14:paraId="5FD250DE" w14:textId="1F07D8E0"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 xml:space="preserve">NDE verified that the LEA is now correctly implementing the regulatory requirements at the source of noncompliance through technical assistance (TA) and training for the LEA as well as requiring the LEA to communicate with the NDE to document that the LEA adjusted its policies, practices, and procedures to ensure that secondary transitions requirements were followed. NDE conducted a review six months after finding noncompliance to ensure compliance in the LEA. If at the six-month review the LEA had not corrected the noncompliance, NDE worked with the LEA to outline additional actions the LEA must take to ensure compliance. After nine months, NDE again reviewed each LEA that had not achieved compliance at six months to ensure LEA policies, practices, and procedures were now compliant as and reviewed a random sampling of student files to ensure the LEA was correctly implementing the regulatory requirements with those students. At that point, NDE found each LEA to be 100% compliant. One year after making findings, NDE reviewed the LEAs where it found noncompliance and again found 100% compliance. </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 xml:space="preserve">of noncompliance </w:t>
      </w:r>
      <w:proofErr w:type="gramStart"/>
      <w:r w:rsidRPr="00781112">
        <w:rPr>
          <w:rFonts w:cs="Arial"/>
          <w:b/>
          <w:color w:val="000000" w:themeColor="text1"/>
          <w:szCs w:val="16"/>
        </w:rPr>
        <w:t>was corrected</w:t>
      </w:r>
      <w:proofErr w:type="gramEnd"/>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NDE worked with LEAs to develop a corrective action plan and approved the plan. After the LEA implemented its corrective action plan, NDE revisited any LEA with individual noncompliance to ensure the LEA had corrected each individual case of noncompliance. NDE ensured that each IEP that did not demonstrate compliance with secondary transition had been appropriately amended</w:t>
      </w:r>
      <w:proofErr w:type="gramStart"/>
      <w:r w:rsidRPr="00781112">
        <w:rPr>
          <w:rFonts w:cs="Arial"/>
          <w:color w:val="000000" w:themeColor="text1"/>
          <w:szCs w:val="16"/>
        </w:rPr>
        <w:t xml:space="preserve">.  </w:t>
      </w:r>
      <w:proofErr w:type="gramEnd"/>
    </w:p>
    <w:p w14:paraId="3FA4F9AB" w14:textId="3B1372CE"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524990FB" w14:textId="486634C4" w:rsidR="009A755E" w:rsidRPr="00781112" w:rsidRDefault="009A755E" w:rsidP="004369B2">
      <w:pPr>
        <w:rPr>
          <w:color w:val="000000" w:themeColor="text1"/>
        </w:rPr>
      </w:pPr>
      <w:r w:rsidRPr="00781112">
        <w:rPr>
          <w:b/>
          <w:color w:val="000000" w:themeColor="text1"/>
        </w:rPr>
        <w:t>Findings of Noncompliance Verified as Corrected</w:t>
      </w:r>
    </w:p>
    <w:p w14:paraId="6B4BDE06" w14:textId="02CDA05A"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208B3724" w14:textId="7B747604" w:rsidR="001E7916" w:rsidRPr="00781112" w:rsidRDefault="001E7916" w:rsidP="001E7916">
      <w:pPr>
        <w:rPr>
          <w:rFonts w:cs="Arial"/>
          <w:color w:val="000000" w:themeColor="text1"/>
          <w:szCs w:val="16"/>
        </w:rPr>
      </w:pPr>
      <w:r w:rsidRPr="00781112">
        <w:rPr>
          <w:rFonts w:cs="Arial"/>
          <w:color w:val="000000" w:themeColor="text1"/>
          <w:szCs w:val="16"/>
        </w:rPr>
        <w:t xml:space="preserve">NDE verified that the LEA is now correctly implementing the regulatory requirements at the source of noncompliance through TA and training as well as requiring the LEA to communicate with NDE to document that the LEA adjusted its policies, practices, and procedures to ensure that secondary transition requirements </w:t>
      </w:r>
      <w:proofErr w:type="gramStart"/>
      <w:r w:rsidRPr="00781112">
        <w:rPr>
          <w:rFonts w:cs="Arial"/>
          <w:color w:val="000000" w:themeColor="text1"/>
          <w:szCs w:val="16"/>
        </w:rPr>
        <w:t>were followed</w:t>
      </w:r>
      <w:proofErr w:type="gramEnd"/>
      <w:r w:rsidRPr="00781112">
        <w:rPr>
          <w:rFonts w:cs="Arial"/>
          <w:color w:val="000000" w:themeColor="text1"/>
          <w:szCs w:val="16"/>
        </w:rPr>
        <w:t xml:space="preserve">. NDE conducted a review six months after finding noncompliance to ensure compliance in the LEA. If at the six-month review, the LEA had not corrected the noncompliance, NDE worked with the LEA to outline additional actions the LEA must take to ensure compliance. After nine months, NDE again reviewed each LEA that had not achieved compliance at six months to ensure LEA policies, practices, and procedures were now compliant and reviewed a random sampling of student files to ensure the LEA was correctly implementing the regulatory requirements with those students. At that point, NDE found each LEA to be 100% compliant. One year after making findings, NDE reviewed the LEAs where it found noncompliance and again found 100% compliance. </w:t>
      </w:r>
    </w:p>
    <w:p w14:paraId="689DDCD6" w14:textId="258D465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7C29496" w14:textId="18D25B38" w:rsidR="001E7916" w:rsidRPr="00781112" w:rsidRDefault="001E7916" w:rsidP="001E7916">
      <w:pPr>
        <w:rPr>
          <w:rFonts w:cs="Arial"/>
          <w:color w:val="000000" w:themeColor="text1"/>
          <w:szCs w:val="16"/>
        </w:rPr>
      </w:pPr>
      <w:r w:rsidRPr="00781112">
        <w:rPr>
          <w:rFonts w:cs="Arial"/>
          <w:color w:val="000000" w:themeColor="text1"/>
          <w:szCs w:val="16"/>
        </w:rPr>
        <w:t xml:space="preserve">NDE worked with LEAs to develop a corrective action plan and approved the plan. After the LEA implemented its corrective action plan, NDE revisited any LEA with individual noncompliance to ensure the LEA had corrected each individual case of noncompliance. NDE ensured that each IEP that did not demonstrate compliance with secondary transition had </w:t>
      </w:r>
      <w:proofErr w:type="gramStart"/>
      <w:r w:rsidRPr="00781112">
        <w:rPr>
          <w:rFonts w:cs="Arial"/>
          <w:color w:val="000000" w:themeColor="text1"/>
          <w:szCs w:val="16"/>
        </w:rPr>
        <w:t>been appropriately amended</w:t>
      </w:r>
      <w:proofErr w:type="gramEnd"/>
      <w:r w:rsidRPr="00781112">
        <w:rPr>
          <w:rFonts w:cs="Arial"/>
          <w:color w:val="000000" w:themeColor="text1"/>
          <w:szCs w:val="16"/>
        </w:rPr>
        <w:t xml:space="preserve">. </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w:t>
      </w:r>
      <w:proofErr w:type="gramStart"/>
      <w:r w:rsidRPr="00781112">
        <w:rPr>
          <w:rFonts w:cs="Arial"/>
          <w:color w:val="000000" w:themeColor="text1"/>
          <w:szCs w:val="16"/>
        </w:rPr>
        <w:t>29</w:t>
      </w:r>
      <w:proofErr w:type="gramEnd"/>
      <w:r w:rsidRPr="00781112">
        <w:rPr>
          <w:rFonts w:cs="Arial"/>
          <w:color w:val="000000" w:themeColor="text1"/>
          <w:szCs w:val="16"/>
        </w:rPr>
        <w:t xml:space="preserve"> uncorrected findings of noncompliance identified in FFY 2018, and the remaining 42 uncorrected findings of noncompliance identified in FFY 2017 were corrected.  When reporting on the correction of noncompliance, the State must report, in the FFY 2021 SPP/APR, that it has verified that each LEA with findings of noncompliance identified in FFY 2020 and each LEA with remaining noncompliance identified in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NDE has reported on the status of correction of noncompliance identified in FFY 2020, FFY 2018, and FFY 2017 for this indicator. When reporting on the correction of noncompliance, NDE reported that it has verified that all LEAs with noncompliance identified in FFY 2020, FFY 2018, and FFY 2017 for this indicator: (1) are correctly implementing the specific regulatory requirements (i.e., achieved 100% compliance) based on a review of updated data/file reviews; and (2) have corrected each individual case of noncompliance, unless the child is no longer within the jurisdiction of the LEA, consistent with OSEP Memo 09-02. NDE also described the specific actions that it took to verify the correction. NDE continues to work with all LEAs to provide technical assistance as it continues to ensure compliance.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w:t>
      </w:r>
      <w:r w:rsidRPr="00781112">
        <w:rPr>
          <w:rFonts w:cs="Arial"/>
          <w:color w:val="000000" w:themeColor="text1"/>
          <w:szCs w:val="16"/>
        </w:rPr>
        <w:lastRenderedPageBreak/>
        <w:t>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6"/>
    </w:p>
    <w:p w14:paraId="22761492" w14:textId="77777777" w:rsidR="005C50DB" w:rsidRPr="00781112" w:rsidRDefault="005C50DB" w:rsidP="00A018D4">
      <w:pPr>
        <w:rPr>
          <w:szCs w:val="20"/>
        </w:rPr>
      </w:pPr>
      <w:bookmarkStart w:id="7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8"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8"/>
    <w:p w14:paraId="3FE9961A" w14:textId="1EDBA086" w:rsidR="000301BA" w:rsidRPr="00781112" w:rsidRDefault="00172058" w:rsidP="00123D76">
      <w:pPr>
        <w:pStyle w:val="Heading2"/>
      </w:pPr>
      <w:r w:rsidRPr="00781112">
        <w:t>14 - Indicator Data</w:t>
      </w:r>
    </w:p>
    <w:bookmarkEnd w:id="7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39.60%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30.73%</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30.73%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38.16%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36.20%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30.86%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30.73%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20.84%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34.78%</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34.78%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61.84%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57.33%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43.50%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34.78%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34.76%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83.65%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83.65%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44.51%</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44.51%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78.69%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57.23%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44.51%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46.81%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30.73%</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30.73%</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31.23%</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31.73%</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32.23%</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34.78%</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34.78%</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35.28%</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35.78%</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36.28%</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44.51%</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44.51%</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45.01%</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45.51%</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46.01%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 xml:space="preserve">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w:t>
      </w:r>
      <w:r w:rsidRPr="00781112">
        <w:rPr>
          <w:rFonts w:cs="Arial"/>
          <w:color w:val="000000" w:themeColor="text1"/>
          <w:szCs w:val="16"/>
        </w:rPr>
        <w:lastRenderedPageBreak/>
        <w:t>(SIMR).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9" w:name="_Toc392159337"/>
    </w:p>
    <w:bookmarkEnd w:id="79"/>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2,679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754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28.14%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239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311</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92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239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754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20.84%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30.73%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31.70%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754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34.76%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34.78%</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72.94%</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689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754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46.81%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44.51%</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91.38%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lastRenderedPageBreak/>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40.23%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28.14%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post-school outcome survey given in the spring of 2022, to survey students who graduated in the spring of 2021, moved from surveying a sample of graduating students to a census of all graduating students. NDE will continue to contract with the University of Nebraska-Lincoln's Bureau of Sociological Research (BOSR) to compile and analyze the collected data. BOSR also distributed survey materials to all districts with instructions for staff to survey the graduated students. The census method of collection has been shown, in other states, to </w:t>
      </w:r>
      <w:proofErr w:type="gramStart"/>
      <w:r w:rsidRPr="00B551F2">
        <w:t>more successfully gather the desired information</w:t>
      </w:r>
      <w:proofErr w:type="gramEnd"/>
      <w:r w:rsidRPr="00B551F2">
        <w:t xml:space="preserve"> from students. This change will provide more accurate data about graduating students and improve the response rate. Additionally, BOSR utilized a mixed-mode mail, web, and phone methodology. To increase the response rate, BOSR made multiple calls to numbers for which there was no answer. BOSR made additional calls at </w:t>
      </w:r>
      <w:proofErr w:type="gramStart"/>
      <w:r w:rsidRPr="00B551F2">
        <w:t>different times</w:t>
      </w:r>
      <w:proofErr w:type="gramEnd"/>
      <w:r w:rsidRPr="00B551F2">
        <w:t xml:space="preserve"> of the day and different days of the week, including the weekend, to increase the potential that a call would reach the respondent during an available time. NDE will communicate directly with districts with a high percentage of underrepresented groups and provide technical assistance to ensure a targeted effort towards those groups. </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To analyze response rate, NDE compared the responders to the youth who should have received the survey. NDE identified nonresponse bias for youth who are African American or Black, </w:t>
      </w:r>
      <w:proofErr w:type="gramStart"/>
      <w:r w:rsidRPr="00B551F2">
        <w:t>Hispanic</w:t>
      </w:r>
      <w:proofErr w:type="gramEnd"/>
      <w:r w:rsidRPr="00B551F2">
        <w:t xml:space="preserve"> or Latino, and youth who dropped out. NDE did not identify any nonresponse bias based on sex. NDE worked to promote a response from a broad cross section of youth by providing two rounds of mailed surveys, one reminder postcard, flexible web options, and multiple phone call attempts. To avoid nonresponse bias in FFY 2022, NDE plans to provide technical assistance and support to the largest, most diverse districts in Nebraska. Increasing the response rate for these urban districts should improve overall representativeness. </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NDE assessed the representativeness of the survey responses by examining the demographic characteristics of the youth who responded to the survey to the demographic characteristics of all youth who are no longer in secondary school and had an IEP in effect at the time they left school. This comparison indicates the percentage of responses received is representative by gender. Responses are not representative by race/ethnicity with responses from youth who are African American or Black and Hispanic or Latino underrepresented, and responses from youth who are white overrepresented. Responses are not representative by exit reason, with youth who graduated with a regular high school diploma overrepresented and youth who dropped out underrepresented.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NDE will communicate directly with districts with a high percentage of underrepresented groups and provide technical assistance to ensure a targeted effort towards those groups.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NDE used a metric of +/- 3% discrepancy in the percentage of responders per district compared to the percentage of youth in the relevant population.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14:paraId="381E41E4" w14:textId="6628A613" w:rsidR="00212954" w:rsidRPr="00781112" w:rsidRDefault="002B7490" w:rsidP="00A018D4">
            <w:pPr>
              <w:jc w:val="center"/>
              <w:rPr>
                <w:rFonts w:cs="Arial"/>
                <w:color w:val="000000" w:themeColor="text1"/>
                <w:szCs w:val="16"/>
              </w:rPr>
            </w:pPr>
            <w:r w:rsidRPr="00781112">
              <w:rPr>
                <w:rFonts w:cs="Arial"/>
                <w:color w:val="000000" w:themeColor="text1"/>
                <w:szCs w:val="16"/>
              </w:rPr>
              <w:t>NEW FFY 2021 Indicator 14 Survey</w:t>
            </w:r>
          </w:p>
        </w:tc>
      </w:tr>
    </w:tbl>
    <w:p w14:paraId="62361D73" w14:textId="77777777" w:rsidR="00644AC8" w:rsidRPr="00781112" w:rsidRDefault="00644AC8" w:rsidP="00644AC8">
      <w:pPr>
        <w:rPr>
          <w:rFonts w:cs="Arial"/>
          <w:b/>
          <w:color w:val="000000" w:themeColor="text1"/>
          <w:szCs w:val="16"/>
        </w:rPr>
      </w:pPr>
      <w:bookmarkStart w:id="80" w:name="_Toc382082390"/>
      <w:bookmarkStart w:id="81"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The State did not provide targets, as required by the measurement table. The State must provide the required targets for FFY 2020 through FFY 2025 in the FFY 2021 SPP/APR.</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NDE provided the required targets in the FFY 2021 SPP/APR. After submitting the FFY 2020 SPP/APR, NDE realized it did not report what it decided with its stakeholders, to change the Baseline Data for this indicator to FFY 2019 data. NDE reported this change in this SPP/APR and met all stakeholder input requirements as reported in the FFY 2020 SPP/APR.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lastRenderedPageBreak/>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2021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0"/>
      <w:bookmarkEnd w:id="81"/>
    </w:p>
    <w:p w14:paraId="7EA31497" w14:textId="77777777" w:rsidR="005B0B58" w:rsidRPr="00781112" w:rsidRDefault="005B0B58" w:rsidP="00A018D4">
      <w:pPr>
        <w:rPr>
          <w:color w:val="000000" w:themeColor="text1"/>
          <w:szCs w:val="20"/>
        </w:rPr>
      </w:pPr>
      <w:bookmarkStart w:id="82" w:name="_Toc381786822"/>
      <w:bookmarkStart w:id="83" w:name="_Toc382731911"/>
      <w:bookmarkStart w:id="84" w:name="_Toc382731912"/>
      <w:bookmarkStart w:id="85" w:name="_Toc392159340"/>
      <w:bookmarkEnd w:id="82"/>
      <w:bookmarkEnd w:id="83"/>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4"/>
    <w:bookmarkEnd w:id="85"/>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86" w:name="_Toc382731913"/>
      <w:bookmarkStart w:id="87"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43B1695A" w14:textId="2970A905" w:rsidR="000A2C83" w:rsidRPr="00781112" w:rsidRDefault="000A2C83" w:rsidP="000A2C83">
      <w:pPr>
        <w:rPr>
          <w:rFonts w:cs="Arial"/>
          <w:color w:val="000000" w:themeColor="text1"/>
          <w:szCs w:val="16"/>
        </w:rPr>
      </w:pPr>
    </w:p>
    <w:bookmarkEnd w:id="86"/>
    <w:bookmarkEnd w:id="87"/>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.00%</w:t>
            </w: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28.57%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number of resolution sessions is less than ten, which means the State is not required to set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8" w:name="_Toc382731916"/>
      <w:bookmarkStart w:id="89"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88"/>
    <w:bookmarkEnd w:id="89"/>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1126C3" w:rsidP="00A018D4">
            <w:pPr>
              <w:jc w:val="center"/>
              <w:rPr>
                <w:rFonts w:cs="Arial"/>
                <w:color w:val="000000" w:themeColor="text1"/>
                <w:szCs w:val="16"/>
              </w:rPr>
            </w:pP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1126C3" w:rsidP="00A018D4">
            <w:pPr>
              <w:jc w:val="center"/>
              <w:rPr>
                <w:rFonts w:cs="Arial"/>
                <w:color w:val="000000" w:themeColor="text1"/>
                <w:szCs w:val="16"/>
              </w:rPr>
            </w:pP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YES</w:t>
      </w:r>
    </w:p>
    <w:p w14:paraId="650D2318" w14:textId="13D525DB" w:rsidR="00FE68B6" w:rsidRPr="00781112" w:rsidRDefault="00522BEA" w:rsidP="004369B2">
      <w:pPr>
        <w:rPr>
          <w:b/>
          <w:color w:val="000000" w:themeColor="text1"/>
        </w:rPr>
      </w:pPr>
      <w:r>
        <w:rPr>
          <w:b/>
          <w:color w:val="000000" w:themeColor="text1"/>
        </w:rPr>
        <w:t>If yes, provide an explanation below</w:t>
      </w:r>
    </w:p>
    <w:p w14:paraId="660CFBAB" w14:textId="45F8724E" w:rsidR="0087456C" w:rsidRPr="00781112" w:rsidRDefault="0087456C" w:rsidP="009B76C5">
      <w:pPr>
        <w:rPr>
          <w:color w:val="000000" w:themeColor="text1"/>
        </w:rPr>
      </w:pPr>
      <w:r w:rsidRPr="00781112">
        <w:rPr>
          <w:color w:val="000000" w:themeColor="text1"/>
        </w:rPr>
        <w:t>After submitting the IDEA Part B Dispute Resolution Survey, Nebraska realized the data submitted was incorrect</w:t>
      </w:r>
      <w:proofErr w:type="gramStart"/>
      <w:r w:rsidRPr="00781112">
        <w:rPr>
          <w:color w:val="000000" w:themeColor="text1"/>
        </w:rPr>
        <w:t xml:space="preserve">.  </w:t>
      </w:r>
      <w:proofErr w:type="gramEnd"/>
      <w:r w:rsidRPr="00781112">
        <w:rPr>
          <w:color w:val="000000" w:themeColor="text1"/>
        </w:rPr>
        <w:t>Nebraska intends to correct the submission during the period in which the collection is reopened</w:t>
      </w:r>
      <w:proofErr w:type="gramStart"/>
      <w:r w:rsidRPr="00781112">
        <w:rPr>
          <w:color w:val="000000" w:themeColor="text1"/>
        </w:rPr>
        <w:t xml:space="preserve">.  </w:t>
      </w:r>
      <w:proofErr w:type="gramEnd"/>
      <w:r w:rsidRPr="00781112">
        <w:rPr>
          <w:color w:val="000000" w:themeColor="text1"/>
        </w:rPr>
        <w:t xml:space="preserve"> </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rFonts w:cs="Arial"/>
          <w:color w:val="000000" w:themeColor="text1"/>
          <w:szCs w:val="16"/>
        </w:rPr>
        <w:br/>
        <w:t xml:space="preserve">   </w:t>
      </w:r>
      <w:r w:rsidRPr="00781112">
        <w:rPr>
          <w:rFonts w:cs="Arial"/>
          <w:color w:val="000000" w:themeColor="text1"/>
          <w:szCs w:val="16"/>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 xml:space="preserve">  </w:t>
      </w:r>
      <w:r w:rsidRPr="00781112">
        <w:rPr>
          <w:rFonts w:cs="Arial"/>
          <w:color w:val="000000" w:themeColor="text1"/>
          <w:szCs w:val="16"/>
        </w:rPr>
        <w:br/>
        <w:t xml:space="preserve">In addition to the RDA Stakeholder Group, established specifically for the purpose of gathering input on the SPP/APR, Nebraska also obtained input from two longstanding stakeholder groups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members serving as liaisons to the RDA Stakeholder Group: Special Education Advisory Council (SEAC) and the Results Matter Nebraska Task Force (Task Force). SEAC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rFonts w:cs="Arial"/>
          <w:color w:val="000000" w:themeColor="text1"/>
          <w:szCs w:val="16"/>
        </w:rPr>
        <w:t>work collaboratively</w:t>
      </w:r>
      <w:proofErr w:type="gramEnd"/>
      <w:r w:rsidRPr="00781112">
        <w:rPr>
          <w:rFonts w:cs="Arial"/>
          <w:color w:val="000000" w:themeColor="text1"/>
          <w:szCs w:val="16"/>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In addition to the broad stakeholder input that NDE seeks on State targets in the SPP/APR, NDE sought specific stakeholder input from the Special Education Advisory Council (SEAC) to determine the type and specifications for targets for Indicator 16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State reaching 10 mediations </w:t>
      </w:r>
      <w:r w:rsidRPr="00781112">
        <w:rPr>
          <w:rFonts w:cs="Arial"/>
          <w:color w:val="000000" w:themeColor="text1"/>
          <w:szCs w:val="16"/>
        </w:rPr>
        <w:lastRenderedPageBreak/>
        <w:t>held for the first time. NDE provided SEAC with current and historical Indicator 16 data, the options for target setting allowed by OSEP, and potential targets for members to select. Based on SEAC’s feedback, NDE set targets and target type</w:t>
      </w:r>
      <w:proofErr w:type="gramStart"/>
      <w:r w:rsidRPr="00781112">
        <w:rPr>
          <w:rFonts w:cs="Arial"/>
          <w:color w:val="000000" w:themeColor="text1"/>
          <w:szCs w:val="16"/>
        </w:rPr>
        <w:t xml:space="preserve">.  </w:t>
      </w:r>
      <w:proofErr w:type="gramEnd"/>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2021</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.00%</w:t>
            </w: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100.00%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FFY 2021 is the first year the State had </w:t>
      </w:r>
      <w:proofErr w:type="gramStart"/>
      <w:r w:rsidRPr="00781112">
        <w:rPr>
          <w:rFonts w:cs="Arial"/>
          <w:color w:val="000000" w:themeColor="text1"/>
          <w:szCs w:val="16"/>
        </w:rPr>
        <w:t>10</w:t>
      </w:r>
      <w:proofErr w:type="gramEnd"/>
      <w:r w:rsidRPr="00781112">
        <w:rPr>
          <w:rFonts w:cs="Arial"/>
          <w:color w:val="000000" w:themeColor="text1"/>
          <w:szCs w:val="16"/>
        </w:rPr>
        <w:t xml:space="preserve"> mediation requests. As a result, FFY 2021 data is considered the baseline and the State established targets based on previous data collections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 xml:space="preserve">The State provided targets for FFYs 2021 through 2025 for this indicator, and OSEP accepts those targets. </w:t>
      </w:r>
      <w:r w:rsidRPr="00781112">
        <w:rPr>
          <w:rFonts w:cs="Arial"/>
          <w:color w:val="000000" w:themeColor="text1"/>
          <w:szCs w:val="16"/>
        </w:rPr>
        <w:br/>
      </w:r>
      <w:r w:rsidRPr="00781112">
        <w:rPr>
          <w:rFonts w:cs="Arial"/>
          <w:color w:val="000000" w:themeColor="text1"/>
          <w:szCs w:val="16"/>
        </w:rPr>
        <w:br/>
        <w:t>The State reported in its narrative that "After submitting the IDEA Part B Dispute Resolution Survey, Nebraska realized the data submitted was incorrect</w:t>
      </w:r>
      <w:proofErr w:type="gramStart"/>
      <w:r w:rsidRPr="00781112">
        <w:rPr>
          <w:rFonts w:cs="Arial"/>
          <w:color w:val="000000" w:themeColor="text1"/>
          <w:szCs w:val="16"/>
        </w:rPr>
        <w:t xml:space="preserve">.  </w:t>
      </w:r>
      <w:proofErr w:type="gramEnd"/>
      <w:r w:rsidRPr="00781112">
        <w:rPr>
          <w:rFonts w:cs="Arial"/>
          <w:color w:val="000000" w:themeColor="text1"/>
          <w:szCs w:val="16"/>
        </w:rPr>
        <w:t>Nebraska intends to correct the submission during the period in which the collection is reopened." OSEP notes that the State resubmitted its 2021-22 IDEA Part B Resolution data. Those resubmitted data are included on the Dispute Resolution attachment in the reporting tool</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However, as noted in the IDEA Part B FFY 2021 SPP/APR User Guide, the 2021-22 IDEA Part B Dispute Resolution Survey as of the November 2, </w:t>
      </w:r>
      <w:proofErr w:type="gramStart"/>
      <w:r w:rsidRPr="00781112">
        <w:rPr>
          <w:rFonts w:cs="Arial"/>
          <w:color w:val="000000" w:themeColor="text1"/>
          <w:szCs w:val="16"/>
        </w:rPr>
        <w:t>2022</w:t>
      </w:r>
      <w:proofErr w:type="gramEnd"/>
      <w:r w:rsidRPr="00781112">
        <w:rPr>
          <w:rFonts w:cs="Arial"/>
          <w:color w:val="000000" w:themeColor="text1"/>
          <w:szCs w:val="16"/>
        </w:rPr>
        <w:t xml:space="preserve"> snapshot date, are used to prepopulate data under this Indicator.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Nebraska’s State-Identified Measurable Result is to increase the reading proficiency for students with disabilities at the </w:t>
      </w:r>
      <w:proofErr w:type="gramStart"/>
      <w:r w:rsidRPr="00781112">
        <w:rPr>
          <w:color w:val="000000" w:themeColor="text1"/>
        </w:rPr>
        <w:t>4th</w:t>
      </w:r>
      <w:proofErr w:type="gramEnd"/>
      <w:r w:rsidRPr="00781112">
        <w:rPr>
          <w:color w:val="000000" w:themeColor="text1"/>
        </w:rPr>
        <w:t xml:space="preserve"> grade level as measured by the statewide reading assessment.  </w:t>
      </w:r>
    </w:p>
    <w:p w14:paraId="43CABCA3" w14:textId="77777777" w:rsidR="00AE1972" w:rsidRPr="00781112" w:rsidRDefault="00AE1972" w:rsidP="00AE1972">
      <w:pPr>
        <w:rPr>
          <w:b/>
          <w:bCs/>
        </w:rPr>
      </w:pPr>
      <w:bookmarkStart w:id="90" w:name="_Hlk85195358"/>
      <w:r w:rsidRPr="00781112">
        <w:rPr>
          <w:b/>
          <w:bCs/>
        </w:rPr>
        <w:t>Has the SiMR changed since the last SSIP submission? (yes/no)</w:t>
      </w:r>
    </w:p>
    <w:p w14:paraId="53B392AE" w14:textId="5D60E4A2" w:rsidR="00AE1972" w:rsidRDefault="00AE1972" w:rsidP="00AE1972">
      <w:r w:rsidRPr="00781112">
        <w:t>NO</w:t>
      </w:r>
    </w:p>
    <w:bookmarkEnd w:id="90"/>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https://cdn.education.ne.gov/wp-content/uploads/2021/12/Theory-of-Action-v2-ACCESS-CHECKED-sped.pdf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25.63%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26.13%</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27.13%</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28.13%</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29.13%</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30.13%</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Number of Students with Disabilities at the </w:t>
            </w:r>
            <w:proofErr w:type="gramStart"/>
            <w:r w:rsidRPr="00781112">
              <w:rPr>
                <w:b/>
                <w:bCs/>
                <w:color w:val="000000" w:themeColor="text1"/>
                <w:szCs w:val="16"/>
              </w:rPr>
              <w:t>4th</w:t>
            </w:r>
            <w:proofErr w:type="gramEnd"/>
            <w:r w:rsidRPr="00781112">
              <w:rPr>
                <w:b/>
                <w:bCs/>
                <w:color w:val="000000" w:themeColor="text1"/>
                <w:szCs w:val="16"/>
              </w:rPr>
              <w:t xml:space="preserve"> grade level who are proficient in reading?(both general assessment and alternate assessment) </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xml:space="preserve">Total number of </w:t>
            </w:r>
            <w:proofErr w:type="gramStart"/>
            <w:r w:rsidRPr="00781112">
              <w:rPr>
                <w:b/>
                <w:bCs/>
                <w:color w:val="000000" w:themeColor="text1"/>
                <w:szCs w:val="16"/>
              </w:rPr>
              <w:t>4th</w:t>
            </w:r>
            <w:proofErr w:type="gramEnd"/>
            <w:r w:rsidRPr="00781112">
              <w:rPr>
                <w:b/>
                <w:bCs/>
                <w:color w:val="000000" w:themeColor="text1"/>
                <w:szCs w:val="16"/>
              </w:rPr>
              <w:t xml:space="preserve"> grade students with disabilities tested on the statewide reading assessment (both general assessment and alternate assessment)? </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991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4,245</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25.63%</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26.13%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23.35%</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Proficiency scores in reading for both students with IEPs and students without IEPs have decreased. Scores reflect the continued impact of learning loss that occurred during the pandemic</w:t>
      </w:r>
      <w:proofErr w:type="gramStart"/>
      <w:r w:rsidRPr="00781112">
        <w:rPr>
          <w:color w:val="000000" w:themeColor="text1"/>
        </w:rPr>
        <w:t xml:space="preserve">.  </w:t>
      </w:r>
      <w:proofErr w:type="gramEnd"/>
      <w:r w:rsidRPr="00781112">
        <w:rPr>
          <w:color w:val="000000" w:themeColor="text1"/>
        </w:rPr>
        <w:t xml:space="preserve">Cut scores to determine proficiency were set prior to the pandemic reflecting pre-pandemic expectations and will be altered </w:t>
      </w:r>
      <w:proofErr w:type="gramStart"/>
      <w:r w:rsidRPr="00781112">
        <w:rPr>
          <w:color w:val="000000" w:themeColor="text1"/>
        </w:rPr>
        <w:t>as a result of</w:t>
      </w:r>
      <w:proofErr w:type="gramEnd"/>
      <w:r w:rsidRPr="00781112">
        <w:rPr>
          <w:color w:val="000000" w:themeColor="text1"/>
        </w:rPr>
        <w:t xml:space="preserve"> new standards put in place for the 2022-23 school year and post-pandemic proficiency. </w:t>
      </w:r>
    </w:p>
    <w:p w14:paraId="66E5C45A" w14:textId="77777777" w:rsidR="00AE1972" w:rsidRPr="00781112" w:rsidRDefault="00AE1972" w:rsidP="00AE1972"/>
    <w:p w14:paraId="30EFC313" w14:textId="4284CBF2" w:rsidR="005D6EB4" w:rsidRPr="00781112" w:rsidRDefault="004F3929" w:rsidP="005D6EB4">
      <w:pPr>
        <w:rPr>
          <w:b/>
          <w:bCs/>
        </w:rPr>
      </w:pPr>
      <w:r>
        <w:rPr>
          <w:b/>
          <w:bCs/>
        </w:rPr>
        <w:lastRenderedPageBreak/>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Data comes from the same source as Indicator 3 (NSCAS proficiency scores for </w:t>
      </w:r>
      <w:proofErr w:type="gramStart"/>
      <w:r w:rsidRPr="00781112">
        <w:rPr>
          <w:color w:val="000000" w:themeColor="text1"/>
        </w:rPr>
        <w:t>4th</w:t>
      </w:r>
      <w:proofErr w:type="gramEnd"/>
      <w:r w:rsidRPr="00781112">
        <w:rPr>
          <w:color w:val="000000" w:themeColor="text1"/>
        </w:rPr>
        <w:t xml:space="preserve"> grade students who received a valid score and for whom a proficiency level was assigned for both students with IEPs against grade level academic achievement standards and proficiency rate for children with IEPs against alternate academic achievement standards. </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Data is collected based on the requirements of Indicator 3</w:t>
      </w:r>
      <w:proofErr w:type="gramStart"/>
      <w:r w:rsidRPr="00781112">
        <w:rPr>
          <w:color w:val="000000" w:themeColor="text1"/>
        </w:rPr>
        <w:t xml:space="preserve">.  </w:t>
      </w:r>
      <w:proofErr w:type="gramEnd"/>
      <w:r w:rsidRPr="00781112">
        <w:rPr>
          <w:color w:val="000000" w:themeColor="text1"/>
        </w:rPr>
        <w:t xml:space="preserve">For the analysis for the SiMR, the state adds together the number of students with IEPs who received a valid score and a proficiency level was assigned against grade level academic achievement standards to the number of students with IEPs who received a valid score and proficiency level was assigned against alternate academic achievement standards divided by the total number of students at the 4th grade with IEPs.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Based on feedback from stakeholders, the State broke down the NCSAS data by disability category to help give meaning to the data and allow districts to see what groups of students needed to </w:t>
      </w:r>
      <w:proofErr w:type="gramStart"/>
      <w:r w:rsidRPr="00781112">
        <w:rPr>
          <w:color w:val="000000" w:themeColor="text1"/>
        </w:rPr>
        <w:t>be targeted</w:t>
      </w:r>
      <w:proofErr w:type="gramEnd"/>
      <w:r w:rsidRPr="00781112">
        <w:rPr>
          <w:color w:val="000000" w:themeColor="text1"/>
        </w:rPr>
        <w:t xml:space="preserve"> in their improvement work.? The data in the table shows the proficiency of students at the </w:t>
      </w:r>
      <w:proofErr w:type="gramStart"/>
      <w:r w:rsidRPr="00781112">
        <w:rPr>
          <w:color w:val="000000" w:themeColor="text1"/>
        </w:rPr>
        <w:t>4th</w:t>
      </w:r>
      <w:proofErr w:type="gramEnd"/>
      <w:r w:rsidRPr="00781112">
        <w:rPr>
          <w:color w:val="000000" w:themeColor="text1"/>
        </w:rPr>
        <w:t xml:space="preserve"> grade level by disability category and includes both students who took the general education assessment as well as the alternate assessment.? The scores </w:t>
      </w:r>
      <w:proofErr w:type="gramStart"/>
      <w:r w:rsidRPr="00781112">
        <w:rPr>
          <w:color w:val="000000" w:themeColor="text1"/>
        </w:rPr>
        <w:t>are arranged</w:t>
      </w:r>
      <w:proofErr w:type="gramEnd"/>
      <w:r w:rsidRPr="00781112">
        <w:rPr>
          <w:color w:val="000000" w:themeColor="text1"/>
        </w:rPr>
        <w:t xml:space="preserve"> from the lowest to highest levels of proficiency.? Students with specific learning disabilities are the lowest performing group of students with 11.49% being proficient, while our students with speech and language impairments are the highest performing with 42.43% being proficient. There is a huge gap in performance from our students with SLD to our students with OHI (18.39% proficient), followed by another gap between our students with ID (24.55% proficient) ED (24.79% proficient), and Autism (26.50% proficient), another gap for SLI (42.43% proficient). </w:t>
      </w:r>
      <w:r w:rsidRPr="00781112">
        <w:rPr>
          <w:color w:val="000000" w:themeColor="text1"/>
        </w:rPr>
        <w:br/>
      </w:r>
      <w:r w:rsidRPr="00781112">
        <w:rPr>
          <w:color w:val="000000" w:themeColor="text1"/>
        </w:rPr>
        <w:br/>
        <w:t xml:space="preserve">Nebraska also disaggregated data by race/ethnicity. Although in the past there </w:t>
      </w:r>
      <w:proofErr w:type="gramStart"/>
      <w:r w:rsidRPr="00781112">
        <w:rPr>
          <w:color w:val="000000" w:themeColor="text1"/>
        </w:rPr>
        <w:t>hasn’t</w:t>
      </w:r>
      <w:proofErr w:type="gramEnd"/>
      <w:r w:rsidRPr="00781112">
        <w:rPr>
          <w:color w:val="000000" w:themeColor="text1"/>
        </w:rPr>
        <w:t xml:space="preserve"> been much variance in scores based on race/ethnicity, with the increased emphasis on equity, the Office of Special Education felt it was important to see if over the progression of time, circumstances have changed. Based on that disaggregation, we see there are differences that exist between racial/ethnic </w:t>
      </w:r>
      <w:proofErr w:type="gramStart"/>
      <w:r w:rsidRPr="00781112">
        <w:rPr>
          <w:color w:val="000000" w:themeColor="text1"/>
        </w:rPr>
        <w:t>groups</w:t>
      </w:r>
      <w:proofErr w:type="gramEnd"/>
      <w:r w:rsidRPr="00781112">
        <w:rPr>
          <w:color w:val="000000" w:themeColor="text1"/>
        </w:rPr>
        <w:t xml:space="preserve"> but those differences are not as significant as those between disability categories. Students who are white were 29.45% proficient; students who are Asian were 21.42% proficient; students who are 2 or more races were 19.84% proficient; students who are Hispanic/Latino were 12.67% proficient; students are Black/African American are 11.07% proficient; students who are Native American/Alaskan Native are 8.53% proficient; and students who are Native Hawaiian/Pacific Islander are 0% proficient. </w:t>
      </w:r>
      <w:r w:rsidRPr="00781112">
        <w:rPr>
          <w:color w:val="000000" w:themeColor="text1"/>
        </w:rPr>
        <w:br/>
      </w:r>
      <w:r w:rsidRPr="00781112">
        <w:rPr>
          <w:color w:val="000000" w:themeColor="text1"/>
        </w:rPr>
        <w:br/>
        <w:t xml:space="preserve">Nebraska </w:t>
      </w:r>
      <w:proofErr w:type="gramStart"/>
      <w:r w:rsidRPr="00781112">
        <w:rPr>
          <w:color w:val="000000" w:themeColor="text1"/>
        </w:rPr>
        <w:t>tested</w:t>
      </w:r>
      <w:proofErr w:type="gramEnd"/>
      <w:r w:rsidRPr="00781112">
        <w:rPr>
          <w:color w:val="000000" w:themeColor="text1"/>
        </w:rPr>
        <w:t xml:space="preserve"> 13,281 fourth-grade students using the MAP assessment. 10,782 students without disabilities and 2,499 students with disabilities were </w:t>
      </w:r>
      <w:proofErr w:type="gramStart"/>
      <w:r w:rsidRPr="00781112">
        <w:rPr>
          <w:color w:val="000000" w:themeColor="text1"/>
        </w:rPr>
        <w:t>tested</w:t>
      </w:r>
      <w:proofErr w:type="gramEnd"/>
      <w:r w:rsidRPr="00781112">
        <w:rPr>
          <w:color w:val="000000" w:themeColor="text1"/>
        </w:rPr>
        <w:t xml:space="preserve">. According to an analysis of the MAP reading scores, districts had an average RIT (Rasch Unit) score in the fall 2021 administration for students without disabilities was 177.63 and 167.66 for students with disabilities. During the winter 2021 administration, the average RIT score for students without disabilities was 180.81 and for students with disabilities was 171.16. During the spring 2022 administration, the average RIT score for students without disabilities was 181.63 and for students with disabilities was 172.83. A comparison of fall to spring scores shows students with disabilities demonstrated slightly more growth of 5.17 points whereas students without disabilities showed </w:t>
      </w:r>
      <w:proofErr w:type="gramStart"/>
      <w:r w:rsidRPr="00781112">
        <w:rPr>
          <w:color w:val="000000" w:themeColor="text1"/>
        </w:rPr>
        <w:t>4</w:t>
      </w:r>
      <w:proofErr w:type="gramEnd"/>
      <w:r w:rsidRPr="00781112">
        <w:rPr>
          <w:color w:val="000000" w:themeColor="text1"/>
        </w:rPr>
        <w:t xml:space="preserve"> points of growth. </w:t>
      </w:r>
      <w:r w:rsidRPr="00781112">
        <w:rPr>
          <w:color w:val="000000" w:themeColor="text1"/>
        </w:rPr>
        <w:br/>
      </w:r>
      <w:r w:rsidRPr="00781112">
        <w:rPr>
          <w:color w:val="000000" w:themeColor="text1"/>
        </w:rPr>
        <w:br/>
        <w:t xml:space="preserve">When looking specifically at students with disabilities and performance on the MAP reading assessment, scores varied by disability with students with Emotional Disability and Speech/Language Impairments out-scoring students with other disabilities in all three administrations of the MAP assessment. Students with Intellectual Disabilities and Autism had the lowest RIT scores for all test administrations. In comparison, the performance by disability category on the MAP is different from what we saw in performance with the NSCAS. Average RIT scores for the fall of 2021, winter of 2021 and spring of 2022 are as follows for each category. </w:t>
      </w:r>
      <w:r w:rsidRPr="00781112">
        <w:rPr>
          <w:color w:val="000000" w:themeColor="text1"/>
        </w:rPr>
        <w:br/>
      </w:r>
      <w:r w:rsidRPr="00781112">
        <w:rPr>
          <w:color w:val="000000" w:themeColor="text1"/>
        </w:rPr>
        <w:br/>
        <w:t xml:space="preserve">Emotional Disability was 175.43; 177.70; 178.29 respectively </w:t>
      </w:r>
      <w:r w:rsidRPr="00781112">
        <w:rPr>
          <w:color w:val="000000" w:themeColor="text1"/>
        </w:rPr>
        <w:br/>
        <w:t xml:space="preserve">Speech/Language Impairment was 171.68; 175.70; 177.69 respectively </w:t>
      </w:r>
      <w:r w:rsidRPr="00781112">
        <w:rPr>
          <w:color w:val="000000" w:themeColor="text1"/>
        </w:rPr>
        <w:br/>
        <w:t xml:space="preserve">Other Health Impaired was 171.11; 1743.95; 175.52 respectively </w:t>
      </w:r>
      <w:r w:rsidRPr="00781112">
        <w:rPr>
          <w:color w:val="000000" w:themeColor="text1"/>
        </w:rPr>
        <w:br/>
        <w:t xml:space="preserve">Specific Learning Disability was 169.30; 173.71; 175.26 respectively </w:t>
      </w:r>
      <w:r w:rsidRPr="00781112">
        <w:rPr>
          <w:color w:val="000000" w:themeColor="text1"/>
        </w:rPr>
        <w:br/>
        <w:t xml:space="preserve">Autism was 165.68; 168.12; 169.24 respectively </w:t>
      </w:r>
      <w:r w:rsidRPr="00781112">
        <w:rPr>
          <w:color w:val="000000" w:themeColor="text1"/>
        </w:rPr>
        <w:br/>
        <w:t xml:space="preserve">Intellectual Disability was 156.24; 157.57; and 158.30 respectively </w:t>
      </w:r>
      <w:r w:rsidRPr="00781112">
        <w:rPr>
          <w:color w:val="000000" w:themeColor="text1"/>
        </w:rPr>
        <w:br/>
      </w:r>
      <w:r w:rsidRPr="00781112">
        <w:rPr>
          <w:color w:val="000000" w:themeColor="text1"/>
        </w:rPr>
        <w:br/>
        <w:t xml:space="preserve">Nebraska also uses the MAP RIT scores to determine the percentage of students considered at-risk for not becoming proficient readers. Nebraska begins looking at “at-risk” numbers beginning with kindergarten to determine the extent to which students are getting the </w:t>
      </w:r>
      <w:proofErr w:type="gramStart"/>
      <w:r w:rsidRPr="00781112">
        <w:rPr>
          <w:color w:val="000000" w:themeColor="text1"/>
        </w:rPr>
        <w:t>supports</w:t>
      </w:r>
      <w:proofErr w:type="gramEnd"/>
      <w:r w:rsidRPr="00781112">
        <w:rPr>
          <w:color w:val="000000" w:themeColor="text1"/>
        </w:rPr>
        <w:t xml:space="preserve"> needed to become proficient readers by </w:t>
      </w:r>
      <w:proofErr w:type="gramStart"/>
      <w:r w:rsidRPr="00781112">
        <w:rPr>
          <w:color w:val="000000" w:themeColor="text1"/>
        </w:rPr>
        <w:t>4th</w:t>
      </w:r>
      <w:proofErr w:type="gramEnd"/>
      <w:r w:rsidRPr="00781112">
        <w:rPr>
          <w:color w:val="000000" w:themeColor="text1"/>
        </w:rPr>
        <w:t xml:space="preserve"> grade. Based on the 2022 spring administration of the MAP assessment, 15,139 kindergarten students took the assessment with 12,697 students without disabilities and 2,442 students with disabilities; 16,085 first grade students took the assessment with 13,278 students without disabilities and 2,798 students with disabilities; 20,923 second grade students took the assessment with 16,996 students without disabilities and 3,927 students with disabilities; 6,116 third grade students took the assessment with 4,945 students without disabilities and 1,171 students with disabilities. In looking at percent of students considered at risk, kindergarten had 16.67% students without disabilities and 30.10% of students with disabilities; </w:t>
      </w:r>
      <w:proofErr w:type="gramStart"/>
      <w:r w:rsidRPr="00781112">
        <w:rPr>
          <w:color w:val="000000" w:themeColor="text1"/>
        </w:rPr>
        <w:t>1st</w:t>
      </w:r>
      <w:proofErr w:type="gramEnd"/>
      <w:r w:rsidRPr="00781112">
        <w:rPr>
          <w:color w:val="000000" w:themeColor="text1"/>
        </w:rPr>
        <w:t xml:space="preserve"> grade had, 19.43% students without disabilities and 44.67% students with disabilities; 2nd grade had 19.36% students without disabilities and 47.47% students with disabilities; and 3rd grade had 14.98% students without disabilities and 45.60% students with disabilities. </w:t>
      </w:r>
      <w:r w:rsidRPr="00781112">
        <w:rPr>
          <w:color w:val="000000" w:themeColor="text1"/>
        </w:rPr>
        <w:br/>
      </w:r>
      <w:r w:rsidRPr="00781112">
        <w:rPr>
          <w:color w:val="000000" w:themeColor="text1"/>
        </w:rPr>
        <w:br/>
        <w:t xml:space="preserve">Nebraska also analyzes the pre-literacy and language data from the Teaching Strategies (TS) Gold assessment for 3- and 4-year-old students. During the Fall 2022 fall benchmark assessment on TS Gold, 7,035 3-year-olds were </w:t>
      </w:r>
      <w:proofErr w:type="gramStart"/>
      <w:r w:rsidRPr="00781112">
        <w:rPr>
          <w:color w:val="000000" w:themeColor="text1"/>
        </w:rPr>
        <w:t>tested</w:t>
      </w:r>
      <w:proofErr w:type="gramEnd"/>
      <w:r w:rsidRPr="00781112">
        <w:rPr>
          <w:color w:val="000000" w:themeColor="text1"/>
        </w:rPr>
        <w:t xml:space="preserve"> (3,854 were without disabilities and 3,181 were with disabilities) and 9,9551 4-year-olds were tested (6,890 were without disabilities and 2,571 were with disabilities. Based on the 2022 fall benchmark, 6.07% of 3-year-olds without disabilities and 6.37% of 4-year-olds without disabilities </w:t>
      </w:r>
      <w:proofErr w:type="gramStart"/>
      <w:r w:rsidRPr="00781112">
        <w:rPr>
          <w:color w:val="000000" w:themeColor="text1"/>
        </w:rPr>
        <w:t>were considered</w:t>
      </w:r>
      <w:proofErr w:type="gramEnd"/>
      <w:r w:rsidRPr="00781112">
        <w:rPr>
          <w:color w:val="000000" w:themeColor="text1"/>
        </w:rPr>
        <w:t xml:space="preserve"> below expectations. 42.15% of 3-year-olds with disabilities and 29.13% of 4-year-olds with disabilities </w:t>
      </w:r>
      <w:proofErr w:type="gramStart"/>
      <w:r w:rsidRPr="00781112">
        <w:rPr>
          <w:color w:val="000000" w:themeColor="text1"/>
        </w:rPr>
        <w:t>were considered</w:t>
      </w:r>
      <w:proofErr w:type="gramEnd"/>
      <w:r w:rsidRPr="00781112">
        <w:rPr>
          <w:color w:val="000000" w:themeColor="text1"/>
        </w:rPr>
        <w:t xml:space="preserve"> below expectations. 93.93% of 3-year-olds without disabilities and 93.63% of 4-year-olds without disabilities </w:t>
      </w:r>
      <w:proofErr w:type="gramStart"/>
      <w:r w:rsidRPr="00781112">
        <w:rPr>
          <w:color w:val="000000" w:themeColor="text1"/>
        </w:rPr>
        <w:t>were considered</w:t>
      </w:r>
      <w:proofErr w:type="gramEnd"/>
      <w:r w:rsidRPr="00781112">
        <w:rPr>
          <w:color w:val="000000" w:themeColor="text1"/>
        </w:rPr>
        <w:t xml:space="preserve"> to meet or exceed expectations whereas 57.85% of 3-year-olds with disabilities and 70.87% of 4-year-olds with disabilities met or exceeded expectations.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lastRenderedPageBreak/>
        <w:t>Northwest Evaluation Association (NWEA), the institution responsible for the reporting of the MAP data to the state, began a pilot of the NSCAS Growth Assessment which is intended to replace the MAP Assessment beginning in the 2023-24 school year</w:t>
      </w:r>
      <w:proofErr w:type="gramStart"/>
      <w:r w:rsidRPr="00781112">
        <w:rPr>
          <w:color w:val="000000" w:themeColor="text1"/>
        </w:rPr>
        <w:t xml:space="preserve">.  </w:t>
      </w:r>
      <w:proofErr w:type="gramEnd"/>
      <w:r w:rsidRPr="00781112">
        <w:rPr>
          <w:color w:val="000000" w:themeColor="text1"/>
        </w:rPr>
        <w:t xml:space="preserve">As a result, the number of students administered the MAP reading assessment, especially for the </w:t>
      </w:r>
      <w:proofErr w:type="gramStart"/>
      <w:r w:rsidRPr="00781112">
        <w:rPr>
          <w:color w:val="000000" w:themeColor="text1"/>
        </w:rPr>
        <w:t>3rd</w:t>
      </w:r>
      <w:proofErr w:type="gramEnd"/>
      <w:r w:rsidRPr="00781112">
        <w:rPr>
          <w:color w:val="000000" w:themeColor="text1"/>
        </w:rPr>
        <w:t xml:space="preserve"> grade was considerably lower than past years affecting the representativeness of the data overall.  Nebraska uses MAP data to show progress toward the SiMR and to determine the number of students with disabilities who </w:t>
      </w:r>
      <w:proofErr w:type="gramStart"/>
      <w:r w:rsidRPr="00781112">
        <w:rPr>
          <w:color w:val="000000" w:themeColor="text1"/>
        </w:rPr>
        <w:t>are considered</w:t>
      </w:r>
      <w:proofErr w:type="gramEnd"/>
      <w:r w:rsidRPr="00781112">
        <w:rPr>
          <w:color w:val="000000" w:themeColor="text1"/>
        </w:rPr>
        <w:t xml:space="preserve"> “at-risk” for not becoming proficient readers.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https://cdn.education.ne.gov/wp-content/uploads/2022/01/Revised-Logic-Model-.pdf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Nebraska’s main infrastructure strategy is MTSS focusing on aligning resources and programs within the State educational system. </w:t>
      </w:r>
      <w:r w:rsidRPr="00781112">
        <w:rPr>
          <w:color w:val="000000" w:themeColor="text1"/>
        </w:rPr>
        <w:br/>
      </w:r>
      <w:r w:rsidRPr="00781112">
        <w:rPr>
          <w:color w:val="000000" w:themeColor="text1"/>
        </w:rPr>
        <w:br/>
        <w:t xml:space="preserve">For the main strategy of implementing MTSS statewide, the State Implemented Language Essentials for Teacher of Reading and Spelling (LETRS), held an MTSS conference, and provide MTSS systems level training and training specific to English Language Arts. </w:t>
      </w:r>
      <w:r w:rsidRPr="00781112">
        <w:rPr>
          <w:color w:val="000000" w:themeColor="text1"/>
        </w:rPr>
        <w:br/>
      </w:r>
      <w:r w:rsidRPr="00781112">
        <w:rPr>
          <w:color w:val="000000" w:themeColor="text1"/>
        </w:rPr>
        <w:br/>
        <w:t>To further align resources and programs within the system, Nebraska engaged in the assistance of Instructional Partners to identify specific areas that require further alignment of programs and initiatives at the State level.</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Between January 1, </w:t>
      </w:r>
      <w:proofErr w:type="gramStart"/>
      <w:r w:rsidRPr="00781112">
        <w:rPr>
          <w:color w:val="000000" w:themeColor="text1"/>
        </w:rPr>
        <w:t>2022</w:t>
      </w:r>
      <w:proofErr w:type="gramEnd"/>
      <w:r w:rsidRPr="00781112">
        <w:rPr>
          <w:color w:val="000000" w:themeColor="text1"/>
        </w:rPr>
        <w:t xml:space="preserve"> and October 21, 2022, the MTSS State Facilitators provided training and support to districts dependent on their needs. Eight districts received NeMTSS System training which entails 4 days of training total. Two of the </w:t>
      </w:r>
      <w:proofErr w:type="gramStart"/>
      <w:r w:rsidRPr="00781112">
        <w:rPr>
          <w:color w:val="000000" w:themeColor="text1"/>
        </w:rPr>
        <w:t>8</w:t>
      </w:r>
      <w:proofErr w:type="gramEnd"/>
      <w:r w:rsidRPr="00781112">
        <w:rPr>
          <w:color w:val="000000" w:themeColor="text1"/>
        </w:rPr>
        <w:t xml:space="preserve"> districts received the full 4-day training, and 6 received 3 of the 4 days of training. </w:t>
      </w:r>
      <w:r w:rsidRPr="00781112">
        <w:rPr>
          <w:color w:val="000000" w:themeColor="text1"/>
        </w:rPr>
        <w:br/>
      </w:r>
      <w:r w:rsidRPr="00781112">
        <w:rPr>
          <w:color w:val="000000" w:themeColor="text1"/>
        </w:rPr>
        <w:br/>
        <w:t xml:space="preserve">After each </w:t>
      </w:r>
      <w:proofErr w:type="gramStart"/>
      <w:r w:rsidRPr="00781112">
        <w:rPr>
          <w:color w:val="000000" w:themeColor="text1"/>
        </w:rPr>
        <w:t>training</w:t>
      </w:r>
      <w:proofErr w:type="gramEnd"/>
      <w:r w:rsidRPr="00781112">
        <w:rPr>
          <w:color w:val="000000" w:themeColor="text1"/>
        </w:rPr>
        <w:t xml:space="preserve">, participants filled out a survey to gather information related to the quality, relevance, and usefulness of the training. Over the course of the four days of training, surveys were conducted after </w:t>
      </w:r>
      <w:proofErr w:type="gramStart"/>
      <w:r w:rsidRPr="00781112">
        <w:rPr>
          <w:color w:val="000000" w:themeColor="text1"/>
        </w:rPr>
        <w:t>each</w:t>
      </w:r>
      <w:proofErr w:type="gramEnd"/>
      <w:r w:rsidRPr="00781112">
        <w:rPr>
          <w:color w:val="000000" w:themeColor="text1"/>
        </w:rPr>
        <w:t xml:space="preserve"> and the aggregated results are shown in the table below. A total of 161 responses were captured showing that a majority of the participants strongly agreed or agreed with the following: presenters’ knowledge and effectiveness (110 and 43 responses respectively); learning objectives were met (89 and 63 responses); training maintained the participants’ focus (88 and 62 responses respectively); the difficulty of the content was appropriate (91 and 60 responses respectively) ; and the training was worth participants’ time (81 and 63 responses respectively). </w:t>
      </w:r>
      <w:r w:rsidRPr="00781112">
        <w:rPr>
          <w:color w:val="000000" w:themeColor="text1"/>
        </w:rPr>
        <w:br/>
      </w:r>
      <w:r w:rsidRPr="00781112">
        <w:rPr>
          <w:color w:val="000000" w:themeColor="text1"/>
        </w:rPr>
        <w:br/>
        <w:t xml:space="preserve">As part of the Targeted Improvement Plan, Districts </w:t>
      </w:r>
      <w:proofErr w:type="gramStart"/>
      <w:r w:rsidRPr="00781112">
        <w:rPr>
          <w:color w:val="000000" w:themeColor="text1"/>
        </w:rPr>
        <w:t>were asked</w:t>
      </w:r>
      <w:proofErr w:type="gramEnd"/>
      <w:r w:rsidRPr="00781112">
        <w:rPr>
          <w:color w:val="000000" w:themeColor="text1"/>
        </w:rPr>
        <w:t xml:space="preserve"> to report the level of implementation of MTSS based on a Likert scale. Based on that information, the May 2022 submission shows that 38% of Districts reported they implement the MTSS “most of the time”; 42% of Districts reported they implement MTSS “at least half of the time”; 13% reported they “rarely implemented”; 6% reported the MTSS was “not implemented”; and 1% indicated they “don’t know”. </w:t>
      </w:r>
      <w:r w:rsidRPr="00781112">
        <w:rPr>
          <w:color w:val="000000" w:themeColor="text1"/>
        </w:rPr>
        <w:br/>
      </w:r>
      <w:r w:rsidRPr="00781112">
        <w:rPr>
          <w:color w:val="000000" w:themeColor="text1"/>
        </w:rPr>
        <w:br/>
        <w:t>To better support reading, MTSS provided training in the Language Essentials for Teachers of Reading and Spelling (LETRS). In the area of professional development and technical assistance, the state trained 115 individuals in the essentials of reading and spelling. Participants included teachers, administrators</w:t>
      </w:r>
      <w:proofErr w:type="gramStart"/>
      <w:r w:rsidRPr="00781112">
        <w:rPr>
          <w:color w:val="000000" w:themeColor="text1"/>
        </w:rPr>
        <w:t>, instructional</w:t>
      </w:r>
      <w:proofErr w:type="gramEnd"/>
      <w:r w:rsidRPr="00781112">
        <w:rPr>
          <w:color w:val="000000" w:themeColor="text1"/>
        </w:rPr>
        <w:t xml:space="preserve"> coaches. LETRS training is essential for achievement toward the SiMR as </w:t>
      </w:r>
      <w:proofErr w:type="gramStart"/>
      <w:r w:rsidRPr="00781112">
        <w:rPr>
          <w:color w:val="000000" w:themeColor="text1"/>
        </w:rPr>
        <w:t>is</w:t>
      </w:r>
      <w:proofErr w:type="gramEnd"/>
      <w:r w:rsidRPr="00781112">
        <w:rPr>
          <w:color w:val="000000" w:themeColor="text1"/>
        </w:rPr>
        <w:t xml:space="preserve"> focuses on teaching the fundamentals of reading to ensure students can achieve proficiency. </w:t>
      </w:r>
      <w:r w:rsidRPr="00781112">
        <w:rPr>
          <w:color w:val="000000" w:themeColor="text1"/>
        </w:rPr>
        <w:br/>
      </w:r>
      <w:r w:rsidRPr="00781112">
        <w:rPr>
          <w:color w:val="000000" w:themeColor="text1"/>
        </w:rPr>
        <w:br/>
        <w:t xml:space="preserve">WORDS is </w:t>
      </w:r>
      <w:proofErr w:type="gramStart"/>
      <w:r w:rsidRPr="00781112">
        <w:rPr>
          <w:color w:val="000000" w:themeColor="text1"/>
        </w:rPr>
        <w:t>professional</w:t>
      </w:r>
      <w:proofErr w:type="gramEnd"/>
      <w:r w:rsidRPr="00781112">
        <w:rPr>
          <w:color w:val="000000" w:themeColor="text1"/>
        </w:rPr>
        <w:t xml:space="preserve"> development based on the Science of Reading that provides an observation/coaching component as well as an opportunity for teachers to tutor other teachers. The 2022-23 school year was the first year of this professional development opportunity for districts with </w:t>
      </w:r>
      <w:proofErr w:type="gramStart"/>
      <w:r w:rsidRPr="00781112">
        <w:rPr>
          <w:color w:val="000000" w:themeColor="text1"/>
        </w:rPr>
        <w:t>9</w:t>
      </w:r>
      <w:proofErr w:type="gramEnd"/>
      <w:r w:rsidRPr="00781112">
        <w:rPr>
          <w:color w:val="000000" w:themeColor="text1"/>
        </w:rPr>
        <w:t xml:space="preserve"> </w:t>
      </w:r>
      <w:proofErr w:type="gramStart"/>
      <w:r w:rsidRPr="00781112">
        <w:rPr>
          <w:color w:val="000000" w:themeColor="text1"/>
        </w:rPr>
        <w:t>school</w:t>
      </w:r>
      <w:proofErr w:type="gramEnd"/>
      <w:r w:rsidRPr="00781112">
        <w:rPr>
          <w:color w:val="000000" w:themeColor="text1"/>
        </w:rPr>
        <w:t xml:space="preserve"> participating. Data regarding the quality, relevance, and usefulness will </w:t>
      </w:r>
      <w:proofErr w:type="gramStart"/>
      <w:r w:rsidRPr="00781112">
        <w:rPr>
          <w:color w:val="000000" w:themeColor="text1"/>
        </w:rPr>
        <w:t>be evaluated</w:t>
      </w:r>
      <w:proofErr w:type="gramEnd"/>
      <w:r w:rsidRPr="00781112">
        <w:rPr>
          <w:color w:val="000000" w:themeColor="text1"/>
        </w:rPr>
        <w:t xml:space="preserve"> at the end of the 2022-23 school year. </w:t>
      </w:r>
      <w:r w:rsidRPr="00781112">
        <w:rPr>
          <w:color w:val="000000" w:themeColor="text1"/>
        </w:rPr>
        <w:br/>
      </w:r>
      <w:r w:rsidRPr="00781112">
        <w:rPr>
          <w:color w:val="000000" w:themeColor="text1"/>
        </w:rPr>
        <w:br/>
        <w:t xml:space="preserve">The annual MTSS Summit </w:t>
      </w:r>
      <w:proofErr w:type="gramStart"/>
      <w:r w:rsidRPr="00781112">
        <w:rPr>
          <w:color w:val="000000" w:themeColor="text1"/>
        </w:rPr>
        <w:t>was attended</w:t>
      </w:r>
      <w:proofErr w:type="gramEnd"/>
      <w:r w:rsidRPr="00781112">
        <w:rPr>
          <w:color w:val="000000" w:themeColor="text1"/>
        </w:rPr>
        <w:t xml:space="preserve"> by 691 individuals (490 in person and 201 virtual) who ranged in role from teachers to administrators. The annual MTSS Summit relates to professional development and/or technical assistance to support achievement toward the SiMR, sustainability of systems improvement efforts, and scale-up. There were 105 respondents to the evaluation of the Summit. Overall, the evaluation of the Summit data shows that it was rated very well (95% rated excellent or very good), people who attended were likely to use the information presented (95% rated likely or very likely) and would share the information learned with others (95% rated likely or very likely). </w:t>
      </w:r>
      <w:r w:rsidRPr="00781112">
        <w:rPr>
          <w:color w:val="000000" w:themeColor="text1"/>
        </w:rPr>
        <w:br/>
      </w:r>
      <w:r w:rsidRPr="00781112">
        <w:rPr>
          <w:color w:val="000000" w:themeColor="text1"/>
        </w:rPr>
        <w:br/>
        <w:t xml:space="preserve">Since the inception of the SSIP, the Nebraska Department of Education with the assistance of Instructional Partners has been working to align the work of the Office of Special Education and other offices within the Department including the following: MTSS; High-Quality Instructional Materials (HQIM); Continuous Improvement; Social-Emotional and Social-Emotional/Behavioral Learning; Whole Child Wellbeing. Through the focus of these initiatives, districts have expressed a need for further clarification of each of the initiatives including how each </w:t>
      </w:r>
      <w:proofErr w:type="gramStart"/>
      <w:r w:rsidRPr="00781112">
        <w:rPr>
          <w:color w:val="000000" w:themeColor="text1"/>
        </w:rPr>
        <w:t>supports</w:t>
      </w:r>
      <w:proofErr w:type="gramEnd"/>
      <w:r w:rsidRPr="00781112">
        <w:rPr>
          <w:color w:val="000000" w:themeColor="text1"/>
        </w:rPr>
        <w:t xml:space="preserve"> and ties to the others. As a result of the investigation into the alignment of these initiatives, the NDE has established the following activities: </w:t>
      </w:r>
      <w:r w:rsidRPr="00781112">
        <w:rPr>
          <w:color w:val="000000" w:themeColor="text1"/>
        </w:rPr>
        <w:br/>
      </w:r>
      <w:r w:rsidRPr="00781112">
        <w:rPr>
          <w:color w:val="000000" w:themeColor="text1"/>
        </w:rPr>
        <w:br/>
        <w:t xml:space="preserve">Strengthen coherence of MTSS and Continuous Improvement </w:t>
      </w:r>
      <w:r w:rsidRPr="00781112">
        <w:rPr>
          <w:color w:val="000000" w:themeColor="text1"/>
        </w:rPr>
        <w:br/>
      </w:r>
      <w:r w:rsidRPr="00781112">
        <w:rPr>
          <w:color w:val="000000" w:themeColor="text1"/>
        </w:rPr>
        <w:br/>
        <w:t xml:space="preserve">Strengthen intersection of MTSS and academics with attention to non-summative assessment guidance in the context of high-quality instructional materials </w:t>
      </w:r>
      <w:r w:rsidRPr="00781112">
        <w:rPr>
          <w:color w:val="000000" w:themeColor="text1"/>
        </w:rPr>
        <w:br/>
      </w:r>
      <w:r w:rsidRPr="00781112">
        <w:rPr>
          <w:color w:val="000000" w:themeColor="text1"/>
        </w:rPr>
        <w:br/>
        <w:t xml:space="preserve">Development of a common visual about how MTSS, Continuous Improvement, Whole Child Supports and High-Quality Instructional Materials work together </w:t>
      </w:r>
      <w:r w:rsidRPr="00781112">
        <w:rPr>
          <w:color w:val="000000" w:themeColor="text1"/>
        </w:rPr>
        <w:br/>
      </w:r>
      <w:r w:rsidRPr="00781112">
        <w:rPr>
          <w:color w:val="000000" w:themeColor="text1"/>
        </w:rPr>
        <w:lastRenderedPageBreak/>
        <w:br/>
        <w:t>Streamline and strengthen school supports and monitoring processes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With Nebraska’s emphasis on implementing evidence-based practices within a multi-tiered system of supports, the Department of Education kicked off the “Journey to Inclusion” to support educators in serving students with disabilities in the general education classroom</w:t>
      </w:r>
      <w:proofErr w:type="gramStart"/>
      <w:r w:rsidRPr="00781112">
        <w:rPr>
          <w:color w:val="000000" w:themeColor="text1"/>
        </w:rPr>
        <w:t xml:space="preserve">.  </w:t>
      </w:r>
      <w:proofErr w:type="gramEnd"/>
      <w:r w:rsidRPr="00781112">
        <w:rPr>
          <w:color w:val="000000" w:themeColor="text1"/>
        </w:rPr>
        <w:t>With the “Journey to Inclusion” work, the Office of Special Education in conjunction with Sped Strategies, an organization who works with education leaders across the nation, to provide professional development activities including guidance documents, workshops and implementing pilot sites</w:t>
      </w:r>
      <w:proofErr w:type="gramStart"/>
      <w:r w:rsidRPr="00781112">
        <w:rPr>
          <w:color w:val="000000" w:themeColor="text1"/>
        </w:rPr>
        <w:t xml:space="preserve">.  </w:t>
      </w:r>
      <w:proofErr w:type="gramEnd"/>
      <w:r w:rsidRPr="00781112">
        <w:rPr>
          <w:color w:val="000000" w:themeColor="text1"/>
        </w:rPr>
        <w:t>The function of the pilot sites is to support districts as they look at shifts that can be made to school structure and classroom practices to create opportunities for students with disabilities to learn alongside their peers without disabilities</w:t>
      </w:r>
      <w:proofErr w:type="gramStart"/>
      <w:r w:rsidRPr="00781112">
        <w:rPr>
          <w:color w:val="000000" w:themeColor="text1"/>
        </w:rPr>
        <w:t xml:space="preserve">.  </w:t>
      </w:r>
      <w:proofErr w:type="gramEnd"/>
      <w:r w:rsidRPr="00781112">
        <w:rPr>
          <w:color w:val="000000" w:themeColor="text1"/>
        </w:rPr>
        <w:t xml:space="preserve">Resources related to the Journey to inclusion can </w:t>
      </w:r>
      <w:proofErr w:type="gramStart"/>
      <w:r w:rsidRPr="00781112">
        <w:rPr>
          <w:color w:val="000000" w:themeColor="text1"/>
        </w:rPr>
        <w:t>be found</w:t>
      </w:r>
      <w:proofErr w:type="gramEnd"/>
      <w:r w:rsidRPr="00781112">
        <w:rPr>
          <w:color w:val="000000" w:themeColor="text1"/>
        </w:rPr>
        <w:t xml:space="preserve"> at https://www.education.ne.gov/sped/journey-to-inclusion/.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With Nebraska’s main infrastructure strategy being MTSS, the priorities moving forward will be to continue focusing on aligning resources and programs within the State educational system. </w:t>
      </w:r>
      <w:r w:rsidRPr="00781112">
        <w:rPr>
          <w:color w:val="000000" w:themeColor="text1"/>
        </w:rPr>
        <w:br/>
      </w:r>
      <w:r w:rsidRPr="00781112">
        <w:rPr>
          <w:color w:val="000000" w:themeColor="text1"/>
        </w:rPr>
        <w:br/>
        <w:t xml:space="preserve">For the main strategy of implementing MTSS statewide, the State will continue to implement Language Essentials for Teacher of Reading and Spelling (LETRS) and WORDS, hold an MTSS conference, and provide MTSS systems level training and training specific to English Language Arts. These all will continue, building sustainability and implementation </w:t>
      </w:r>
      <w:proofErr w:type="gramStart"/>
      <w:r w:rsidRPr="00781112">
        <w:rPr>
          <w:color w:val="000000" w:themeColor="text1"/>
        </w:rPr>
        <w:t>supports</w:t>
      </w:r>
      <w:proofErr w:type="gramEnd"/>
      <w:r w:rsidRPr="00781112">
        <w:rPr>
          <w:color w:val="000000" w:themeColor="text1"/>
        </w:rPr>
        <w:t xml:space="preserve"> based on areas of needs determined through evaluation of data collected. </w:t>
      </w:r>
      <w:r w:rsidRPr="00781112">
        <w:rPr>
          <w:color w:val="000000" w:themeColor="text1"/>
        </w:rPr>
        <w:br/>
      </w:r>
      <w:r w:rsidRPr="00781112">
        <w:rPr>
          <w:color w:val="000000" w:themeColor="text1"/>
        </w:rPr>
        <w:br/>
        <w:t xml:space="preserve">To continue to support districts who have selected reading as a focus for improvement on their Targeted Improvement Plans (TIPs) adding supports for measuring fidelity of implementation, the MTSS State Facilitators also will continue to implement training specific to reading. Our ELA specific training will have a high focus on the selection of high-quality instructional materials with detail in aligning the Interventions at Tiers II and III to the materials. The Journey to inclusion work along with the MTSS Summit will ensure connectivity to ELA system support in schools. </w:t>
      </w:r>
      <w:r w:rsidRPr="00781112">
        <w:rPr>
          <w:color w:val="000000" w:themeColor="text1"/>
        </w:rPr>
        <w:br/>
      </w:r>
      <w:r w:rsidRPr="00781112">
        <w:rPr>
          <w:color w:val="000000" w:themeColor="text1"/>
        </w:rPr>
        <w:br/>
        <w:t xml:space="preserve">With the Department’s focus on renewal and acceleration for all students, specifically students with disabilities as a historically marginalized subgroup, it continues to be apparent that the focus within schools and thus within the SEA needs to </w:t>
      </w:r>
      <w:proofErr w:type="gramStart"/>
      <w:r w:rsidRPr="00781112">
        <w:rPr>
          <w:color w:val="000000" w:themeColor="text1"/>
        </w:rPr>
        <w:t>continue on</w:t>
      </w:r>
      <w:proofErr w:type="gramEnd"/>
      <w:r w:rsidRPr="00781112">
        <w:rPr>
          <w:color w:val="000000" w:themeColor="text1"/>
        </w:rPr>
        <w:t xml:space="preserve"> system alignment. Across American Rescue Plan consultation meetings, there was a consistent push to create more coherence, efficiency, and mutual reinforcement across the major processes and to create a clearer sense of connection of how these processes interact and to plan into these processes tiers of support based on need. This work seeks to align, define, and streamline NeMTSS, high-quality instructional materials (HQIM), and continuous improvement processes and tools with attention to social emotional learning and whole-child wellbeing. </w:t>
      </w:r>
      <w:r w:rsidRPr="00781112">
        <w:rPr>
          <w:color w:val="000000" w:themeColor="text1"/>
        </w:rPr>
        <w:br/>
      </w:r>
      <w:r w:rsidRPr="00781112">
        <w:rPr>
          <w:color w:val="000000" w:themeColor="text1"/>
        </w:rPr>
        <w:br/>
        <w:t xml:space="preserve">At the end of this process: </w:t>
      </w:r>
      <w:r w:rsidRPr="00781112">
        <w:rPr>
          <w:color w:val="000000" w:themeColor="text1"/>
        </w:rPr>
        <w:br/>
        <w:t xml:space="preserve">We want to have a shared vision of success - shared within the entire State Educational Agency and statewide, including our Educational Service Units </w:t>
      </w:r>
      <w:r w:rsidRPr="00781112">
        <w:rPr>
          <w:color w:val="000000" w:themeColor="text1"/>
        </w:rPr>
        <w:br/>
        <w:t xml:space="preserve">We want our stakeholders to hear us speaking with one voice </w:t>
      </w:r>
      <w:r w:rsidRPr="00781112">
        <w:rPr>
          <w:color w:val="000000" w:themeColor="text1"/>
        </w:rPr>
        <w:br/>
        <w:t xml:space="preserve">We want to have functional and trusting spaces to identify and productively work through tension and conflict and ensure the work is cohesive </w:t>
      </w:r>
      <w:r w:rsidRPr="00781112">
        <w:rPr>
          <w:color w:val="000000" w:themeColor="text1"/>
        </w:rPr>
        <w:br/>
        <w:t xml:space="preserve">We want to make it clearer what actions school and system leaders need to take to support students and to make it easier for them to take those actions </w:t>
      </w:r>
      <w:r w:rsidRPr="00781112">
        <w:rPr>
          <w:color w:val="000000" w:themeColor="text1"/>
        </w:rPr>
        <w:br/>
      </w:r>
      <w:r w:rsidRPr="00781112">
        <w:rPr>
          <w:color w:val="000000" w:themeColor="text1"/>
        </w:rPr>
        <w:br/>
        <w:t>Creating this alignment will ensure that schools have the resources they need to support student well-being, ultimately supporting academic growth.</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Nebraska continued to require districts to submit and report on the evidence-based practices used to improve the outcomes of students with disabilities through the development of a Targeted Improvement Plan.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Nebraska continued to require districts to create a Targeted Improvement Plan (TIP) to report the evidence-based strategy implemented to improve student outcomes</w:t>
      </w:r>
      <w:proofErr w:type="gramStart"/>
      <w:r w:rsidRPr="00781112">
        <w:rPr>
          <w:color w:val="000000" w:themeColor="text1"/>
        </w:rPr>
        <w:t xml:space="preserve">.  </w:t>
      </w:r>
      <w:proofErr w:type="gramEnd"/>
      <w:r w:rsidRPr="00781112">
        <w:rPr>
          <w:color w:val="000000" w:themeColor="text1"/>
        </w:rPr>
        <w:t xml:space="preserve">Based on a review of the TIP, 83% of the 244 districts focused on reading as their area of improvement which is an increase from the year before. </w:t>
      </w:r>
      <w:r w:rsidRPr="00781112">
        <w:rPr>
          <w:color w:val="000000" w:themeColor="text1"/>
        </w:rPr>
        <w:br/>
      </w:r>
      <w:r w:rsidRPr="00781112">
        <w:rPr>
          <w:color w:val="000000" w:themeColor="text1"/>
        </w:rPr>
        <w:br/>
        <w:t>The evidence-based practices selected by districts include explicit instruction (60%), strategies to promote active student engagement (18%), implementing flexible grouping (15%), and providing positive and constructive feedback to guide students’ learning and behavior (7%) among other strategies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239 districts provided a numerical target to demonstrate improvement toward their goal</w:t>
      </w:r>
      <w:proofErr w:type="gramStart"/>
      <w:r w:rsidRPr="00781112">
        <w:rPr>
          <w:color w:val="000000" w:themeColor="text1"/>
        </w:rPr>
        <w:t>.  80%</w:t>
      </w:r>
      <w:proofErr w:type="gramEnd"/>
      <w:r w:rsidRPr="00781112">
        <w:rPr>
          <w:color w:val="000000" w:themeColor="text1"/>
        </w:rPr>
        <w:t xml:space="preserve"> of those districts provided performance data and 49% of the districts indicated they met or exceeded their target.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1"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1"/>
    <w:p w14:paraId="3E043DB7" w14:textId="7C3B2CD4" w:rsidR="00AE1972" w:rsidRPr="00781112" w:rsidRDefault="00AE1972" w:rsidP="00AE1972">
      <w:pPr>
        <w:rPr>
          <w:b/>
          <w:bCs/>
        </w:rPr>
      </w:pPr>
      <w:r w:rsidRPr="00781112">
        <w:rPr>
          <w:color w:val="000000" w:themeColor="text1"/>
        </w:rPr>
        <w:t>The targeted improvement plan focuses on the core components of continuous improvement and is designed to help districts focus on analyzing data to make decisions to improve the outcomes of students with disabilities</w:t>
      </w:r>
      <w:proofErr w:type="gramStart"/>
      <w:r w:rsidRPr="00781112">
        <w:rPr>
          <w:color w:val="000000" w:themeColor="text1"/>
        </w:rPr>
        <w:t xml:space="preserve">.  </w:t>
      </w:r>
      <w:proofErr w:type="gramEnd"/>
      <w:r w:rsidRPr="00781112">
        <w:rPr>
          <w:color w:val="000000" w:themeColor="text1"/>
        </w:rPr>
        <w:t>It also requires districts to select a specific evidence-based practice to implement to achieve those results and develop fidelity measures to ensure practices are implemented with fidelity</w:t>
      </w:r>
      <w:proofErr w:type="gramStart"/>
      <w:r w:rsidRPr="00781112">
        <w:rPr>
          <w:color w:val="000000" w:themeColor="text1"/>
        </w:rPr>
        <w:t xml:space="preserve">.  </w:t>
      </w:r>
      <w:proofErr w:type="gramEnd"/>
      <w:r w:rsidRPr="00781112">
        <w:rPr>
          <w:color w:val="000000" w:themeColor="text1"/>
        </w:rPr>
        <w:t>Districts are provided feedback on the targeted improvement plans submitted to further guide the continuous improvement process</w:t>
      </w:r>
      <w:proofErr w:type="gramStart"/>
      <w:r w:rsidRPr="00781112">
        <w:rPr>
          <w:color w:val="000000" w:themeColor="text1"/>
        </w:rPr>
        <w:t xml:space="preserve">.  </w:t>
      </w:r>
      <w:proofErr w:type="gramEnd"/>
      <w:r w:rsidRPr="00781112">
        <w:rPr>
          <w:color w:val="000000" w:themeColor="text1"/>
        </w:rPr>
        <w:t>When Nebraska developed Phase I of the SSIP, it was identified that students with disabilities were not achieving at the level anticipated due to the lack of evidence-based practices in use</w:t>
      </w:r>
      <w:proofErr w:type="gramStart"/>
      <w:r w:rsidRPr="00781112">
        <w:rPr>
          <w:color w:val="000000" w:themeColor="text1"/>
        </w:rPr>
        <w:t xml:space="preserve">.  </w:t>
      </w:r>
      <w:proofErr w:type="gramEnd"/>
      <w:r w:rsidRPr="00781112">
        <w:rPr>
          <w:color w:val="000000" w:themeColor="text1"/>
        </w:rPr>
        <w:t>The targeted improvement plan has required districts to focus on evidence-based practices and has moved to measuring the fidelity of the practices to improve results</w:t>
      </w:r>
      <w:proofErr w:type="gramStart"/>
      <w:r w:rsidRPr="00781112">
        <w:rPr>
          <w:color w:val="000000" w:themeColor="text1"/>
        </w:rPr>
        <w:t xml:space="preserve">.  </w:t>
      </w:r>
      <w:proofErr w:type="gramEnd"/>
      <w:r w:rsidRPr="00781112">
        <w:rPr>
          <w:color w:val="000000" w:themeColor="text1"/>
        </w:rPr>
        <w:t xml:space="preserve">To help support districts in assessing level of implementation, NDE has provided regional </w:t>
      </w:r>
      <w:proofErr w:type="gramStart"/>
      <w:r w:rsidRPr="00781112">
        <w:rPr>
          <w:color w:val="000000" w:themeColor="text1"/>
        </w:rPr>
        <w:t>trainings</w:t>
      </w:r>
      <w:proofErr w:type="gramEnd"/>
      <w:r w:rsidRPr="00781112">
        <w:rPr>
          <w:color w:val="000000" w:themeColor="text1"/>
        </w:rPr>
        <w:t xml:space="preserve"> to districts that focused on providing examples of fidelity measures</w:t>
      </w:r>
      <w:proofErr w:type="gramStart"/>
      <w:r w:rsidRPr="00781112">
        <w:rPr>
          <w:color w:val="000000" w:themeColor="text1"/>
        </w:rPr>
        <w:t xml:space="preserve">.  </w:t>
      </w:r>
      <w:proofErr w:type="gramEnd"/>
      <w:r w:rsidRPr="00781112">
        <w:rPr>
          <w:color w:val="000000" w:themeColor="text1"/>
        </w:rPr>
        <w:t xml:space="preserve">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lastRenderedPageBreak/>
        <w:t>Districts self-reported the level of fidelity of implementation of the evidence-based practice (EBP) in use as well as fidelity of implementation of MTSS</w:t>
      </w:r>
      <w:proofErr w:type="gramStart"/>
      <w:r w:rsidRPr="00781112">
        <w:rPr>
          <w:color w:val="000000" w:themeColor="text1"/>
        </w:rPr>
        <w:t xml:space="preserve">.  </w:t>
      </w:r>
      <w:proofErr w:type="gramEnd"/>
      <w:r w:rsidRPr="00781112">
        <w:rPr>
          <w:color w:val="000000" w:themeColor="text1"/>
        </w:rPr>
        <w:t xml:space="preserve">Information specific to the fidelity of implementation of MTSS can </w:t>
      </w:r>
      <w:proofErr w:type="gramStart"/>
      <w:r w:rsidRPr="00781112">
        <w:rPr>
          <w:color w:val="000000" w:themeColor="text1"/>
        </w:rPr>
        <w:t>be found</w:t>
      </w:r>
      <w:proofErr w:type="gramEnd"/>
      <w:r w:rsidRPr="00781112">
        <w:rPr>
          <w:color w:val="000000" w:themeColor="text1"/>
        </w:rPr>
        <w:t xml:space="preserve"> in the Continued Evidence-Based Practices section above. </w:t>
      </w:r>
      <w:r w:rsidRPr="00781112">
        <w:rPr>
          <w:color w:val="000000" w:themeColor="text1"/>
        </w:rPr>
        <w:br/>
      </w:r>
      <w:r w:rsidRPr="00781112">
        <w:rPr>
          <w:color w:val="000000" w:themeColor="text1"/>
        </w:rPr>
        <w:br/>
        <w:t>As part of the Targeted Improvement Plan, Districts were asked to report the level of implementation of the evidence-based practice selected based on a Likert scale</w:t>
      </w:r>
      <w:proofErr w:type="gramStart"/>
      <w:r w:rsidRPr="00781112">
        <w:rPr>
          <w:color w:val="000000" w:themeColor="text1"/>
        </w:rPr>
        <w:t xml:space="preserve">.  </w:t>
      </w:r>
      <w:proofErr w:type="gramEnd"/>
      <w:r w:rsidRPr="00781112">
        <w:rPr>
          <w:color w:val="000000" w:themeColor="text1"/>
        </w:rPr>
        <w:t xml:space="preserve">Based on that information, 52% of Districts reported they implement the evidence-based practice “most of the time”; 39% of Districts reported they implement evidence-based practice “at least half of the time”; 6% reported they “rarely implemented’; 2% reported the evidence-based practice was “not implemented”; 1% indicated they “don’t know”.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No additional data was collected</w:t>
      </w:r>
      <w:proofErr w:type="gramStart"/>
      <w:r w:rsidRPr="00781112">
        <w:rPr>
          <w:color w:val="000000" w:themeColor="text1"/>
        </w:rPr>
        <w:t xml:space="preserve">.  </w:t>
      </w:r>
      <w:proofErr w:type="gramEnd"/>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Based on a review of the TIPs submitted in 2022, the State will provide additional professional development to assist districts in understanding the differences between outcome and implementation measures, measuring fidelity, and applying data-based decision making within a continuous improvement model</w:t>
      </w:r>
      <w:proofErr w:type="gramStart"/>
      <w:r w:rsidRPr="00781112">
        <w:rPr>
          <w:color w:val="000000" w:themeColor="text1"/>
        </w:rPr>
        <w:t xml:space="preserve">.  </w:t>
      </w:r>
      <w:proofErr w:type="gramEnd"/>
      <w:r w:rsidRPr="00781112">
        <w:rPr>
          <w:color w:val="000000" w:themeColor="text1"/>
        </w:rPr>
        <w:t xml:space="preserve">With an increase in additional professional development the state anticipates seeing a higher percentage of districts indicating they are implementing with fidelity supported by data and obtaining the targets set to </w:t>
      </w:r>
      <w:proofErr w:type="gramStart"/>
      <w:r w:rsidRPr="00781112">
        <w:rPr>
          <w:color w:val="000000" w:themeColor="text1"/>
        </w:rPr>
        <w:t>ultimately impact</w:t>
      </w:r>
      <w:proofErr w:type="gramEnd"/>
      <w:r w:rsidRPr="00781112">
        <w:rPr>
          <w:color w:val="000000" w:themeColor="text1"/>
        </w:rPr>
        <w:t xml:space="preserve"> student achievement.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 xml:space="preserve">If </w:t>
      </w:r>
      <w:proofErr w:type="gramStart"/>
      <w:r w:rsidRPr="00730C62">
        <w:rPr>
          <w:b/>
          <w:bCs/>
          <w:szCs w:val="16"/>
        </w:rPr>
        <w:t>no</w:t>
      </w:r>
      <w:proofErr w:type="gramEnd"/>
      <w:r w:rsidRPr="00730C62">
        <w:rPr>
          <w:b/>
          <w:bCs/>
          <w:szCs w:val="16"/>
        </w:rPr>
        <w:t>, describe any changes to the activities, strategies or timelines described in the previous submission and include a rationale or justification for the changes.</w:t>
      </w:r>
    </w:p>
    <w:p w14:paraId="62108E5B" w14:textId="77777777" w:rsidR="00987BD2" w:rsidRDefault="00987BD2" w:rsidP="00987BD2">
      <w:r w:rsidRPr="00781112">
        <w:t>The Department of Education will be setting new cut scores for the ELA NSCAS assessment to reflect changes in performance post-pandemic and the new ELA standards that took effect</w:t>
      </w:r>
      <w:proofErr w:type="gramStart"/>
      <w:r w:rsidRPr="00781112">
        <w:t xml:space="preserve">.  </w:t>
      </w:r>
      <w:proofErr w:type="gramEnd"/>
      <w:r w:rsidRPr="00781112">
        <w:t>Changes in cut scores and the adoption of new standards will require stakeholder feedback to reset targets</w:t>
      </w:r>
      <w:proofErr w:type="gramStart"/>
      <w:r w:rsidRPr="00781112">
        <w:t xml:space="preserve">.  </w:t>
      </w:r>
      <w:proofErr w:type="gramEnd"/>
      <w:r w:rsidRPr="00781112">
        <w:br/>
      </w:r>
      <w:r w:rsidRPr="00781112">
        <w:br/>
        <w:t xml:space="preserve">A proposed change from using the Measures of academic Progress (MAP)  to using the Nebraska Student Centered Assessment System (NSCAS) for assessing growth which will align more closely with the statewide assessment system so teachers have increased knowledge of how students are performing in order to achieve reading standards is currently under discussion with the State Board and is on hold until further notice which will likely cause gaps in data for the 2024 SSIP interim measures.  </w:t>
      </w:r>
      <w:r w:rsidRPr="00781112">
        <w:br/>
      </w:r>
      <w:r w:rsidRPr="00781112">
        <w:br/>
        <w:t xml:space="preserve">Focus of Multi-Tiered System of Supports (MTSS) on Social, Emotional, and Behavioral Learning (SEBL) and impact on reading proficiency due to data showing an increase in mental health issues among students and staff because of the pandemic. </w:t>
      </w:r>
      <w:r w:rsidRPr="00781112">
        <w:br/>
      </w:r>
      <w:r w:rsidRPr="00781112">
        <w:br/>
      </w:r>
      <w:proofErr w:type="gramStart"/>
      <w:r w:rsidRPr="00781112">
        <w:t>Timeline</w:t>
      </w:r>
      <w:proofErr w:type="gramEnd"/>
      <w:r w:rsidRPr="00781112">
        <w:t xml:space="preserve"> for establishing interim targets using NSCAS growth due to the upcoming change in interim measures from the MAP assessment to the NSCAS growth assessment will be established as soon as decisions are made with the State Board of Education</w:t>
      </w:r>
      <w:proofErr w:type="gramStart"/>
      <w:r w:rsidRPr="00781112">
        <w:t xml:space="preserve">.  </w:t>
      </w:r>
      <w:proofErr w:type="gramEnd"/>
      <w:r w:rsidRPr="00781112">
        <w:br/>
      </w:r>
      <w:r w:rsidRPr="00781112">
        <w:br/>
        <w:t xml:space="preserve">Alignment activities to clarify for districts the interconnectedness between MTSS, High Quality Instructional Materials, SEBL, Continuous School Improvement, and the whole child based on data gathered indicating the confusion districts have about those initiatives.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Nebraska regularly seeks input from stakeholders when establishing policy, regulation, or implementation strategies. Specific to the development of the State Performance Plan and Annual Performance Report (SPP/APR), Nebraska established a broad-based stakeholder group called the RDA Stakeholder Group. The RDA Stakeholder Group includes representation from the following: parents, special education directors, special education staff, general education administrators (principals, superintendents), institutions of higher education, NDE teams (Office of Accountability, Accreditation, and Program Approval; School Improvement; Curriculum, Instruction, and Assessment), community agencies, nonpublic schools, the Nebraska State Education Association, and the Nebraska Association of Special Education Supervisors.     </w:t>
      </w:r>
      <w:r w:rsidRPr="00781112">
        <w:rPr>
          <w:color w:val="000000" w:themeColor="text1"/>
        </w:rPr>
        <w:br/>
        <w:t xml:space="preserve">   </w:t>
      </w:r>
      <w:r w:rsidRPr="00781112">
        <w:rPr>
          <w:color w:val="000000" w:themeColor="text1"/>
        </w:rPr>
        <w:br/>
        <w:t>The RDA Stakeholder Group has met periodically throughout the past year and will continue meeting to establish and review targets, needed revisions to targets, and performance as indicated in the SPP/APR and the development and implementation of the State Systemic Improvement Plan (SSIP). Thus far the RDA Stakeholder Group has reviewed historical data around each of the indicators, the targets for each of the indicators, and needed revisions to certain indicator targets. Additionally, the RDA Stakeholder Group assisted NDE in establishing the State Identified Measurable Result (SIMR). As the RDA Stakeholder Group continues meeting, it will provide guidance and input on the development of the continued phases of the SSIP process</w:t>
      </w:r>
      <w:proofErr w:type="gramStart"/>
      <w:r w:rsidRPr="00781112">
        <w:rPr>
          <w:color w:val="000000" w:themeColor="text1"/>
        </w:rPr>
        <w:t xml:space="preserve">.  </w:t>
      </w:r>
      <w:proofErr w:type="gramEnd"/>
      <w:r w:rsidRPr="00781112">
        <w:rPr>
          <w:color w:val="000000" w:themeColor="text1"/>
        </w:rPr>
        <w:t xml:space="preserve"> </w:t>
      </w:r>
      <w:r w:rsidRPr="00781112">
        <w:rPr>
          <w:color w:val="000000" w:themeColor="text1"/>
        </w:rPr>
        <w:br/>
        <w:t xml:space="preserve">  </w:t>
      </w:r>
      <w:r w:rsidRPr="00781112">
        <w:rPr>
          <w:color w:val="000000" w:themeColor="text1"/>
        </w:rPr>
        <w:br/>
        <w:t xml:space="preserve">In addition to the RDA Stakeholder Group, established specifically for the purpose of gathering input on the SPP/APR, Nebraska also obtained input from two longstanding stakeholder groups with </w:t>
      </w:r>
      <w:proofErr w:type="gramStart"/>
      <w:r w:rsidRPr="00781112">
        <w:rPr>
          <w:color w:val="000000" w:themeColor="text1"/>
        </w:rPr>
        <w:t>some</w:t>
      </w:r>
      <w:proofErr w:type="gramEnd"/>
      <w:r w:rsidRPr="00781112">
        <w:rPr>
          <w:color w:val="000000" w:themeColor="text1"/>
        </w:rPr>
        <w:t xml:space="preserve"> members serving as liaisons to the RDA Stakeholder Group: Special Education Advisory Council (SEAC) and the Results Matter Nebraska Task Force (Task Force). SEAC </w:t>
      </w:r>
      <w:proofErr w:type="gramStart"/>
      <w:r w:rsidRPr="00781112">
        <w:rPr>
          <w:color w:val="000000" w:themeColor="text1"/>
        </w:rPr>
        <w:t>is established</w:t>
      </w:r>
      <w:proofErr w:type="gramEnd"/>
      <w:r w:rsidRPr="00781112">
        <w:rPr>
          <w:color w:val="000000" w:themeColor="text1"/>
        </w:rPr>
        <w:t xml:space="preserve"> pursuant to 34 C.F.R. § 300.167 and, as such, provides input from a diverse group of stakeholders. SEAC and the Task Force, which regularly discusses the SPP/APR and provides input on the targets and strategies contained therein, has reviewed, and supported the work of the RDA Stakeholder Group. NDE continues to </w:t>
      </w:r>
      <w:proofErr w:type="gramStart"/>
      <w:r w:rsidRPr="00781112">
        <w:rPr>
          <w:color w:val="000000" w:themeColor="text1"/>
        </w:rPr>
        <w:t>work collaboratively</w:t>
      </w:r>
      <w:proofErr w:type="gramEnd"/>
      <w:r w:rsidRPr="00781112">
        <w:rPr>
          <w:color w:val="000000" w:themeColor="text1"/>
        </w:rPr>
        <w:t xml:space="preserve"> with stakeholders, including SEAC and the Task Force, to analyze and review data to assist in making changes to the SSIP in relation to the SiMR data, interim measures of progress, and any needed changes to infrastructure and programmatic activities, along with any changes needed to the targets within each indicator.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Office of Special Education and stakeholders continue to have an ongoing collaborative relationship while implementing and evaluating the SSIP. Stakeholder have included the following: </w:t>
      </w:r>
      <w:r w:rsidRPr="00781112">
        <w:rPr>
          <w:rFonts w:cs="Arial"/>
          <w:b w:val="0"/>
          <w:color w:val="000000" w:themeColor="text1"/>
          <w:szCs w:val="16"/>
        </w:rPr>
        <w:br/>
        <w:t xml:space="preserve">Results Based Accountability (RDA) Stakeholders </w:t>
      </w:r>
      <w:r w:rsidRPr="00781112">
        <w:rPr>
          <w:rFonts w:cs="Arial"/>
          <w:b w:val="0"/>
          <w:color w:val="000000" w:themeColor="text1"/>
          <w:szCs w:val="16"/>
        </w:rPr>
        <w:br/>
        <w:t xml:space="preserve">Special Education Advisory Council (SEAC) </w:t>
      </w:r>
      <w:r w:rsidRPr="00781112">
        <w:rPr>
          <w:rFonts w:cs="Arial"/>
          <w:b w:val="0"/>
          <w:color w:val="000000" w:themeColor="text1"/>
          <w:szCs w:val="16"/>
        </w:rPr>
        <w:br/>
        <w:t xml:space="preserve">MTSS Stakeholder’s Group </w:t>
      </w:r>
      <w:r w:rsidRPr="00781112">
        <w:rPr>
          <w:rFonts w:cs="Arial"/>
          <w:b w:val="0"/>
          <w:color w:val="000000" w:themeColor="text1"/>
          <w:szCs w:val="16"/>
        </w:rPr>
        <w:br/>
      </w:r>
      <w:r w:rsidRPr="00781112">
        <w:rPr>
          <w:rFonts w:cs="Arial"/>
          <w:b w:val="0"/>
          <w:color w:val="000000" w:themeColor="text1"/>
          <w:szCs w:val="16"/>
        </w:rPr>
        <w:br/>
        <w:t xml:space="preserve">Each of the groups consisted of the following: </w:t>
      </w:r>
      <w:r w:rsidRPr="00781112">
        <w:rPr>
          <w:rFonts w:cs="Arial"/>
          <w:b w:val="0"/>
          <w:color w:val="000000" w:themeColor="text1"/>
          <w:szCs w:val="16"/>
        </w:rPr>
        <w:br/>
      </w:r>
      <w:r w:rsidRPr="00781112">
        <w:rPr>
          <w:rFonts w:cs="Arial"/>
          <w:b w:val="0"/>
          <w:color w:val="000000" w:themeColor="text1"/>
          <w:szCs w:val="16"/>
        </w:rPr>
        <w:lastRenderedPageBreak/>
        <w:t xml:space="preserve">Parents </w:t>
      </w:r>
      <w:r w:rsidRPr="00781112">
        <w:rPr>
          <w:rFonts w:cs="Arial"/>
          <w:b w:val="0"/>
          <w:color w:val="000000" w:themeColor="text1"/>
          <w:szCs w:val="16"/>
        </w:rPr>
        <w:br/>
        <w:t xml:space="preserve">Special Education Directors </w:t>
      </w:r>
      <w:r w:rsidRPr="00781112">
        <w:rPr>
          <w:rFonts w:cs="Arial"/>
          <w:b w:val="0"/>
          <w:color w:val="000000" w:themeColor="text1"/>
          <w:szCs w:val="16"/>
        </w:rPr>
        <w:br/>
        <w:t xml:space="preserve">Special Education staff </w:t>
      </w:r>
      <w:r w:rsidRPr="00781112">
        <w:rPr>
          <w:rFonts w:cs="Arial"/>
          <w:b w:val="0"/>
          <w:color w:val="000000" w:themeColor="text1"/>
          <w:szCs w:val="16"/>
        </w:rPr>
        <w:br/>
        <w:t xml:space="preserve">General Education Administrators (including principals and superintendents) </w:t>
      </w:r>
      <w:r w:rsidRPr="00781112">
        <w:rPr>
          <w:rFonts w:cs="Arial"/>
          <w:b w:val="0"/>
          <w:color w:val="000000" w:themeColor="text1"/>
          <w:szCs w:val="16"/>
        </w:rPr>
        <w:br/>
        <w:t xml:space="preserve">Staff from Institutions of Higher Education </w:t>
      </w:r>
      <w:r w:rsidRPr="00781112">
        <w:rPr>
          <w:rFonts w:cs="Arial"/>
          <w:b w:val="0"/>
          <w:color w:val="000000" w:themeColor="text1"/>
          <w:szCs w:val="16"/>
        </w:rPr>
        <w:br/>
        <w:t xml:space="preserve">Community agencies </w:t>
      </w:r>
      <w:r w:rsidRPr="00781112">
        <w:rPr>
          <w:rFonts w:cs="Arial"/>
          <w:b w:val="0"/>
          <w:color w:val="000000" w:themeColor="text1"/>
          <w:szCs w:val="16"/>
        </w:rPr>
        <w:br/>
        <w:t xml:space="preserve">Nonpublic school staff </w:t>
      </w:r>
      <w:r w:rsidRPr="00781112">
        <w:rPr>
          <w:rFonts w:cs="Arial"/>
          <w:b w:val="0"/>
          <w:color w:val="000000" w:themeColor="text1"/>
          <w:szCs w:val="16"/>
        </w:rPr>
        <w:br/>
        <w:t xml:space="preserve">Nebraska State Education Association members </w:t>
      </w:r>
      <w:r w:rsidRPr="00781112">
        <w:rPr>
          <w:rFonts w:cs="Arial"/>
          <w:b w:val="0"/>
          <w:color w:val="000000" w:themeColor="text1"/>
          <w:szCs w:val="16"/>
        </w:rPr>
        <w:br/>
        <w:t xml:space="preserve">Nebraska Association of Special Education Supervisors members </w:t>
      </w:r>
      <w:r w:rsidRPr="00781112">
        <w:rPr>
          <w:rFonts w:cs="Arial"/>
          <w:b w:val="0"/>
          <w:color w:val="000000" w:themeColor="text1"/>
          <w:szCs w:val="16"/>
        </w:rPr>
        <w:br/>
        <w:t xml:space="preserve">Members from various Offices within the Nebraska Department of Education including: </w:t>
      </w:r>
      <w:r w:rsidRPr="00781112">
        <w:rPr>
          <w:rFonts w:cs="Arial"/>
          <w:b w:val="0"/>
          <w:color w:val="000000" w:themeColor="text1"/>
          <w:szCs w:val="16"/>
        </w:rPr>
        <w:br/>
        <w:t xml:space="preserve">Office of Accountability, Accreditation, and Program Approval </w:t>
      </w:r>
      <w:r w:rsidRPr="00781112">
        <w:rPr>
          <w:rFonts w:cs="Arial"/>
          <w:b w:val="0"/>
          <w:color w:val="000000" w:themeColor="text1"/>
          <w:szCs w:val="16"/>
        </w:rPr>
        <w:br/>
        <w:t xml:space="preserve">School Improvement </w:t>
      </w:r>
      <w:r w:rsidRPr="00781112">
        <w:rPr>
          <w:rFonts w:cs="Arial"/>
          <w:b w:val="0"/>
          <w:color w:val="000000" w:themeColor="text1"/>
          <w:szCs w:val="16"/>
        </w:rPr>
        <w:br/>
        <w:t xml:space="preserve">Curriculum, Instruction, and Assessment </w:t>
      </w:r>
      <w:r w:rsidRPr="00781112">
        <w:rPr>
          <w:rFonts w:cs="Arial"/>
          <w:b w:val="0"/>
          <w:color w:val="000000" w:themeColor="text1"/>
          <w:szCs w:val="16"/>
        </w:rPr>
        <w:br/>
        <w:t xml:space="preserve"> </w:t>
      </w:r>
      <w:r w:rsidRPr="00781112">
        <w:rPr>
          <w:rFonts w:cs="Arial"/>
          <w:b w:val="0"/>
          <w:color w:val="000000" w:themeColor="text1"/>
          <w:szCs w:val="16"/>
        </w:rPr>
        <w:br/>
        <w:t>The State has met with stakeholders in person and virtually, to be responsive to community needs while providing opportunities for decision-making inclusive of broad stakeholder perspectives.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Each of the groups met at different frequencies. Stakeholders collaborated with the State in making decisions about the data for the SiMR including analyzing and reviewing the following data: </w:t>
      </w:r>
      <w:r w:rsidRPr="00781112">
        <w:rPr>
          <w:color w:val="000000" w:themeColor="text1"/>
        </w:rPr>
        <w:br/>
        <w:t xml:space="preserve">SiMR </w:t>
      </w:r>
      <w:r w:rsidRPr="00781112">
        <w:rPr>
          <w:color w:val="000000" w:themeColor="text1"/>
        </w:rPr>
        <w:br/>
        <w:t xml:space="preserve">MAP </w:t>
      </w:r>
      <w:r w:rsidRPr="00781112">
        <w:rPr>
          <w:color w:val="000000" w:themeColor="text1"/>
        </w:rPr>
        <w:br/>
        <w:t xml:space="preserve">TS Gold </w:t>
      </w:r>
      <w:r w:rsidRPr="00781112">
        <w:rPr>
          <w:color w:val="000000" w:themeColor="text1"/>
        </w:rPr>
        <w:br/>
        <w:t xml:space="preserve">Implementation </w:t>
      </w:r>
      <w:r w:rsidRPr="00781112">
        <w:rPr>
          <w:color w:val="000000" w:themeColor="text1"/>
        </w:rPr>
        <w:br/>
        <w:t xml:space="preserve">Infrastructure </w:t>
      </w:r>
      <w:r w:rsidRPr="00781112">
        <w:rPr>
          <w:color w:val="000000" w:themeColor="text1"/>
        </w:rPr>
        <w:br/>
      </w:r>
      <w:r w:rsidRPr="00781112">
        <w:rPr>
          <w:color w:val="000000" w:themeColor="text1"/>
        </w:rPr>
        <w:br/>
        <w:t>Stakeholders also worked collaboratively with the State to determine next steps based on the data analyzed and reviewed.</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Stakeholders expressed concern with the impact new standards for English/Language Arts will have on proficiency scores</w:t>
      </w:r>
      <w:proofErr w:type="gramStart"/>
      <w:r w:rsidRPr="00781112">
        <w:rPr>
          <w:color w:val="000000" w:themeColor="text1"/>
        </w:rPr>
        <w:t xml:space="preserve">.  </w:t>
      </w:r>
      <w:proofErr w:type="gramEnd"/>
      <w:r w:rsidRPr="00781112">
        <w:rPr>
          <w:color w:val="000000" w:themeColor="text1"/>
        </w:rPr>
        <w:t xml:space="preserve">Stakeholders were informed of the change in cut scores that will occur to address the new standards and will </w:t>
      </w:r>
      <w:proofErr w:type="gramStart"/>
      <w:r w:rsidRPr="00781112">
        <w:rPr>
          <w:color w:val="000000" w:themeColor="text1"/>
        </w:rPr>
        <w:t>take into account</w:t>
      </w:r>
      <w:proofErr w:type="gramEnd"/>
      <w:r w:rsidRPr="00781112">
        <w:rPr>
          <w:color w:val="000000" w:themeColor="text1"/>
        </w:rPr>
        <w:t xml:space="preserve"> the changes needed to cut scores based on post-pandemic national and state trends.  Stakeholders have also </w:t>
      </w:r>
      <w:proofErr w:type="gramStart"/>
      <w:r w:rsidRPr="00781112">
        <w:rPr>
          <w:color w:val="000000" w:themeColor="text1"/>
        </w:rPr>
        <w:t>been informed</w:t>
      </w:r>
      <w:proofErr w:type="gramEnd"/>
      <w:r w:rsidRPr="00781112">
        <w:rPr>
          <w:color w:val="000000" w:themeColor="text1"/>
        </w:rPr>
        <w:t xml:space="preserve"> that new targets will need to be set and opportunities to participate will be announced to allow for feedback.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All </w:t>
      </w:r>
      <w:proofErr w:type="gramStart"/>
      <w:r w:rsidRPr="00781112">
        <w:rPr>
          <w:color w:val="000000" w:themeColor="text1"/>
        </w:rPr>
        <w:t>activities</w:t>
      </w:r>
      <w:proofErr w:type="gramEnd"/>
      <w:r w:rsidRPr="00781112">
        <w:rPr>
          <w:color w:val="000000" w:themeColor="text1"/>
        </w:rPr>
        <w:t xml:space="preserve"> have already </w:t>
      </w:r>
      <w:proofErr w:type="gramStart"/>
      <w:r w:rsidRPr="00781112">
        <w:rPr>
          <w:color w:val="000000" w:themeColor="text1"/>
        </w:rPr>
        <w:t>been described</w:t>
      </w:r>
      <w:proofErr w:type="gramEnd"/>
      <w:r w:rsidRPr="00781112">
        <w:rPr>
          <w:color w:val="000000" w:themeColor="text1"/>
        </w:rPr>
        <w:t xml:space="preserve">.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See Evaluation Plan at https://cdn.education.ne.gov/wp-content/uploads/2021/12/Theory-of-Action-v2-ACCESS-CHECKED-sped.pdf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January 1, </w:t>
      </w:r>
      <w:proofErr w:type="gramStart"/>
      <w:r w:rsidRPr="00781112">
        <w:rPr>
          <w:color w:val="000000" w:themeColor="text1"/>
        </w:rPr>
        <w:t>2023</w:t>
      </w:r>
      <w:proofErr w:type="gramEnd"/>
      <w:r w:rsidRPr="00781112">
        <w:rPr>
          <w:color w:val="000000" w:themeColor="text1"/>
        </w:rPr>
        <w:t xml:space="preserve"> our Commissioner of Education resigned. The Nebraska Department of Education has already hired a firm to hire a new Commissioner. The Department has </w:t>
      </w:r>
      <w:proofErr w:type="gramStart"/>
      <w:r w:rsidRPr="00781112">
        <w:rPr>
          <w:color w:val="000000" w:themeColor="text1"/>
        </w:rPr>
        <w:t>been asked</w:t>
      </w:r>
      <w:proofErr w:type="gramEnd"/>
      <w:r w:rsidRPr="00781112">
        <w:rPr>
          <w:color w:val="000000" w:themeColor="text1"/>
        </w:rPr>
        <w:t xml:space="preserve"> to continue its work as it has been. When a new Commissioner </w:t>
      </w:r>
      <w:proofErr w:type="gramStart"/>
      <w:r w:rsidRPr="00781112">
        <w:rPr>
          <w:color w:val="000000" w:themeColor="text1"/>
        </w:rPr>
        <w:t>is hired</w:t>
      </w:r>
      <w:proofErr w:type="gramEnd"/>
      <w:r w:rsidRPr="00781112">
        <w:rPr>
          <w:color w:val="000000" w:themeColor="text1"/>
        </w:rPr>
        <w:t xml:space="preserve">, the Office of Special Education will work to provide information about the work being done. Changes may </w:t>
      </w:r>
      <w:proofErr w:type="gramStart"/>
      <w:r w:rsidRPr="00781112">
        <w:rPr>
          <w:color w:val="000000" w:themeColor="text1"/>
        </w:rPr>
        <w:t>be required</w:t>
      </w:r>
      <w:proofErr w:type="gramEnd"/>
      <w:r w:rsidRPr="00781112">
        <w:rPr>
          <w:color w:val="000000" w:themeColor="text1"/>
        </w:rPr>
        <w:t xml:space="preserve"> based on the Commissioner’s goals for the Department. </w:t>
      </w:r>
      <w:r w:rsidRPr="00781112">
        <w:rPr>
          <w:color w:val="000000" w:themeColor="text1"/>
        </w:rPr>
        <w:br/>
      </w:r>
      <w:r w:rsidRPr="00781112">
        <w:rPr>
          <w:color w:val="000000" w:themeColor="text1"/>
        </w:rPr>
        <w:br/>
        <w:t xml:space="preserve">Although the Department has been </w:t>
      </w:r>
      <w:proofErr w:type="gramStart"/>
      <w:r w:rsidRPr="00781112">
        <w:rPr>
          <w:color w:val="000000" w:themeColor="text1"/>
        </w:rPr>
        <w:t>working on moving</w:t>
      </w:r>
      <w:proofErr w:type="gramEnd"/>
      <w:r w:rsidRPr="00781112">
        <w:rPr>
          <w:color w:val="000000" w:themeColor="text1"/>
        </w:rPr>
        <w:t xml:space="preserve"> from the MAP assessment to the NSCAS Growth Assessment, the Department was asked to stop this work by the State Board of Education. Pausing this move from the MAP to NSCAS Growth will cause a lapse in interim data to measure progress toward the SiMR. The Office of Special Education is working with Data Management and Application Development (DMAD) to ensure we get both MAP assessment and NSCAS Growth Assessment results until decisions </w:t>
      </w:r>
      <w:proofErr w:type="gramStart"/>
      <w:r w:rsidRPr="00781112">
        <w:rPr>
          <w:color w:val="000000" w:themeColor="text1"/>
        </w:rPr>
        <w:t>are made</w:t>
      </w:r>
      <w:proofErr w:type="gramEnd"/>
      <w:r w:rsidRPr="00781112">
        <w:rPr>
          <w:color w:val="000000" w:themeColor="text1"/>
        </w:rPr>
        <w:t xml:space="preserve"> and the full transition from MAP to NSCAS Growth is completed.</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2"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Amy Rhone</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Administrator/State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amy.rhone@nebraska.gov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531-207-9978</w:t>
      </w:r>
    </w:p>
    <w:bookmarkEnd w:id="92"/>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5:09:51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455CB8A" w14:textId="406C0A82" w:rsidR="00FD4A93" w:rsidRPr="00FD4A93" w:rsidRDefault="00FD4A93" w:rsidP="00FD4A93">
      <w:pPr>
        <w:rPr>
          <w:b/>
          <w:bCs/>
          <w:sz w:val="20"/>
          <w:szCs w:val="28"/>
        </w:rPr>
      </w:pPr>
      <w:r w:rsidRPr="00FD4A93">
        <w:rPr>
          <w:b/>
          <w:bCs/>
          <w:sz w:val="20"/>
          <w:szCs w:val="28"/>
        </w:rPr>
        <w:t>Nebraska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84.03%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19</w:t>
            </w:r>
          </w:p>
        </w:tc>
        <w:tc>
          <w:tcPr>
            <w:tcW w:w="1218" w:type="pct"/>
          </w:tcPr>
          <w:p w14:paraId="0E3866D0" w14:textId="74D5D84B" w:rsidR="00E1330D" w:rsidRPr="00210AC6" w:rsidRDefault="00E1330D" w:rsidP="00E1330D">
            <w:pPr>
              <w:rPr>
                <w:rFonts w:cs="Arial"/>
                <w:szCs w:val="16"/>
              </w:rPr>
            </w:pPr>
            <w:r w:rsidRPr="00210AC6">
              <w:rPr>
                <w:rFonts w:cs="Arial"/>
                <w:szCs w:val="16"/>
              </w:rPr>
              <w:t>79.17%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16</w:t>
            </w:r>
          </w:p>
        </w:tc>
        <w:tc>
          <w:tcPr>
            <w:tcW w:w="1218" w:type="pct"/>
          </w:tcPr>
          <w:p w14:paraId="568903BA" w14:textId="193CF7F1" w:rsidR="00E1330D" w:rsidRPr="00210AC6" w:rsidRDefault="00E1330D" w:rsidP="00E1330D">
            <w:pPr>
              <w:rPr>
                <w:rFonts w:cs="Arial"/>
                <w:szCs w:val="16"/>
              </w:rPr>
            </w:pPr>
            <w:r w:rsidRPr="00210AC6">
              <w:rPr>
                <w:rFonts w:cs="Arial"/>
                <w:szCs w:val="16"/>
              </w:rPr>
              <w:t>88.89%</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94%</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92%</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24%</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94%</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27%</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92%</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94%</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92%</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54%</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22%</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90%</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14</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76</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2.62%</w:t>
            </w:r>
          </w:p>
        </w:tc>
        <w:tc>
          <w:tcPr>
            <w:tcW w:w="832" w:type="pct"/>
          </w:tcPr>
          <w:p w14:paraId="1CE885A0" w14:textId="000A00A6" w:rsidR="00AA1152" w:rsidRPr="00210AC6" w:rsidRDefault="00AA1152" w:rsidP="00AA1152">
            <w:pPr>
              <w:rPr>
                <w:rFonts w:cs="Arial"/>
                <w:szCs w:val="16"/>
              </w:rPr>
            </w:pPr>
            <w:r w:rsidRPr="00210AC6">
              <w:rPr>
                <w:rFonts w:cs="Arial"/>
                <w:szCs w:val="16"/>
              </w:rPr>
              <w:t>YES</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94.14%</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91.52%</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52.94%</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62C60FA1" w14:textId="77777777" w:rsidR="00FD4A93" w:rsidRPr="00FD4A93" w:rsidRDefault="00FD4A93" w:rsidP="00FD4A93">
      <w:pPr>
        <w:rPr>
          <w:b/>
          <w:bCs/>
          <w:sz w:val="20"/>
          <w:szCs w:val="28"/>
        </w:rPr>
      </w:pPr>
      <w:r w:rsidRPr="00FD4A93">
        <w:rPr>
          <w:b/>
          <w:bCs/>
          <w:sz w:val="20"/>
          <w:szCs w:val="28"/>
        </w:rPr>
        <w:t>Nebraska</w:t>
      </w:r>
    </w:p>
    <w:p w14:paraId="33B93229" w14:textId="77777777" w:rsidR="00FD4A93" w:rsidRPr="00FD4A93" w:rsidRDefault="00FD4A93" w:rsidP="00FD4A93"/>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6730E003" w14:textId="77777777" w:rsidR="00FD4A93" w:rsidRDefault="00FD4A93">
      <w:pPr>
        <w:spacing w:before="0" w:after="200" w:line="276" w:lineRule="auto"/>
      </w:pPr>
    </w:p>
    <w:p w14:paraId="10BA59E7" w14:textId="00590ADB" w:rsidR="0058254D" w:rsidRDefault="00FD4A93">
      <w:pPr>
        <w:spacing w:before="0" w:after="200" w:line="276" w:lineRule="auto"/>
      </w:pPr>
      <w:r>
        <w:object w:dxaOrig="1540" w:dyaOrig="997" w14:anchorId="48598CA0">
          <v:shape id="_x0000_i1028" type="#_x0000_t75" alt="NE-B-DR-2021-22" style="width:77.25pt;height:49.5pt" o:ole="">
            <v:imagedata r:id="rId16" o:title=""/>
          </v:shape>
          <o:OLEObject Type="Embed" ProgID="Acrobat.Document.DC" ShapeID="_x0000_i1028" DrawAspect="Icon" ObjectID="_1752316520" r:id="rId17"/>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452F19">
      <w:pPr>
        <w:spacing w:before="0" w:after="200" w:line="276" w:lineRule="auto"/>
        <w:rPr>
          <w:rFonts w:cs="Arial"/>
          <w:b/>
          <w:bCs/>
          <w:szCs w:val="16"/>
        </w:rPr>
      </w:pPr>
      <w:hyperlink r:id="rId18" w:history="1">
        <w:r w:rsidR="00DF3F83" w:rsidRPr="00D733C3">
          <w:rPr>
            <w:rStyle w:val="Hyperlink"/>
            <w:szCs w:val="16"/>
          </w:rPr>
          <w:t>https://sites.ed.gov/idea/how-the-department-made-determinations/</w:t>
        </w:r>
      </w:hyperlink>
      <w:bookmarkStart w:id="93" w:name="Introduction"/>
      <w:bookmarkStart w:id="94" w:name="_Hlk124349373"/>
      <w:bookmarkEnd w:id="3"/>
      <w:bookmarkEnd w:id="93"/>
      <w:bookmarkEnd w:id="94"/>
    </w:p>
    <w:sectPr w:rsidR="00D84A0A" w:rsidRPr="00D733C3" w:rsidSect="00D733C3">
      <w:headerReference w:type="default" r:id="rId19"/>
      <w:footerReference w:type="default" r:id="rId20"/>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452F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547547DD" w14:textId="4BEA1713" w:rsidR="00FD4A93" w:rsidRPr="00FD4A93" w:rsidRDefault="00FD4A93" w:rsidP="00FD4A93">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476BFE5B" w14:textId="674B6295" w:rsidR="00FD4A93" w:rsidRPr="00FD4A93" w:rsidRDefault="00FD4A93" w:rsidP="00FD4A93">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452F1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2F19"/>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181"/>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2A7"/>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A93"/>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4f36bac4-6705-4a36-974b-7c07450fedf2"/>
    <ds:schemaRef ds:uri="http://schemas.openxmlformats.org/package/2006/metadata/core-properties"/>
    <ds:schemaRef ds:uri="292db1e8-b3d0-4356-8ef3-2a6d7ed77883"/>
    <ds:schemaRef ds:uri="http://schemas.microsoft.com/sharepoint/v3"/>
    <ds:schemaRef ds:uri="http://purl.org/dc/dcmitype/"/>
  </ds:schemaRefs>
</ds:datastoreItem>
</file>

<file path=customXml/itemProps2.xml><?xml version="1.0" encoding="utf-8"?>
<ds:datastoreItem xmlns:ds="http://schemas.openxmlformats.org/officeDocument/2006/customXml" ds:itemID="{1BE04500-72BB-404E-B6E8-C1DF267FF86B}"/>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5</TotalTime>
  <Pages>86</Pages>
  <Words>46840</Words>
  <Characters>266990</Characters>
  <Application>Microsoft Office Word</Application>
  <DocSecurity>0</DocSecurity>
  <Lines>2224</Lines>
  <Paragraphs>626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4</cp:revision>
  <cp:lastPrinted>2014-08-19T16:56:00Z</cp:lastPrinted>
  <dcterms:created xsi:type="dcterms:W3CDTF">2023-06-28T21:34:00Z</dcterms:created>
  <dcterms:modified xsi:type="dcterms:W3CDTF">2023-07-31T18:48:00Z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