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Nebraska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244</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See attachement.</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Nebraska Department of Education (NDE) Office of Special Education (OSE) has several mechanisms in place to ensure the timely delivery of evidence-based technical assistance and support to local education agencies. Nebraska’s statewide system of technical assistance is based on regional support networks with multiple collaborating partners engaged in this process.  </w:t>
      </w:r>
      <w:r w:rsidRPr="00781112">
        <w:rPr>
          <w:rFonts w:cs="Arial"/>
          <w:color w:val="000000" w:themeColor="text1"/>
          <w:szCs w:val="16"/>
        </w:rPr>
        <w:br/>
        <w:t xml:space="preserve"> </w:t>
      </w:r>
      <w:r w:rsidRPr="00781112">
        <w:rPr>
          <w:rFonts w:cs="Arial"/>
          <w:color w:val="000000" w:themeColor="text1"/>
          <w:szCs w:val="16"/>
        </w:rPr>
        <w:br/>
        <w:t xml:space="preserve">Through regional and statewide assignments, the NDE special education staff provides ongoing technical assistance to support school districts in addressing their unique needs and challenges. The NDE Office of Special Education created the Improving Lives of Children with Disabilities (ILCD) process based upon the State Performance Plan (SPP) Part B indicators and the Results Driven Accountability (RDA) initiatives in place for the state. The ILCD process is designed to enhance program improvement that will result in improved outcomes for children with disabilities. With stakeholder input, NDE organized the SPP indicators into three Impact Areas:  </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br/>
        <w:t xml:space="preserve">Improving developmental outcomes and academic achievement (school readiness) for children with disabilities;  </w:t>
      </w:r>
      <w:r w:rsidRPr="00781112">
        <w:rPr>
          <w:rFonts w:cs="Arial"/>
          <w:color w:val="000000" w:themeColor="text1"/>
          <w:szCs w:val="16"/>
        </w:rPr>
        <w:br/>
      </w:r>
      <w:r w:rsidRPr="00781112">
        <w:rPr>
          <w:rFonts w:cs="Arial"/>
          <w:color w:val="000000" w:themeColor="text1"/>
          <w:szCs w:val="16"/>
        </w:rPr>
        <w:br/>
        <w:t xml:space="preserve">Improving communication and relationships among families, schools, communities, and agencies; and  </w:t>
      </w:r>
      <w:r w:rsidRPr="00781112">
        <w:rPr>
          <w:rFonts w:cs="Arial"/>
          <w:color w:val="000000" w:themeColor="text1"/>
          <w:szCs w:val="16"/>
        </w:rPr>
        <w:br/>
      </w:r>
      <w:r w:rsidRPr="00781112">
        <w:rPr>
          <w:rFonts w:cs="Arial"/>
          <w:color w:val="000000" w:themeColor="text1"/>
          <w:szCs w:val="16"/>
        </w:rPr>
        <w:br/>
        <w:t xml:space="preserve">Improving transitions for children with disabilities from early intervention to adult living.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br/>
        <w:t xml:space="preserve">This comprehensive “big picture” approach provides a broader view for improving achievement outcomes within a continuous improvement framework. Technical assistance for the ILCD process is also delivered through regional ILCD facilitators located in each educational service unit (ESU) across the state.  </w:t>
      </w:r>
      <w:r w:rsidRPr="00781112">
        <w:rPr>
          <w:rFonts w:cs="Arial"/>
          <w:color w:val="000000" w:themeColor="text1"/>
          <w:szCs w:val="16"/>
        </w:rPr>
        <w:br/>
        <w:t xml:space="preserve"> </w:t>
      </w:r>
      <w:r w:rsidRPr="00781112">
        <w:rPr>
          <w:rFonts w:cs="Arial"/>
          <w:color w:val="000000" w:themeColor="text1"/>
          <w:szCs w:val="16"/>
        </w:rPr>
        <w:br/>
        <w:t xml:space="preserve">Regional Planning Region Teams (PRTs), functioning as Local Interagency Coordinating Councils, receive annual NDE grants to support Early Intervention/Early Childhood Special Education (EI/ECSE) practitioners in implementing evidence-based practices for children birth to age five and their families. Since 1979, NDE’s Early Childhood Training Center (ECTC) has been the hub of technical assistance and professional development statewide for teachers and providers in early care and education settings. The ECTC infrastructure has been expanded to include a statewide network of regional Early Learning Coordinators and Coach Consultants located at ESUs.  </w:t>
      </w:r>
      <w:r w:rsidRPr="00781112">
        <w:rPr>
          <w:rFonts w:cs="Arial"/>
          <w:color w:val="000000" w:themeColor="text1"/>
          <w:szCs w:val="16"/>
        </w:rPr>
        <w:br/>
        <w:t xml:space="preserve"> </w:t>
      </w:r>
      <w:r w:rsidRPr="00781112">
        <w:rPr>
          <w:rFonts w:cs="Arial"/>
          <w:color w:val="000000" w:themeColor="text1"/>
          <w:szCs w:val="16"/>
        </w:rPr>
        <w:br/>
        <w:t xml:space="preserve">The University of Nebraska System is a major component of the statewide infrastructure with specialized expertise leveraged in the delivery of technical assistance to local school districts. Disability specific regional networks of technical assistance include cadres within the ESU structure that support a full-range of technical assistance and professional development in evidence-based practices related to various disabilities.  </w:t>
      </w:r>
      <w:r w:rsidRPr="00781112">
        <w:rPr>
          <w:rFonts w:cs="Arial"/>
          <w:color w:val="000000" w:themeColor="text1"/>
          <w:szCs w:val="16"/>
        </w:rPr>
        <w:br/>
        <w:t xml:space="preserve"> </w:t>
      </w:r>
      <w:r w:rsidRPr="00781112">
        <w:rPr>
          <w:rFonts w:cs="Arial"/>
          <w:color w:val="000000" w:themeColor="text1"/>
          <w:szCs w:val="16"/>
        </w:rPr>
        <w:br/>
        <w:t xml:space="preserve">Through the framework of the Nebraska Council of Teacher Education, stakeholders representing local education agencies (LEAs), ESUs, and institutions of higher education (IHEs) assist NDE in the revision of general and special education endorsements to ensure that IHEs meet the highest professional standards in their degree programs and produce highly qualified staff to support children with disabilities.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NDE provides an array of professional development opportunities through cross-team efforts within the Department to ensure that education providers have the skills to effectively provide services that improve results for children with disabilities. NDE’s Early Childhood Training Center (ECTC) has been the hub of technical assistance and professional development statewide for teachers and providers in early care and education settings. The NDE Office of Special Education also works in partnership with LEAs, ESUs, and IHEs to provide a coherent, comprehensive, and aligned network of professional development. In the last five years, the NDE, Office of Special Education has also developed professional development through the Nebraska Multi-Tiered System of Supports (MTSS) network.   The NDE, Office of Special Education is committed to the build out of an Interconnected System Framework, known as NeMTSS.  With NeMTSS, the State anticipates that through a statewide professional learning community charged with building capacity and providing professional learning opportunities monthly, expanding infrastructure, connecting to key personnel and communicators, and including diversity of expertise encompassing the whole child districts will have the support needed to ensure each student can become a proficient reader.  This system will create an aligned framework and outcomes while focused on providing a reputable source for resources grounded in evidence </w:t>
      </w:r>
      <w:r w:rsidRPr="00781112">
        <w:rPr>
          <w:rFonts w:cs="Arial"/>
          <w:color w:val="000000" w:themeColor="text1"/>
          <w:szCs w:val="16"/>
        </w:rPr>
        <w:lastRenderedPageBreak/>
        <w:t>and research.  The NeMTSS continued integration of PBIS, Pyramid, and RtI provides statewide system level training as well as regional supports in each expertise area to identify infrastructure gaps and barriers with stakeholder groups, including families and community leaders.</w:t>
      </w:r>
      <w:r w:rsidRPr="00781112">
        <w:rPr>
          <w:rFonts w:cs="Arial"/>
          <w:color w:val="000000" w:themeColor="text1"/>
          <w:szCs w:val="16"/>
        </w:rPr>
        <w:br/>
        <w:t xml:space="preserve"> </w:t>
      </w:r>
      <w:r w:rsidRPr="00781112">
        <w:rPr>
          <w:rFonts w:cs="Arial"/>
          <w:color w:val="000000" w:themeColor="text1"/>
          <w:szCs w:val="16"/>
        </w:rPr>
        <w:br/>
        <w:t xml:space="preserve">These statewide networks work in collaboration with NDE to increase the capacity of regular and special education teachers, related services providers, and administrators to implement evidence-based practices such as MTSS, including Response to Intervention (RtI), Positive Behavior Supports (PBIS) and Early Childhood Positive Behavior Supports (EC-PBIS Pyramid Model). The networks also focus on specific supports for students who experience autism spectrum disorder, traumatic brain injury, and sensory impairments. </w:t>
      </w:r>
      <w:r w:rsidRPr="00781112">
        <w:rPr>
          <w:rFonts w:cs="Arial"/>
          <w:color w:val="000000" w:themeColor="text1"/>
          <w:szCs w:val="16"/>
        </w:rPr>
        <w:br/>
        <w:t xml:space="preserve"> </w:t>
      </w:r>
      <w:r w:rsidRPr="00781112">
        <w:rPr>
          <w:rFonts w:cs="Arial"/>
          <w:color w:val="000000" w:themeColor="text1"/>
          <w:szCs w:val="16"/>
        </w:rPr>
        <w:br/>
        <w:t xml:space="preserve">Transitions from early intervention to school (Part C to Part B) and from school to career/college readiness are another priority area of support. NDE OSE consultants deliver and supervise the delivery of professional development for evidence-based practices. </w:t>
      </w:r>
      <w:r w:rsidRPr="00781112">
        <w:rPr>
          <w:rFonts w:cs="Arial"/>
          <w:color w:val="000000" w:themeColor="text1"/>
          <w:szCs w:val="16"/>
        </w:rPr>
        <w:br/>
        <w:t xml:space="preserve"> </w:t>
      </w:r>
      <w:r w:rsidRPr="00781112">
        <w:rPr>
          <w:rFonts w:cs="Arial"/>
          <w:color w:val="000000" w:themeColor="text1"/>
          <w:szCs w:val="16"/>
        </w:rPr>
        <w:br/>
        <w:t>Many of Nebraska’s districts have small student populations located in rural, geographically isolated locations. In response, NDE provides support to multiple, small, rural districts to form consortiums and maximize the impact of their professional development efforts. The focus of grant funding is within the areas emphasized in the NDE Impact Areas, as previously described. Grants are also directed toward the preparation of qualified educators, administrators, and related service providers, offering induction/mentoring support, and continuous development over individual careers. As grant managers, NDE staff is involved in approving grant applications, monitoring completion of grant activities, approving reimbursement claims, and offering technical assistance to enhance project outcomes.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 xml:space="preserve">The RDA Stakeholder Group has met periodically throughout the past year and will continue meeting to establish and review targets and performance as indicated in the SPP/APR and the development and implementation of the State Systemic Improvement Plan (SSIP). Thus far the RDA Stakeholder Group has reviewed historical data around each of the indicators and established targets for each of the indicators. Additionally, the RDA Stakeholder Group assisted NDE in establishing the State Identified Measurable Result (SIMR). As the RDA Stakeholder Group continues meeting, it will provide guidance and input on the development of the continued phases of the SSIP process.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some members serving as liaisons to the RDA Stakeholder Group: Special Education Advisory Council (SEAC) and the Results Matter Nebraska Task Force. SEAC is established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work collaboratively with stakeholders, including SEAC and the Task Force, to analyze and review data to assist in making changes to the SSIP in relation to the SiMR data, interim measures of progress, and any needed changes to infrastructure and programmatic activities.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16</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NDE engaged parents in setting targets, analyzing data, developing improvement strategies, and evaluating progress for the SPP/APR by ensuring parent representatives were invited to all stakeholder meetings. NDE staff made specific connections with the state parent training and information center on this topic. At stakeholder meetings, NDE staff presented indicator information and led indicator discussions in a way that made the information on the SPP/APR clear and accessible to parents, especially parents who may not have much experience with the SPP/APR. NDE also worked to engage parents by communicating through existing networks with superintendents, principals, and special education directors, asking those administrators to send specific communication to the parents in their schools and districts to ensure that all parents were hearing about the opportunity to provide input on the SPP/APR from their local administrators.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NDE prepared its materials for each stakeholder meeting with a focus on helping diverse groups of parents understand the SPP/APR so those parents could give feedback on implementation activities designed to improve outcomes for children with disabilities. NDE did this by providing information on each indicator, including describing what it measured, how Nebraska has historically performed, areas of success within each indicator, and areas of growth. Carefully laying a foundation of information then allowed NDE staff to lead conversations of stakeholders, including diverse groups of parents, focused on improving state-level activities to better support districts in improving outcomes for children with disabilities. NDE also reached out to specific districts with larger diversity in families served and asked those districts to distribute information on its behalf.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Over a period of several months, NDE conducted numerous in-person and virtual meetings focused on soliciting public input for setting targets, analyzing data, developing improvement strategies, and evaluating progress. In addition to meetings, NDE provided information on its website for stakeholder review and a survey where stakeholders could provide feedback. NDE made regular announcements and updates regarding the availability of information for stakeholders and the mechanisms for stakeholder input through its monthly special education directors’ webinar and email update. NDE also sent specific communication to superintendents, principals, and special education directors requesting their input and asking them to distribute specific communication to parents in their districts and schools, inviting their feedback. </w:t>
      </w:r>
    </w:p>
    <w:p w14:paraId="60517C6B" w14:textId="77777777" w:rsidR="001628C0" w:rsidRPr="00781112" w:rsidRDefault="001628C0" w:rsidP="001628C0">
      <w:pPr>
        <w:rPr>
          <w:b/>
          <w:color w:val="000000" w:themeColor="text1"/>
        </w:rPr>
      </w:pPr>
      <w:r w:rsidRPr="00781112">
        <w:rPr>
          <w:b/>
          <w:color w:val="000000" w:themeColor="text1"/>
        </w:rPr>
        <w:lastRenderedPageBreak/>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NDE has provided information on its website for stakeholders to see the results of target setting, data analysis, development of the improvement strategies, and evaluation. NDE has specifically communicated with the state advisory panel, RDA Stakeholder Group, parent training and information center, superintendents, principals and special education directors about the availability of these results and asked these groups to distribute this information to parents in their districts and schools.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School district performance on each of the APR indicators is reported each spring on the Nebraska Education Profile on the Nebraska Department of Education website. The report can be found at, http://nep.education.ne.gov. The Nebraska Education Profile provides information and data about Nebraska public schools and student performance, including district performance on the APR indicators. To navigate to a district’s APR indicators, select a district under DISTRICT AND SCHOOL DATA and click View District Snapshot. Hover over Special Education and then click View Data. Then click Performance Part B in the left menu. </w:t>
      </w:r>
      <w:r w:rsidRPr="00781112">
        <w:rPr>
          <w:rFonts w:cs="Arial"/>
          <w:color w:val="000000" w:themeColor="text1"/>
          <w:szCs w:val="16"/>
        </w:rPr>
        <w:br/>
      </w:r>
      <w:r w:rsidRPr="00781112">
        <w:rPr>
          <w:rFonts w:cs="Arial"/>
          <w:color w:val="000000" w:themeColor="text1"/>
          <w:szCs w:val="16"/>
        </w:rPr>
        <w:br/>
        <w:t xml:space="preserve">A copy of the state’s SPP/APR is located on the Nebraska Department of Education, Special Education office website at, https://www.education.ne.gov/sped/public-reporting/.  </w:t>
      </w:r>
      <w:r w:rsidRPr="00781112">
        <w:rPr>
          <w:rFonts w:cs="Arial"/>
          <w:color w:val="000000" w:themeColor="text1"/>
          <w:szCs w:val="16"/>
        </w:rPr>
        <w:br/>
      </w:r>
      <w:r w:rsidRPr="00781112">
        <w:rPr>
          <w:rFonts w:cs="Arial"/>
          <w:color w:val="000000" w:themeColor="text1"/>
          <w:szCs w:val="16"/>
        </w:rPr>
        <w:br/>
        <w:t xml:space="preserve">Nebraska also posts a link to the OSEP site, https://sites.ed.gov/idea/spp-apr-letters, for LEAs and the public to view state data and OSEP’s response to the SPP/APR. </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OSEP notes that one or more of the Introduction attachment(s) included in the State’s FFY 2020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18EE4376" w:rsidR="005E59DB" w:rsidRPr="00781112" w:rsidRDefault="005E59DB" w:rsidP="00B65C2C">
      <w:pPr>
        <w:rPr>
          <w:b/>
          <w:color w:val="000000" w:themeColor="text1"/>
        </w:rPr>
      </w:pPr>
      <w:r w:rsidRPr="00781112">
        <w:rPr>
          <w:b/>
          <w:color w:val="000000" w:themeColor="text1"/>
        </w:rPr>
        <w:t>Historical Data</w:t>
      </w:r>
      <w:r w:rsidR="00717FDE">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77.85%</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71.26%</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70.46%</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71.41%</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69.30%</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83.25%</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77.85%</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77.85%</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77.85%</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78.35%</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78.85%</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79.35%</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 xml:space="preserve">The RDA Stakeholder Group has met periodically throughout the past year and will continue meeting to establish and review targets and performance as indicated in the SPP/APR and the development and implementation of the State Systemic Improvement Plan (SSIP). Thus far the RDA Stakeholder Group has reviewed historical data around each of the indicators and established targets for each of the indicators. Additionally, the RDA Stakeholder Group assisted NDE in establishing the State Identified Measurable Result (SIMR). As the RDA Stakeholder Group continues meeting, it will provide guidance and input on the development of the continued phases of the SSIP process.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some members serving as liaisons to the RDA Stakeholder Group: Special Education Advisory Council (SEAC) and the Results Matter Nebraska Task Force. SEAC is established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work collaboratively with stakeholders, including SEAC and the Task Force, to analyze and review data to assist in making changes to the SSIP in relation to the SiMR data, interim measures of progress, and any needed changes to infrastructure and programmatic activities. </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lastRenderedPageBreak/>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1,866</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199</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25</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307</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1,866</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2,397</w:t>
            </w:r>
          </w:p>
        </w:tc>
        <w:tc>
          <w:tcPr>
            <w:tcW w:w="541"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83.25%</w:t>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77.85%</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77.85%</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Nebraska's definition of a graduate with a regular high school diploma, which applies for all youth, including youth with IEPs, is a student who has completed an approved program of study and met district/system requirements for a high school diploma. The diploma requirements are fully aligned with Nebraska's academic content standards. </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The State must update its baseline date because the U.S. Department of Education’s Office of Special Education Programs changed the measurement/reporting requirement for this indicator. Based on stakeholder recommendation, the State selected FFY 2020 as the baseline year. Because the baseline year is FFY 2020, the State does not enter a target for FFY 2020. </w:t>
      </w:r>
    </w:p>
    <w:p w14:paraId="7D2A5658" w14:textId="39995CE7" w:rsidR="000C60E1" w:rsidRPr="00781112" w:rsidRDefault="00B0742B" w:rsidP="008645AD">
      <w:pPr>
        <w:pStyle w:val="Heading2"/>
      </w:pPr>
      <w:bookmarkStart w:id="4"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 xml:space="preserve">The State provided targets for FFYs 2020 through 2025 for this indicator, and OSEP accepts those targets. </w:t>
      </w:r>
    </w:p>
    <w:p w14:paraId="5F7376D0" w14:textId="1C114A8A" w:rsidR="004C462E" w:rsidRPr="00781112" w:rsidRDefault="00B0742B" w:rsidP="008645AD">
      <w:pPr>
        <w:pStyle w:val="Heading2"/>
      </w:pPr>
      <w:bookmarkStart w:id="5" w:name="_Hlk21352084"/>
      <w:r w:rsidRPr="00781112">
        <w:t xml:space="preserve">1 - </w:t>
      </w:r>
      <w:bookmarkEnd w:id="5"/>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6"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4"/>
      <w:bookmarkEnd w:id="6"/>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7"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7"/>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6466CFBD" w:rsidR="00907A35" w:rsidRPr="00781112" w:rsidRDefault="00907A35" w:rsidP="004369B2">
      <w:pPr>
        <w:rPr>
          <w:b/>
          <w:color w:val="000000" w:themeColor="text1"/>
        </w:rPr>
      </w:pPr>
      <w:r w:rsidRPr="00781112">
        <w:rPr>
          <w:b/>
          <w:color w:val="000000" w:themeColor="text1"/>
        </w:rPr>
        <w:t>Historical Data</w:t>
      </w:r>
      <w:r w:rsidR="00D12209">
        <w:rPr>
          <w:rStyle w:val="FootnoteReference"/>
          <w:b/>
          <w:color w:val="000000" w:themeColor="text1"/>
        </w:rPr>
        <w:footnoteReference w:id="3"/>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12.81%</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1.95%</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1.93%</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1.91%</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1.89%</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1.89%</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1.41%</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1.53%</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1.46%</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1.46%</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1.48%</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12.81%</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12.81%</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12.81%</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12.31%</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11.81%</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11.31%</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w:t>
      </w:r>
      <w:r w:rsidRPr="00781112">
        <w:rPr>
          <w:rFonts w:cs="Arial"/>
          <w:color w:val="000000" w:themeColor="text1"/>
          <w:szCs w:val="16"/>
        </w:rPr>
        <w:lastRenderedPageBreak/>
        <w:t xml:space="preserve">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 xml:space="preserve">The RDA Stakeholder Group has met periodically throughout the past year and will continue meeting to establish and review targets and performance as indicated in the SPP/APR and the development and implementation of the State Systemic Improvement Plan (SSIP). Thus far the RDA Stakeholder Group has reviewed historical data around each of the indicators and established targets for each of the indicators. Additionally, the RDA Stakeholder Group assisted NDE in establishing the State Identified Measurable Result (SIMR). As the RDA Stakeholder Group continues meeting, it will provide guidance and input on the development of the continued phases of the SSIP process.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some members serving as liaisons to the RDA Stakeholder Group: Special Education Advisory Council (SEAC) and the Results Matter Nebraska Task Force. SEAC is established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work collaboratively with stakeholders, including SEAC and the Task Force, to analyze and review data to assist in making changes to the SSIP in relation to the SiMR data, interim measures of progress, and any needed changes to infrastructure and programmatic activities. </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1,866</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199</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25</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307</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307</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2,397</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1.48%</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12.81%</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12.81%</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The numerator consists of the number of youth with IEPs in grades 7-12 who exited special education due to dropping out. The denominator consists of the total number of youth in grades 7-12 who were served in special education during the school year therefore having the potential to drop out of school. In Nebraska, a dropout occurs in any of the following instances: A student who withdrew for personal or academic reasons and does not have a signed Withdrawal from Mandatory Attendance form pursuant to Nebraska Revised Statue 79-202 on file with the district. A student removed from the education system for other than health reasons, and whose return is not anticipated. A student enrolled in adult education or some type of program whose education services do not lead to a diploma or other credential recognized by the state.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 student who has not graduated or completed an approved program and is not enrolled and whose status is unknown; this includes a student withdrawn from the rolls for excessive absence.   A student who moved out of the district, out of state, or out of U.S. and is not known to be in school (includes any student whose education status cannot be confirmed either through a parent or other responsible adult or through some formal notification of transfer.)   A student in an institution that is not primarily educational (Army, or vocational program) and not considered a special school district/system.  A student who is disenrolled by a parent and does not enroll in another district/system.   A student who was suspended or expelled and the disciplinary period has expired, and student has not returned.</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8" w:name="_Toc382082362"/>
      <w:bookmarkStart w:id="9" w:name="_Toc392159270"/>
      <w:bookmarkStart w:id="10"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The State must update its baseline date because the U.S. Department of Education’s Office of Special Education Programs changed the measurement/reporting requirement for this indicator beginning in FFY 2021. Based on stakeholder recommendation, the State decided to make this </w:t>
      </w:r>
      <w:r w:rsidRPr="00781112">
        <w:rPr>
          <w:rFonts w:cs="Arial"/>
          <w:color w:val="000000" w:themeColor="text1"/>
          <w:szCs w:val="16"/>
          <w:shd w:val="clear" w:color="auto" w:fill="FFFFFF"/>
        </w:rPr>
        <w:lastRenderedPageBreak/>
        <w:t xml:space="preserve">change in FFY 2020 and selected FFY 2020 as the baseline year. Because the baseline year is FFY 2020, the State does not enter a target for FFY 2020. </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provided targets for FFYs 2020 through 2025 for this indicator, and OSEP accepts those targets. </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95.31%</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90.61%</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85.61%</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95.04%</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90.30%</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85.11%</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 xml:space="preserve">The RDA Stakeholder Group has met periodically throughout the past year and will continue meeting to establish and review targets and performance as indicated in the SPP/APR and the development and implementation of the State Systemic Improvement Plan (SSIP). Thus far the RDA Stakeholder Group has reviewed historical data around each of the indicators and established targets for each of the indicators. Additionally, the RDA Stakeholder Group assisted NDE in establishing the State Identified Measurable Result (SIMR). As the RDA Stakeholder Group continues meeting, it will provide guidance and input on the development of the continued phases of the SSIP process.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some members serving as liaisons to the RDA Stakeholder Group: Special Education Advisory Council (SEAC) and the Results Matter Nebraska Task Force. SEAC is established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work collaboratively with stakeholders, including SEAC and the Task Force, to analyze and review data to assist in making changes to the SSIP in relation to the SiMR data, interim measures of progress, and any needed changes to infrastructure and programmatic activities. </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4,159</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3,333</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2,975</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1,315</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875</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663</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2,433</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1,921</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1,666</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216</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224</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218</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4,157</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3,331</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2,975</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1,221</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730</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660</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2,516</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2,055</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1,655</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214</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223</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217</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3,964</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4,159</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95.31%</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3,020</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3,333</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90.61%</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2,547</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2,975</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85.61%</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3,951</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4,157</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95.04%</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3,008</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3,331</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90.30%</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2,532</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2,975</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85.11%</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ELA – SPED Participation- NSCAS 2021 Special Report (ne.gov) - https://nscas2021specialreport.education.ne.gov/Performance/ELA/Participation?dataYears=20202021&amp;agencyId=00-0000-000&amp;grade=All&amp;group=11&amp;subject=1&amp;currentGroup=statewide </w:t>
      </w:r>
      <w:r w:rsidRPr="00781112">
        <w:rPr>
          <w:rFonts w:cs="Arial"/>
          <w:color w:val="000000" w:themeColor="text1"/>
          <w:szCs w:val="16"/>
        </w:rPr>
        <w:br/>
      </w:r>
      <w:r w:rsidRPr="00781112">
        <w:rPr>
          <w:rFonts w:cs="Arial"/>
          <w:color w:val="000000" w:themeColor="text1"/>
          <w:szCs w:val="16"/>
        </w:rPr>
        <w:br/>
        <w:t>ELA – SPED AAS Participation - NSCAS 2021 Special Report (ne.gov) - https://nscas2021specialreport.education.ne.gov/Performance/ELA/Participation?dataYears=20202021&amp;agencyId=00-0000-000&amp;grade=All&amp;group=13&amp;subject=1&amp;currentGroup=statewide</w:t>
      </w:r>
      <w:r w:rsidRPr="00781112">
        <w:rPr>
          <w:rFonts w:cs="Arial"/>
          <w:color w:val="000000" w:themeColor="text1"/>
          <w:szCs w:val="16"/>
        </w:rPr>
        <w:br/>
      </w:r>
      <w:r w:rsidRPr="00781112">
        <w:rPr>
          <w:rFonts w:cs="Arial"/>
          <w:color w:val="000000" w:themeColor="text1"/>
          <w:szCs w:val="16"/>
        </w:rPr>
        <w:br/>
        <w:t>Math – SPED Participation - NSCAS 2021 Special Report (ne.gov) - https://nscas2021specialreport.education.ne.gov/Performance/Math/Participation?dataYears=20202021&amp;agencyId=00-0000-000&amp;grade=All&amp;group=11&amp;subject=2&amp;currentGroup=statewide</w:t>
      </w:r>
      <w:r w:rsidRPr="00781112">
        <w:rPr>
          <w:rFonts w:cs="Arial"/>
          <w:color w:val="000000" w:themeColor="text1"/>
          <w:szCs w:val="16"/>
        </w:rPr>
        <w:br/>
      </w:r>
      <w:r w:rsidRPr="00781112">
        <w:rPr>
          <w:rFonts w:cs="Arial"/>
          <w:color w:val="000000" w:themeColor="text1"/>
          <w:szCs w:val="16"/>
        </w:rPr>
        <w:br/>
        <w:t>Math – SPED AAS Participation - NSCAS 2021 Special Report (ne.gov) - https://nscas2021specialreport.education.ne.gov/Performance/Math/Participation?dataYears=20202021&amp;agencyId=00-0000-000&amp;grade=All&amp;group=11&amp;subject=2&amp;currentGroup=statewide</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The State was not required to provide any data for this indicator in FFY 2019. Due to the circumstances created by the COVID-19 pandemic, and resulting school closures, the State received a waiver of the assessment requirements in section 1111(b)(2) of the ESEA, and, as a result, does not have any FFY 2019 data for this indicator. </w:t>
      </w:r>
      <w:r w:rsidRPr="00781112">
        <w:rPr>
          <w:rFonts w:cs="Arial"/>
          <w:color w:val="000000" w:themeColor="text1"/>
          <w:szCs w:val="16"/>
        </w:rPr>
        <w:br/>
      </w:r>
      <w:r w:rsidRPr="00781112">
        <w:rPr>
          <w:rFonts w:cs="Arial"/>
          <w:color w:val="000000" w:themeColor="text1"/>
          <w:szCs w:val="16"/>
        </w:rPr>
        <w:br/>
        <w:t>The State must update its baseline date because the U.S. Department of Education’s Office of Special Education Programs changed the measurement/reporting requirement for this indicator. Based on stakeholder recommendation, the State selected FFY 2020 as the baseline year. Because the baseline year is FFY 2020, the State does not enter a target for FFY 2020.</w:t>
      </w:r>
      <w:r w:rsidRPr="00781112">
        <w:rPr>
          <w:rFonts w:cs="Arial"/>
          <w:color w:val="000000" w:themeColor="text1"/>
          <w:szCs w:val="16"/>
        </w:rPr>
        <w:br/>
      </w:r>
      <w:r w:rsidRPr="00781112">
        <w:rPr>
          <w:rFonts w:cs="Arial"/>
          <w:color w:val="000000" w:themeColor="text1"/>
          <w:szCs w:val="16"/>
        </w:rPr>
        <w:br/>
        <w:t>Nebraska is currently in the process of redesigning the Nebraska Education Profile (NEP) and will incorporate all needed changes in the new site. The new NEP is expected to launch beginning in September 2023, with data from the 2022-23 school year.</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did not provide a Web link demonstrating that the State reported publicly on the participation of children with disabilities on statewide assessments with the same frequency and in the same detail as it reports on the assessments of nondisabled children, as required by 34 C.F.R. § 300.160(f). Specifically, the State has not reported the number of children with disabilities participating in regular assessments, and the number of those </w:t>
      </w:r>
      <w:r w:rsidRPr="00781112">
        <w:rPr>
          <w:rFonts w:cs="Arial"/>
          <w:color w:val="000000" w:themeColor="text1"/>
          <w:szCs w:val="16"/>
          <w:shd w:val="clear" w:color="auto" w:fill="FFFFFF"/>
        </w:rPr>
        <w:lastRenderedPageBreak/>
        <w:t>children who were provided accommodations (that did not result in an invalid score) in order to participate in those assessments at the State, district and school levels. The failure to publicly report as required under 34 C.F.R. § 300.160(f) is noncompliance.</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8"/>
      <w:bookmarkEnd w:id="9"/>
    </w:p>
    <w:p w14:paraId="66C662B8" w14:textId="77777777" w:rsidR="007C3C89" w:rsidRPr="00781112" w:rsidRDefault="007C3C89" w:rsidP="00A018D4">
      <w:pPr>
        <w:rPr>
          <w:color w:val="000000" w:themeColor="text1"/>
          <w:szCs w:val="20"/>
        </w:rPr>
      </w:pPr>
      <w:bookmarkStart w:id="11"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1"/>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23.52%</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16.02%</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10.13%</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19.30%</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12.85%</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9.03%</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23.52%</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24.02%</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25.02%</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26.02%</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27.02%</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28.02%</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16.02%</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16.52%</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17.52%</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18.52%</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19.52%</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20.52%</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10.13%</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10.63%</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11.63%</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12.63%</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13.63%</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14.63%</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19.38%</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20.33%</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21.33%</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22.33%</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23.33%</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24.33%</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12.85%</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13.35%</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14.35%</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15.35%</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16.35%</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17.35%</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9.03%</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9.53%</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10.53%</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11.53%</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12.53%</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13.53%</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 xml:space="preserve">The RDA Stakeholder Group has met periodically throughout the past year and will continue meeting to establish and review targets and performance as indicated in the SPP/APR and the development and implementation of the State Systemic Improvement Plan (SSIP). Thus far the RDA Stakeholder Group has reviewed historical data around each of the indicators and established targets for each of the indicators. Additionally, the RDA Stakeholder Group assisted NDE in establishing the State Identified Measurable Result (SIMR). As the RDA Stakeholder Group continues meeting, it will provide </w:t>
      </w:r>
      <w:r w:rsidRPr="00781112">
        <w:rPr>
          <w:rFonts w:cs="Arial"/>
          <w:color w:val="000000" w:themeColor="text1"/>
          <w:szCs w:val="16"/>
        </w:rPr>
        <w:lastRenderedPageBreak/>
        <w:t xml:space="preserve">guidance and input on the development of the continued phases of the SSIP process.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some members serving as liaisons to the RDA Stakeholder Group: Special Education Advisory Council (SEAC) and the Results Matter Nebraska Task Force. SEAC is established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work collaboratively with stakeholders, including SEAC and the Task Force, to analyze and review data to assist in making changes to the SSIP in relation to the SiMR data, interim measures of progress, and any needed changes to infrastructure and programmatic activities.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A stakeholder group met staring in April and working through September to review and discuss historical and longitudinal data and determined appropriate targets to pursue in this APR package.</w:t>
      </w:r>
    </w:p>
    <w:p w14:paraId="2446B7C2" w14:textId="77777777" w:rsidR="00F20369" w:rsidRPr="00781112" w:rsidRDefault="00F20369" w:rsidP="004369B2">
      <w:pPr>
        <w:rPr>
          <w:color w:val="000000" w:themeColor="text1"/>
        </w:rPr>
      </w:pPr>
      <w:bookmarkStart w:id="12"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3,748</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2,796</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2,329</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593</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278</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75</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288</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170</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161</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3,737</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2,785</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2,315</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502</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200</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68</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239</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158</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141</w:t>
            </w:r>
          </w:p>
        </w:tc>
      </w:tr>
      <w:bookmarkEnd w:id="12"/>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lastRenderedPageBreak/>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881</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3,748</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23.52%</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23.51%</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448</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2,796</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16.02%</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16.02%</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236</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2,329</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10.13%</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10.13%</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741</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3,737</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19.38%</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19.83%</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358</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2,785</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12.85%</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12.85%</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209</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2,315</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9.03%</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9.03%</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ELA</w:t>
      </w:r>
      <w:r w:rsidRPr="00781112">
        <w:rPr>
          <w:rFonts w:cs="Arial"/>
          <w:color w:val="000000" w:themeColor="text1"/>
          <w:szCs w:val="16"/>
        </w:rPr>
        <w:br/>
        <w:t>https://nscas2021specialreport.education.ne.gov/Performance/ELA/Proficient?dataYears=20202021&amp;agencyId=00-0000-000&amp;grade=Al&amp;subject=1&amp;group=11&amp;currentGroup=statewide</w:t>
      </w:r>
      <w:r w:rsidRPr="00781112">
        <w:rPr>
          <w:rFonts w:cs="Arial"/>
          <w:color w:val="000000" w:themeColor="text1"/>
          <w:szCs w:val="16"/>
        </w:rPr>
        <w:br/>
        <w:t>Math</w:t>
      </w:r>
      <w:r w:rsidRPr="00781112">
        <w:rPr>
          <w:rFonts w:cs="Arial"/>
          <w:color w:val="000000" w:themeColor="text1"/>
          <w:szCs w:val="16"/>
        </w:rPr>
        <w:br/>
        <w:t>https://nscas2021specialreport.education.ne.gov/Performance/Math/Proficient?dataYears=20202021&amp;agencyId=00-0000-000&amp;grade=Al&amp;subject=2&amp;group=11&amp;currentGroup=statewide</w:t>
      </w:r>
    </w:p>
    <w:p w14:paraId="2BE473B4" w14:textId="77777777" w:rsidR="00053391" w:rsidRPr="00781112" w:rsidRDefault="00053391" w:rsidP="004369B2">
      <w:pPr>
        <w:rPr>
          <w:b/>
          <w:color w:val="000000" w:themeColor="text1"/>
        </w:rPr>
      </w:pPr>
      <w:bookmarkStart w:id="13" w:name="_Toc382082367"/>
      <w:bookmarkStart w:id="14"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xml:space="preserve">The State was not required to provide any data for this indicator in FFY 2019. Due to the circumstances created by the COVID-19 pandemic, and resulting school closures, the State received a waiver of the assessment requirements in section 1111(b)(2) of the ESEA, and, as a result, does not have any FFY 2019 data for this indicator. </w:t>
      </w:r>
      <w:r w:rsidRPr="00781112">
        <w:rPr>
          <w:rFonts w:cs="Arial"/>
          <w:color w:val="000000" w:themeColor="text1"/>
          <w:szCs w:val="16"/>
        </w:rPr>
        <w:br/>
      </w:r>
      <w:r w:rsidRPr="00781112">
        <w:rPr>
          <w:rFonts w:cs="Arial"/>
          <w:color w:val="000000" w:themeColor="text1"/>
          <w:szCs w:val="16"/>
        </w:rPr>
        <w:br/>
        <w:t xml:space="preserve">The State must update its baseline date because the U.S. Department of Education’s Office of Special Education Programs changed the measurement/reporting requirement for this indicator. Based on stakeholder recommendation, the State selected FFY 2020 as the baseline year. Because the baseline year is FFY 2020, the State does not enter a target for FFY 2020. </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xml:space="preserve">The State has revised the baseline for Reading Grades 4, 8 and HS, and Math Grades 8 and HS, using data from FFY 2020, and OSEP accepts those revisions.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has revised the baseline for Math Grade 4, using data from FFY 2020, but OSEP cannot accept that baseline revision because the State's FFY 2020 baseline data reported in the Historical Data table are not consistent with the State's FFY 2020 data reported in the FFY 2020 SPP/APR Data table.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provided targets for FFYs 2020 through 2025 for this indicator, and OSEP accepts the targets for Reading Grades 4, 8, and HS and Math Grades 8 and HS, but OSEP cannot accept the target for Math Grade 4 because OSEP cannot determine whether the State's end target for FFY 2025 reflects improvement over the State's baseline data, given the discrepancy in the baseline data, as noted above. </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If the State chooses to revise its Math Grade 4 baseline, using FFY 2020 data, the State must ensure that the FFY 2020 data in the Historical Table is consistent with the data reported in FFY 2020.</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targets for Math Grade 4, as required by the measurement table. The State must provide the required targets for FFY 2020 through FFY 2025 in the FFY 2021 SPP/APR.</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3"/>
      <w:bookmarkEnd w:id="14"/>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5" w:name="_Toc384383330"/>
      <w:bookmarkStart w:id="16" w:name="_Toc392159282"/>
      <w:bookmarkStart w:id="17"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44.44%</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32.59%</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42.66%</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42.52%</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43.05%</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35.02%</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44.44%</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44.94%</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45.94%</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46.94%</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47.94%</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48.94%</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32.59%</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33.09%</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34.09%</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35.09%</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36.09%</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37.09%</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42.66%</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43.16%</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44.16%</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45.16%</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46.16%</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47.16%</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42.52%</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43.02%</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44.02%</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45.02%</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46.02%</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47.02%</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43.05%</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43.55%</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44.55%</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45.55%</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46.55%</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47.55%</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35.02%</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35.52%</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36.52%</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37.52%</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38.52%</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39.52%</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 xml:space="preserve">The RDA Stakeholder Group has met periodically throughout the past year and will continue meeting to establish and review targets and performance as indicated in the SPP/APR and the development and implementation of the State Systemic Improvement Plan (SSIP). Thus far the RDA Stakeholder Group has reviewed historical data around each of the indicators and established targets for each of the indicators. Additionally, the RDA Stakeholder Group assisted NDE in establishing the State Identified Measurable Result (SIMR). As the RDA Stakeholder Group continues meeting, it will provide guidance and input on the development of the continued phases of the SSIP process.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some members serving as liaisons to the RDA Stakeholder Group: Special Education Advisory Council (SEAC) and the Results Matter Nebraska Task Force. SEAC is established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work collaboratively with stakeholders, including SEAC and the Task Force, to analyze and review data to assist in making changes to the SSIP in relation to the SiMR data, interim measures of progress, and any needed changes to infrastructure and programmatic activities. </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216</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224</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218</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96</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73</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93</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214</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223</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217</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91</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96</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76</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lastRenderedPageBreak/>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96</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216</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44.44%</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44.44%</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73</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224</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32.59%</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32.59%</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93</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218</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42.66%</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42.66%</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91</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214</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42.52%</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42.52%</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96</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223</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43.05%</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43.05%</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76</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217</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35.02%</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35.02%</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ELA</w:t>
      </w:r>
      <w:r w:rsidRPr="00781112">
        <w:rPr>
          <w:rFonts w:cs="Arial"/>
          <w:color w:val="000000" w:themeColor="text1"/>
          <w:szCs w:val="16"/>
          <w:shd w:val="clear" w:color="auto" w:fill="FFFFFF"/>
        </w:rPr>
        <w:br/>
        <w:t>https://nscas2021specialreport.education.ne.gov/Performance/ELA/Proficient?dataYears=20202021&amp;agencyId=00-0000-000&amp;grade=Al&amp;subject=1&amp;group=13&amp;currentGroup=statewide</w:t>
      </w:r>
      <w:r w:rsidRPr="00781112">
        <w:rPr>
          <w:rFonts w:cs="Arial"/>
          <w:color w:val="000000" w:themeColor="text1"/>
          <w:szCs w:val="16"/>
          <w:shd w:val="clear" w:color="auto" w:fill="FFFFFF"/>
        </w:rPr>
        <w:br/>
        <w:t>Math</w:t>
      </w:r>
      <w:r w:rsidRPr="00781112">
        <w:rPr>
          <w:rFonts w:cs="Arial"/>
          <w:color w:val="000000" w:themeColor="text1"/>
          <w:szCs w:val="16"/>
          <w:shd w:val="clear" w:color="auto" w:fill="FFFFFF"/>
        </w:rPr>
        <w:br/>
        <w:t>https://nscas2021specialreport.education.ne.gov/Performance/Math/Proficient?dataYears=20202021&amp;agencyId=00-0000-000&amp;grade=Al&amp;subject=2&amp;group=13&amp;currentGroup=statewide</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The State must update its baseline date because the U.S. Department of Education’s Office of Special Education Programs changed the measurement/reporting requirement for this indicator. Based on stakeholder recommendation, the State selected FFY 2020 as the baseline year. Because the baseline year is FFY 2020, the State does not enter a target for FFY 2020. </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30.18</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34.57</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37.82</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25.83</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32.43</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36.63</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30.18</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29.68</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28.68</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27.68</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26.68</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25.68</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34.57</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34.07</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33.07</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32.07</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31.07</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30.07</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37.82</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37.32</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36.32</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35.32</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34.32</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33.32</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25.83</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25.33</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24.33</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23.33</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22.33</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21.33</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32.43</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31.93</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30.93</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29.93</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28.93</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27.93</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36.63</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36.13</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35.13</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34.13</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33.13</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32.13</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 xml:space="preserve">The RDA Stakeholder Group has met periodically throughout the past year and will continue meeting to establish and review targets and performance as indicated in the SPP/APR and the development and implementation of the State Systemic Improvement Plan (SSIP). Thus far the RDA Stakeholder Group has reviewed historical data around each of the indicators and established targets for each of the indicators. Additionally, the RDA Stakeholder Group assisted NDE in establishing the State Identified Measurable Result (SIMR). As the RDA Stakeholder Group continues meeting, it will provide guidance and input on the development of the continued phases of the SSIP process.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some members serving as liaisons to the RDA Stakeholder Group: Special Education Advisory Council (SEAC) and the Results Matter Nebraska Task Force. SEAC is established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work collaboratively with stakeholders, including SEAC and the Task Force, to analyze and review data to assist in making changes to the SSIP in relation to the SiMR data, interim measures of progress, and any needed changes to infrastructure and programmatic activities. </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21,729</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20,722</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22,011</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3,748</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2,796</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2,329</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11,081</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10,261</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10,214</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584</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222</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341</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593</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278</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75</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288</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170</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161</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21,693</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20,696</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21,982</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3,737</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2,785</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2,315</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9,468</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9,172</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9,712</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437</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201</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324</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502</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200</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68</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lastRenderedPageBreak/>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239</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158</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141</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23.51%</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53.68%</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30.18</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30.18</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16.02%</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50.59%</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34.57</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34.57</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10.13%</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47.95%</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37.82</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37.82</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19.83%</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45.66%</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25.83</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25.83</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12.85%</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45.29%</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32.43</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32.43</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9.03%</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45.66%</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36.63</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36.63</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 xml:space="preserve">The State must update its baseline date because the U.S. Department of Education’s Office of Special Education Programs changed the measurement/reporting requirement for this indicator. Based on stakeholder recommendation, the State selected FFY 2020 as the baseline year. Because the baseline year is FFY 2020, the State does not enter a target for FFY 2020. </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2020,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5"/>
      <w:bookmarkEnd w:id="16"/>
    </w:p>
    <w:p w14:paraId="6B24B370" w14:textId="77777777" w:rsidR="006E5AE4" w:rsidRPr="00781112" w:rsidRDefault="006E5AE4" w:rsidP="00A018D4">
      <w:pPr>
        <w:rPr>
          <w:color w:val="000000" w:themeColor="text1"/>
          <w:szCs w:val="20"/>
        </w:rPr>
      </w:pPr>
      <w:bookmarkStart w:id="18" w:name="_Toc384383331"/>
      <w:bookmarkStart w:id="19"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0" w:name="_Toc384383332"/>
      <w:bookmarkStart w:id="21" w:name="_Toc392159284"/>
      <w:bookmarkEnd w:id="18"/>
      <w:bookmarkEnd w:id="19"/>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0.40%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 xml:space="preserve">The RDA Stakeholder Group has met periodically throughout the past year and will continue meeting to establish and review targets and performance as indicated in the SPP/APR and the development and implementation of the State Systemic Improvement Plan (SSIP). Thus far the RDA Stakeholder Group has reviewed historical data around each of the indicators and established targets for each of the indicators. Additionally, the RDA Stakeholder Group assisted NDE in establishing the State Identified Measurable Result (SIMR). As the RDA Stakeholder Group continues meeting, it will provide guidance and input on the development of the continued phases of the SSIP process.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some members serving as liaisons to the RDA Stakeholder Group: Special Education Advisory Council (SEAC) and the Results Matter Nebraska Task Force. SEAC is established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work collaboratively with stakeholders, including SEAC and the Task Force, to analyze and review data to assist in making changes to the SSIP in relation to the SiMR data, interim measures of progress, and any needed changes to infrastructure and programmatic activities. </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0"/>
      <w:bookmarkEnd w:id="21"/>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240</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For indicator 4A, a significant discrepancy in the rate of out-of-school suspension/expulsions for greater than 10 days is defined as a district-level long-term suspension/expulsion rate for students with disabilities of greater than 5%. Nebraska’s methodology uses a minimum cell size of 10 and a minimum n-size of 30. Out of 244 districts, only 4 suspended or expelled 10 or more students with disabilities for more than 10 days. Of those, none had a rate greater than 5%, therefore, none were identified as having significant discrepancy for FFY2020 (using FFY2019 data) for indicator 4A. </w:t>
      </w:r>
    </w:p>
    <w:p w14:paraId="47F07052" w14:textId="77777777" w:rsidR="00BB504D" w:rsidRPr="00781112" w:rsidRDefault="00BB504D" w:rsidP="004369B2">
      <w:pPr>
        <w:rPr>
          <w:b/>
          <w:color w:val="000000" w:themeColor="text1"/>
        </w:rPr>
      </w:pPr>
      <w:bookmarkStart w:id="22" w:name="_Toc384383334"/>
      <w:bookmarkStart w:id="23"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2"/>
    <w:bookmarkEnd w:id="23"/>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Nebraska requires LEAs with significant discrepancy to submit their policies and procedures to the SEA for review. The SEA reviews both policies and procedures as well as student files to determine if the significant discrepancy is due to policies, procedures, or practices that contribute to the significant discrepancy and do not comply with requirements relating to the development and implementation of IEPs, the use of positive behavior supports, or procedural safeguards. The districts are notified of all findings and will have one year to correct noncompliance.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4" w:name="_Toc381956335"/>
      <w:bookmarkStart w:id="25" w:name="_Toc384383336"/>
      <w:bookmarkStart w:id="26"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lastRenderedPageBreak/>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4"/>
      <w:bookmarkEnd w:id="25"/>
      <w:bookmarkEnd w:id="26"/>
    </w:p>
    <w:p w14:paraId="1BA30D93" w14:textId="77777777" w:rsidR="008637F8" w:rsidRPr="00781112" w:rsidRDefault="008637F8" w:rsidP="00A018D4">
      <w:pPr>
        <w:rPr>
          <w:color w:val="000000" w:themeColor="text1"/>
          <w:szCs w:val="20"/>
        </w:rPr>
      </w:pPr>
      <w:bookmarkStart w:id="27" w:name="_Toc384383338"/>
      <w:bookmarkStart w:id="28"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2009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25.00%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7"/>
      <w:bookmarkEnd w:id="28"/>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241</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9"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A significant discrepancy in the rate of out-of-school suspension/expulsions for greater than 10 days is a long-term suspension/expulsion rate of greater than 5% for students of any racial or ethnic group. Nebraska’s methodology uses a minimum cell size of 10 and a minimum n-size of 30. For each of Nebraska’s districts that meet the minimum cell- and n-sizes, the Nebraska Department of Education calculates a suspension and expulsion rate for each of the seven race and ethnicity reporting categories. (Note: many districts do not have members of every race and ethnicity reporting category enrolled in the district.)  </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Nebraska requires LEAs with a significant discrepancy to submit their policies and procedures to the SEA for review. The SEA reviews both policies and procedures, as well as student files, to determine if the significant discrepancy is due to policies, procedures, or practices that contribute to the significant discrepancy and do not comply with requirements relating to the development and implementation of IEPs, the use of positive behavior supports, or procedural safeguards. NDE informs districts of all findings, and the SEA will ensure any noncompliance issues are corrected within one year. </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0535932" w14:textId="29A50C20" w:rsidR="009A755E" w:rsidRPr="00781112" w:rsidRDefault="00F6415A" w:rsidP="004369B2">
      <w:pPr>
        <w:rPr>
          <w:color w:val="000000" w:themeColor="text1"/>
        </w:rPr>
      </w:pPr>
      <w:r w:rsidRPr="00781112">
        <w:rPr>
          <w:b/>
          <w:color w:val="000000" w:themeColor="text1"/>
        </w:rPr>
        <w:t>FFY 2019 Findings of Noncompliance Verified as Corrected</w:t>
      </w:r>
    </w:p>
    <w:p w14:paraId="4891D6D0" w14:textId="6FEEF39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0EAB644" w14:textId="6FB464DA" w:rsidR="003C308E" w:rsidRPr="00781112" w:rsidRDefault="002B7490" w:rsidP="009A755E">
      <w:pPr>
        <w:rPr>
          <w:rFonts w:cs="Arial"/>
          <w:color w:val="000000" w:themeColor="text1"/>
          <w:szCs w:val="16"/>
        </w:rPr>
      </w:pPr>
      <w:r w:rsidRPr="00781112">
        <w:rPr>
          <w:rFonts w:cs="Arial"/>
          <w:color w:val="000000" w:themeColor="text1"/>
          <w:szCs w:val="16"/>
        </w:rPr>
        <w:t xml:space="preserve">Pursuant to the requirements from the Measurement Table and OSEP Memorandum 09-02, dated October 17, 2008, NDE required the LEA with the identified discrepancy to complete corrective actions within a specified time frame. NDE verified assigned corrections by reviewing all created or revised policies and procedures, specifically in the areas of noncompliance found, reviewing completed training requirements, and reviewing a random pull of updated data, specifically disciplinary records of students who were suspended/expelled greater than 10 days (representing the discrepant subgroups) to ensure compliant practice in updated data aligned to requirements. NDE verified that all created and revised policies and procedures met legal requirements, and the LEA completed all training requirements. NDE reviewed corrected policies and procedures, which required the district to hold IEP Team meetings to ensure the policies/procedures were corrected.  NDE reviewed files for correct implementation of practice, specifically when to hold a manifestation determination, and determined that the district had corrected to 100% compliance.  </w:t>
      </w:r>
    </w:p>
    <w:p w14:paraId="529E9FA7" w14:textId="3D04F5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B8F3BB2" w14:textId="0FF7AF13" w:rsidR="003C308E" w:rsidRPr="00781112" w:rsidRDefault="002B7490" w:rsidP="009A755E">
      <w:pPr>
        <w:rPr>
          <w:rFonts w:cs="Arial"/>
          <w:color w:val="000000" w:themeColor="text1"/>
          <w:szCs w:val="16"/>
        </w:rPr>
      </w:pPr>
      <w:r w:rsidRPr="00781112">
        <w:rPr>
          <w:rFonts w:cs="Arial"/>
          <w:color w:val="000000" w:themeColor="text1"/>
          <w:szCs w:val="16"/>
        </w:rPr>
        <w:t>NDE verified that each individual case of noncompliance was corrected by requiring the district to undertake specific corrective action and submit documentation to NDE verifying the individual noncompliance had been corrected. NDE reviewed the correction of individual noncompliance to verify the district had corrected.  NDE reviewed files for correct implementation of practice, specifically when to hold a manifestation determination, and determined that the district had corrected to 100% compliance.</w:t>
      </w:r>
    </w:p>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(greater than 0% actual target data for this indicator) for FFY 2019, the State must report on the status of correction of noncompliance identified in FFY 2019 for this indicator.  The State must demonstrate, in the FFY 2020 SPP/APR, that the districts identified with noncompliance in FFY 2019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781112">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739A1EFB" w14:textId="5155DA04" w:rsidR="004E2151" w:rsidRPr="00781112" w:rsidRDefault="004E2151" w:rsidP="004369B2">
      <w:pPr>
        <w:rPr>
          <w:b/>
          <w:color w:val="000000" w:themeColor="text1"/>
        </w:rPr>
      </w:pPr>
      <w:r w:rsidRPr="00781112">
        <w:rPr>
          <w:b/>
          <w:color w:val="000000" w:themeColor="text1"/>
        </w:rPr>
        <w:t>Response to actions required in FFY 2019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 xml:space="preserve">Pursuant to the requirements from the Measurement Table and OSEP Memorandum 09-02, dated October 17, 2008, NDE required the LEA with the identified discrepancy to complete corrective actions within a specified time frame. NDE verified assigned corrections by reviewing all created or revised policies and procedures, reviewing completed training requirements, and reviewing a random pull of disciplinary records of students who were suspended/expelled greater than 10 days (representing the discrepant subgroups) to ensure practice in updated data aligned to requirements. NDE verified that all created and revised policies and procedures meet legal requirements, and the LEA completed all training requirements. The review of updated data showed that practice meets requirements. </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0"/>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7"/>
      <w:bookmarkEnd w:id="29"/>
    </w:p>
    <w:p w14:paraId="52AD89A1" w14:textId="77777777" w:rsidR="00775845" w:rsidRPr="00781112" w:rsidRDefault="00775845" w:rsidP="00A018D4">
      <w:pPr>
        <w:rPr>
          <w:color w:val="000000" w:themeColor="text1"/>
          <w:szCs w:val="20"/>
        </w:rPr>
      </w:pPr>
      <w:bookmarkStart w:id="30"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0"/>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73.60%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74.10%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74.60%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74.60%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81.16%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75.54%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76.75%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77.78%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78.20%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79.08%</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6.52%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6.45%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6.39%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6.33%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6.33%</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5.72%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6.62%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6.68%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6.26%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6.30%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5.41%</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2.26%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2.14%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2.14%</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2.38%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2.12%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2.08%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2.32%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2.17%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2.13%</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81.16%</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81.32%</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81.47%</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81.63%</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81.78%</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81.94%</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5.72%</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5.72%</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5.71%</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5.71%</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5.70%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5.70%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2.38%</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2.36%</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2.35%</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2.33%</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2.31%</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2.30%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 xml:space="preserve">The RDA Stakeholder Group has met periodically throughout the past year and will continue meeting to establish and review targets and performance as indicated in the SPP/APR and the development and implementation of the State Systemic Improvement Plan (SSIP). Thus far the RDA Stakeholder Group has reviewed historical data around each of the indicators and established targets for each of the indicators. Additionally, the RDA Stakeholder Group assisted NDE in establishing the State Identified Measurable Result (SIMR). As the RDA Stakeholder Group continues meeting, it will provide guidance and input on the development of the continued phases of the SSIP process.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some members serving as liaisons to the RDA Stakeholder Group: Special Education Advisory Council (SEAC) and the Results Matter Nebraska Task Force. SEAC is established pursuant to 34 CFR § 300.167 and, as such, provides input from a diverse </w:t>
      </w:r>
      <w:r w:rsidRPr="00781112">
        <w:rPr>
          <w:rFonts w:cs="Arial"/>
          <w:color w:val="000000" w:themeColor="text1"/>
          <w:szCs w:val="16"/>
        </w:rPr>
        <w:lastRenderedPageBreak/>
        <w:t xml:space="preserve">group of stakeholders. SEAC and the Task Force, which regularly discusses the SPP/APR and provides input on the targets and strategies contained therein, has reviewed, and supported the work of the RDA Stakeholder Group. NDE continues to work collaboratively with stakeholders, including SEAC and the Task Force, to analyze and review data to assist in making changes to the SSIP in relation to the SiMR data, interim measures of progress, and any needed changes to infrastructure and programmatic activities. </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47,861</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38,844</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2,606</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882</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60</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144</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38,844</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47,861</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79.08%</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81.16%</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81.16%</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2,606</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47,861</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5.41%</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5.72%</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5.44%</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1,086</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47,861</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2.13%</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2.38%</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2.27%</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The State must update its baseline date because the U.S. Department of Education’s Office of Special Education Programs changed the measurement/reporting requirement for the data source used for this indicator to include 5-year-old kindergarteners in the data source. Based on stakeholder recommendation, the State selected FFY 2019 as the baseline for Indicator 5A and selected FFY 2020 as the baseline year for 5B &amp; 5C. Because the baseline year is FFY 2020 for Indicator 5B &amp; 5C, the State does not enter a target for FFY 2020. </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lastRenderedPageBreak/>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 for subindicator 5A.  OSEP cannot accept the revisions for subindicators 5B and 5C because there is a discrepancy between the FFY 2020 data in the Historical Table and the reported FFY 2020 data.</w:t>
      </w:r>
      <w:r w:rsidRPr="00781112">
        <w:rPr>
          <w:rFonts w:cs="Arial"/>
          <w:color w:val="000000" w:themeColor="text1"/>
          <w:szCs w:val="16"/>
        </w:rPr>
        <w:br/>
      </w:r>
      <w:r w:rsidRPr="00781112">
        <w:rPr>
          <w:rFonts w:cs="Arial"/>
          <w:color w:val="000000" w:themeColor="text1"/>
          <w:szCs w:val="16"/>
        </w:rPr>
        <w:br/>
        <w:t xml:space="preserve">The State provided targets for FFYs 2020 through 2025 for this indicator, and OSEP accepts the targets for 5A, but OSEP cannot accept the targets for 5B and 5C due to the discrepancy in the baseline data, as noted above. </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2B7490" w:rsidP="001F692C">
      <w:pPr>
        <w:rPr>
          <w:rFonts w:cs="Arial"/>
          <w:color w:val="000000" w:themeColor="text1"/>
          <w:szCs w:val="16"/>
        </w:rPr>
      </w:pPr>
      <w:r w:rsidRPr="00781112">
        <w:rPr>
          <w:rFonts w:cs="Arial"/>
          <w:color w:val="000000" w:themeColor="text1"/>
          <w:szCs w:val="16"/>
        </w:rPr>
        <w:t>The State did not provide Indicator 5B and 5C targets, as required by the measurement table. The State must provide the required targets for FFY 2020 through FFY 2025 in the FFY 2021 SPP/APR.</w:t>
      </w:r>
      <w:r w:rsidRPr="00781112">
        <w:rPr>
          <w:rFonts w:cs="Arial"/>
          <w:color w:val="000000" w:themeColor="text1"/>
          <w:szCs w:val="16"/>
        </w:rPr>
        <w:br/>
      </w:r>
      <w:r w:rsidRPr="00781112">
        <w:rPr>
          <w:rFonts w:cs="Arial"/>
          <w:color w:val="000000" w:themeColor="text1"/>
          <w:szCs w:val="16"/>
        </w:rPr>
        <w:br/>
        <w:t>If the State chooses to revise its Indicator 5B and 5C baseline, using FFY 2020 data, the State must ensure that the FFY 2020 data in the Historical Table matches the data reported in FFY 2020.</w:t>
      </w: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1"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1"/>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72.00%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73.00%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74.00%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75.00%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75.00%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77.65%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73.55%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80.38%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81.18%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83.12%</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5.70%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5.60%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5.60%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5.50%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5.50%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4.89%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4.45%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3.59%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3.42%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3.34%</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 xml:space="preserve">The RDA Stakeholder Group has met periodically throughout the past year and will continue meeting to establish and review targets and performance as indicated in the SPP/APR and the development and implementation of the State Systemic Improvement Plan (SSIP). Thus far the RDA Stakeholder Group has reviewed historical data around each of the indicators and established targets for each of the indicators. Additionally, the RDA Stakeholder Group assisted NDE in establishing the State Identified Measurable Result (SIMR). As the RDA Stakeholder Group continues meeting, it will provide guidance and input on the development of the continued phases of the SSIP process.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some members serving as liaisons to the RDA Stakeholder Group: Special Education Advisory Council (SEAC) and the Results Matter Nebraska Task Force. SEAC is established pursuant to 34 CFR § 300.167 and, as such, provides input from a diverse group of stakeholders. SEAC and the Task Force, which regularly discusses the SPP/APR and provides input on the targets and strategies contained </w:t>
      </w:r>
      <w:r w:rsidRPr="00781112">
        <w:rPr>
          <w:rFonts w:cs="Arial"/>
          <w:color w:val="000000" w:themeColor="text1"/>
          <w:szCs w:val="16"/>
        </w:rPr>
        <w:lastRenderedPageBreak/>
        <w:t xml:space="preserve">therein, has reviewed, and supported the work of the RDA Stakeholder Group. NDE continues to work collaboratively with stakeholders, including SEAC and the Task Force, to analyze and review data to assist in making changes to the SSIP in relation to the SiMR data, interim measures of progress, and any needed changes to infrastructure and programmatic activities.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NDE engaged parents in setting targets, analyzing data, developing improvement strategies, and evaluating progress for the SPP/APR by ensuring parent representatives were invited to all stakeholder meetings. At stakeholder meetings, NDE staff presented indicator information and led indicator discussions in a way that made the information on the SPP/APR clear and accessible to parents, especially parents who may not have much experience with the SPP/APR. NDE also worked to engage parents by communicating through existing networks with superintendents, principals, and special education directors, asking those administrators to send specific communication to the parents in their schools and districts to ensure that all parents were hearing about the opportunity to provide input on the SPP/APR from their local administrators. </w:t>
      </w:r>
      <w:r w:rsidRPr="00781112">
        <w:rPr>
          <w:rFonts w:cs="Arial"/>
          <w:color w:val="000000" w:themeColor="text1"/>
          <w:szCs w:val="16"/>
        </w:rPr>
        <w:br/>
      </w:r>
      <w:r w:rsidRPr="00781112">
        <w:rPr>
          <w:rFonts w:cs="Arial"/>
          <w:color w:val="000000" w:themeColor="text1"/>
          <w:szCs w:val="16"/>
        </w:rPr>
        <w:br/>
        <w:t>NDE prepared its materials for each stakeholder meeting with a focus on helping diverse groups of parents understand the SPP/APR so those parents could give feedback on implementation activities designed to improve outcomes for children with disabilities. NDE did this by providing information on each indicator, including describing what it measured, how Nebraska his historically performed, areas of success within each indicator, and areas of growth. Carefully laying a foundation of information then allowed NDE staff to lead conversations of stakeholders, including diverse groups of parents, focused on improving state-level activities to better support districts in improving outcomes for children with disabilities.</w:t>
      </w:r>
      <w:r w:rsidRPr="00781112">
        <w:rPr>
          <w:rFonts w:cs="Arial"/>
          <w:color w:val="000000" w:themeColor="text1"/>
          <w:szCs w:val="16"/>
        </w:rPr>
        <w:br/>
      </w:r>
      <w:r w:rsidRPr="00781112">
        <w:rPr>
          <w:rFonts w:cs="Arial"/>
          <w:color w:val="000000" w:themeColor="text1"/>
          <w:szCs w:val="16"/>
        </w:rPr>
        <w:br/>
        <w:t xml:space="preserve">Over a period of several months, NDE conducted numerous in-person and virtual meetings focused on soliciting public input for setting targets, analyzing data, developing improvement strategies, and evaluating progress. In addition to meetings, NDE provided information on its website for stakeholder review and a survey where stakeholders could provide feedback. NDE made regular announcements and updates regarding the availability of information for stakeholders and the mechanisms for stakeholder input through its monthly special education directors’ webinar and email update. NDE also sent specific communication to superintendents, principals, and special education directors requesting their input and asking them to distribute specific communication to parents in their districts and schools, inviting their feedback. </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Individual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6567A097" w14:textId="0BAA41E5" w:rsidR="001E4624" w:rsidRPr="001C443D" w:rsidRDefault="001E4624" w:rsidP="001C443D">
      <w:pPr>
        <w:rPr>
          <w:b/>
          <w:bCs/>
        </w:rPr>
      </w:pPr>
      <w:r w:rsidRPr="001C443D">
        <w:rPr>
          <w:b/>
          <w:bCs/>
        </w:rPr>
        <w:t>Baselines for Individual Targets option (A, B, C)</w:t>
      </w:r>
    </w:p>
    <w:tbl>
      <w:tblPr>
        <w:tblW w:w="2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DV"/>
      </w:tblPr>
      <w:tblGrid>
        <w:gridCol w:w="1436"/>
        <w:gridCol w:w="2025"/>
        <w:gridCol w:w="2204"/>
      </w:tblGrid>
      <w:tr w:rsidR="001E4624" w:rsidRPr="00781112" w14:paraId="51CCFCE0" w14:textId="77777777" w:rsidTr="0075451F">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5388AAE1" w14:textId="77777777" w:rsidR="001E4624" w:rsidRPr="00781112" w:rsidRDefault="001E4624" w:rsidP="001A5EEE">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3D105467" w14:textId="77777777" w:rsidR="001E4624" w:rsidRPr="00781112" w:rsidRDefault="001E4624" w:rsidP="001A5EEE">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204" w:type="dxa"/>
            <w:tcBorders>
              <w:top w:val="single" w:sz="4" w:space="0" w:color="auto"/>
              <w:left w:val="single" w:sz="4" w:space="0" w:color="auto"/>
              <w:bottom w:val="single" w:sz="4" w:space="0" w:color="auto"/>
              <w:right w:val="single" w:sz="4" w:space="0" w:color="auto"/>
            </w:tcBorders>
          </w:tcPr>
          <w:p w14:paraId="3682C504" w14:textId="77777777" w:rsidR="001E4624" w:rsidRPr="00781112" w:rsidRDefault="001E4624" w:rsidP="001A5EEE">
            <w:pPr>
              <w:spacing w:line="276" w:lineRule="auto"/>
              <w:jc w:val="center"/>
              <w:rPr>
                <w:rFonts w:cs="Arial"/>
                <w:b/>
                <w:color w:val="000000" w:themeColor="text1"/>
                <w:szCs w:val="16"/>
              </w:rPr>
            </w:pPr>
            <w:r w:rsidRPr="00781112">
              <w:rPr>
                <w:rFonts w:cs="Arial"/>
                <w:b/>
                <w:color w:val="000000" w:themeColor="text1"/>
                <w:szCs w:val="16"/>
              </w:rPr>
              <w:t>Baseline Data</w:t>
            </w:r>
          </w:p>
        </w:tc>
      </w:tr>
      <w:tr w:rsidR="001E4624" w:rsidRPr="00781112" w14:paraId="0C1BB37A" w14:textId="77777777" w:rsidTr="0075451F">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400DEFB9" w14:textId="15BD208D" w:rsidR="001E4624" w:rsidRPr="00781112" w:rsidRDefault="001E4624" w:rsidP="001A5EEE">
            <w:pPr>
              <w:spacing w:line="276" w:lineRule="auto"/>
              <w:jc w:val="center"/>
              <w:rPr>
                <w:rFonts w:cs="Arial"/>
                <w:b/>
                <w:bCs/>
                <w:color w:val="000000" w:themeColor="text1"/>
                <w:szCs w:val="16"/>
              </w:rPr>
            </w:pPr>
            <w:r w:rsidRPr="00781112">
              <w:rPr>
                <w:rFonts w:cs="Arial"/>
                <w:b/>
                <w:bCs/>
                <w:color w:val="000000" w:themeColor="text1"/>
                <w:szCs w:val="16"/>
              </w:rPr>
              <w:t>A1, age 3</w:t>
            </w:r>
          </w:p>
        </w:tc>
        <w:tc>
          <w:tcPr>
            <w:tcW w:w="2025" w:type="dxa"/>
            <w:tcBorders>
              <w:top w:val="single" w:sz="4" w:space="0" w:color="auto"/>
              <w:left w:val="single" w:sz="4" w:space="0" w:color="auto"/>
              <w:right w:val="single" w:sz="4" w:space="0" w:color="auto"/>
            </w:tcBorders>
            <w:shd w:val="clear" w:color="auto" w:fill="auto"/>
          </w:tcPr>
          <w:p w14:paraId="71B25795" w14:textId="6082B5B1" w:rsidR="001E4624" w:rsidRPr="00781112" w:rsidRDefault="001E4624" w:rsidP="001A5EEE">
            <w:pPr>
              <w:jc w:val="center"/>
              <w:rPr>
                <w:rFonts w:cs="Arial"/>
                <w:color w:val="000000" w:themeColor="text1"/>
                <w:szCs w:val="16"/>
              </w:rPr>
            </w:pPr>
            <w:r w:rsidRPr="00781112">
              <w:rPr>
                <w:rFonts w:cs="Arial"/>
                <w:color w:val="000000" w:themeColor="text1"/>
                <w:szCs w:val="16"/>
              </w:rPr>
              <w:t>2020</w:t>
            </w:r>
          </w:p>
        </w:tc>
        <w:tc>
          <w:tcPr>
            <w:tcW w:w="2204" w:type="dxa"/>
            <w:tcBorders>
              <w:top w:val="single" w:sz="4" w:space="0" w:color="auto"/>
              <w:left w:val="single" w:sz="4" w:space="0" w:color="auto"/>
              <w:right w:val="single" w:sz="4" w:space="0" w:color="auto"/>
            </w:tcBorders>
          </w:tcPr>
          <w:p w14:paraId="61D6E4FD" w14:textId="1181408A" w:rsidR="001E4624" w:rsidRPr="00781112" w:rsidRDefault="001E4624" w:rsidP="001A5EEE">
            <w:pPr>
              <w:jc w:val="center"/>
              <w:rPr>
                <w:rFonts w:cs="Arial"/>
                <w:color w:val="000000" w:themeColor="text1"/>
                <w:szCs w:val="16"/>
              </w:rPr>
            </w:pPr>
            <w:r w:rsidRPr="00781112">
              <w:rPr>
                <w:rFonts w:cs="Arial"/>
                <w:color w:val="000000" w:themeColor="text1"/>
                <w:szCs w:val="16"/>
              </w:rPr>
              <w:t>65.45%</w:t>
            </w:r>
          </w:p>
        </w:tc>
      </w:tr>
      <w:tr w:rsidR="001E4624" w:rsidRPr="00781112" w14:paraId="0960B8FB" w14:textId="77777777" w:rsidTr="0075451F">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1DC10293" w14:textId="12C79B4D"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A2, age 4</w:t>
            </w:r>
          </w:p>
        </w:tc>
        <w:tc>
          <w:tcPr>
            <w:tcW w:w="2025" w:type="dxa"/>
            <w:tcBorders>
              <w:top w:val="single" w:sz="4" w:space="0" w:color="auto"/>
              <w:left w:val="single" w:sz="4" w:space="0" w:color="auto"/>
              <w:right w:val="single" w:sz="4" w:space="0" w:color="auto"/>
            </w:tcBorders>
            <w:shd w:val="clear" w:color="auto" w:fill="auto"/>
          </w:tcPr>
          <w:p w14:paraId="108C7E2C" w14:textId="79D647DB"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top w:val="single" w:sz="4" w:space="0" w:color="auto"/>
              <w:left w:val="single" w:sz="4" w:space="0" w:color="auto"/>
              <w:right w:val="single" w:sz="4" w:space="0" w:color="auto"/>
            </w:tcBorders>
          </w:tcPr>
          <w:p w14:paraId="78D11D5F" w14:textId="2C8F85FC" w:rsidR="001E4624" w:rsidRPr="00781112" w:rsidRDefault="001E4624" w:rsidP="001E4624">
            <w:pPr>
              <w:jc w:val="center"/>
              <w:rPr>
                <w:rFonts w:cs="Arial"/>
                <w:color w:val="000000" w:themeColor="text1"/>
                <w:szCs w:val="16"/>
              </w:rPr>
            </w:pPr>
            <w:r w:rsidRPr="00781112">
              <w:rPr>
                <w:rFonts w:cs="Arial"/>
                <w:color w:val="000000" w:themeColor="text1"/>
                <w:szCs w:val="16"/>
              </w:rPr>
              <w:t>81.65%</w:t>
            </w:r>
          </w:p>
        </w:tc>
      </w:tr>
      <w:tr w:rsidR="001E4624" w:rsidRPr="00781112" w14:paraId="0EBFA594" w14:textId="77777777" w:rsidTr="0075451F">
        <w:trPr>
          <w:trHeight w:val="85"/>
        </w:trPr>
        <w:tc>
          <w:tcPr>
            <w:tcW w:w="1436" w:type="dxa"/>
            <w:tcBorders>
              <w:left w:val="single" w:sz="4" w:space="0" w:color="auto"/>
              <w:right w:val="single" w:sz="4" w:space="0" w:color="auto"/>
            </w:tcBorders>
            <w:shd w:val="clear" w:color="auto" w:fill="auto"/>
            <w:vAlign w:val="center"/>
          </w:tcPr>
          <w:p w14:paraId="5EA52536" w14:textId="4BF41707"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A3, age 5</w:t>
            </w:r>
          </w:p>
        </w:tc>
        <w:tc>
          <w:tcPr>
            <w:tcW w:w="2025" w:type="dxa"/>
            <w:tcBorders>
              <w:left w:val="single" w:sz="4" w:space="0" w:color="auto"/>
              <w:right w:val="single" w:sz="4" w:space="0" w:color="auto"/>
            </w:tcBorders>
            <w:shd w:val="clear" w:color="auto" w:fill="auto"/>
          </w:tcPr>
          <w:p w14:paraId="00917305" w14:textId="1913DDE8"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6F63798" w14:textId="2A34BA17" w:rsidR="001E4624" w:rsidRPr="00781112" w:rsidRDefault="001E4624" w:rsidP="001E4624">
            <w:pPr>
              <w:jc w:val="center"/>
              <w:rPr>
                <w:rFonts w:cs="Arial"/>
                <w:color w:val="000000" w:themeColor="text1"/>
                <w:szCs w:val="16"/>
              </w:rPr>
            </w:pPr>
            <w:r w:rsidRPr="00781112">
              <w:rPr>
                <w:rFonts w:cs="Arial"/>
                <w:color w:val="000000" w:themeColor="text1"/>
                <w:szCs w:val="16"/>
              </w:rPr>
              <w:t>78.63%</w:t>
            </w:r>
          </w:p>
        </w:tc>
      </w:tr>
      <w:tr w:rsidR="001E4624" w:rsidRPr="00781112" w14:paraId="4FE20934" w14:textId="77777777" w:rsidTr="0075451F">
        <w:trPr>
          <w:trHeight w:val="85"/>
        </w:trPr>
        <w:tc>
          <w:tcPr>
            <w:tcW w:w="1436" w:type="dxa"/>
            <w:tcBorders>
              <w:left w:val="single" w:sz="4" w:space="0" w:color="auto"/>
              <w:right w:val="single" w:sz="4" w:space="0" w:color="auto"/>
            </w:tcBorders>
            <w:shd w:val="clear" w:color="auto" w:fill="auto"/>
            <w:vAlign w:val="center"/>
          </w:tcPr>
          <w:p w14:paraId="37D7B579" w14:textId="4F88FB15"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B1, age 3</w:t>
            </w:r>
          </w:p>
        </w:tc>
        <w:tc>
          <w:tcPr>
            <w:tcW w:w="2025" w:type="dxa"/>
            <w:tcBorders>
              <w:left w:val="single" w:sz="4" w:space="0" w:color="auto"/>
              <w:right w:val="single" w:sz="4" w:space="0" w:color="auto"/>
            </w:tcBorders>
            <w:shd w:val="clear" w:color="auto" w:fill="auto"/>
          </w:tcPr>
          <w:p w14:paraId="6959A2A5" w14:textId="551533A3"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2EC17CEB" w14:textId="5C5E81EF" w:rsidR="001E4624" w:rsidRPr="00781112" w:rsidRDefault="001E4624" w:rsidP="001E4624">
            <w:pPr>
              <w:jc w:val="center"/>
              <w:rPr>
                <w:rFonts w:cs="Arial"/>
                <w:color w:val="000000" w:themeColor="text1"/>
                <w:szCs w:val="16"/>
              </w:rPr>
            </w:pPr>
            <w:r w:rsidRPr="00781112">
              <w:rPr>
                <w:rFonts w:cs="Arial"/>
                <w:color w:val="000000" w:themeColor="text1"/>
                <w:szCs w:val="16"/>
              </w:rPr>
              <w:t>4.51%</w:t>
            </w:r>
          </w:p>
        </w:tc>
      </w:tr>
      <w:tr w:rsidR="001E4624" w:rsidRPr="00781112" w14:paraId="39AE4243" w14:textId="77777777" w:rsidTr="0075451F">
        <w:trPr>
          <w:trHeight w:val="85"/>
        </w:trPr>
        <w:tc>
          <w:tcPr>
            <w:tcW w:w="1436" w:type="dxa"/>
            <w:tcBorders>
              <w:left w:val="single" w:sz="4" w:space="0" w:color="auto"/>
              <w:right w:val="single" w:sz="4" w:space="0" w:color="auto"/>
            </w:tcBorders>
            <w:shd w:val="clear" w:color="auto" w:fill="auto"/>
            <w:vAlign w:val="center"/>
          </w:tcPr>
          <w:p w14:paraId="2D87F4D2" w14:textId="2FD24EED"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B2, age 4</w:t>
            </w:r>
          </w:p>
        </w:tc>
        <w:tc>
          <w:tcPr>
            <w:tcW w:w="2025" w:type="dxa"/>
            <w:tcBorders>
              <w:left w:val="single" w:sz="4" w:space="0" w:color="auto"/>
              <w:right w:val="single" w:sz="4" w:space="0" w:color="auto"/>
            </w:tcBorders>
            <w:shd w:val="clear" w:color="auto" w:fill="auto"/>
          </w:tcPr>
          <w:p w14:paraId="53C7E977" w14:textId="322AAD58"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37545784" w14:textId="2A48DB3E" w:rsidR="001E4624" w:rsidRPr="00781112" w:rsidRDefault="001E4624" w:rsidP="001E4624">
            <w:pPr>
              <w:jc w:val="center"/>
              <w:rPr>
                <w:rFonts w:cs="Arial"/>
                <w:color w:val="000000" w:themeColor="text1"/>
                <w:szCs w:val="16"/>
              </w:rPr>
            </w:pPr>
            <w:r w:rsidRPr="00781112">
              <w:rPr>
                <w:rFonts w:cs="Arial"/>
                <w:color w:val="000000" w:themeColor="text1"/>
                <w:szCs w:val="16"/>
              </w:rPr>
              <w:t>2.70%</w:t>
            </w:r>
          </w:p>
        </w:tc>
      </w:tr>
      <w:tr w:rsidR="001E4624" w:rsidRPr="00781112" w14:paraId="3CCCC71B" w14:textId="77777777" w:rsidTr="0075451F">
        <w:trPr>
          <w:trHeight w:val="85"/>
        </w:trPr>
        <w:tc>
          <w:tcPr>
            <w:tcW w:w="1436" w:type="dxa"/>
            <w:tcBorders>
              <w:left w:val="single" w:sz="4" w:space="0" w:color="auto"/>
              <w:right w:val="single" w:sz="4" w:space="0" w:color="auto"/>
            </w:tcBorders>
            <w:shd w:val="clear" w:color="auto" w:fill="auto"/>
            <w:vAlign w:val="center"/>
          </w:tcPr>
          <w:p w14:paraId="6D30DFFA" w14:textId="1A2AAD72"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B3, age 5</w:t>
            </w:r>
          </w:p>
        </w:tc>
        <w:tc>
          <w:tcPr>
            <w:tcW w:w="2025" w:type="dxa"/>
            <w:tcBorders>
              <w:left w:val="single" w:sz="4" w:space="0" w:color="auto"/>
              <w:right w:val="single" w:sz="4" w:space="0" w:color="auto"/>
            </w:tcBorders>
            <w:shd w:val="clear" w:color="auto" w:fill="auto"/>
          </w:tcPr>
          <w:p w14:paraId="070D5948" w14:textId="724CBD29"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2626E285" w14:textId="0501CA6E" w:rsidR="001E4624" w:rsidRPr="00781112" w:rsidRDefault="001E4624" w:rsidP="001E4624">
            <w:pPr>
              <w:jc w:val="center"/>
              <w:rPr>
                <w:rFonts w:cs="Arial"/>
                <w:color w:val="000000" w:themeColor="text1"/>
                <w:szCs w:val="16"/>
              </w:rPr>
            </w:pPr>
            <w:r w:rsidRPr="00781112">
              <w:rPr>
                <w:rFonts w:cs="Arial"/>
                <w:color w:val="000000" w:themeColor="text1"/>
                <w:szCs w:val="16"/>
              </w:rPr>
              <w:t>2.98%</w:t>
            </w:r>
          </w:p>
        </w:tc>
      </w:tr>
      <w:tr w:rsidR="001E4624" w:rsidRPr="00781112" w14:paraId="33711952" w14:textId="77777777" w:rsidTr="0075451F">
        <w:trPr>
          <w:trHeight w:val="85"/>
        </w:trPr>
        <w:tc>
          <w:tcPr>
            <w:tcW w:w="1436" w:type="dxa"/>
            <w:tcBorders>
              <w:left w:val="single" w:sz="4" w:space="0" w:color="auto"/>
              <w:right w:val="single" w:sz="4" w:space="0" w:color="auto"/>
            </w:tcBorders>
            <w:shd w:val="clear" w:color="auto" w:fill="auto"/>
            <w:vAlign w:val="center"/>
          </w:tcPr>
          <w:p w14:paraId="72C75525" w14:textId="7597A322"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C1, age 3</w:t>
            </w:r>
          </w:p>
        </w:tc>
        <w:tc>
          <w:tcPr>
            <w:tcW w:w="2025" w:type="dxa"/>
            <w:tcBorders>
              <w:left w:val="single" w:sz="4" w:space="0" w:color="auto"/>
              <w:right w:val="single" w:sz="4" w:space="0" w:color="auto"/>
            </w:tcBorders>
            <w:shd w:val="clear" w:color="auto" w:fill="auto"/>
          </w:tcPr>
          <w:p w14:paraId="641A5ACF" w14:textId="555A5326"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21AA677" w14:textId="0534C621" w:rsidR="001E4624" w:rsidRPr="00781112" w:rsidRDefault="001E4624" w:rsidP="001E4624">
            <w:pPr>
              <w:jc w:val="center"/>
              <w:rPr>
                <w:rFonts w:cs="Arial"/>
                <w:color w:val="000000" w:themeColor="text1"/>
                <w:szCs w:val="16"/>
              </w:rPr>
            </w:pPr>
            <w:r w:rsidRPr="00781112">
              <w:rPr>
                <w:rFonts w:cs="Arial"/>
                <w:color w:val="000000" w:themeColor="text1"/>
                <w:szCs w:val="16"/>
              </w:rPr>
              <w:t>20.16%</w:t>
            </w:r>
          </w:p>
        </w:tc>
      </w:tr>
      <w:tr w:rsidR="00456EB4" w:rsidRPr="00781112" w14:paraId="33825281" w14:textId="77777777" w:rsidTr="0075451F">
        <w:trPr>
          <w:trHeight w:val="85"/>
        </w:trPr>
        <w:tc>
          <w:tcPr>
            <w:tcW w:w="1436" w:type="dxa"/>
            <w:tcBorders>
              <w:left w:val="single" w:sz="4" w:space="0" w:color="auto"/>
              <w:right w:val="single" w:sz="4" w:space="0" w:color="auto"/>
            </w:tcBorders>
            <w:shd w:val="clear" w:color="auto" w:fill="auto"/>
            <w:vAlign w:val="center"/>
          </w:tcPr>
          <w:p w14:paraId="14E51C75" w14:textId="3F9A4E9A" w:rsidR="00456EB4" w:rsidRPr="00781112" w:rsidRDefault="00456EB4" w:rsidP="00456EB4">
            <w:pPr>
              <w:spacing w:line="276" w:lineRule="auto"/>
              <w:jc w:val="center"/>
              <w:rPr>
                <w:rFonts w:cs="Arial"/>
                <w:b/>
                <w:bCs/>
                <w:color w:val="000000" w:themeColor="text1"/>
                <w:szCs w:val="16"/>
              </w:rPr>
            </w:pPr>
            <w:r w:rsidRPr="00781112">
              <w:rPr>
                <w:rFonts w:cs="Arial"/>
                <w:b/>
                <w:bCs/>
                <w:color w:val="000000" w:themeColor="text1"/>
                <w:szCs w:val="16"/>
              </w:rPr>
              <w:t>C2, age 4</w:t>
            </w:r>
          </w:p>
        </w:tc>
        <w:tc>
          <w:tcPr>
            <w:tcW w:w="2025" w:type="dxa"/>
            <w:tcBorders>
              <w:left w:val="single" w:sz="4" w:space="0" w:color="auto"/>
              <w:right w:val="single" w:sz="4" w:space="0" w:color="auto"/>
            </w:tcBorders>
            <w:shd w:val="clear" w:color="auto" w:fill="auto"/>
          </w:tcPr>
          <w:p w14:paraId="34817ACA" w14:textId="1DC643F0" w:rsidR="00456EB4" w:rsidRPr="00781112" w:rsidRDefault="00456EB4" w:rsidP="00456EB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6505965" w14:textId="5A29076E" w:rsidR="00456EB4" w:rsidRPr="00781112" w:rsidRDefault="00456EB4" w:rsidP="00456EB4">
            <w:pPr>
              <w:jc w:val="center"/>
              <w:rPr>
                <w:rFonts w:cs="Arial"/>
                <w:color w:val="000000" w:themeColor="text1"/>
                <w:szCs w:val="16"/>
              </w:rPr>
            </w:pPr>
            <w:r w:rsidRPr="00781112">
              <w:rPr>
                <w:rFonts w:cs="Arial"/>
                <w:color w:val="000000" w:themeColor="text1"/>
                <w:szCs w:val="16"/>
              </w:rPr>
              <w:t>7.16%</w:t>
            </w:r>
          </w:p>
        </w:tc>
      </w:tr>
      <w:tr w:rsidR="00456EB4" w:rsidRPr="00781112" w14:paraId="27B18687" w14:textId="77777777" w:rsidTr="0075451F">
        <w:trPr>
          <w:trHeight w:val="85"/>
        </w:trPr>
        <w:tc>
          <w:tcPr>
            <w:tcW w:w="1436" w:type="dxa"/>
            <w:tcBorders>
              <w:left w:val="single" w:sz="4" w:space="0" w:color="auto"/>
              <w:right w:val="single" w:sz="4" w:space="0" w:color="auto"/>
            </w:tcBorders>
            <w:shd w:val="clear" w:color="auto" w:fill="auto"/>
            <w:vAlign w:val="center"/>
          </w:tcPr>
          <w:p w14:paraId="29A3FE66" w14:textId="214536EF" w:rsidR="00456EB4" w:rsidRPr="00781112" w:rsidRDefault="00456EB4" w:rsidP="00456EB4">
            <w:pPr>
              <w:spacing w:line="276" w:lineRule="auto"/>
              <w:jc w:val="center"/>
              <w:rPr>
                <w:rFonts w:cs="Arial"/>
                <w:b/>
                <w:bCs/>
                <w:color w:val="000000" w:themeColor="text1"/>
                <w:szCs w:val="16"/>
              </w:rPr>
            </w:pPr>
            <w:r w:rsidRPr="00781112">
              <w:rPr>
                <w:rFonts w:cs="Arial"/>
                <w:b/>
                <w:bCs/>
                <w:color w:val="000000" w:themeColor="text1"/>
                <w:szCs w:val="16"/>
              </w:rPr>
              <w:t>C3, age 5</w:t>
            </w:r>
          </w:p>
        </w:tc>
        <w:tc>
          <w:tcPr>
            <w:tcW w:w="2025" w:type="dxa"/>
            <w:tcBorders>
              <w:left w:val="single" w:sz="4" w:space="0" w:color="auto"/>
              <w:right w:val="single" w:sz="4" w:space="0" w:color="auto"/>
            </w:tcBorders>
            <w:shd w:val="clear" w:color="auto" w:fill="auto"/>
          </w:tcPr>
          <w:p w14:paraId="1363593D" w14:textId="775933AE" w:rsidR="00456EB4" w:rsidRPr="00781112" w:rsidRDefault="00456EB4" w:rsidP="00456EB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56325E4" w14:textId="342097A4" w:rsidR="00456EB4" w:rsidRPr="00781112" w:rsidRDefault="00456EB4" w:rsidP="00456EB4">
            <w:pPr>
              <w:jc w:val="center"/>
              <w:rPr>
                <w:rFonts w:cs="Arial"/>
                <w:color w:val="000000" w:themeColor="text1"/>
                <w:szCs w:val="16"/>
              </w:rPr>
            </w:pPr>
            <w:r w:rsidRPr="00781112">
              <w:rPr>
                <w:rFonts w:cs="Arial"/>
                <w:color w:val="000000" w:themeColor="text1"/>
                <w:szCs w:val="16"/>
              </w:rPr>
              <w:t>6.83%</w:t>
            </w:r>
          </w:p>
        </w:tc>
      </w:tr>
    </w:tbl>
    <w:p w14:paraId="190C9CCB" w14:textId="0185B4A6" w:rsidR="00992ACE" w:rsidRPr="00781112" w:rsidRDefault="00992ACE" w:rsidP="00794672">
      <w:pPr>
        <w:rPr>
          <w:color w:val="000000" w:themeColor="text1"/>
        </w:rPr>
      </w:pPr>
    </w:p>
    <w:p w14:paraId="4B137202" w14:textId="77777777" w:rsidR="00681B2A" w:rsidRPr="001C443D" w:rsidRDefault="00681B2A" w:rsidP="001C443D">
      <w:pPr>
        <w:rPr>
          <w:b/>
          <w:bCs/>
        </w:rPr>
      </w:pPr>
      <w:r w:rsidRPr="001C443D">
        <w:rPr>
          <w:b/>
          <w:bCs/>
        </w:rPr>
        <w:t>Individual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DV"/>
      </w:tblPr>
      <w:tblGrid>
        <w:gridCol w:w="1074"/>
        <w:gridCol w:w="1618"/>
        <w:gridCol w:w="1618"/>
        <w:gridCol w:w="1621"/>
        <w:gridCol w:w="1619"/>
        <w:gridCol w:w="1619"/>
        <w:gridCol w:w="1621"/>
      </w:tblGrid>
      <w:tr w:rsidR="001D508C" w:rsidRPr="00781112" w14:paraId="1291FC80" w14:textId="77777777" w:rsidTr="005F5FE9">
        <w:trPr>
          <w:trHeight w:val="297"/>
        </w:trPr>
        <w:tc>
          <w:tcPr>
            <w:tcW w:w="498" w:type="pct"/>
            <w:tcBorders>
              <w:bottom w:val="single" w:sz="4" w:space="0" w:color="auto"/>
            </w:tcBorders>
            <w:shd w:val="clear" w:color="auto" w:fill="auto"/>
            <w:vAlign w:val="center"/>
          </w:tcPr>
          <w:p w14:paraId="235A0B6B" w14:textId="77777777" w:rsidR="001D508C" w:rsidRPr="00781112" w:rsidRDefault="001D508C" w:rsidP="00827FF4">
            <w:pPr>
              <w:jc w:val="center"/>
              <w:rPr>
                <w:b/>
                <w:color w:val="000000" w:themeColor="text1"/>
              </w:rPr>
            </w:pPr>
            <w:r w:rsidRPr="00781112">
              <w:rPr>
                <w:b/>
                <w:color w:val="000000" w:themeColor="text1"/>
              </w:rPr>
              <w:t>FFY</w:t>
            </w:r>
          </w:p>
        </w:tc>
        <w:tc>
          <w:tcPr>
            <w:tcW w:w="750" w:type="pct"/>
            <w:shd w:val="clear" w:color="auto" w:fill="auto"/>
            <w:vAlign w:val="center"/>
          </w:tcPr>
          <w:p w14:paraId="5074C742" w14:textId="77777777" w:rsidR="001D508C" w:rsidRPr="00781112" w:rsidRDefault="001D508C" w:rsidP="00827FF4">
            <w:pPr>
              <w:jc w:val="center"/>
              <w:rPr>
                <w:b/>
                <w:color w:val="000000" w:themeColor="text1"/>
              </w:rPr>
            </w:pPr>
            <w:r w:rsidRPr="00781112">
              <w:rPr>
                <w:b/>
                <w:color w:val="000000" w:themeColor="text1"/>
              </w:rPr>
              <w:t>2020</w:t>
            </w:r>
          </w:p>
        </w:tc>
        <w:tc>
          <w:tcPr>
            <w:tcW w:w="750" w:type="pct"/>
            <w:vAlign w:val="center"/>
          </w:tcPr>
          <w:p w14:paraId="2B0D2271" w14:textId="77777777" w:rsidR="001D508C" w:rsidRPr="00781112" w:rsidRDefault="001D508C" w:rsidP="00360DD6">
            <w:pPr>
              <w:jc w:val="center"/>
              <w:rPr>
                <w:b/>
                <w:color w:val="000000" w:themeColor="text1"/>
              </w:rPr>
            </w:pPr>
            <w:r w:rsidRPr="00781112">
              <w:rPr>
                <w:b/>
                <w:color w:val="000000" w:themeColor="text1"/>
              </w:rPr>
              <w:t>2021</w:t>
            </w:r>
          </w:p>
        </w:tc>
        <w:tc>
          <w:tcPr>
            <w:tcW w:w="751" w:type="pct"/>
            <w:vAlign w:val="center"/>
          </w:tcPr>
          <w:p w14:paraId="31EF1F5F" w14:textId="77777777" w:rsidR="001D508C" w:rsidRPr="00781112" w:rsidRDefault="001D508C" w:rsidP="00360DD6">
            <w:pPr>
              <w:jc w:val="center"/>
              <w:rPr>
                <w:b/>
                <w:color w:val="000000" w:themeColor="text1"/>
              </w:rPr>
            </w:pPr>
            <w:r w:rsidRPr="00781112">
              <w:rPr>
                <w:b/>
                <w:color w:val="000000" w:themeColor="text1"/>
              </w:rPr>
              <w:t>2022</w:t>
            </w:r>
          </w:p>
        </w:tc>
        <w:tc>
          <w:tcPr>
            <w:tcW w:w="750" w:type="pct"/>
            <w:vAlign w:val="center"/>
          </w:tcPr>
          <w:p w14:paraId="3D933C94" w14:textId="77777777" w:rsidR="001D508C" w:rsidRPr="00781112" w:rsidRDefault="001D508C" w:rsidP="00360DD6">
            <w:pPr>
              <w:jc w:val="center"/>
              <w:rPr>
                <w:b/>
                <w:color w:val="000000" w:themeColor="text1"/>
              </w:rPr>
            </w:pPr>
            <w:r w:rsidRPr="00781112">
              <w:rPr>
                <w:b/>
                <w:color w:val="000000" w:themeColor="text1"/>
              </w:rPr>
              <w:t>2023</w:t>
            </w:r>
          </w:p>
        </w:tc>
        <w:tc>
          <w:tcPr>
            <w:tcW w:w="750" w:type="pct"/>
            <w:vAlign w:val="center"/>
          </w:tcPr>
          <w:p w14:paraId="5487D507" w14:textId="77777777" w:rsidR="001D508C" w:rsidRPr="00781112" w:rsidRDefault="001D508C" w:rsidP="00360DD6">
            <w:pPr>
              <w:jc w:val="center"/>
              <w:rPr>
                <w:b/>
                <w:color w:val="000000" w:themeColor="text1"/>
              </w:rPr>
            </w:pPr>
            <w:r w:rsidRPr="00781112">
              <w:rPr>
                <w:b/>
                <w:color w:val="000000" w:themeColor="text1"/>
              </w:rPr>
              <w:t>2024</w:t>
            </w:r>
          </w:p>
        </w:tc>
        <w:tc>
          <w:tcPr>
            <w:tcW w:w="751" w:type="pct"/>
            <w:vAlign w:val="center"/>
          </w:tcPr>
          <w:p w14:paraId="7A045085" w14:textId="77777777" w:rsidR="001D508C" w:rsidRPr="00781112" w:rsidRDefault="001D508C" w:rsidP="00360DD6">
            <w:pPr>
              <w:jc w:val="center"/>
              <w:rPr>
                <w:b/>
                <w:color w:val="000000" w:themeColor="text1"/>
              </w:rPr>
            </w:pPr>
            <w:r w:rsidRPr="00781112">
              <w:rPr>
                <w:b/>
                <w:color w:val="000000" w:themeColor="text1"/>
              </w:rPr>
              <w:t>2025</w:t>
            </w:r>
          </w:p>
        </w:tc>
      </w:tr>
      <w:tr w:rsidR="001D508C" w:rsidRPr="00781112" w14:paraId="500CD187" w14:textId="77777777" w:rsidTr="005F5FE9">
        <w:trPr>
          <w:trHeight w:val="303"/>
        </w:trPr>
        <w:tc>
          <w:tcPr>
            <w:tcW w:w="498" w:type="pct"/>
            <w:shd w:val="clear" w:color="auto" w:fill="auto"/>
            <w:vAlign w:val="center"/>
          </w:tcPr>
          <w:p w14:paraId="0590697C" w14:textId="29707F4E" w:rsidR="001D508C" w:rsidRPr="00781112" w:rsidRDefault="001D508C" w:rsidP="00827FF4">
            <w:pPr>
              <w:rPr>
                <w:rFonts w:cs="Arial"/>
                <w:color w:val="000000" w:themeColor="text1"/>
                <w:szCs w:val="16"/>
              </w:rPr>
            </w:pPr>
            <w:r w:rsidRPr="00781112">
              <w:rPr>
                <w:rFonts w:cs="Arial"/>
                <w:color w:val="000000" w:themeColor="text1"/>
                <w:szCs w:val="16"/>
              </w:rPr>
              <w:t>Target A1, age 3 &gt;=</w:t>
            </w:r>
          </w:p>
        </w:tc>
        <w:tc>
          <w:tcPr>
            <w:tcW w:w="750" w:type="pct"/>
            <w:shd w:val="clear" w:color="auto" w:fill="auto"/>
            <w:vAlign w:val="center"/>
          </w:tcPr>
          <w:p w14:paraId="102B6941" w14:textId="1AD00AD6" w:rsidR="001D508C" w:rsidRPr="00781112" w:rsidRDefault="001D508C" w:rsidP="00827FF4">
            <w:pPr>
              <w:jc w:val="center"/>
              <w:rPr>
                <w:color w:val="000000" w:themeColor="text1"/>
              </w:rPr>
            </w:pPr>
            <w:r w:rsidRPr="00781112">
              <w:rPr>
                <w:color w:val="000000" w:themeColor="text1"/>
              </w:rPr>
              <w:t>65.45%</w:t>
            </w:r>
          </w:p>
        </w:tc>
        <w:tc>
          <w:tcPr>
            <w:tcW w:w="750" w:type="pct"/>
            <w:vAlign w:val="center"/>
          </w:tcPr>
          <w:p w14:paraId="6C71A6B9" w14:textId="3C926706" w:rsidR="001D508C" w:rsidRPr="00781112" w:rsidRDefault="001D508C" w:rsidP="00360DD6">
            <w:pPr>
              <w:jc w:val="center"/>
              <w:rPr>
                <w:color w:val="000000" w:themeColor="text1"/>
              </w:rPr>
            </w:pPr>
            <w:r w:rsidRPr="00781112">
              <w:rPr>
                <w:color w:val="000000" w:themeColor="text1"/>
              </w:rPr>
              <w:t>65.95%</w:t>
            </w:r>
          </w:p>
        </w:tc>
        <w:tc>
          <w:tcPr>
            <w:tcW w:w="751" w:type="pct"/>
            <w:vAlign w:val="center"/>
          </w:tcPr>
          <w:p w14:paraId="5F15E551" w14:textId="7411F872" w:rsidR="001D508C" w:rsidRPr="00781112" w:rsidRDefault="001D508C" w:rsidP="00360DD6">
            <w:pPr>
              <w:jc w:val="center"/>
              <w:rPr>
                <w:color w:val="000000" w:themeColor="text1"/>
              </w:rPr>
            </w:pPr>
            <w:r w:rsidRPr="00781112">
              <w:rPr>
                <w:color w:val="000000" w:themeColor="text1"/>
              </w:rPr>
              <w:t>66.45%</w:t>
            </w:r>
          </w:p>
        </w:tc>
        <w:tc>
          <w:tcPr>
            <w:tcW w:w="750" w:type="pct"/>
            <w:vAlign w:val="center"/>
          </w:tcPr>
          <w:p w14:paraId="660B33A8" w14:textId="5B6F2C0B" w:rsidR="001D508C" w:rsidRPr="00781112" w:rsidRDefault="001D508C" w:rsidP="00360DD6">
            <w:pPr>
              <w:jc w:val="center"/>
              <w:rPr>
                <w:color w:val="000000" w:themeColor="text1"/>
              </w:rPr>
            </w:pPr>
            <w:r w:rsidRPr="00781112">
              <w:rPr>
                <w:color w:val="000000" w:themeColor="text1"/>
              </w:rPr>
              <w:t>66.95%</w:t>
            </w:r>
          </w:p>
        </w:tc>
        <w:tc>
          <w:tcPr>
            <w:tcW w:w="750" w:type="pct"/>
            <w:vAlign w:val="center"/>
          </w:tcPr>
          <w:p w14:paraId="56C9AF10" w14:textId="4810926A" w:rsidR="001D508C" w:rsidRPr="00781112" w:rsidRDefault="001D508C" w:rsidP="00360DD6">
            <w:pPr>
              <w:jc w:val="center"/>
              <w:rPr>
                <w:color w:val="000000" w:themeColor="text1"/>
              </w:rPr>
            </w:pPr>
            <w:r w:rsidRPr="00781112">
              <w:rPr>
                <w:color w:val="000000" w:themeColor="text1"/>
              </w:rPr>
              <w:t>67.45%</w:t>
            </w:r>
          </w:p>
        </w:tc>
        <w:tc>
          <w:tcPr>
            <w:tcW w:w="751" w:type="pct"/>
            <w:vAlign w:val="center"/>
          </w:tcPr>
          <w:p w14:paraId="124DDC65" w14:textId="772DD6C7" w:rsidR="001D508C" w:rsidRPr="00781112" w:rsidRDefault="001D508C" w:rsidP="00360DD6">
            <w:pPr>
              <w:jc w:val="center"/>
              <w:rPr>
                <w:color w:val="000000" w:themeColor="text1"/>
              </w:rPr>
            </w:pPr>
            <w:r w:rsidRPr="00781112">
              <w:rPr>
                <w:color w:val="000000" w:themeColor="text1"/>
              </w:rPr>
              <w:t>67.95%</w:t>
            </w:r>
          </w:p>
        </w:tc>
      </w:tr>
      <w:tr w:rsidR="001D508C" w:rsidRPr="00781112" w14:paraId="423C2E06" w14:textId="77777777" w:rsidTr="005F5FE9">
        <w:trPr>
          <w:trHeight w:val="303"/>
        </w:trPr>
        <w:tc>
          <w:tcPr>
            <w:tcW w:w="498" w:type="pct"/>
            <w:shd w:val="clear" w:color="auto" w:fill="auto"/>
            <w:vAlign w:val="center"/>
          </w:tcPr>
          <w:p w14:paraId="16CF02C9" w14:textId="427CDB56" w:rsidR="001D508C" w:rsidRPr="00781112" w:rsidRDefault="001D508C" w:rsidP="00827FF4">
            <w:pPr>
              <w:rPr>
                <w:rFonts w:cs="Arial"/>
                <w:color w:val="000000" w:themeColor="text1"/>
                <w:szCs w:val="16"/>
              </w:rPr>
            </w:pPr>
            <w:r w:rsidRPr="00781112">
              <w:rPr>
                <w:rFonts w:cs="Arial"/>
                <w:color w:val="000000" w:themeColor="text1"/>
                <w:szCs w:val="16"/>
              </w:rPr>
              <w:t>Target B1, age 3 &lt;=</w:t>
            </w:r>
          </w:p>
        </w:tc>
        <w:tc>
          <w:tcPr>
            <w:tcW w:w="750" w:type="pct"/>
            <w:shd w:val="clear" w:color="auto" w:fill="auto"/>
            <w:vAlign w:val="center"/>
          </w:tcPr>
          <w:p w14:paraId="1EAA8B39" w14:textId="66B8C232" w:rsidR="001D508C" w:rsidRPr="00781112" w:rsidRDefault="001D508C" w:rsidP="00827FF4">
            <w:pPr>
              <w:jc w:val="center"/>
              <w:rPr>
                <w:rFonts w:cs="Arial"/>
                <w:color w:val="000000" w:themeColor="text1"/>
                <w:szCs w:val="16"/>
              </w:rPr>
            </w:pPr>
            <w:r w:rsidRPr="00781112">
              <w:rPr>
                <w:rFonts w:cs="Arial"/>
                <w:color w:val="000000" w:themeColor="text1"/>
                <w:szCs w:val="16"/>
              </w:rPr>
              <w:t>4.51%</w:t>
            </w:r>
          </w:p>
        </w:tc>
        <w:tc>
          <w:tcPr>
            <w:tcW w:w="750" w:type="pct"/>
            <w:vAlign w:val="center"/>
          </w:tcPr>
          <w:p w14:paraId="0FABD803" w14:textId="44E4C9DA" w:rsidR="001D508C" w:rsidRPr="00781112" w:rsidRDefault="001D508C" w:rsidP="00360DD6">
            <w:pPr>
              <w:jc w:val="center"/>
              <w:rPr>
                <w:rFonts w:cs="Arial"/>
                <w:color w:val="000000" w:themeColor="text1"/>
                <w:szCs w:val="16"/>
              </w:rPr>
            </w:pPr>
            <w:r w:rsidRPr="00781112">
              <w:rPr>
                <w:rFonts w:cs="Arial"/>
                <w:color w:val="000000" w:themeColor="text1"/>
                <w:szCs w:val="16"/>
              </w:rPr>
              <w:t>4.26%</w:t>
            </w:r>
          </w:p>
        </w:tc>
        <w:tc>
          <w:tcPr>
            <w:tcW w:w="751" w:type="pct"/>
            <w:vAlign w:val="center"/>
          </w:tcPr>
          <w:p w14:paraId="4E8A9772" w14:textId="32C9B38A" w:rsidR="001D508C" w:rsidRPr="00781112" w:rsidRDefault="001D508C" w:rsidP="00360DD6">
            <w:pPr>
              <w:jc w:val="center"/>
              <w:rPr>
                <w:color w:val="000000" w:themeColor="text1"/>
              </w:rPr>
            </w:pPr>
            <w:r w:rsidRPr="00781112">
              <w:rPr>
                <w:color w:val="000000" w:themeColor="text1"/>
              </w:rPr>
              <w:t>4.01%</w:t>
            </w:r>
          </w:p>
        </w:tc>
        <w:tc>
          <w:tcPr>
            <w:tcW w:w="750" w:type="pct"/>
            <w:vAlign w:val="center"/>
          </w:tcPr>
          <w:p w14:paraId="35E0DEA2" w14:textId="43DDFB6F" w:rsidR="001D508C" w:rsidRPr="00781112" w:rsidRDefault="001D508C" w:rsidP="00360DD6">
            <w:pPr>
              <w:jc w:val="center"/>
              <w:rPr>
                <w:color w:val="000000" w:themeColor="text1"/>
              </w:rPr>
            </w:pPr>
            <w:r w:rsidRPr="00781112">
              <w:rPr>
                <w:color w:val="000000" w:themeColor="text1"/>
              </w:rPr>
              <w:t>3.76%</w:t>
            </w:r>
          </w:p>
        </w:tc>
        <w:tc>
          <w:tcPr>
            <w:tcW w:w="750" w:type="pct"/>
            <w:vAlign w:val="center"/>
          </w:tcPr>
          <w:p w14:paraId="0EC9CE1D" w14:textId="479BE6FB" w:rsidR="001D508C" w:rsidRPr="00781112" w:rsidRDefault="001D508C" w:rsidP="00360DD6">
            <w:pPr>
              <w:jc w:val="center"/>
              <w:rPr>
                <w:color w:val="000000" w:themeColor="text1"/>
              </w:rPr>
            </w:pPr>
            <w:r w:rsidRPr="00781112">
              <w:rPr>
                <w:color w:val="000000" w:themeColor="text1"/>
              </w:rPr>
              <w:t>3.51%</w:t>
            </w:r>
          </w:p>
        </w:tc>
        <w:tc>
          <w:tcPr>
            <w:tcW w:w="751" w:type="pct"/>
            <w:vAlign w:val="center"/>
          </w:tcPr>
          <w:p w14:paraId="6EF4D92B" w14:textId="63E12444" w:rsidR="001D508C" w:rsidRPr="00781112" w:rsidRDefault="001D508C" w:rsidP="00360DD6">
            <w:pPr>
              <w:jc w:val="center"/>
              <w:rPr>
                <w:color w:val="000000" w:themeColor="text1"/>
              </w:rPr>
            </w:pPr>
            <w:r w:rsidRPr="00781112">
              <w:rPr>
                <w:color w:val="000000" w:themeColor="text1"/>
              </w:rPr>
              <w:t>3.26%</w:t>
            </w:r>
          </w:p>
        </w:tc>
      </w:tr>
      <w:tr w:rsidR="00C21BFD" w:rsidRPr="00781112" w14:paraId="17E83926" w14:textId="77777777" w:rsidTr="005F5FE9">
        <w:trPr>
          <w:trHeight w:val="303"/>
        </w:trPr>
        <w:tc>
          <w:tcPr>
            <w:tcW w:w="498" w:type="pct"/>
            <w:shd w:val="clear" w:color="auto" w:fill="auto"/>
            <w:vAlign w:val="center"/>
          </w:tcPr>
          <w:p w14:paraId="35F4AE60" w14:textId="07C79799" w:rsidR="00C21BFD" w:rsidRPr="00781112" w:rsidRDefault="00C21BFD" w:rsidP="00C21BFD">
            <w:pPr>
              <w:rPr>
                <w:rFonts w:cs="Arial"/>
                <w:color w:val="000000" w:themeColor="text1"/>
                <w:szCs w:val="16"/>
              </w:rPr>
            </w:pPr>
            <w:r w:rsidRPr="00781112">
              <w:rPr>
                <w:rFonts w:cs="Arial"/>
                <w:color w:val="000000" w:themeColor="text1"/>
                <w:szCs w:val="16"/>
              </w:rPr>
              <w:t xml:space="preserve">Target A2, age 4 &gt;= </w:t>
            </w:r>
          </w:p>
        </w:tc>
        <w:tc>
          <w:tcPr>
            <w:tcW w:w="750" w:type="pct"/>
            <w:shd w:val="clear" w:color="auto" w:fill="auto"/>
            <w:vAlign w:val="center"/>
          </w:tcPr>
          <w:p w14:paraId="06D259FE" w14:textId="61B699BB" w:rsidR="00C21BFD" w:rsidRPr="00781112" w:rsidRDefault="00C21BFD" w:rsidP="00C21BFD">
            <w:pPr>
              <w:jc w:val="center"/>
              <w:rPr>
                <w:rFonts w:cs="Arial"/>
                <w:color w:val="000000" w:themeColor="text1"/>
                <w:szCs w:val="16"/>
              </w:rPr>
            </w:pPr>
            <w:r w:rsidRPr="00781112">
              <w:rPr>
                <w:color w:val="000000" w:themeColor="text1"/>
              </w:rPr>
              <w:t>81.65%</w:t>
            </w:r>
          </w:p>
        </w:tc>
        <w:tc>
          <w:tcPr>
            <w:tcW w:w="750" w:type="pct"/>
            <w:vAlign w:val="center"/>
          </w:tcPr>
          <w:p w14:paraId="4ED312D4" w14:textId="38FA9B65" w:rsidR="00C21BFD" w:rsidRPr="00781112" w:rsidRDefault="00C21BFD" w:rsidP="00360DD6">
            <w:pPr>
              <w:jc w:val="center"/>
              <w:rPr>
                <w:rFonts w:cs="Arial"/>
                <w:color w:val="000000" w:themeColor="text1"/>
                <w:szCs w:val="16"/>
              </w:rPr>
            </w:pPr>
            <w:r w:rsidRPr="00781112">
              <w:rPr>
                <w:rFonts w:cs="Arial"/>
                <w:color w:val="000000" w:themeColor="text1"/>
                <w:szCs w:val="16"/>
              </w:rPr>
              <w:t>82.15%</w:t>
            </w:r>
          </w:p>
        </w:tc>
        <w:tc>
          <w:tcPr>
            <w:tcW w:w="751" w:type="pct"/>
            <w:vAlign w:val="center"/>
          </w:tcPr>
          <w:p w14:paraId="128639A4" w14:textId="00EF3D34" w:rsidR="00C21BFD" w:rsidRPr="00781112" w:rsidRDefault="00C21BFD" w:rsidP="00360DD6">
            <w:pPr>
              <w:jc w:val="center"/>
              <w:rPr>
                <w:color w:val="000000" w:themeColor="text1"/>
              </w:rPr>
            </w:pPr>
            <w:r w:rsidRPr="00781112">
              <w:rPr>
                <w:color w:val="000000" w:themeColor="text1"/>
              </w:rPr>
              <w:t>82.65%</w:t>
            </w:r>
          </w:p>
        </w:tc>
        <w:tc>
          <w:tcPr>
            <w:tcW w:w="750" w:type="pct"/>
            <w:vAlign w:val="center"/>
          </w:tcPr>
          <w:p w14:paraId="425E0E43" w14:textId="5C6E0F51" w:rsidR="00C21BFD" w:rsidRPr="00781112" w:rsidRDefault="00C21BFD" w:rsidP="00360DD6">
            <w:pPr>
              <w:jc w:val="center"/>
              <w:rPr>
                <w:color w:val="000000" w:themeColor="text1"/>
              </w:rPr>
            </w:pPr>
            <w:r w:rsidRPr="00781112">
              <w:rPr>
                <w:color w:val="000000" w:themeColor="text1"/>
              </w:rPr>
              <w:t>83.15%</w:t>
            </w:r>
          </w:p>
        </w:tc>
        <w:tc>
          <w:tcPr>
            <w:tcW w:w="750" w:type="pct"/>
            <w:vAlign w:val="center"/>
          </w:tcPr>
          <w:p w14:paraId="2D55F755" w14:textId="2F019DAF" w:rsidR="00C21BFD" w:rsidRPr="00781112" w:rsidRDefault="00C21BFD" w:rsidP="00360DD6">
            <w:pPr>
              <w:jc w:val="center"/>
              <w:rPr>
                <w:color w:val="000000" w:themeColor="text1"/>
              </w:rPr>
            </w:pPr>
            <w:r w:rsidRPr="00781112">
              <w:rPr>
                <w:color w:val="000000" w:themeColor="text1"/>
              </w:rPr>
              <w:t>83.65%</w:t>
            </w:r>
          </w:p>
        </w:tc>
        <w:tc>
          <w:tcPr>
            <w:tcW w:w="751" w:type="pct"/>
            <w:vAlign w:val="center"/>
          </w:tcPr>
          <w:p w14:paraId="55FE4D4C" w14:textId="0028AD60" w:rsidR="00C21BFD" w:rsidRPr="00781112" w:rsidRDefault="00C21BFD" w:rsidP="00360DD6">
            <w:pPr>
              <w:jc w:val="center"/>
              <w:rPr>
                <w:color w:val="000000" w:themeColor="text1"/>
              </w:rPr>
            </w:pPr>
            <w:r w:rsidRPr="00781112">
              <w:rPr>
                <w:color w:val="000000" w:themeColor="text1"/>
              </w:rPr>
              <w:t>84.15%</w:t>
            </w:r>
          </w:p>
        </w:tc>
      </w:tr>
      <w:tr w:rsidR="00C21BFD" w:rsidRPr="00781112" w14:paraId="30636B6A" w14:textId="77777777" w:rsidTr="005F5FE9">
        <w:trPr>
          <w:trHeight w:val="303"/>
        </w:trPr>
        <w:tc>
          <w:tcPr>
            <w:tcW w:w="498" w:type="pct"/>
            <w:shd w:val="clear" w:color="auto" w:fill="auto"/>
            <w:vAlign w:val="center"/>
          </w:tcPr>
          <w:p w14:paraId="42E526CB" w14:textId="288A1BDB" w:rsidR="00C21BFD" w:rsidRPr="00781112" w:rsidRDefault="00C21BFD" w:rsidP="00C21BFD">
            <w:pPr>
              <w:rPr>
                <w:rFonts w:cs="Arial"/>
                <w:color w:val="000000" w:themeColor="text1"/>
                <w:szCs w:val="16"/>
              </w:rPr>
            </w:pPr>
            <w:r w:rsidRPr="00781112">
              <w:rPr>
                <w:rFonts w:cs="Arial"/>
                <w:color w:val="000000" w:themeColor="text1"/>
                <w:szCs w:val="16"/>
              </w:rPr>
              <w:t>Target B2, age 4 &lt;=</w:t>
            </w:r>
          </w:p>
        </w:tc>
        <w:tc>
          <w:tcPr>
            <w:tcW w:w="750" w:type="pct"/>
            <w:shd w:val="clear" w:color="auto" w:fill="auto"/>
            <w:vAlign w:val="center"/>
          </w:tcPr>
          <w:p w14:paraId="6C0E183A" w14:textId="2F76768C" w:rsidR="00C21BFD" w:rsidRPr="00781112" w:rsidRDefault="00C21BFD" w:rsidP="00C21BFD">
            <w:pPr>
              <w:jc w:val="center"/>
              <w:rPr>
                <w:rFonts w:cs="Arial"/>
                <w:color w:val="000000" w:themeColor="text1"/>
                <w:szCs w:val="16"/>
              </w:rPr>
            </w:pPr>
            <w:r w:rsidRPr="00781112">
              <w:rPr>
                <w:rFonts w:cs="Arial"/>
                <w:color w:val="000000" w:themeColor="text1"/>
                <w:szCs w:val="16"/>
              </w:rPr>
              <w:t>2.70%</w:t>
            </w:r>
          </w:p>
        </w:tc>
        <w:tc>
          <w:tcPr>
            <w:tcW w:w="750" w:type="pct"/>
            <w:vAlign w:val="center"/>
          </w:tcPr>
          <w:p w14:paraId="73C46B25" w14:textId="3C330F6B" w:rsidR="00C21BFD" w:rsidRPr="00781112" w:rsidRDefault="00C21BFD" w:rsidP="00360DD6">
            <w:pPr>
              <w:jc w:val="center"/>
              <w:rPr>
                <w:rFonts w:cs="Arial"/>
                <w:color w:val="000000" w:themeColor="text1"/>
                <w:szCs w:val="16"/>
              </w:rPr>
            </w:pPr>
            <w:r w:rsidRPr="00781112">
              <w:rPr>
                <w:rFonts w:cs="Arial"/>
                <w:color w:val="000000" w:themeColor="text1"/>
                <w:szCs w:val="16"/>
              </w:rPr>
              <w:t>2.60%</w:t>
            </w:r>
          </w:p>
        </w:tc>
        <w:tc>
          <w:tcPr>
            <w:tcW w:w="751" w:type="pct"/>
            <w:vAlign w:val="center"/>
          </w:tcPr>
          <w:p w14:paraId="514F50DE" w14:textId="66532DAA" w:rsidR="00C21BFD" w:rsidRPr="00781112" w:rsidRDefault="00C21BFD" w:rsidP="00360DD6">
            <w:pPr>
              <w:jc w:val="center"/>
              <w:rPr>
                <w:color w:val="000000" w:themeColor="text1"/>
              </w:rPr>
            </w:pPr>
            <w:r w:rsidRPr="00781112">
              <w:rPr>
                <w:color w:val="000000" w:themeColor="text1"/>
              </w:rPr>
              <w:t>2.50%</w:t>
            </w:r>
          </w:p>
        </w:tc>
        <w:tc>
          <w:tcPr>
            <w:tcW w:w="750" w:type="pct"/>
            <w:vAlign w:val="center"/>
          </w:tcPr>
          <w:p w14:paraId="6ADE3A2D" w14:textId="7F390997" w:rsidR="00C21BFD" w:rsidRPr="00781112" w:rsidRDefault="00C21BFD" w:rsidP="00360DD6">
            <w:pPr>
              <w:jc w:val="center"/>
              <w:rPr>
                <w:color w:val="000000" w:themeColor="text1"/>
              </w:rPr>
            </w:pPr>
            <w:r w:rsidRPr="00781112">
              <w:rPr>
                <w:color w:val="000000" w:themeColor="text1"/>
              </w:rPr>
              <w:t>2.40%</w:t>
            </w:r>
          </w:p>
        </w:tc>
        <w:tc>
          <w:tcPr>
            <w:tcW w:w="750" w:type="pct"/>
            <w:vAlign w:val="center"/>
          </w:tcPr>
          <w:p w14:paraId="6A6AAEE8" w14:textId="75D27086" w:rsidR="00C21BFD" w:rsidRPr="00781112" w:rsidRDefault="00C21BFD" w:rsidP="00360DD6">
            <w:pPr>
              <w:jc w:val="center"/>
              <w:rPr>
                <w:color w:val="000000" w:themeColor="text1"/>
              </w:rPr>
            </w:pPr>
            <w:r w:rsidRPr="00781112">
              <w:rPr>
                <w:color w:val="000000" w:themeColor="text1"/>
              </w:rPr>
              <w:t>2.30%</w:t>
            </w:r>
          </w:p>
        </w:tc>
        <w:tc>
          <w:tcPr>
            <w:tcW w:w="751" w:type="pct"/>
            <w:vAlign w:val="center"/>
          </w:tcPr>
          <w:p w14:paraId="19C4DD1D" w14:textId="4B93E09D" w:rsidR="00C21BFD" w:rsidRPr="00781112" w:rsidRDefault="00C21BFD" w:rsidP="00360DD6">
            <w:pPr>
              <w:jc w:val="center"/>
              <w:rPr>
                <w:color w:val="000000" w:themeColor="text1"/>
              </w:rPr>
            </w:pPr>
            <w:r w:rsidRPr="00781112">
              <w:rPr>
                <w:color w:val="000000" w:themeColor="text1"/>
              </w:rPr>
              <w:t>2.20%</w:t>
            </w:r>
          </w:p>
        </w:tc>
      </w:tr>
      <w:tr w:rsidR="00C21BFD" w:rsidRPr="00781112" w14:paraId="7266D71C" w14:textId="77777777" w:rsidTr="005F5FE9">
        <w:trPr>
          <w:trHeight w:val="303"/>
        </w:trPr>
        <w:tc>
          <w:tcPr>
            <w:tcW w:w="498" w:type="pct"/>
            <w:shd w:val="clear" w:color="auto" w:fill="auto"/>
            <w:vAlign w:val="center"/>
          </w:tcPr>
          <w:p w14:paraId="15B65070" w14:textId="30A44DBE" w:rsidR="00C21BFD" w:rsidRPr="00781112" w:rsidRDefault="00C21BFD" w:rsidP="00C21BFD">
            <w:pPr>
              <w:rPr>
                <w:rFonts w:cs="Arial"/>
                <w:color w:val="000000" w:themeColor="text1"/>
                <w:szCs w:val="16"/>
              </w:rPr>
            </w:pPr>
            <w:r w:rsidRPr="00781112">
              <w:rPr>
                <w:rFonts w:cs="Arial"/>
                <w:color w:val="000000" w:themeColor="text1"/>
                <w:szCs w:val="16"/>
              </w:rPr>
              <w:t xml:space="preserve">Target A3, age 5 &gt;= </w:t>
            </w:r>
          </w:p>
        </w:tc>
        <w:tc>
          <w:tcPr>
            <w:tcW w:w="750" w:type="pct"/>
            <w:shd w:val="clear" w:color="auto" w:fill="auto"/>
            <w:vAlign w:val="center"/>
          </w:tcPr>
          <w:p w14:paraId="0E388B91" w14:textId="00CCC6CD" w:rsidR="00C21BFD" w:rsidRPr="00781112" w:rsidRDefault="00C21BFD" w:rsidP="00C21BFD">
            <w:pPr>
              <w:jc w:val="center"/>
              <w:rPr>
                <w:rFonts w:cs="Arial"/>
                <w:color w:val="000000" w:themeColor="text1"/>
                <w:szCs w:val="16"/>
              </w:rPr>
            </w:pPr>
            <w:r w:rsidRPr="00781112">
              <w:rPr>
                <w:color w:val="000000" w:themeColor="text1"/>
              </w:rPr>
              <w:t>78.63%</w:t>
            </w:r>
          </w:p>
        </w:tc>
        <w:tc>
          <w:tcPr>
            <w:tcW w:w="750" w:type="pct"/>
            <w:vAlign w:val="center"/>
          </w:tcPr>
          <w:p w14:paraId="2A4EF9F7" w14:textId="75670117" w:rsidR="00C21BFD" w:rsidRPr="00781112" w:rsidRDefault="00C21BFD" w:rsidP="00360DD6">
            <w:pPr>
              <w:jc w:val="center"/>
              <w:rPr>
                <w:rFonts w:cs="Arial"/>
                <w:color w:val="000000" w:themeColor="text1"/>
                <w:szCs w:val="16"/>
              </w:rPr>
            </w:pPr>
            <w:r w:rsidRPr="00781112">
              <w:rPr>
                <w:rFonts w:cs="Arial"/>
                <w:color w:val="000000" w:themeColor="text1"/>
                <w:szCs w:val="16"/>
              </w:rPr>
              <w:t>78.73%</w:t>
            </w:r>
          </w:p>
        </w:tc>
        <w:tc>
          <w:tcPr>
            <w:tcW w:w="751" w:type="pct"/>
            <w:vAlign w:val="center"/>
          </w:tcPr>
          <w:p w14:paraId="32D84CBA" w14:textId="571DAFDE" w:rsidR="00C21BFD" w:rsidRPr="00781112" w:rsidRDefault="00C21BFD" w:rsidP="00360DD6">
            <w:pPr>
              <w:jc w:val="center"/>
              <w:rPr>
                <w:color w:val="000000" w:themeColor="text1"/>
              </w:rPr>
            </w:pPr>
            <w:r w:rsidRPr="00781112">
              <w:rPr>
                <w:color w:val="000000" w:themeColor="text1"/>
              </w:rPr>
              <w:t>78.83%</w:t>
            </w:r>
          </w:p>
        </w:tc>
        <w:tc>
          <w:tcPr>
            <w:tcW w:w="750" w:type="pct"/>
            <w:vAlign w:val="center"/>
          </w:tcPr>
          <w:p w14:paraId="2F0446CD" w14:textId="37D5578E" w:rsidR="00C21BFD" w:rsidRPr="00781112" w:rsidRDefault="00C21BFD" w:rsidP="00360DD6">
            <w:pPr>
              <w:jc w:val="center"/>
              <w:rPr>
                <w:color w:val="000000" w:themeColor="text1"/>
              </w:rPr>
            </w:pPr>
            <w:r w:rsidRPr="00781112">
              <w:rPr>
                <w:color w:val="000000" w:themeColor="text1"/>
              </w:rPr>
              <w:t>78.93%</w:t>
            </w:r>
          </w:p>
        </w:tc>
        <w:tc>
          <w:tcPr>
            <w:tcW w:w="750" w:type="pct"/>
            <w:vAlign w:val="center"/>
          </w:tcPr>
          <w:p w14:paraId="521CE809" w14:textId="4429012E" w:rsidR="00C21BFD" w:rsidRPr="00781112" w:rsidRDefault="00C21BFD" w:rsidP="00360DD6">
            <w:pPr>
              <w:jc w:val="center"/>
              <w:rPr>
                <w:color w:val="000000" w:themeColor="text1"/>
              </w:rPr>
            </w:pPr>
            <w:r w:rsidRPr="00781112">
              <w:rPr>
                <w:color w:val="000000" w:themeColor="text1"/>
              </w:rPr>
              <w:t>79.03%</w:t>
            </w:r>
          </w:p>
        </w:tc>
        <w:tc>
          <w:tcPr>
            <w:tcW w:w="751" w:type="pct"/>
            <w:vAlign w:val="center"/>
          </w:tcPr>
          <w:p w14:paraId="39FE78A3" w14:textId="6925D9BF" w:rsidR="00C21BFD" w:rsidRPr="00781112" w:rsidRDefault="00C21BFD" w:rsidP="00360DD6">
            <w:pPr>
              <w:jc w:val="center"/>
              <w:rPr>
                <w:color w:val="000000" w:themeColor="text1"/>
              </w:rPr>
            </w:pPr>
            <w:r w:rsidRPr="00781112">
              <w:rPr>
                <w:color w:val="000000" w:themeColor="text1"/>
              </w:rPr>
              <w:t>79.13%</w:t>
            </w:r>
          </w:p>
        </w:tc>
      </w:tr>
      <w:tr w:rsidR="00C21BFD" w:rsidRPr="00781112" w14:paraId="1CBDF891" w14:textId="77777777" w:rsidTr="005F5FE9">
        <w:trPr>
          <w:trHeight w:val="303"/>
        </w:trPr>
        <w:tc>
          <w:tcPr>
            <w:tcW w:w="498" w:type="pct"/>
            <w:shd w:val="clear" w:color="auto" w:fill="auto"/>
            <w:vAlign w:val="center"/>
          </w:tcPr>
          <w:p w14:paraId="6E573B77" w14:textId="380593FD" w:rsidR="00C21BFD" w:rsidRPr="00781112" w:rsidRDefault="00C21BFD" w:rsidP="00C21BFD">
            <w:pPr>
              <w:rPr>
                <w:rFonts w:cs="Arial"/>
                <w:color w:val="000000" w:themeColor="text1"/>
                <w:szCs w:val="16"/>
              </w:rPr>
            </w:pPr>
            <w:r w:rsidRPr="00781112">
              <w:rPr>
                <w:rFonts w:cs="Arial"/>
                <w:color w:val="000000" w:themeColor="text1"/>
                <w:szCs w:val="16"/>
              </w:rPr>
              <w:t xml:space="preserve">Target B3, age 5 &lt;= </w:t>
            </w:r>
          </w:p>
        </w:tc>
        <w:tc>
          <w:tcPr>
            <w:tcW w:w="750" w:type="pct"/>
            <w:shd w:val="clear" w:color="auto" w:fill="auto"/>
            <w:vAlign w:val="center"/>
          </w:tcPr>
          <w:p w14:paraId="23912C75" w14:textId="09508A01" w:rsidR="00C21BFD" w:rsidRPr="00781112" w:rsidRDefault="00C21BFD" w:rsidP="00C21BFD">
            <w:pPr>
              <w:jc w:val="center"/>
              <w:rPr>
                <w:rFonts w:cs="Arial"/>
                <w:color w:val="000000" w:themeColor="text1"/>
                <w:szCs w:val="16"/>
              </w:rPr>
            </w:pPr>
            <w:r w:rsidRPr="00781112">
              <w:rPr>
                <w:rFonts w:cs="Arial"/>
                <w:color w:val="000000" w:themeColor="text1"/>
                <w:szCs w:val="16"/>
              </w:rPr>
              <w:t>2.98%</w:t>
            </w:r>
          </w:p>
        </w:tc>
        <w:tc>
          <w:tcPr>
            <w:tcW w:w="750" w:type="pct"/>
            <w:vAlign w:val="center"/>
          </w:tcPr>
          <w:p w14:paraId="13635175" w14:textId="11B0C9DA" w:rsidR="00C21BFD" w:rsidRPr="00781112" w:rsidRDefault="00C21BFD" w:rsidP="00360DD6">
            <w:pPr>
              <w:jc w:val="center"/>
              <w:rPr>
                <w:rFonts w:cs="Arial"/>
                <w:color w:val="000000" w:themeColor="text1"/>
                <w:szCs w:val="16"/>
              </w:rPr>
            </w:pPr>
            <w:r w:rsidRPr="00781112">
              <w:rPr>
                <w:rFonts w:cs="Arial"/>
                <w:color w:val="000000" w:themeColor="text1"/>
                <w:szCs w:val="16"/>
              </w:rPr>
              <w:t>2.78%</w:t>
            </w:r>
          </w:p>
        </w:tc>
        <w:tc>
          <w:tcPr>
            <w:tcW w:w="751" w:type="pct"/>
            <w:vAlign w:val="center"/>
          </w:tcPr>
          <w:p w14:paraId="6438BDE2" w14:textId="16C583C7" w:rsidR="00C21BFD" w:rsidRPr="00781112" w:rsidRDefault="00C21BFD" w:rsidP="00360DD6">
            <w:pPr>
              <w:jc w:val="center"/>
              <w:rPr>
                <w:color w:val="000000" w:themeColor="text1"/>
              </w:rPr>
            </w:pPr>
            <w:r w:rsidRPr="00781112">
              <w:rPr>
                <w:color w:val="000000" w:themeColor="text1"/>
              </w:rPr>
              <w:t>2.58%</w:t>
            </w:r>
          </w:p>
        </w:tc>
        <w:tc>
          <w:tcPr>
            <w:tcW w:w="750" w:type="pct"/>
            <w:vAlign w:val="center"/>
          </w:tcPr>
          <w:p w14:paraId="6FD972C5" w14:textId="3C391FCE" w:rsidR="00C21BFD" w:rsidRPr="00781112" w:rsidRDefault="00C21BFD" w:rsidP="00360DD6">
            <w:pPr>
              <w:jc w:val="center"/>
              <w:rPr>
                <w:color w:val="000000" w:themeColor="text1"/>
              </w:rPr>
            </w:pPr>
            <w:r w:rsidRPr="00781112">
              <w:rPr>
                <w:color w:val="000000" w:themeColor="text1"/>
              </w:rPr>
              <w:t>2.38%</w:t>
            </w:r>
          </w:p>
        </w:tc>
        <w:tc>
          <w:tcPr>
            <w:tcW w:w="750" w:type="pct"/>
            <w:vAlign w:val="center"/>
          </w:tcPr>
          <w:p w14:paraId="0414F072" w14:textId="0A858B02" w:rsidR="00C21BFD" w:rsidRPr="00781112" w:rsidRDefault="00C21BFD" w:rsidP="00360DD6">
            <w:pPr>
              <w:jc w:val="center"/>
              <w:rPr>
                <w:color w:val="000000" w:themeColor="text1"/>
              </w:rPr>
            </w:pPr>
            <w:r w:rsidRPr="00781112">
              <w:rPr>
                <w:color w:val="000000" w:themeColor="text1"/>
              </w:rPr>
              <w:t>2.18%</w:t>
            </w:r>
          </w:p>
        </w:tc>
        <w:tc>
          <w:tcPr>
            <w:tcW w:w="751" w:type="pct"/>
            <w:vAlign w:val="center"/>
          </w:tcPr>
          <w:p w14:paraId="32590913" w14:textId="6F0F9F7D" w:rsidR="00C21BFD" w:rsidRPr="00781112" w:rsidRDefault="00C21BFD" w:rsidP="00360DD6">
            <w:pPr>
              <w:jc w:val="center"/>
              <w:rPr>
                <w:color w:val="000000" w:themeColor="text1"/>
              </w:rPr>
            </w:pPr>
            <w:r w:rsidRPr="00781112">
              <w:rPr>
                <w:color w:val="000000" w:themeColor="text1"/>
              </w:rPr>
              <w:t>1.98%</w:t>
            </w:r>
          </w:p>
        </w:tc>
      </w:tr>
    </w:tbl>
    <w:p w14:paraId="5C5E2A63" w14:textId="5D25E8DA" w:rsidR="008C34A2" w:rsidRDefault="008C34A2" w:rsidP="001C2B29">
      <w:pPr>
        <w:pStyle w:val="Subhed"/>
        <w:rPr>
          <w:b w:val="0"/>
          <w:color w:val="000000" w:themeColor="text1"/>
        </w:rPr>
      </w:pPr>
    </w:p>
    <w:p w14:paraId="38902644" w14:textId="77777777" w:rsidR="008C34A2" w:rsidRPr="001C443D" w:rsidRDefault="008C34A2" w:rsidP="001C443D">
      <w:pPr>
        <w:rPr>
          <w:b/>
          <w:bCs/>
        </w:rPr>
      </w:pPr>
      <w:r w:rsidRPr="001C443D">
        <w:rPr>
          <w:b/>
          <w:bCs/>
        </w:rPr>
        <w:t>Individual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DV"/>
      </w:tblPr>
      <w:tblGrid>
        <w:gridCol w:w="1074"/>
        <w:gridCol w:w="1618"/>
        <w:gridCol w:w="1618"/>
        <w:gridCol w:w="1621"/>
        <w:gridCol w:w="1619"/>
        <w:gridCol w:w="1619"/>
        <w:gridCol w:w="1621"/>
      </w:tblGrid>
      <w:tr w:rsidR="008C34A2" w:rsidRPr="00781112" w14:paraId="0E3A729A" w14:textId="77777777" w:rsidTr="00DF5DC9">
        <w:trPr>
          <w:trHeight w:val="297"/>
        </w:trPr>
        <w:tc>
          <w:tcPr>
            <w:tcW w:w="498" w:type="pct"/>
            <w:tcBorders>
              <w:bottom w:val="single" w:sz="4" w:space="0" w:color="auto"/>
            </w:tcBorders>
            <w:shd w:val="clear" w:color="auto" w:fill="auto"/>
            <w:vAlign w:val="center"/>
          </w:tcPr>
          <w:p w14:paraId="0D18CAFC" w14:textId="77777777" w:rsidR="008C34A2" w:rsidRPr="00781112" w:rsidRDefault="008C34A2" w:rsidP="00DF5DC9">
            <w:pPr>
              <w:jc w:val="center"/>
              <w:rPr>
                <w:b/>
                <w:color w:val="000000" w:themeColor="text1"/>
              </w:rPr>
            </w:pPr>
            <w:r w:rsidRPr="00781112">
              <w:rPr>
                <w:b/>
                <w:color w:val="000000" w:themeColor="text1"/>
              </w:rPr>
              <w:lastRenderedPageBreak/>
              <w:t>FFY</w:t>
            </w:r>
          </w:p>
        </w:tc>
        <w:tc>
          <w:tcPr>
            <w:tcW w:w="750" w:type="pct"/>
            <w:shd w:val="clear" w:color="auto" w:fill="auto"/>
            <w:vAlign w:val="center"/>
          </w:tcPr>
          <w:p w14:paraId="0B2FD594" w14:textId="77777777" w:rsidR="008C34A2" w:rsidRPr="00781112" w:rsidRDefault="008C34A2" w:rsidP="00DF5DC9">
            <w:pPr>
              <w:jc w:val="center"/>
              <w:rPr>
                <w:b/>
                <w:color w:val="000000" w:themeColor="text1"/>
              </w:rPr>
            </w:pPr>
            <w:r w:rsidRPr="00781112">
              <w:rPr>
                <w:b/>
                <w:color w:val="000000" w:themeColor="text1"/>
              </w:rPr>
              <w:t>2020</w:t>
            </w:r>
          </w:p>
        </w:tc>
        <w:tc>
          <w:tcPr>
            <w:tcW w:w="750" w:type="pct"/>
            <w:vAlign w:val="center"/>
          </w:tcPr>
          <w:p w14:paraId="452152CD" w14:textId="77777777" w:rsidR="008C34A2" w:rsidRPr="00781112" w:rsidRDefault="008C34A2" w:rsidP="00DF5DC9">
            <w:pPr>
              <w:jc w:val="center"/>
              <w:rPr>
                <w:b/>
                <w:color w:val="000000" w:themeColor="text1"/>
              </w:rPr>
            </w:pPr>
            <w:r w:rsidRPr="00781112">
              <w:rPr>
                <w:b/>
                <w:color w:val="000000" w:themeColor="text1"/>
              </w:rPr>
              <w:t>2021</w:t>
            </w:r>
          </w:p>
        </w:tc>
        <w:tc>
          <w:tcPr>
            <w:tcW w:w="751" w:type="pct"/>
            <w:vAlign w:val="center"/>
          </w:tcPr>
          <w:p w14:paraId="2A72599E" w14:textId="77777777" w:rsidR="008C34A2" w:rsidRPr="00781112" w:rsidRDefault="008C34A2" w:rsidP="00DF5DC9">
            <w:pPr>
              <w:jc w:val="center"/>
              <w:rPr>
                <w:b/>
                <w:color w:val="000000" w:themeColor="text1"/>
              </w:rPr>
            </w:pPr>
            <w:r w:rsidRPr="00781112">
              <w:rPr>
                <w:b/>
                <w:color w:val="000000" w:themeColor="text1"/>
              </w:rPr>
              <w:t>2022</w:t>
            </w:r>
          </w:p>
        </w:tc>
        <w:tc>
          <w:tcPr>
            <w:tcW w:w="750" w:type="pct"/>
            <w:vAlign w:val="center"/>
          </w:tcPr>
          <w:p w14:paraId="7FE4BF63" w14:textId="77777777" w:rsidR="008C34A2" w:rsidRPr="00781112" w:rsidRDefault="008C34A2" w:rsidP="00DF5DC9">
            <w:pPr>
              <w:jc w:val="center"/>
              <w:rPr>
                <w:b/>
                <w:color w:val="000000" w:themeColor="text1"/>
              </w:rPr>
            </w:pPr>
            <w:r w:rsidRPr="00781112">
              <w:rPr>
                <w:b/>
                <w:color w:val="000000" w:themeColor="text1"/>
              </w:rPr>
              <w:t>2023</w:t>
            </w:r>
          </w:p>
        </w:tc>
        <w:tc>
          <w:tcPr>
            <w:tcW w:w="750" w:type="pct"/>
            <w:vAlign w:val="center"/>
          </w:tcPr>
          <w:p w14:paraId="058F33A0" w14:textId="77777777" w:rsidR="008C34A2" w:rsidRPr="00781112" w:rsidRDefault="008C34A2" w:rsidP="00DF5DC9">
            <w:pPr>
              <w:jc w:val="center"/>
              <w:rPr>
                <w:b/>
                <w:color w:val="000000" w:themeColor="text1"/>
              </w:rPr>
            </w:pPr>
            <w:r w:rsidRPr="00781112">
              <w:rPr>
                <w:b/>
                <w:color w:val="000000" w:themeColor="text1"/>
              </w:rPr>
              <w:t>2024</w:t>
            </w:r>
          </w:p>
        </w:tc>
        <w:tc>
          <w:tcPr>
            <w:tcW w:w="751" w:type="pct"/>
            <w:vAlign w:val="center"/>
          </w:tcPr>
          <w:p w14:paraId="61BC41F0" w14:textId="77777777" w:rsidR="008C34A2" w:rsidRPr="00781112" w:rsidRDefault="008C34A2" w:rsidP="00DF5DC9">
            <w:pPr>
              <w:jc w:val="center"/>
              <w:rPr>
                <w:b/>
                <w:color w:val="000000" w:themeColor="text1"/>
              </w:rPr>
            </w:pPr>
            <w:r w:rsidRPr="00781112">
              <w:rPr>
                <w:b/>
                <w:color w:val="000000" w:themeColor="text1"/>
              </w:rPr>
              <w:t>2025</w:t>
            </w:r>
          </w:p>
        </w:tc>
      </w:tr>
      <w:tr w:rsidR="008C34A2" w:rsidRPr="00781112" w14:paraId="25FE264F" w14:textId="77777777" w:rsidTr="00DF5DC9">
        <w:trPr>
          <w:trHeight w:val="303"/>
        </w:trPr>
        <w:tc>
          <w:tcPr>
            <w:tcW w:w="498" w:type="pct"/>
            <w:shd w:val="clear" w:color="auto" w:fill="auto"/>
            <w:vAlign w:val="center"/>
          </w:tcPr>
          <w:p w14:paraId="734B2C53" w14:textId="77777777" w:rsidR="008C34A2" w:rsidRPr="00781112" w:rsidRDefault="008C34A2" w:rsidP="00DF5DC9">
            <w:pPr>
              <w:rPr>
                <w:rFonts w:cs="Arial"/>
                <w:color w:val="000000" w:themeColor="text1"/>
                <w:szCs w:val="16"/>
              </w:rPr>
            </w:pPr>
            <w:r w:rsidRPr="00781112">
              <w:rPr>
                <w:rFonts w:cs="Arial"/>
                <w:color w:val="000000" w:themeColor="text1"/>
                <w:szCs w:val="16"/>
              </w:rPr>
              <w:t>Target C1, age 3 &lt;=</w:t>
            </w:r>
          </w:p>
        </w:tc>
        <w:tc>
          <w:tcPr>
            <w:tcW w:w="750" w:type="pct"/>
            <w:shd w:val="clear" w:color="auto" w:fill="auto"/>
            <w:vAlign w:val="center"/>
          </w:tcPr>
          <w:p w14:paraId="25F056B4" w14:textId="77777777" w:rsidR="008C34A2" w:rsidRPr="00781112" w:rsidRDefault="008C34A2" w:rsidP="00DF5DC9">
            <w:pPr>
              <w:jc w:val="center"/>
              <w:rPr>
                <w:color w:val="000000" w:themeColor="text1"/>
              </w:rPr>
            </w:pPr>
            <w:r w:rsidRPr="00781112">
              <w:rPr>
                <w:color w:val="000000" w:themeColor="text1"/>
              </w:rPr>
              <w:t>20.16%</w:t>
            </w:r>
          </w:p>
        </w:tc>
        <w:tc>
          <w:tcPr>
            <w:tcW w:w="750" w:type="pct"/>
            <w:vAlign w:val="center"/>
          </w:tcPr>
          <w:p w14:paraId="103AF642" w14:textId="77777777" w:rsidR="008C34A2" w:rsidRPr="00781112" w:rsidRDefault="008C34A2" w:rsidP="00DF5DC9">
            <w:pPr>
              <w:jc w:val="center"/>
              <w:rPr>
                <w:color w:val="000000" w:themeColor="text1"/>
              </w:rPr>
            </w:pPr>
            <w:r w:rsidRPr="00781112">
              <w:rPr>
                <w:color w:val="000000" w:themeColor="text1"/>
              </w:rPr>
              <w:t>19.66%</w:t>
            </w:r>
          </w:p>
        </w:tc>
        <w:tc>
          <w:tcPr>
            <w:tcW w:w="751" w:type="pct"/>
            <w:vAlign w:val="center"/>
          </w:tcPr>
          <w:p w14:paraId="410604AA" w14:textId="77777777" w:rsidR="008C34A2" w:rsidRPr="00781112" w:rsidRDefault="008C34A2" w:rsidP="00DF5DC9">
            <w:pPr>
              <w:jc w:val="center"/>
              <w:rPr>
                <w:color w:val="000000" w:themeColor="text1"/>
              </w:rPr>
            </w:pPr>
            <w:r w:rsidRPr="00781112">
              <w:rPr>
                <w:color w:val="000000" w:themeColor="text1"/>
              </w:rPr>
              <w:t>19.16%</w:t>
            </w:r>
          </w:p>
        </w:tc>
        <w:tc>
          <w:tcPr>
            <w:tcW w:w="750" w:type="pct"/>
            <w:vAlign w:val="center"/>
          </w:tcPr>
          <w:p w14:paraId="1EEDBA90" w14:textId="77777777" w:rsidR="008C34A2" w:rsidRPr="00781112" w:rsidRDefault="008C34A2" w:rsidP="00DF5DC9">
            <w:pPr>
              <w:jc w:val="center"/>
              <w:rPr>
                <w:color w:val="000000" w:themeColor="text1"/>
              </w:rPr>
            </w:pPr>
            <w:r w:rsidRPr="00781112">
              <w:rPr>
                <w:color w:val="000000" w:themeColor="text1"/>
              </w:rPr>
              <w:t>18.66%</w:t>
            </w:r>
          </w:p>
        </w:tc>
        <w:tc>
          <w:tcPr>
            <w:tcW w:w="750" w:type="pct"/>
            <w:vAlign w:val="center"/>
          </w:tcPr>
          <w:p w14:paraId="211AE0C2" w14:textId="77777777" w:rsidR="008C34A2" w:rsidRPr="00781112" w:rsidRDefault="008C34A2" w:rsidP="00DF5DC9">
            <w:pPr>
              <w:jc w:val="center"/>
              <w:rPr>
                <w:color w:val="000000" w:themeColor="text1"/>
              </w:rPr>
            </w:pPr>
            <w:r w:rsidRPr="00781112">
              <w:rPr>
                <w:color w:val="000000" w:themeColor="text1"/>
              </w:rPr>
              <w:t>18.16%</w:t>
            </w:r>
          </w:p>
        </w:tc>
        <w:tc>
          <w:tcPr>
            <w:tcW w:w="751" w:type="pct"/>
            <w:vAlign w:val="center"/>
          </w:tcPr>
          <w:p w14:paraId="1F2D4008" w14:textId="77777777" w:rsidR="008C34A2" w:rsidRPr="00781112" w:rsidRDefault="008C34A2" w:rsidP="00DF5DC9">
            <w:pPr>
              <w:jc w:val="center"/>
              <w:rPr>
                <w:color w:val="000000" w:themeColor="text1"/>
              </w:rPr>
            </w:pPr>
            <w:r w:rsidRPr="00781112">
              <w:rPr>
                <w:color w:val="000000" w:themeColor="text1"/>
              </w:rPr>
              <w:t>17.66%</w:t>
            </w:r>
          </w:p>
        </w:tc>
      </w:tr>
      <w:tr w:rsidR="008C34A2" w:rsidRPr="00781112" w14:paraId="679989A0" w14:textId="77777777" w:rsidTr="00DF5DC9">
        <w:trPr>
          <w:trHeight w:val="303"/>
        </w:trPr>
        <w:tc>
          <w:tcPr>
            <w:tcW w:w="498" w:type="pct"/>
            <w:shd w:val="clear" w:color="auto" w:fill="auto"/>
            <w:vAlign w:val="center"/>
          </w:tcPr>
          <w:p w14:paraId="22106F68" w14:textId="77777777" w:rsidR="008C34A2" w:rsidRPr="00781112" w:rsidRDefault="008C34A2" w:rsidP="00DF5DC9">
            <w:pPr>
              <w:rPr>
                <w:rFonts w:cs="Arial"/>
                <w:color w:val="000000" w:themeColor="text1"/>
                <w:szCs w:val="16"/>
              </w:rPr>
            </w:pPr>
            <w:r w:rsidRPr="00781112">
              <w:rPr>
                <w:rFonts w:cs="Arial"/>
                <w:color w:val="000000" w:themeColor="text1"/>
                <w:szCs w:val="16"/>
              </w:rPr>
              <w:t>Target C2, age 4 &lt;=</w:t>
            </w:r>
          </w:p>
        </w:tc>
        <w:tc>
          <w:tcPr>
            <w:tcW w:w="750" w:type="pct"/>
            <w:shd w:val="clear" w:color="auto" w:fill="auto"/>
            <w:vAlign w:val="center"/>
          </w:tcPr>
          <w:p w14:paraId="6B8E9FE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7.16%</w:t>
            </w:r>
          </w:p>
        </w:tc>
        <w:tc>
          <w:tcPr>
            <w:tcW w:w="750" w:type="pct"/>
            <w:vAlign w:val="center"/>
          </w:tcPr>
          <w:p w14:paraId="599A3B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7.06%</w:t>
            </w:r>
          </w:p>
        </w:tc>
        <w:tc>
          <w:tcPr>
            <w:tcW w:w="751" w:type="pct"/>
            <w:vAlign w:val="center"/>
          </w:tcPr>
          <w:p w14:paraId="0CE23B6A" w14:textId="77777777" w:rsidR="008C34A2" w:rsidRPr="00781112" w:rsidRDefault="008C34A2" w:rsidP="00DF5DC9">
            <w:pPr>
              <w:jc w:val="center"/>
              <w:rPr>
                <w:color w:val="000000" w:themeColor="text1"/>
              </w:rPr>
            </w:pPr>
            <w:r w:rsidRPr="00781112">
              <w:rPr>
                <w:color w:val="000000" w:themeColor="text1"/>
              </w:rPr>
              <w:t>6.96%</w:t>
            </w:r>
          </w:p>
        </w:tc>
        <w:tc>
          <w:tcPr>
            <w:tcW w:w="750" w:type="pct"/>
            <w:vAlign w:val="center"/>
          </w:tcPr>
          <w:p w14:paraId="5E0E12B2" w14:textId="77777777" w:rsidR="008C34A2" w:rsidRPr="00781112" w:rsidRDefault="008C34A2" w:rsidP="00DF5DC9">
            <w:pPr>
              <w:jc w:val="center"/>
              <w:rPr>
                <w:color w:val="000000" w:themeColor="text1"/>
              </w:rPr>
            </w:pPr>
            <w:r w:rsidRPr="00781112">
              <w:rPr>
                <w:color w:val="000000" w:themeColor="text1"/>
              </w:rPr>
              <w:t>6.86%</w:t>
            </w:r>
          </w:p>
        </w:tc>
        <w:tc>
          <w:tcPr>
            <w:tcW w:w="750" w:type="pct"/>
            <w:vAlign w:val="center"/>
          </w:tcPr>
          <w:p w14:paraId="5CF0118D" w14:textId="77777777" w:rsidR="008C34A2" w:rsidRPr="00781112" w:rsidRDefault="008C34A2" w:rsidP="00DF5DC9">
            <w:pPr>
              <w:jc w:val="center"/>
              <w:rPr>
                <w:color w:val="000000" w:themeColor="text1"/>
              </w:rPr>
            </w:pPr>
            <w:r w:rsidRPr="00781112">
              <w:rPr>
                <w:color w:val="000000" w:themeColor="text1"/>
              </w:rPr>
              <w:t>6.76%</w:t>
            </w:r>
          </w:p>
        </w:tc>
        <w:tc>
          <w:tcPr>
            <w:tcW w:w="751" w:type="pct"/>
            <w:vAlign w:val="center"/>
          </w:tcPr>
          <w:p w14:paraId="00DE34BB" w14:textId="77777777" w:rsidR="008C34A2" w:rsidRPr="00781112" w:rsidRDefault="008C34A2" w:rsidP="00DF5DC9">
            <w:pPr>
              <w:jc w:val="center"/>
              <w:rPr>
                <w:color w:val="000000" w:themeColor="text1"/>
              </w:rPr>
            </w:pPr>
            <w:r w:rsidRPr="00781112">
              <w:rPr>
                <w:color w:val="000000" w:themeColor="text1"/>
              </w:rPr>
              <w:t>6.66%</w:t>
            </w:r>
          </w:p>
        </w:tc>
      </w:tr>
      <w:tr w:rsidR="008C34A2" w:rsidRPr="00781112" w14:paraId="12923878" w14:textId="77777777" w:rsidTr="00DF5DC9">
        <w:trPr>
          <w:trHeight w:val="303"/>
        </w:trPr>
        <w:tc>
          <w:tcPr>
            <w:tcW w:w="498" w:type="pct"/>
            <w:shd w:val="clear" w:color="auto" w:fill="auto"/>
            <w:vAlign w:val="center"/>
          </w:tcPr>
          <w:p w14:paraId="0841B8F7" w14:textId="77777777" w:rsidR="008C34A2" w:rsidRPr="00781112" w:rsidRDefault="008C34A2" w:rsidP="00DF5DC9">
            <w:pPr>
              <w:rPr>
                <w:rFonts w:cs="Arial"/>
                <w:color w:val="000000" w:themeColor="text1"/>
                <w:szCs w:val="16"/>
              </w:rPr>
            </w:pPr>
            <w:r w:rsidRPr="00781112">
              <w:rPr>
                <w:rFonts w:cs="Arial"/>
                <w:color w:val="000000" w:themeColor="text1"/>
                <w:szCs w:val="16"/>
              </w:rPr>
              <w:t>Target C3, age 5 &lt;=</w:t>
            </w:r>
          </w:p>
        </w:tc>
        <w:tc>
          <w:tcPr>
            <w:tcW w:w="750" w:type="pct"/>
            <w:shd w:val="clear" w:color="auto" w:fill="auto"/>
            <w:vAlign w:val="center"/>
          </w:tcPr>
          <w:p w14:paraId="5C6181A5" w14:textId="77777777" w:rsidR="008C34A2" w:rsidRPr="00781112" w:rsidRDefault="008C34A2" w:rsidP="00DF5DC9">
            <w:pPr>
              <w:jc w:val="center"/>
              <w:rPr>
                <w:rFonts w:cs="Arial"/>
                <w:color w:val="000000" w:themeColor="text1"/>
                <w:szCs w:val="16"/>
              </w:rPr>
            </w:pPr>
            <w:r w:rsidRPr="00781112">
              <w:rPr>
                <w:color w:val="000000" w:themeColor="text1"/>
              </w:rPr>
              <w:t>6.83%</w:t>
            </w:r>
          </w:p>
        </w:tc>
        <w:tc>
          <w:tcPr>
            <w:tcW w:w="750" w:type="pct"/>
            <w:vAlign w:val="center"/>
          </w:tcPr>
          <w:p w14:paraId="23B76D5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6.63%</w:t>
            </w:r>
          </w:p>
        </w:tc>
        <w:tc>
          <w:tcPr>
            <w:tcW w:w="751" w:type="pct"/>
            <w:vAlign w:val="center"/>
          </w:tcPr>
          <w:p w14:paraId="4EEA4047" w14:textId="77777777" w:rsidR="008C34A2" w:rsidRPr="00781112" w:rsidRDefault="008C34A2" w:rsidP="00DF5DC9">
            <w:pPr>
              <w:jc w:val="center"/>
              <w:rPr>
                <w:color w:val="000000" w:themeColor="text1"/>
              </w:rPr>
            </w:pPr>
            <w:r w:rsidRPr="00781112">
              <w:rPr>
                <w:color w:val="000000" w:themeColor="text1"/>
              </w:rPr>
              <w:t>6.43%</w:t>
            </w:r>
          </w:p>
        </w:tc>
        <w:tc>
          <w:tcPr>
            <w:tcW w:w="750" w:type="pct"/>
            <w:vAlign w:val="center"/>
          </w:tcPr>
          <w:p w14:paraId="0BB0BAF0" w14:textId="77777777" w:rsidR="008C34A2" w:rsidRPr="00781112" w:rsidRDefault="008C34A2" w:rsidP="00DF5DC9">
            <w:pPr>
              <w:jc w:val="center"/>
              <w:rPr>
                <w:color w:val="000000" w:themeColor="text1"/>
              </w:rPr>
            </w:pPr>
            <w:r w:rsidRPr="00781112">
              <w:rPr>
                <w:color w:val="000000" w:themeColor="text1"/>
              </w:rPr>
              <w:t>6.23%</w:t>
            </w:r>
          </w:p>
        </w:tc>
        <w:tc>
          <w:tcPr>
            <w:tcW w:w="750" w:type="pct"/>
            <w:vAlign w:val="center"/>
          </w:tcPr>
          <w:p w14:paraId="1600462F" w14:textId="77777777" w:rsidR="008C34A2" w:rsidRPr="00781112" w:rsidRDefault="008C34A2" w:rsidP="00DF5DC9">
            <w:pPr>
              <w:jc w:val="center"/>
              <w:rPr>
                <w:color w:val="000000" w:themeColor="text1"/>
              </w:rPr>
            </w:pPr>
            <w:r w:rsidRPr="00781112">
              <w:rPr>
                <w:color w:val="000000" w:themeColor="text1"/>
              </w:rPr>
              <w:t>6.03%</w:t>
            </w:r>
          </w:p>
        </w:tc>
        <w:tc>
          <w:tcPr>
            <w:tcW w:w="751" w:type="pct"/>
            <w:vAlign w:val="center"/>
          </w:tcPr>
          <w:p w14:paraId="23912702" w14:textId="77777777" w:rsidR="008C34A2" w:rsidRPr="00781112" w:rsidRDefault="008C34A2" w:rsidP="00DF5DC9">
            <w:pPr>
              <w:jc w:val="center"/>
              <w:rPr>
                <w:color w:val="000000" w:themeColor="text1"/>
              </w:rPr>
            </w:pPr>
            <w:r w:rsidRPr="00781112">
              <w:rPr>
                <w:color w:val="000000" w:themeColor="text1"/>
              </w:rPr>
              <w:t>5.83%</w:t>
            </w:r>
          </w:p>
        </w:tc>
      </w:tr>
    </w:tbl>
    <w:p w14:paraId="770D6443" w14:textId="39B3F3FD" w:rsidR="004D796B" w:rsidRPr="00781112" w:rsidRDefault="004D796B" w:rsidP="004369B2">
      <w:pPr>
        <w:rPr>
          <w:color w:val="000000" w:themeColor="text1"/>
        </w:rPr>
      </w:pPr>
    </w:p>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1,285</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2,333</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571</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4,189</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841</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1,905</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449</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3,195</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53</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54</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13</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120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18</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259</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167</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39</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465</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5EC53FFB" w14:textId="77777777" w:rsidR="002E1E70" w:rsidRPr="001C443D" w:rsidRDefault="002E1E70" w:rsidP="001C443D">
      <w:pPr>
        <w:rPr>
          <w:b/>
          <w:bCs/>
        </w:rPr>
      </w:pPr>
      <w:r w:rsidRPr="001C443D">
        <w:rPr>
          <w:b/>
          <w:bCs/>
        </w:rPr>
        <w:t>FFY 2020 SPP/APR Data for Age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CFFYAPRDATA618"/>
      </w:tblPr>
      <w:tblGrid>
        <w:gridCol w:w="2964"/>
        <w:gridCol w:w="1118"/>
        <w:gridCol w:w="1118"/>
        <w:gridCol w:w="1118"/>
        <w:gridCol w:w="1118"/>
        <w:gridCol w:w="1118"/>
        <w:gridCol w:w="1118"/>
        <w:gridCol w:w="1118"/>
      </w:tblGrid>
      <w:tr w:rsidR="00846D41" w:rsidRPr="00781112" w14:paraId="06C565F1" w14:textId="77777777" w:rsidTr="00827FF4">
        <w:trPr>
          <w:trHeight w:val="354"/>
          <w:tblHeader/>
        </w:trPr>
        <w:tc>
          <w:tcPr>
            <w:tcW w:w="1373" w:type="pct"/>
            <w:shd w:val="clear" w:color="auto" w:fill="auto"/>
            <w:vAlign w:val="bottom"/>
          </w:tcPr>
          <w:p w14:paraId="1A43A265" w14:textId="77777777" w:rsidR="00846D41" w:rsidRPr="00781112" w:rsidRDefault="00846D41" w:rsidP="00827FF4">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2FB9BFC1" w14:textId="73D03DB6" w:rsidR="00846D41" w:rsidRPr="00781112" w:rsidRDefault="00846D41" w:rsidP="00827FF4">
            <w:pPr>
              <w:jc w:val="center"/>
              <w:rPr>
                <w:rFonts w:cs="Arial"/>
                <w:b/>
                <w:color w:val="000000" w:themeColor="text1"/>
                <w:szCs w:val="16"/>
              </w:rPr>
            </w:pPr>
            <w:r w:rsidRPr="00781112">
              <w:rPr>
                <w:rFonts w:cs="Arial"/>
                <w:b/>
                <w:color w:val="000000" w:themeColor="text1"/>
                <w:szCs w:val="16"/>
              </w:rPr>
              <w:t>Number of children with IEPs aged 3 served</w:t>
            </w:r>
          </w:p>
        </w:tc>
        <w:tc>
          <w:tcPr>
            <w:tcW w:w="518" w:type="pct"/>
            <w:shd w:val="clear" w:color="auto" w:fill="auto"/>
            <w:vAlign w:val="bottom"/>
          </w:tcPr>
          <w:p w14:paraId="03FE1866" w14:textId="1DDBDA40" w:rsidR="00846D41" w:rsidRPr="00781112" w:rsidRDefault="00846D41" w:rsidP="00827FF4">
            <w:pPr>
              <w:jc w:val="center"/>
              <w:rPr>
                <w:rFonts w:cs="Arial"/>
                <w:b/>
                <w:color w:val="000000" w:themeColor="text1"/>
                <w:szCs w:val="16"/>
              </w:rPr>
            </w:pPr>
            <w:r w:rsidRPr="00781112">
              <w:rPr>
                <w:rFonts w:cs="Arial"/>
                <w:b/>
                <w:color w:val="000000" w:themeColor="text1"/>
                <w:szCs w:val="16"/>
              </w:rPr>
              <w:t>Total number of children with IEPs aged 3</w:t>
            </w:r>
          </w:p>
        </w:tc>
        <w:tc>
          <w:tcPr>
            <w:tcW w:w="518" w:type="pct"/>
            <w:shd w:val="clear" w:color="auto" w:fill="auto"/>
            <w:vAlign w:val="bottom"/>
          </w:tcPr>
          <w:p w14:paraId="45FAA6E5" w14:textId="77777777" w:rsidR="00846D41" w:rsidRPr="00781112" w:rsidRDefault="00846D41" w:rsidP="00827FF4">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3BE16E9E" w14:textId="77777777" w:rsidR="00846D41" w:rsidRPr="00781112" w:rsidRDefault="00846D41" w:rsidP="00827FF4">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525D6B8E" w14:textId="77777777" w:rsidR="00846D41" w:rsidRPr="00781112" w:rsidRDefault="00846D41" w:rsidP="00827FF4">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64F3FD5A" w14:textId="77777777" w:rsidR="00846D41" w:rsidRPr="00781112" w:rsidRDefault="00846D41" w:rsidP="00827FF4">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7F4B4C91" w14:textId="77777777" w:rsidR="00846D41" w:rsidRPr="00781112" w:rsidRDefault="00846D41" w:rsidP="00827FF4">
            <w:pPr>
              <w:jc w:val="center"/>
              <w:rPr>
                <w:rFonts w:cs="Arial"/>
                <w:b/>
                <w:color w:val="000000" w:themeColor="text1"/>
                <w:szCs w:val="16"/>
              </w:rPr>
            </w:pPr>
            <w:r w:rsidRPr="00781112">
              <w:rPr>
                <w:rFonts w:cs="Arial"/>
                <w:b/>
                <w:color w:val="000000" w:themeColor="text1"/>
                <w:szCs w:val="16"/>
              </w:rPr>
              <w:t>Slippage</w:t>
            </w:r>
          </w:p>
        </w:tc>
      </w:tr>
      <w:tr w:rsidR="00846D41" w:rsidRPr="00781112" w14:paraId="28F4625C" w14:textId="77777777" w:rsidTr="00827FF4">
        <w:trPr>
          <w:trHeight w:val="917"/>
        </w:trPr>
        <w:tc>
          <w:tcPr>
            <w:tcW w:w="1373" w:type="pct"/>
            <w:shd w:val="clear" w:color="auto" w:fill="auto"/>
            <w:vAlign w:val="center"/>
          </w:tcPr>
          <w:p w14:paraId="5DE48D6A" w14:textId="04D841A5" w:rsidR="00846D41" w:rsidRPr="00781112" w:rsidRDefault="00846D41" w:rsidP="00827FF4">
            <w:pPr>
              <w:rPr>
                <w:rFonts w:cs="Arial"/>
                <w:color w:val="000000" w:themeColor="text1"/>
                <w:szCs w:val="16"/>
              </w:rPr>
            </w:pPr>
            <w:r w:rsidRPr="00781112">
              <w:rPr>
                <w:rFonts w:cs="Arial"/>
                <w:color w:val="000000" w:themeColor="text1"/>
                <w:szCs w:val="16"/>
                <w:shd w:val="clear" w:color="auto" w:fill="FFFFFF"/>
              </w:rPr>
              <w:t>A1. A regular early childhood program and receiving the majority of special education and related services in the regular early childhood program</w:t>
            </w:r>
          </w:p>
        </w:tc>
        <w:tc>
          <w:tcPr>
            <w:tcW w:w="518" w:type="pct"/>
            <w:shd w:val="clear" w:color="auto" w:fill="auto"/>
            <w:vAlign w:val="center"/>
          </w:tcPr>
          <w:p w14:paraId="2412048F" w14:textId="6FEE4C79" w:rsidR="00846D41" w:rsidRPr="00781112" w:rsidRDefault="00846D41" w:rsidP="00827FF4">
            <w:pPr>
              <w:jc w:val="center"/>
              <w:rPr>
                <w:rFonts w:cs="Arial"/>
                <w:color w:val="000000" w:themeColor="text1"/>
                <w:szCs w:val="16"/>
              </w:rPr>
            </w:pPr>
            <w:r w:rsidRPr="00781112">
              <w:rPr>
                <w:rFonts w:cs="Arial"/>
                <w:color w:val="000000" w:themeColor="text1"/>
                <w:szCs w:val="16"/>
              </w:rPr>
              <w:t>841</w:t>
            </w:r>
          </w:p>
          <w:p w14:paraId="6245AEC0" w14:textId="77777777" w:rsidR="00846D41" w:rsidRPr="00781112" w:rsidRDefault="00846D41" w:rsidP="00827FF4">
            <w:pPr>
              <w:jc w:val="center"/>
              <w:rPr>
                <w:rFonts w:cs="Arial"/>
                <w:color w:val="000000" w:themeColor="text1"/>
                <w:szCs w:val="16"/>
              </w:rPr>
            </w:pPr>
          </w:p>
        </w:tc>
        <w:tc>
          <w:tcPr>
            <w:tcW w:w="518" w:type="pct"/>
            <w:shd w:val="clear" w:color="auto" w:fill="auto"/>
            <w:vAlign w:val="center"/>
          </w:tcPr>
          <w:p w14:paraId="264DDC8F" w14:textId="16508F16" w:rsidR="00846D41" w:rsidRPr="00781112" w:rsidRDefault="00846D41" w:rsidP="00827FF4">
            <w:pPr>
              <w:jc w:val="center"/>
              <w:rPr>
                <w:rFonts w:cs="Arial"/>
                <w:color w:val="000000" w:themeColor="text1"/>
                <w:szCs w:val="16"/>
              </w:rPr>
            </w:pPr>
            <w:r w:rsidRPr="00781112">
              <w:rPr>
                <w:rFonts w:cs="Arial"/>
                <w:color w:val="000000" w:themeColor="text1"/>
                <w:szCs w:val="16"/>
              </w:rPr>
              <w:t>1,285</w:t>
            </w:r>
          </w:p>
        </w:tc>
        <w:tc>
          <w:tcPr>
            <w:tcW w:w="518" w:type="pct"/>
            <w:shd w:val="clear" w:color="auto" w:fill="auto"/>
            <w:vAlign w:val="center"/>
          </w:tcPr>
          <w:p w14:paraId="14132781" w14:textId="181FC298" w:rsidR="00846D41" w:rsidRPr="00781112" w:rsidRDefault="00846D41" w:rsidP="00827FF4">
            <w:pPr>
              <w:jc w:val="center"/>
              <w:rPr>
                <w:rFonts w:cs="Arial"/>
                <w:color w:val="000000" w:themeColor="text1"/>
                <w:szCs w:val="16"/>
              </w:rPr>
            </w:pPr>
          </w:p>
        </w:tc>
        <w:tc>
          <w:tcPr>
            <w:tcW w:w="518" w:type="pct"/>
            <w:shd w:val="clear" w:color="auto" w:fill="auto"/>
            <w:vAlign w:val="center"/>
          </w:tcPr>
          <w:p w14:paraId="3DDF3344" w14:textId="5CF3FAF6" w:rsidR="00846D41" w:rsidRPr="00781112" w:rsidRDefault="00846D41" w:rsidP="00827FF4">
            <w:pPr>
              <w:jc w:val="center"/>
              <w:rPr>
                <w:rFonts w:cs="Arial"/>
                <w:color w:val="000000" w:themeColor="text1"/>
                <w:szCs w:val="16"/>
              </w:rPr>
            </w:pPr>
            <w:r w:rsidRPr="00781112">
              <w:rPr>
                <w:rFonts w:cs="Arial"/>
                <w:color w:val="000000" w:themeColor="text1"/>
                <w:szCs w:val="16"/>
              </w:rPr>
              <w:t>65.45%</w:t>
            </w:r>
          </w:p>
        </w:tc>
        <w:tc>
          <w:tcPr>
            <w:tcW w:w="518" w:type="pct"/>
            <w:shd w:val="clear" w:color="auto" w:fill="auto"/>
            <w:vAlign w:val="center"/>
          </w:tcPr>
          <w:p w14:paraId="36BE8268" w14:textId="0368EEA3" w:rsidR="00846D41" w:rsidRPr="00781112" w:rsidRDefault="00846D41" w:rsidP="00827FF4">
            <w:pPr>
              <w:jc w:val="center"/>
              <w:rPr>
                <w:rFonts w:cs="Arial"/>
                <w:color w:val="000000" w:themeColor="text1"/>
                <w:szCs w:val="16"/>
              </w:rPr>
            </w:pPr>
            <w:r w:rsidRPr="00781112">
              <w:rPr>
                <w:rFonts w:cs="Arial"/>
                <w:color w:val="000000" w:themeColor="text1"/>
                <w:szCs w:val="16"/>
              </w:rPr>
              <w:t>65.45%</w:t>
            </w:r>
          </w:p>
        </w:tc>
        <w:tc>
          <w:tcPr>
            <w:tcW w:w="518" w:type="pct"/>
            <w:shd w:val="clear" w:color="auto" w:fill="auto"/>
            <w:vAlign w:val="center"/>
          </w:tcPr>
          <w:p w14:paraId="459DAD4B" w14:textId="33CA1B76" w:rsidR="00846D41" w:rsidRPr="00781112" w:rsidRDefault="00846D41"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D0DE419" w14:textId="01DF8E80" w:rsidR="00846D41" w:rsidRPr="00781112" w:rsidRDefault="00846D41" w:rsidP="00827FF4">
            <w:pPr>
              <w:jc w:val="center"/>
              <w:rPr>
                <w:rFonts w:cs="Arial"/>
                <w:color w:val="000000" w:themeColor="text1"/>
                <w:szCs w:val="16"/>
              </w:rPr>
            </w:pPr>
            <w:r w:rsidRPr="00781112">
              <w:rPr>
                <w:rFonts w:cs="Arial"/>
                <w:color w:val="000000" w:themeColor="text1"/>
                <w:szCs w:val="16"/>
              </w:rPr>
              <w:t>N/A</w:t>
            </w:r>
          </w:p>
        </w:tc>
      </w:tr>
      <w:tr w:rsidR="00846D41" w:rsidRPr="00781112" w14:paraId="7C845514" w14:textId="77777777" w:rsidTr="00827FF4">
        <w:trPr>
          <w:trHeight w:val="361"/>
        </w:trPr>
        <w:tc>
          <w:tcPr>
            <w:tcW w:w="1373" w:type="pct"/>
            <w:shd w:val="clear" w:color="auto" w:fill="auto"/>
            <w:vAlign w:val="center"/>
          </w:tcPr>
          <w:p w14:paraId="426E1DA4" w14:textId="775B0FEB" w:rsidR="00846D41" w:rsidRPr="00781112" w:rsidRDefault="00846D41" w:rsidP="00827FF4">
            <w:pPr>
              <w:rPr>
                <w:rFonts w:cs="Arial"/>
                <w:color w:val="000000" w:themeColor="text1"/>
                <w:szCs w:val="16"/>
              </w:rPr>
            </w:pPr>
            <w:r w:rsidRPr="00781112">
              <w:rPr>
                <w:rFonts w:cs="Arial"/>
                <w:color w:val="000000" w:themeColor="text1"/>
                <w:szCs w:val="16"/>
                <w:shd w:val="clear" w:color="auto" w:fill="FFFFFF"/>
              </w:rPr>
              <w:t>B1. Separate special education class, separate school or residential facility</w:t>
            </w:r>
          </w:p>
        </w:tc>
        <w:tc>
          <w:tcPr>
            <w:tcW w:w="518" w:type="pct"/>
            <w:shd w:val="clear" w:color="auto" w:fill="auto"/>
            <w:vAlign w:val="center"/>
          </w:tcPr>
          <w:p w14:paraId="1573FB97" w14:textId="73E2EAE7" w:rsidR="00846D41" w:rsidRPr="00781112" w:rsidRDefault="00846D41" w:rsidP="00827FF4">
            <w:pPr>
              <w:jc w:val="center"/>
              <w:rPr>
                <w:rFonts w:cs="Arial"/>
                <w:color w:val="000000" w:themeColor="text1"/>
                <w:szCs w:val="16"/>
              </w:rPr>
            </w:pPr>
            <w:r w:rsidRPr="00781112">
              <w:rPr>
                <w:rFonts w:cs="Arial"/>
                <w:color w:val="000000" w:themeColor="text1"/>
                <w:szCs w:val="16"/>
              </w:rPr>
              <w:t>58</w:t>
            </w:r>
          </w:p>
        </w:tc>
        <w:tc>
          <w:tcPr>
            <w:tcW w:w="518" w:type="pct"/>
            <w:shd w:val="clear" w:color="auto" w:fill="auto"/>
            <w:vAlign w:val="center"/>
          </w:tcPr>
          <w:p w14:paraId="1D878F9F" w14:textId="1F4F631C" w:rsidR="00846D41" w:rsidRPr="00781112" w:rsidRDefault="00846D41" w:rsidP="00827FF4">
            <w:pPr>
              <w:jc w:val="center"/>
              <w:rPr>
                <w:rFonts w:cs="Arial"/>
                <w:color w:val="000000" w:themeColor="text1"/>
                <w:szCs w:val="16"/>
              </w:rPr>
            </w:pPr>
            <w:r w:rsidRPr="00781112">
              <w:rPr>
                <w:rFonts w:cs="Arial"/>
                <w:color w:val="000000" w:themeColor="text1"/>
                <w:szCs w:val="16"/>
              </w:rPr>
              <w:t>1,285</w:t>
            </w:r>
          </w:p>
        </w:tc>
        <w:tc>
          <w:tcPr>
            <w:tcW w:w="518" w:type="pct"/>
            <w:shd w:val="clear" w:color="auto" w:fill="auto"/>
            <w:vAlign w:val="center"/>
          </w:tcPr>
          <w:p w14:paraId="749D9057" w14:textId="5984EB8B" w:rsidR="00846D41" w:rsidRPr="00781112" w:rsidRDefault="00846D41" w:rsidP="00827FF4">
            <w:pPr>
              <w:jc w:val="center"/>
              <w:rPr>
                <w:rFonts w:cs="Arial"/>
                <w:color w:val="000000" w:themeColor="text1"/>
                <w:szCs w:val="16"/>
              </w:rPr>
            </w:pPr>
          </w:p>
        </w:tc>
        <w:tc>
          <w:tcPr>
            <w:tcW w:w="518" w:type="pct"/>
            <w:shd w:val="clear" w:color="auto" w:fill="auto"/>
            <w:vAlign w:val="center"/>
          </w:tcPr>
          <w:p w14:paraId="5BB741AE" w14:textId="5926C825" w:rsidR="00846D41" w:rsidRPr="00781112" w:rsidRDefault="00846D41" w:rsidP="00827FF4">
            <w:pPr>
              <w:jc w:val="center"/>
              <w:rPr>
                <w:rFonts w:cs="Arial"/>
                <w:color w:val="000000" w:themeColor="text1"/>
                <w:szCs w:val="16"/>
              </w:rPr>
            </w:pPr>
            <w:r w:rsidRPr="00781112">
              <w:rPr>
                <w:rFonts w:cs="Arial"/>
                <w:color w:val="000000" w:themeColor="text1"/>
                <w:szCs w:val="16"/>
              </w:rPr>
              <w:t>4.51%</w:t>
            </w:r>
          </w:p>
        </w:tc>
        <w:tc>
          <w:tcPr>
            <w:tcW w:w="518" w:type="pct"/>
            <w:shd w:val="clear" w:color="auto" w:fill="auto"/>
            <w:vAlign w:val="center"/>
          </w:tcPr>
          <w:p w14:paraId="205F9597" w14:textId="3FD9111A" w:rsidR="00846D41" w:rsidRPr="00781112" w:rsidRDefault="00846D41" w:rsidP="00827FF4">
            <w:pPr>
              <w:jc w:val="center"/>
              <w:rPr>
                <w:rFonts w:cs="Arial"/>
                <w:color w:val="000000" w:themeColor="text1"/>
                <w:szCs w:val="16"/>
              </w:rPr>
            </w:pPr>
            <w:r w:rsidRPr="00781112">
              <w:rPr>
                <w:rFonts w:cs="Arial"/>
                <w:color w:val="000000" w:themeColor="text1"/>
                <w:szCs w:val="16"/>
              </w:rPr>
              <w:t>4.51%</w:t>
            </w:r>
          </w:p>
        </w:tc>
        <w:tc>
          <w:tcPr>
            <w:tcW w:w="518" w:type="pct"/>
            <w:shd w:val="clear" w:color="auto" w:fill="auto"/>
            <w:vAlign w:val="center"/>
          </w:tcPr>
          <w:p w14:paraId="0DFA927B" w14:textId="0571EE3D" w:rsidR="00846D41" w:rsidRPr="00781112" w:rsidRDefault="00846D41"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0D23D3E" w14:textId="7ECD3AD3" w:rsidR="00846D41" w:rsidRPr="00781112" w:rsidRDefault="00846D41" w:rsidP="00827FF4">
            <w:pPr>
              <w:jc w:val="center"/>
              <w:rPr>
                <w:rFonts w:cs="Arial"/>
                <w:color w:val="000000" w:themeColor="text1"/>
                <w:szCs w:val="16"/>
              </w:rPr>
            </w:pPr>
            <w:r w:rsidRPr="00781112">
              <w:rPr>
                <w:rFonts w:cs="Arial"/>
                <w:color w:val="000000" w:themeColor="text1"/>
                <w:szCs w:val="16"/>
              </w:rPr>
              <w:t>N/A</w:t>
            </w:r>
          </w:p>
        </w:tc>
      </w:tr>
      <w:tr w:rsidR="006748D9" w:rsidRPr="00781112" w14:paraId="6D488F52" w14:textId="77777777" w:rsidTr="00827FF4">
        <w:trPr>
          <w:trHeight w:val="361"/>
        </w:trPr>
        <w:tc>
          <w:tcPr>
            <w:tcW w:w="1373" w:type="pct"/>
            <w:shd w:val="clear" w:color="auto" w:fill="auto"/>
            <w:vAlign w:val="center"/>
          </w:tcPr>
          <w:p w14:paraId="2DCDD2F9" w14:textId="7DCE7F57" w:rsidR="006748D9" w:rsidRPr="00781112" w:rsidRDefault="006748D9" w:rsidP="006748D9">
            <w:pPr>
              <w:rPr>
                <w:rFonts w:cs="Arial"/>
                <w:color w:val="000000" w:themeColor="text1"/>
                <w:szCs w:val="16"/>
                <w:shd w:val="clear" w:color="auto" w:fill="FFFFFF"/>
              </w:rPr>
            </w:pPr>
            <w:r w:rsidRPr="00781112">
              <w:rPr>
                <w:rFonts w:cs="Arial"/>
                <w:szCs w:val="16"/>
                <w:shd w:val="clear" w:color="auto" w:fill="FFFFFF"/>
              </w:rPr>
              <w:t>C1. Home</w:t>
            </w:r>
          </w:p>
        </w:tc>
        <w:tc>
          <w:tcPr>
            <w:tcW w:w="518" w:type="pct"/>
            <w:shd w:val="clear" w:color="auto" w:fill="auto"/>
            <w:vAlign w:val="center"/>
          </w:tcPr>
          <w:p w14:paraId="4C235B45" w14:textId="330E22EF" w:rsidR="006748D9" w:rsidRPr="00781112" w:rsidRDefault="006748D9" w:rsidP="006748D9">
            <w:pPr>
              <w:jc w:val="center"/>
              <w:rPr>
                <w:rFonts w:cs="Arial"/>
                <w:color w:val="000000" w:themeColor="text1"/>
                <w:szCs w:val="16"/>
              </w:rPr>
            </w:pPr>
            <w:r w:rsidRPr="00781112">
              <w:rPr>
                <w:rFonts w:cs="Arial"/>
                <w:color w:val="000000" w:themeColor="text1"/>
                <w:szCs w:val="16"/>
              </w:rPr>
              <w:t>259</w:t>
            </w:r>
          </w:p>
        </w:tc>
        <w:tc>
          <w:tcPr>
            <w:tcW w:w="518" w:type="pct"/>
            <w:shd w:val="clear" w:color="auto" w:fill="auto"/>
            <w:vAlign w:val="center"/>
          </w:tcPr>
          <w:p w14:paraId="0371447B" w14:textId="4399EC4F" w:rsidR="006748D9" w:rsidRPr="00781112" w:rsidRDefault="006748D9" w:rsidP="006748D9">
            <w:pPr>
              <w:jc w:val="center"/>
              <w:rPr>
                <w:rFonts w:cs="Arial"/>
                <w:color w:val="000000" w:themeColor="text1"/>
                <w:szCs w:val="16"/>
              </w:rPr>
            </w:pPr>
            <w:r w:rsidRPr="00781112">
              <w:rPr>
                <w:rFonts w:cs="Arial"/>
                <w:color w:val="000000" w:themeColor="text1"/>
                <w:szCs w:val="16"/>
              </w:rPr>
              <w:t>1,285</w:t>
            </w:r>
          </w:p>
        </w:tc>
        <w:tc>
          <w:tcPr>
            <w:tcW w:w="518" w:type="pct"/>
            <w:shd w:val="clear" w:color="auto" w:fill="auto"/>
            <w:vAlign w:val="center"/>
          </w:tcPr>
          <w:p w14:paraId="2B5CD111" w14:textId="092DCAA6" w:rsidR="006748D9" w:rsidRPr="00781112" w:rsidRDefault="006748D9" w:rsidP="006748D9">
            <w:pPr>
              <w:jc w:val="center"/>
              <w:rPr>
                <w:rFonts w:cs="Arial"/>
                <w:color w:val="000000" w:themeColor="text1"/>
                <w:szCs w:val="16"/>
              </w:rPr>
            </w:pPr>
          </w:p>
        </w:tc>
        <w:tc>
          <w:tcPr>
            <w:tcW w:w="518" w:type="pct"/>
            <w:shd w:val="clear" w:color="auto" w:fill="auto"/>
            <w:vAlign w:val="center"/>
          </w:tcPr>
          <w:p w14:paraId="22CD3D5D" w14:textId="350A7E74" w:rsidR="006748D9" w:rsidRPr="00781112" w:rsidRDefault="00914535" w:rsidP="006748D9">
            <w:pPr>
              <w:jc w:val="center"/>
              <w:rPr>
                <w:rFonts w:cs="Arial"/>
                <w:color w:val="000000" w:themeColor="text1"/>
                <w:szCs w:val="16"/>
              </w:rPr>
            </w:pPr>
            <w:r w:rsidRPr="00781112">
              <w:rPr>
                <w:rFonts w:cs="Arial"/>
                <w:color w:val="000000" w:themeColor="text1"/>
                <w:szCs w:val="16"/>
              </w:rPr>
              <w:t>20.16%</w:t>
            </w:r>
          </w:p>
        </w:tc>
        <w:tc>
          <w:tcPr>
            <w:tcW w:w="518" w:type="pct"/>
            <w:shd w:val="clear" w:color="auto" w:fill="auto"/>
            <w:vAlign w:val="center"/>
          </w:tcPr>
          <w:p w14:paraId="36B7D780" w14:textId="4CDFD97B" w:rsidR="006748D9" w:rsidRPr="00781112" w:rsidRDefault="006748D9" w:rsidP="006748D9">
            <w:pPr>
              <w:jc w:val="center"/>
              <w:rPr>
                <w:rFonts w:cs="Arial"/>
                <w:color w:val="000000" w:themeColor="text1"/>
                <w:szCs w:val="16"/>
              </w:rPr>
            </w:pPr>
            <w:r w:rsidRPr="00781112">
              <w:rPr>
                <w:rFonts w:cs="Arial"/>
                <w:color w:val="000000" w:themeColor="text1"/>
                <w:szCs w:val="16"/>
              </w:rPr>
              <w:t>20.16%</w:t>
            </w:r>
          </w:p>
        </w:tc>
        <w:tc>
          <w:tcPr>
            <w:tcW w:w="518" w:type="pct"/>
            <w:shd w:val="clear" w:color="auto" w:fill="auto"/>
            <w:vAlign w:val="center"/>
          </w:tcPr>
          <w:p w14:paraId="45D3249D" w14:textId="112B44FF" w:rsidR="006748D9" w:rsidRPr="00781112" w:rsidRDefault="006748D9" w:rsidP="006748D9">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50307014" w14:textId="50640923" w:rsidR="006748D9" w:rsidRPr="00781112" w:rsidRDefault="006748D9" w:rsidP="006748D9">
            <w:pPr>
              <w:jc w:val="center"/>
              <w:rPr>
                <w:rFonts w:cs="Arial"/>
                <w:color w:val="000000" w:themeColor="text1"/>
                <w:szCs w:val="16"/>
              </w:rPr>
            </w:pPr>
            <w:r w:rsidRPr="00781112">
              <w:rPr>
                <w:rFonts w:cs="Arial"/>
                <w:color w:val="000000" w:themeColor="text1"/>
                <w:szCs w:val="16"/>
              </w:rPr>
              <w:t>N/A</w:t>
            </w:r>
          </w:p>
        </w:tc>
      </w:tr>
    </w:tbl>
    <w:p w14:paraId="2CCC21FA" w14:textId="35253F5A" w:rsidR="00A73454" w:rsidRPr="00995441" w:rsidRDefault="00A73454" w:rsidP="004369B2">
      <w:pPr>
        <w:rPr>
          <w:b/>
          <w:color w:val="000000" w:themeColor="text1"/>
        </w:rPr>
      </w:pPr>
    </w:p>
    <w:p w14:paraId="12A1BA8F" w14:textId="2C5D7D9A" w:rsidR="00C33434" w:rsidRDefault="00C33434" w:rsidP="004369B2">
      <w:pPr>
        <w:rPr>
          <w:b/>
          <w:color w:val="000000" w:themeColor="text1"/>
        </w:rPr>
      </w:pPr>
    </w:p>
    <w:p w14:paraId="7F2BEC7A" w14:textId="531BFFF3" w:rsidR="00983370" w:rsidRPr="00781112" w:rsidRDefault="00983370" w:rsidP="007D100A">
      <w:pPr>
        <w:rPr>
          <w:rFonts w:cs="Arial"/>
          <w:color w:val="000000" w:themeColor="text1"/>
          <w:szCs w:val="16"/>
        </w:rPr>
      </w:pPr>
    </w:p>
    <w:p w14:paraId="7D638C7E" w14:textId="10FBB594" w:rsidR="00983370" w:rsidRPr="001C443D" w:rsidRDefault="00983370" w:rsidP="001C443D">
      <w:pPr>
        <w:rPr>
          <w:b/>
          <w:bCs/>
        </w:rPr>
      </w:pPr>
      <w:r w:rsidRPr="001C443D">
        <w:rPr>
          <w:b/>
          <w:bCs/>
        </w:rPr>
        <w:t>FFY 2020 SPP/APR Data for Age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4CFFYAPRDATA618"/>
      </w:tblPr>
      <w:tblGrid>
        <w:gridCol w:w="2964"/>
        <w:gridCol w:w="1118"/>
        <w:gridCol w:w="1118"/>
        <w:gridCol w:w="1118"/>
        <w:gridCol w:w="1118"/>
        <w:gridCol w:w="1118"/>
        <w:gridCol w:w="1118"/>
        <w:gridCol w:w="1118"/>
      </w:tblGrid>
      <w:tr w:rsidR="00983370" w:rsidRPr="00781112" w14:paraId="043A570E" w14:textId="77777777" w:rsidTr="00CB5840">
        <w:trPr>
          <w:trHeight w:val="354"/>
          <w:tblHeader/>
          <w:jc w:val="center"/>
        </w:trPr>
        <w:tc>
          <w:tcPr>
            <w:tcW w:w="1373" w:type="pct"/>
            <w:shd w:val="clear" w:color="auto" w:fill="auto"/>
            <w:vAlign w:val="bottom"/>
          </w:tcPr>
          <w:p w14:paraId="6F11B9C7" w14:textId="77777777" w:rsidR="00983370" w:rsidRPr="00781112" w:rsidRDefault="00983370" w:rsidP="00827FF4">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1610F8D0" w14:textId="29578F16" w:rsidR="00983370" w:rsidRPr="00781112" w:rsidRDefault="00983370" w:rsidP="00827FF4">
            <w:pPr>
              <w:jc w:val="center"/>
              <w:rPr>
                <w:rFonts w:cs="Arial"/>
                <w:b/>
                <w:color w:val="000000" w:themeColor="text1"/>
                <w:szCs w:val="16"/>
              </w:rPr>
            </w:pPr>
            <w:r w:rsidRPr="00781112">
              <w:rPr>
                <w:rFonts w:cs="Arial"/>
                <w:b/>
                <w:color w:val="000000" w:themeColor="text1"/>
                <w:szCs w:val="16"/>
              </w:rPr>
              <w:t>Number of children with IEPs aged 4 served</w:t>
            </w:r>
          </w:p>
        </w:tc>
        <w:tc>
          <w:tcPr>
            <w:tcW w:w="518" w:type="pct"/>
            <w:shd w:val="clear" w:color="auto" w:fill="auto"/>
            <w:vAlign w:val="bottom"/>
          </w:tcPr>
          <w:p w14:paraId="2425FE3C" w14:textId="7E51BF58" w:rsidR="00983370" w:rsidRPr="00781112" w:rsidRDefault="00983370" w:rsidP="00827FF4">
            <w:pPr>
              <w:jc w:val="center"/>
              <w:rPr>
                <w:rFonts w:cs="Arial"/>
                <w:b/>
                <w:color w:val="000000" w:themeColor="text1"/>
                <w:szCs w:val="16"/>
              </w:rPr>
            </w:pPr>
            <w:r w:rsidRPr="00781112">
              <w:rPr>
                <w:rFonts w:cs="Arial"/>
                <w:b/>
                <w:color w:val="000000" w:themeColor="text1"/>
                <w:szCs w:val="16"/>
              </w:rPr>
              <w:t>Total number of children with IEPs aged 4</w:t>
            </w:r>
          </w:p>
        </w:tc>
        <w:tc>
          <w:tcPr>
            <w:tcW w:w="518" w:type="pct"/>
            <w:shd w:val="clear" w:color="auto" w:fill="auto"/>
            <w:vAlign w:val="bottom"/>
          </w:tcPr>
          <w:p w14:paraId="6096FFE3" w14:textId="77777777" w:rsidR="00983370" w:rsidRPr="00781112" w:rsidRDefault="00983370" w:rsidP="00827FF4">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1BE39B3B" w14:textId="77777777" w:rsidR="00983370" w:rsidRPr="00781112" w:rsidRDefault="00983370" w:rsidP="00827FF4">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05C6F244" w14:textId="77777777" w:rsidR="00983370" w:rsidRPr="00781112" w:rsidRDefault="00983370" w:rsidP="00827FF4">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3C48C749" w14:textId="77777777" w:rsidR="00983370" w:rsidRPr="00781112" w:rsidRDefault="00983370" w:rsidP="00827FF4">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4F121848" w14:textId="77777777" w:rsidR="00983370" w:rsidRPr="00781112" w:rsidRDefault="00983370" w:rsidP="00827FF4">
            <w:pPr>
              <w:jc w:val="center"/>
              <w:rPr>
                <w:rFonts w:cs="Arial"/>
                <w:b/>
                <w:color w:val="000000" w:themeColor="text1"/>
                <w:szCs w:val="16"/>
              </w:rPr>
            </w:pPr>
            <w:r w:rsidRPr="00781112">
              <w:rPr>
                <w:rFonts w:cs="Arial"/>
                <w:b/>
                <w:color w:val="000000" w:themeColor="text1"/>
                <w:szCs w:val="16"/>
              </w:rPr>
              <w:t>Slippage</w:t>
            </w:r>
          </w:p>
        </w:tc>
      </w:tr>
      <w:tr w:rsidR="00983370" w:rsidRPr="00781112" w14:paraId="09A0E451" w14:textId="77777777" w:rsidTr="00CB5840">
        <w:trPr>
          <w:trHeight w:val="917"/>
          <w:jc w:val="center"/>
        </w:trPr>
        <w:tc>
          <w:tcPr>
            <w:tcW w:w="1373" w:type="pct"/>
            <w:shd w:val="clear" w:color="auto" w:fill="auto"/>
            <w:vAlign w:val="center"/>
          </w:tcPr>
          <w:p w14:paraId="4D2A5FD8" w14:textId="7F2CD3E1" w:rsidR="00983370" w:rsidRPr="00781112" w:rsidRDefault="00983370" w:rsidP="00827FF4">
            <w:pPr>
              <w:rPr>
                <w:rFonts w:cs="Arial"/>
                <w:color w:val="000000" w:themeColor="text1"/>
                <w:szCs w:val="16"/>
              </w:rPr>
            </w:pPr>
            <w:r w:rsidRPr="00781112">
              <w:rPr>
                <w:rFonts w:cs="Arial"/>
                <w:color w:val="000000" w:themeColor="text1"/>
                <w:szCs w:val="16"/>
                <w:shd w:val="clear" w:color="auto" w:fill="FFFFFF"/>
              </w:rPr>
              <w:t>A2. A regular early childhood program and receiving the majority of special education and related services in the regular early childhood program</w:t>
            </w:r>
          </w:p>
        </w:tc>
        <w:tc>
          <w:tcPr>
            <w:tcW w:w="518" w:type="pct"/>
            <w:shd w:val="clear" w:color="auto" w:fill="auto"/>
            <w:vAlign w:val="center"/>
          </w:tcPr>
          <w:p w14:paraId="6DABBE4D" w14:textId="21C81CC8" w:rsidR="00983370" w:rsidRPr="00781112" w:rsidRDefault="00983370" w:rsidP="00827FF4">
            <w:pPr>
              <w:jc w:val="center"/>
              <w:rPr>
                <w:rFonts w:cs="Arial"/>
                <w:color w:val="000000" w:themeColor="text1"/>
                <w:szCs w:val="16"/>
              </w:rPr>
            </w:pPr>
            <w:r w:rsidRPr="00781112">
              <w:rPr>
                <w:rFonts w:cs="Arial"/>
                <w:color w:val="000000" w:themeColor="text1"/>
                <w:szCs w:val="16"/>
              </w:rPr>
              <w:t>1,905</w:t>
            </w:r>
          </w:p>
          <w:p w14:paraId="70B09232" w14:textId="77777777" w:rsidR="00983370" w:rsidRPr="00781112" w:rsidRDefault="00983370" w:rsidP="00827FF4">
            <w:pPr>
              <w:jc w:val="center"/>
              <w:rPr>
                <w:rFonts w:cs="Arial"/>
                <w:color w:val="000000" w:themeColor="text1"/>
                <w:szCs w:val="16"/>
              </w:rPr>
            </w:pPr>
          </w:p>
        </w:tc>
        <w:tc>
          <w:tcPr>
            <w:tcW w:w="518" w:type="pct"/>
            <w:shd w:val="clear" w:color="auto" w:fill="auto"/>
            <w:vAlign w:val="center"/>
          </w:tcPr>
          <w:p w14:paraId="40E57CAE" w14:textId="5D313007" w:rsidR="00983370" w:rsidRPr="00781112" w:rsidRDefault="00983370" w:rsidP="00827FF4">
            <w:pPr>
              <w:jc w:val="center"/>
              <w:rPr>
                <w:rFonts w:cs="Arial"/>
                <w:color w:val="000000" w:themeColor="text1"/>
                <w:szCs w:val="16"/>
              </w:rPr>
            </w:pPr>
            <w:r w:rsidRPr="00781112">
              <w:rPr>
                <w:rFonts w:cs="Arial"/>
                <w:color w:val="000000" w:themeColor="text1"/>
                <w:szCs w:val="16"/>
              </w:rPr>
              <w:t>2,333</w:t>
            </w:r>
          </w:p>
        </w:tc>
        <w:tc>
          <w:tcPr>
            <w:tcW w:w="518" w:type="pct"/>
            <w:shd w:val="clear" w:color="auto" w:fill="auto"/>
            <w:vAlign w:val="center"/>
          </w:tcPr>
          <w:p w14:paraId="3EECE412" w14:textId="084EFC04" w:rsidR="00983370" w:rsidRPr="00781112" w:rsidRDefault="00983370" w:rsidP="00827FF4">
            <w:pPr>
              <w:jc w:val="center"/>
              <w:rPr>
                <w:rFonts w:cs="Arial"/>
                <w:color w:val="000000" w:themeColor="text1"/>
                <w:szCs w:val="16"/>
              </w:rPr>
            </w:pPr>
          </w:p>
        </w:tc>
        <w:tc>
          <w:tcPr>
            <w:tcW w:w="518" w:type="pct"/>
            <w:shd w:val="clear" w:color="auto" w:fill="auto"/>
            <w:vAlign w:val="center"/>
          </w:tcPr>
          <w:p w14:paraId="20F65D9C" w14:textId="73EB065F" w:rsidR="00983370" w:rsidRPr="00781112" w:rsidRDefault="00983370" w:rsidP="00827FF4">
            <w:pPr>
              <w:jc w:val="center"/>
              <w:rPr>
                <w:rFonts w:cs="Arial"/>
                <w:color w:val="000000" w:themeColor="text1"/>
                <w:szCs w:val="16"/>
              </w:rPr>
            </w:pPr>
            <w:r w:rsidRPr="00781112">
              <w:rPr>
                <w:rFonts w:cs="Arial"/>
                <w:color w:val="000000" w:themeColor="text1"/>
                <w:szCs w:val="16"/>
              </w:rPr>
              <w:t>81.65%</w:t>
            </w:r>
          </w:p>
        </w:tc>
        <w:tc>
          <w:tcPr>
            <w:tcW w:w="518" w:type="pct"/>
            <w:shd w:val="clear" w:color="auto" w:fill="auto"/>
            <w:vAlign w:val="center"/>
          </w:tcPr>
          <w:p w14:paraId="2671DFB2" w14:textId="6E9181D5" w:rsidR="00983370" w:rsidRPr="00781112" w:rsidRDefault="00983370" w:rsidP="00827FF4">
            <w:pPr>
              <w:jc w:val="center"/>
              <w:rPr>
                <w:rFonts w:cs="Arial"/>
                <w:color w:val="000000" w:themeColor="text1"/>
                <w:szCs w:val="16"/>
              </w:rPr>
            </w:pPr>
            <w:r w:rsidRPr="00781112">
              <w:rPr>
                <w:rFonts w:cs="Arial"/>
                <w:color w:val="000000" w:themeColor="text1"/>
                <w:szCs w:val="16"/>
              </w:rPr>
              <w:t>81.65%</w:t>
            </w:r>
          </w:p>
        </w:tc>
        <w:tc>
          <w:tcPr>
            <w:tcW w:w="518" w:type="pct"/>
            <w:shd w:val="clear" w:color="auto" w:fill="auto"/>
            <w:vAlign w:val="center"/>
          </w:tcPr>
          <w:p w14:paraId="799F8814" w14:textId="1E734917" w:rsidR="00983370" w:rsidRPr="00781112" w:rsidRDefault="00983370"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78344DFD" w14:textId="55B473BA" w:rsidR="00983370" w:rsidRPr="00781112" w:rsidRDefault="00983370" w:rsidP="00827FF4">
            <w:pPr>
              <w:jc w:val="center"/>
              <w:rPr>
                <w:rFonts w:cs="Arial"/>
                <w:color w:val="000000" w:themeColor="text1"/>
                <w:szCs w:val="16"/>
              </w:rPr>
            </w:pPr>
            <w:r w:rsidRPr="00781112">
              <w:rPr>
                <w:rFonts w:cs="Arial"/>
                <w:color w:val="000000" w:themeColor="text1"/>
                <w:szCs w:val="16"/>
              </w:rPr>
              <w:t>N/A</w:t>
            </w:r>
          </w:p>
        </w:tc>
      </w:tr>
      <w:tr w:rsidR="00983370" w:rsidRPr="00781112" w14:paraId="41CB7F6C" w14:textId="77777777" w:rsidTr="00CB5840">
        <w:trPr>
          <w:trHeight w:val="361"/>
          <w:jc w:val="center"/>
        </w:trPr>
        <w:tc>
          <w:tcPr>
            <w:tcW w:w="1373" w:type="pct"/>
            <w:shd w:val="clear" w:color="auto" w:fill="auto"/>
            <w:vAlign w:val="center"/>
          </w:tcPr>
          <w:p w14:paraId="7C639F36" w14:textId="4658173C" w:rsidR="00983370" w:rsidRPr="00781112" w:rsidRDefault="00983370" w:rsidP="00827FF4">
            <w:pPr>
              <w:rPr>
                <w:rFonts w:cs="Arial"/>
                <w:color w:val="000000" w:themeColor="text1"/>
                <w:szCs w:val="16"/>
              </w:rPr>
            </w:pPr>
            <w:r w:rsidRPr="00781112">
              <w:rPr>
                <w:rFonts w:cs="Arial"/>
                <w:color w:val="000000" w:themeColor="text1"/>
                <w:szCs w:val="16"/>
                <w:shd w:val="clear" w:color="auto" w:fill="FFFFFF"/>
              </w:rPr>
              <w:lastRenderedPageBreak/>
              <w:t>B2. Separate special education class, separate school or residential facility</w:t>
            </w:r>
          </w:p>
        </w:tc>
        <w:tc>
          <w:tcPr>
            <w:tcW w:w="518" w:type="pct"/>
            <w:shd w:val="clear" w:color="auto" w:fill="auto"/>
            <w:vAlign w:val="center"/>
          </w:tcPr>
          <w:p w14:paraId="14DFC5C5" w14:textId="77CFEBE8" w:rsidR="00983370" w:rsidRPr="00781112" w:rsidRDefault="00983370" w:rsidP="00827FF4">
            <w:pPr>
              <w:jc w:val="center"/>
              <w:rPr>
                <w:rFonts w:cs="Arial"/>
                <w:color w:val="000000" w:themeColor="text1"/>
                <w:szCs w:val="16"/>
              </w:rPr>
            </w:pPr>
            <w:r w:rsidRPr="00781112">
              <w:rPr>
                <w:rFonts w:cs="Arial"/>
                <w:color w:val="000000" w:themeColor="text1"/>
                <w:szCs w:val="16"/>
              </w:rPr>
              <w:t>63</w:t>
            </w:r>
          </w:p>
        </w:tc>
        <w:tc>
          <w:tcPr>
            <w:tcW w:w="518" w:type="pct"/>
            <w:shd w:val="clear" w:color="auto" w:fill="auto"/>
            <w:vAlign w:val="center"/>
          </w:tcPr>
          <w:p w14:paraId="67B2C073" w14:textId="4C4F1448" w:rsidR="00983370" w:rsidRPr="00781112" w:rsidRDefault="00983370" w:rsidP="00827FF4">
            <w:pPr>
              <w:jc w:val="center"/>
              <w:rPr>
                <w:rFonts w:cs="Arial"/>
                <w:color w:val="000000" w:themeColor="text1"/>
                <w:szCs w:val="16"/>
              </w:rPr>
            </w:pPr>
            <w:r w:rsidRPr="00781112">
              <w:rPr>
                <w:rFonts w:cs="Arial"/>
                <w:color w:val="000000" w:themeColor="text1"/>
                <w:szCs w:val="16"/>
              </w:rPr>
              <w:t>2,333</w:t>
            </w:r>
          </w:p>
        </w:tc>
        <w:tc>
          <w:tcPr>
            <w:tcW w:w="518" w:type="pct"/>
            <w:shd w:val="clear" w:color="auto" w:fill="auto"/>
            <w:vAlign w:val="center"/>
          </w:tcPr>
          <w:p w14:paraId="4F8DEA39" w14:textId="75F03ADD" w:rsidR="00983370" w:rsidRPr="00781112" w:rsidRDefault="00983370" w:rsidP="00827FF4">
            <w:pPr>
              <w:jc w:val="center"/>
              <w:rPr>
                <w:rFonts w:cs="Arial"/>
                <w:color w:val="000000" w:themeColor="text1"/>
                <w:szCs w:val="16"/>
              </w:rPr>
            </w:pPr>
          </w:p>
        </w:tc>
        <w:tc>
          <w:tcPr>
            <w:tcW w:w="518" w:type="pct"/>
            <w:shd w:val="clear" w:color="auto" w:fill="auto"/>
            <w:vAlign w:val="center"/>
          </w:tcPr>
          <w:p w14:paraId="125F5C82" w14:textId="1C0F14FE" w:rsidR="00983370" w:rsidRPr="00781112" w:rsidRDefault="00983370" w:rsidP="00827FF4">
            <w:pPr>
              <w:jc w:val="center"/>
              <w:rPr>
                <w:rFonts w:cs="Arial"/>
                <w:color w:val="000000" w:themeColor="text1"/>
                <w:szCs w:val="16"/>
              </w:rPr>
            </w:pPr>
            <w:r w:rsidRPr="00781112">
              <w:rPr>
                <w:rFonts w:cs="Arial"/>
                <w:color w:val="000000" w:themeColor="text1"/>
                <w:szCs w:val="16"/>
              </w:rPr>
              <w:t>2.70%</w:t>
            </w:r>
          </w:p>
        </w:tc>
        <w:tc>
          <w:tcPr>
            <w:tcW w:w="518" w:type="pct"/>
            <w:shd w:val="clear" w:color="auto" w:fill="auto"/>
            <w:vAlign w:val="center"/>
          </w:tcPr>
          <w:p w14:paraId="6F6CABDC" w14:textId="09A50C8C" w:rsidR="00983370" w:rsidRPr="00781112" w:rsidRDefault="00983370" w:rsidP="00827FF4">
            <w:pPr>
              <w:jc w:val="center"/>
              <w:rPr>
                <w:rFonts w:cs="Arial"/>
                <w:color w:val="000000" w:themeColor="text1"/>
                <w:szCs w:val="16"/>
              </w:rPr>
            </w:pPr>
            <w:r w:rsidRPr="00781112">
              <w:rPr>
                <w:rFonts w:cs="Arial"/>
                <w:color w:val="000000" w:themeColor="text1"/>
                <w:szCs w:val="16"/>
              </w:rPr>
              <w:t>2.70%</w:t>
            </w:r>
          </w:p>
        </w:tc>
        <w:tc>
          <w:tcPr>
            <w:tcW w:w="518" w:type="pct"/>
            <w:shd w:val="clear" w:color="auto" w:fill="auto"/>
            <w:vAlign w:val="center"/>
          </w:tcPr>
          <w:p w14:paraId="3709FF73" w14:textId="1BDF1A26" w:rsidR="00983370" w:rsidRPr="00781112" w:rsidRDefault="00983370"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1599A13E" w14:textId="58FADBA0" w:rsidR="00983370" w:rsidRPr="00781112" w:rsidRDefault="00983370" w:rsidP="00827FF4">
            <w:pPr>
              <w:jc w:val="center"/>
              <w:rPr>
                <w:rFonts w:cs="Arial"/>
                <w:color w:val="000000" w:themeColor="text1"/>
                <w:szCs w:val="16"/>
              </w:rPr>
            </w:pPr>
            <w:r w:rsidRPr="00781112">
              <w:rPr>
                <w:rFonts w:cs="Arial"/>
                <w:color w:val="000000" w:themeColor="text1"/>
                <w:szCs w:val="16"/>
              </w:rPr>
              <w:t>N/A</w:t>
            </w:r>
          </w:p>
        </w:tc>
      </w:tr>
      <w:tr w:rsidR="00983370" w:rsidRPr="00781112" w14:paraId="6C2983B9" w14:textId="77777777" w:rsidTr="00CB5840">
        <w:trPr>
          <w:trHeight w:val="361"/>
          <w:jc w:val="center"/>
        </w:trPr>
        <w:tc>
          <w:tcPr>
            <w:tcW w:w="1373" w:type="pct"/>
            <w:shd w:val="clear" w:color="auto" w:fill="auto"/>
            <w:vAlign w:val="center"/>
          </w:tcPr>
          <w:p w14:paraId="36E4190B" w14:textId="1E87D8DA" w:rsidR="00983370" w:rsidRPr="00781112" w:rsidRDefault="00983370" w:rsidP="00827FF4">
            <w:pPr>
              <w:rPr>
                <w:rFonts w:cs="Arial"/>
                <w:color w:val="000000" w:themeColor="text1"/>
                <w:szCs w:val="16"/>
                <w:shd w:val="clear" w:color="auto" w:fill="FFFFFF"/>
              </w:rPr>
            </w:pPr>
            <w:r w:rsidRPr="00781112">
              <w:rPr>
                <w:rFonts w:cs="Arial"/>
                <w:szCs w:val="16"/>
                <w:shd w:val="clear" w:color="auto" w:fill="FFFFFF"/>
              </w:rPr>
              <w:t>C2. Home</w:t>
            </w:r>
          </w:p>
        </w:tc>
        <w:tc>
          <w:tcPr>
            <w:tcW w:w="518" w:type="pct"/>
            <w:shd w:val="clear" w:color="auto" w:fill="auto"/>
            <w:vAlign w:val="center"/>
          </w:tcPr>
          <w:p w14:paraId="67A1876C" w14:textId="781F96EF" w:rsidR="00983370" w:rsidRPr="00781112" w:rsidRDefault="00983370" w:rsidP="00827FF4">
            <w:pPr>
              <w:jc w:val="center"/>
              <w:rPr>
                <w:rFonts w:cs="Arial"/>
                <w:color w:val="000000" w:themeColor="text1"/>
                <w:szCs w:val="16"/>
              </w:rPr>
            </w:pPr>
            <w:r w:rsidRPr="00781112">
              <w:rPr>
                <w:rFonts w:cs="Arial"/>
                <w:color w:val="000000" w:themeColor="text1"/>
                <w:szCs w:val="16"/>
              </w:rPr>
              <w:t>167</w:t>
            </w:r>
          </w:p>
        </w:tc>
        <w:tc>
          <w:tcPr>
            <w:tcW w:w="518" w:type="pct"/>
            <w:shd w:val="clear" w:color="auto" w:fill="auto"/>
            <w:vAlign w:val="center"/>
          </w:tcPr>
          <w:p w14:paraId="3AD51E90" w14:textId="2C041CC0" w:rsidR="00983370" w:rsidRPr="00781112" w:rsidRDefault="00983370" w:rsidP="00827FF4">
            <w:pPr>
              <w:jc w:val="center"/>
              <w:rPr>
                <w:rFonts w:cs="Arial"/>
                <w:color w:val="000000" w:themeColor="text1"/>
                <w:szCs w:val="16"/>
              </w:rPr>
            </w:pPr>
            <w:r w:rsidRPr="00781112">
              <w:rPr>
                <w:rFonts w:cs="Arial"/>
                <w:color w:val="000000" w:themeColor="text1"/>
                <w:szCs w:val="16"/>
              </w:rPr>
              <w:t>2,333</w:t>
            </w:r>
          </w:p>
        </w:tc>
        <w:tc>
          <w:tcPr>
            <w:tcW w:w="518" w:type="pct"/>
            <w:shd w:val="clear" w:color="auto" w:fill="auto"/>
            <w:vAlign w:val="center"/>
          </w:tcPr>
          <w:p w14:paraId="1D025C79" w14:textId="6663BA10" w:rsidR="00983370" w:rsidRPr="00781112" w:rsidRDefault="00983370" w:rsidP="00827FF4">
            <w:pPr>
              <w:jc w:val="center"/>
              <w:rPr>
                <w:rFonts w:cs="Arial"/>
                <w:color w:val="000000" w:themeColor="text1"/>
                <w:szCs w:val="16"/>
              </w:rPr>
            </w:pPr>
          </w:p>
        </w:tc>
        <w:tc>
          <w:tcPr>
            <w:tcW w:w="518" w:type="pct"/>
            <w:shd w:val="clear" w:color="auto" w:fill="auto"/>
            <w:vAlign w:val="center"/>
          </w:tcPr>
          <w:p w14:paraId="7EA23F7B" w14:textId="648CF24E" w:rsidR="00983370" w:rsidRPr="00781112" w:rsidRDefault="00983370" w:rsidP="00827FF4">
            <w:pPr>
              <w:jc w:val="center"/>
              <w:rPr>
                <w:rFonts w:cs="Arial"/>
                <w:color w:val="000000" w:themeColor="text1"/>
                <w:szCs w:val="16"/>
              </w:rPr>
            </w:pPr>
            <w:r w:rsidRPr="00781112">
              <w:rPr>
                <w:rFonts w:cs="Arial"/>
                <w:color w:val="000000" w:themeColor="text1"/>
                <w:szCs w:val="16"/>
              </w:rPr>
              <w:t>7.16%</w:t>
            </w:r>
          </w:p>
        </w:tc>
        <w:tc>
          <w:tcPr>
            <w:tcW w:w="518" w:type="pct"/>
            <w:shd w:val="clear" w:color="auto" w:fill="auto"/>
            <w:vAlign w:val="center"/>
          </w:tcPr>
          <w:p w14:paraId="316A545C" w14:textId="282C643E" w:rsidR="00983370" w:rsidRPr="00781112" w:rsidRDefault="00983370" w:rsidP="00827FF4">
            <w:pPr>
              <w:jc w:val="center"/>
              <w:rPr>
                <w:rFonts w:cs="Arial"/>
                <w:color w:val="000000" w:themeColor="text1"/>
                <w:szCs w:val="16"/>
              </w:rPr>
            </w:pPr>
            <w:r w:rsidRPr="00781112">
              <w:rPr>
                <w:rFonts w:cs="Arial"/>
                <w:color w:val="000000" w:themeColor="text1"/>
                <w:szCs w:val="16"/>
              </w:rPr>
              <w:t>7.16%</w:t>
            </w:r>
          </w:p>
        </w:tc>
        <w:tc>
          <w:tcPr>
            <w:tcW w:w="518" w:type="pct"/>
            <w:shd w:val="clear" w:color="auto" w:fill="auto"/>
            <w:vAlign w:val="center"/>
          </w:tcPr>
          <w:p w14:paraId="57331EDE" w14:textId="277FE138" w:rsidR="00983370" w:rsidRPr="00781112" w:rsidRDefault="00983370"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5F34157F" w14:textId="61427140" w:rsidR="00983370" w:rsidRPr="00781112" w:rsidRDefault="00983370" w:rsidP="00827FF4">
            <w:pPr>
              <w:jc w:val="center"/>
              <w:rPr>
                <w:rFonts w:cs="Arial"/>
                <w:color w:val="000000" w:themeColor="text1"/>
                <w:szCs w:val="16"/>
              </w:rPr>
            </w:pPr>
            <w:r w:rsidRPr="00781112">
              <w:rPr>
                <w:rFonts w:cs="Arial"/>
                <w:color w:val="000000" w:themeColor="text1"/>
                <w:szCs w:val="16"/>
              </w:rPr>
              <w:t>N/A</w:t>
            </w:r>
          </w:p>
        </w:tc>
      </w:tr>
    </w:tbl>
    <w:p w14:paraId="7209A96F" w14:textId="42CF60EA" w:rsidR="00A00E1D" w:rsidRDefault="00A00E1D" w:rsidP="00983370">
      <w:pPr>
        <w:rPr>
          <w:b/>
          <w:color w:val="000000" w:themeColor="text1"/>
        </w:rPr>
      </w:pPr>
    </w:p>
    <w:p w14:paraId="74370263" w14:textId="04BAA094" w:rsidR="00983370" w:rsidRDefault="00983370" w:rsidP="007D100A">
      <w:pPr>
        <w:rPr>
          <w:rFonts w:cs="Arial"/>
          <w:color w:val="000000" w:themeColor="text1"/>
          <w:szCs w:val="16"/>
        </w:rPr>
      </w:pPr>
    </w:p>
    <w:p w14:paraId="1BB1B469" w14:textId="19961015" w:rsidR="00D16730" w:rsidRPr="00306EB6" w:rsidRDefault="00D16730" w:rsidP="00306EB6">
      <w:pPr>
        <w:rPr>
          <w:b/>
          <w:bCs/>
        </w:rPr>
      </w:pPr>
      <w:r w:rsidRPr="00306EB6">
        <w:rPr>
          <w:b/>
          <w:bCs/>
        </w:rPr>
        <w:t>FFY 2020 SPP/APR Data for Age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5CFFYAPRDATA618"/>
      </w:tblPr>
      <w:tblGrid>
        <w:gridCol w:w="2964"/>
        <w:gridCol w:w="1118"/>
        <w:gridCol w:w="1118"/>
        <w:gridCol w:w="1118"/>
        <w:gridCol w:w="1118"/>
        <w:gridCol w:w="1118"/>
        <w:gridCol w:w="1118"/>
        <w:gridCol w:w="1118"/>
      </w:tblGrid>
      <w:tr w:rsidR="00D16730" w:rsidRPr="00781112" w14:paraId="23C089CD" w14:textId="77777777" w:rsidTr="00AA46D2">
        <w:trPr>
          <w:trHeight w:val="354"/>
          <w:tblHeader/>
          <w:jc w:val="center"/>
        </w:trPr>
        <w:tc>
          <w:tcPr>
            <w:tcW w:w="1373" w:type="pct"/>
            <w:shd w:val="clear" w:color="auto" w:fill="auto"/>
            <w:vAlign w:val="bottom"/>
          </w:tcPr>
          <w:p w14:paraId="0B62D246" w14:textId="77777777" w:rsidR="00D16730" w:rsidRPr="00781112" w:rsidRDefault="00D16730" w:rsidP="00827FF4">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69298EC2" w14:textId="67C8F326" w:rsidR="00D16730" w:rsidRPr="00781112" w:rsidRDefault="00D16730" w:rsidP="00827FF4">
            <w:pPr>
              <w:jc w:val="center"/>
              <w:rPr>
                <w:rFonts w:cs="Arial"/>
                <w:b/>
                <w:color w:val="000000" w:themeColor="text1"/>
                <w:szCs w:val="16"/>
              </w:rPr>
            </w:pPr>
            <w:r w:rsidRPr="00781112">
              <w:rPr>
                <w:rFonts w:cs="Arial"/>
                <w:b/>
                <w:color w:val="000000" w:themeColor="text1"/>
                <w:szCs w:val="16"/>
              </w:rPr>
              <w:t>Number of children with IEPs aged 5 served</w:t>
            </w:r>
          </w:p>
        </w:tc>
        <w:tc>
          <w:tcPr>
            <w:tcW w:w="518" w:type="pct"/>
            <w:shd w:val="clear" w:color="auto" w:fill="auto"/>
            <w:vAlign w:val="bottom"/>
          </w:tcPr>
          <w:p w14:paraId="7A56A5AE" w14:textId="5AD2361F" w:rsidR="00D16730" w:rsidRPr="00781112" w:rsidRDefault="00D16730" w:rsidP="00827FF4">
            <w:pPr>
              <w:jc w:val="center"/>
              <w:rPr>
                <w:rFonts w:cs="Arial"/>
                <w:b/>
                <w:color w:val="000000" w:themeColor="text1"/>
                <w:szCs w:val="16"/>
              </w:rPr>
            </w:pPr>
            <w:r w:rsidRPr="00781112">
              <w:rPr>
                <w:rFonts w:cs="Arial"/>
                <w:b/>
                <w:color w:val="000000" w:themeColor="text1"/>
                <w:szCs w:val="16"/>
              </w:rPr>
              <w:t>Total number of children with IEPs aged 5</w:t>
            </w:r>
          </w:p>
        </w:tc>
        <w:tc>
          <w:tcPr>
            <w:tcW w:w="518" w:type="pct"/>
            <w:shd w:val="clear" w:color="auto" w:fill="auto"/>
            <w:vAlign w:val="bottom"/>
          </w:tcPr>
          <w:p w14:paraId="691EF20E" w14:textId="77777777" w:rsidR="00D16730" w:rsidRPr="00781112" w:rsidRDefault="00D16730" w:rsidP="00827FF4">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6338E803" w14:textId="77777777" w:rsidR="00D16730" w:rsidRPr="00781112" w:rsidRDefault="00D16730" w:rsidP="00827FF4">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1929AEA2" w14:textId="77777777" w:rsidR="00D16730" w:rsidRPr="00781112" w:rsidRDefault="00D16730" w:rsidP="00827FF4">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6F1D33C5" w14:textId="77777777" w:rsidR="00D16730" w:rsidRPr="00781112" w:rsidRDefault="00D16730" w:rsidP="00827FF4">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4E58123D" w14:textId="77777777" w:rsidR="00D16730" w:rsidRPr="00781112" w:rsidRDefault="00D16730" w:rsidP="00827FF4">
            <w:pPr>
              <w:jc w:val="center"/>
              <w:rPr>
                <w:rFonts w:cs="Arial"/>
                <w:b/>
                <w:color w:val="000000" w:themeColor="text1"/>
                <w:szCs w:val="16"/>
              </w:rPr>
            </w:pPr>
            <w:r w:rsidRPr="00781112">
              <w:rPr>
                <w:rFonts w:cs="Arial"/>
                <w:b/>
                <w:color w:val="000000" w:themeColor="text1"/>
                <w:szCs w:val="16"/>
              </w:rPr>
              <w:t>Slippage</w:t>
            </w:r>
          </w:p>
        </w:tc>
      </w:tr>
      <w:tr w:rsidR="00D16730" w:rsidRPr="00781112" w14:paraId="34836B23" w14:textId="77777777" w:rsidTr="00AA46D2">
        <w:trPr>
          <w:trHeight w:val="917"/>
          <w:jc w:val="center"/>
        </w:trPr>
        <w:tc>
          <w:tcPr>
            <w:tcW w:w="1373" w:type="pct"/>
            <w:shd w:val="clear" w:color="auto" w:fill="auto"/>
            <w:vAlign w:val="center"/>
          </w:tcPr>
          <w:p w14:paraId="2C733692" w14:textId="63729A92" w:rsidR="00D16730" w:rsidRPr="00781112" w:rsidRDefault="00D16730" w:rsidP="00827FF4">
            <w:pPr>
              <w:rPr>
                <w:rFonts w:cs="Arial"/>
                <w:color w:val="000000" w:themeColor="text1"/>
                <w:szCs w:val="16"/>
              </w:rPr>
            </w:pPr>
            <w:r w:rsidRPr="00781112">
              <w:rPr>
                <w:rFonts w:cs="Arial"/>
                <w:color w:val="000000" w:themeColor="text1"/>
                <w:szCs w:val="16"/>
                <w:shd w:val="clear" w:color="auto" w:fill="FFFFFF"/>
              </w:rPr>
              <w:t>A3. A regular early childhood program and receiving the majority of special education and related services in the regular early childhood program</w:t>
            </w:r>
          </w:p>
        </w:tc>
        <w:tc>
          <w:tcPr>
            <w:tcW w:w="518" w:type="pct"/>
            <w:shd w:val="clear" w:color="auto" w:fill="auto"/>
            <w:vAlign w:val="center"/>
          </w:tcPr>
          <w:p w14:paraId="5B014240" w14:textId="1D65C30F" w:rsidR="00D16730" w:rsidRPr="00781112" w:rsidRDefault="00D16730" w:rsidP="00827FF4">
            <w:pPr>
              <w:jc w:val="center"/>
              <w:rPr>
                <w:rFonts w:cs="Arial"/>
                <w:color w:val="000000" w:themeColor="text1"/>
                <w:szCs w:val="16"/>
              </w:rPr>
            </w:pPr>
            <w:r w:rsidRPr="00781112">
              <w:rPr>
                <w:rFonts w:cs="Arial"/>
                <w:color w:val="000000" w:themeColor="text1"/>
                <w:szCs w:val="16"/>
              </w:rPr>
              <w:t>449</w:t>
            </w:r>
          </w:p>
          <w:p w14:paraId="5A576877" w14:textId="77777777" w:rsidR="00D16730" w:rsidRPr="00781112" w:rsidRDefault="00D16730" w:rsidP="00827FF4">
            <w:pPr>
              <w:jc w:val="center"/>
              <w:rPr>
                <w:rFonts w:cs="Arial"/>
                <w:color w:val="000000" w:themeColor="text1"/>
                <w:szCs w:val="16"/>
              </w:rPr>
            </w:pPr>
          </w:p>
        </w:tc>
        <w:tc>
          <w:tcPr>
            <w:tcW w:w="518" w:type="pct"/>
            <w:shd w:val="clear" w:color="auto" w:fill="auto"/>
            <w:vAlign w:val="center"/>
          </w:tcPr>
          <w:p w14:paraId="664F878D" w14:textId="17017D56" w:rsidR="00D16730" w:rsidRPr="00781112" w:rsidRDefault="00D16730" w:rsidP="00827FF4">
            <w:pPr>
              <w:jc w:val="center"/>
              <w:rPr>
                <w:rFonts w:cs="Arial"/>
                <w:color w:val="000000" w:themeColor="text1"/>
                <w:szCs w:val="16"/>
              </w:rPr>
            </w:pPr>
            <w:r w:rsidRPr="00781112">
              <w:rPr>
                <w:rFonts w:cs="Arial"/>
                <w:color w:val="000000" w:themeColor="text1"/>
                <w:szCs w:val="16"/>
              </w:rPr>
              <w:t>571</w:t>
            </w:r>
          </w:p>
        </w:tc>
        <w:tc>
          <w:tcPr>
            <w:tcW w:w="518" w:type="pct"/>
            <w:shd w:val="clear" w:color="auto" w:fill="auto"/>
            <w:vAlign w:val="center"/>
          </w:tcPr>
          <w:p w14:paraId="141022C3" w14:textId="204F96AB" w:rsidR="00D16730" w:rsidRPr="00781112" w:rsidRDefault="00D16730" w:rsidP="00827FF4">
            <w:pPr>
              <w:jc w:val="center"/>
              <w:rPr>
                <w:rFonts w:cs="Arial"/>
                <w:color w:val="000000" w:themeColor="text1"/>
                <w:szCs w:val="16"/>
              </w:rPr>
            </w:pPr>
          </w:p>
        </w:tc>
        <w:tc>
          <w:tcPr>
            <w:tcW w:w="518" w:type="pct"/>
            <w:shd w:val="clear" w:color="auto" w:fill="auto"/>
            <w:vAlign w:val="center"/>
          </w:tcPr>
          <w:p w14:paraId="4A1253F4" w14:textId="53A9CB32" w:rsidR="00D16730" w:rsidRPr="00781112" w:rsidRDefault="00D16730" w:rsidP="00827FF4">
            <w:pPr>
              <w:jc w:val="center"/>
              <w:rPr>
                <w:rFonts w:cs="Arial"/>
                <w:color w:val="000000" w:themeColor="text1"/>
                <w:szCs w:val="16"/>
              </w:rPr>
            </w:pPr>
            <w:r w:rsidRPr="00781112">
              <w:rPr>
                <w:rFonts w:cs="Arial"/>
                <w:color w:val="000000" w:themeColor="text1"/>
                <w:szCs w:val="16"/>
              </w:rPr>
              <w:t>78.63%</w:t>
            </w:r>
          </w:p>
        </w:tc>
        <w:tc>
          <w:tcPr>
            <w:tcW w:w="518" w:type="pct"/>
            <w:shd w:val="clear" w:color="auto" w:fill="auto"/>
            <w:vAlign w:val="center"/>
          </w:tcPr>
          <w:p w14:paraId="3C2B8B90" w14:textId="2129AEC2" w:rsidR="00D16730" w:rsidRPr="00781112" w:rsidRDefault="00D16730" w:rsidP="00827FF4">
            <w:pPr>
              <w:jc w:val="center"/>
              <w:rPr>
                <w:rFonts w:cs="Arial"/>
                <w:color w:val="000000" w:themeColor="text1"/>
                <w:szCs w:val="16"/>
              </w:rPr>
            </w:pPr>
            <w:r w:rsidRPr="00781112">
              <w:rPr>
                <w:rFonts w:cs="Arial"/>
                <w:color w:val="000000" w:themeColor="text1"/>
                <w:szCs w:val="16"/>
              </w:rPr>
              <w:t>78.63%</w:t>
            </w:r>
          </w:p>
        </w:tc>
        <w:tc>
          <w:tcPr>
            <w:tcW w:w="518" w:type="pct"/>
            <w:shd w:val="clear" w:color="auto" w:fill="auto"/>
            <w:vAlign w:val="center"/>
          </w:tcPr>
          <w:p w14:paraId="6D95D792" w14:textId="22D1E519" w:rsidR="00D16730" w:rsidRPr="00781112" w:rsidRDefault="00D16730"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287BE816" w14:textId="6D6E6568" w:rsidR="00D16730" w:rsidRPr="00781112" w:rsidRDefault="00D16730" w:rsidP="00827FF4">
            <w:pPr>
              <w:jc w:val="center"/>
              <w:rPr>
                <w:rFonts w:cs="Arial"/>
                <w:color w:val="000000" w:themeColor="text1"/>
                <w:szCs w:val="16"/>
              </w:rPr>
            </w:pPr>
            <w:r w:rsidRPr="00781112">
              <w:rPr>
                <w:rFonts w:cs="Arial"/>
                <w:color w:val="000000" w:themeColor="text1"/>
                <w:szCs w:val="16"/>
              </w:rPr>
              <w:t>N/A</w:t>
            </w:r>
          </w:p>
        </w:tc>
      </w:tr>
      <w:tr w:rsidR="00D16730" w:rsidRPr="00781112" w14:paraId="557FAC90" w14:textId="77777777" w:rsidTr="00AA46D2">
        <w:trPr>
          <w:trHeight w:val="361"/>
          <w:jc w:val="center"/>
        </w:trPr>
        <w:tc>
          <w:tcPr>
            <w:tcW w:w="1373" w:type="pct"/>
            <w:shd w:val="clear" w:color="auto" w:fill="auto"/>
            <w:vAlign w:val="center"/>
          </w:tcPr>
          <w:p w14:paraId="30B1DAB5" w14:textId="37DB0578" w:rsidR="00D16730" w:rsidRPr="00781112" w:rsidRDefault="00D16730" w:rsidP="00827FF4">
            <w:pPr>
              <w:rPr>
                <w:rFonts w:cs="Arial"/>
                <w:color w:val="000000" w:themeColor="text1"/>
                <w:szCs w:val="16"/>
              </w:rPr>
            </w:pPr>
            <w:r w:rsidRPr="00781112">
              <w:rPr>
                <w:rFonts w:cs="Arial"/>
                <w:color w:val="000000" w:themeColor="text1"/>
                <w:szCs w:val="16"/>
                <w:shd w:val="clear" w:color="auto" w:fill="FFFFFF"/>
              </w:rPr>
              <w:t>B3. Separate special education class, separate school or residential facility</w:t>
            </w:r>
          </w:p>
        </w:tc>
        <w:tc>
          <w:tcPr>
            <w:tcW w:w="518" w:type="pct"/>
            <w:shd w:val="clear" w:color="auto" w:fill="auto"/>
            <w:vAlign w:val="center"/>
          </w:tcPr>
          <w:p w14:paraId="3220260D" w14:textId="59BDC266" w:rsidR="00D16730" w:rsidRPr="00781112" w:rsidRDefault="00D16730" w:rsidP="00827FF4">
            <w:pPr>
              <w:jc w:val="center"/>
              <w:rPr>
                <w:rFonts w:cs="Arial"/>
                <w:color w:val="000000" w:themeColor="text1"/>
                <w:szCs w:val="16"/>
              </w:rPr>
            </w:pPr>
            <w:r w:rsidRPr="00781112">
              <w:rPr>
                <w:rFonts w:cs="Arial"/>
                <w:color w:val="000000" w:themeColor="text1"/>
                <w:szCs w:val="16"/>
              </w:rPr>
              <w:t>17</w:t>
            </w:r>
          </w:p>
        </w:tc>
        <w:tc>
          <w:tcPr>
            <w:tcW w:w="518" w:type="pct"/>
            <w:shd w:val="clear" w:color="auto" w:fill="auto"/>
            <w:vAlign w:val="center"/>
          </w:tcPr>
          <w:p w14:paraId="16608177" w14:textId="2E7F0CBF" w:rsidR="00D16730" w:rsidRPr="00781112" w:rsidRDefault="00D16730" w:rsidP="00827FF4">
            <w:pPr>
              <w:jc w:val="center"/>
              <w:rPr>
                <w:rFonts w:cs="Arial"/>
                <w:color w:val="000000" w:themeColor="text1"/>
                <w:szCs w:val="16"/>
              </w:rPr>
            </w:pPr>
            <w:r w:rsidRPr="00781112">
              <w:rPr>
                <w:rFonts w:cs="Arial"/>
                <w:color w:val="000000" w:themeColor="text1"/>
                <w:szCs w:val="16"/>
              </w:rPr>
              <w:t>571</w:t>
            </w:r>
          </w:p>
        </w:tc>
        <w:tc>
          <w:tcPr>
            <w:tcW w:w="518" w:type="pct"/>
            <w:shd w:val="clear" w:color="auto" w:fill="auto"/>
            <w:vAlign w:val="center"/>
          </w:tcPr>
          <w:p w14:paraId="0F536350" w14:textId="59E98446" w:rsidR="00D16730" w:rsidRPr="00781112" w:rsidRDefault="00D16730" w:rsidP="00827FF4">
            <w:pPr>
              <w:jc w:val="center"/>
              <w:rPr>
                <w:rFonts w:cs="Arial"/>
                <w:color w:val="000000" w:themeColor="text1"/>
                <w:szCs w:val="16"/>
              </w:rPr>
            </w:pPr>
          </w:p>
        </w:tc>
        <w:tc>
          <w:tcPr>
            <w:tcW w:w="518" w:type="pct"/>
            <w:shd w:val="clear" w:color="auto" w:fill="auto"/>
            <w:vAlign w:val="center"/>
          </w:tcPr>
          <w:p w14:paraId="0D15A691" w14:textId="33E52072" w:rsidR="00D16730" w:rsidRPr="00781112" w:rsidRDefault="00D16730" w:rsidP="00827FF4">
            <w:pPr>
              <w:jc w:val="center"/>
              <w:rPr>
                <w:rFonts w:cs="Arial"/>
                <w:color w:val="000000" w:themeColor="text1"/>
                <w:szCs w:val="16"/>
              </w:rPr>
            </w:pPr>
            <w:r w:rsidRPr="00781112">
              <w:rPr>
                <w:rFonts w:cs="Arial"/>
                <w:color w:val="000000" w:themeColor="text1"/>
                <w:szCs w:val="16"/>
              </w:rPr>
              <w:t>2.98%</w:t>
            </w:r>
          </w:p>
        </w:tc>
        <w:tc>
          <w:tcPr>
            <w:tcW w:w="518" w:type="pct"/>
            <w:shd w:val="clear" w:color="auto" w:fill="auto"/>
            <w:vAlign w:val="center"/>
          </w:tcPr>
          <w:p w14:paraId="12A3CC7D" w14:textId="57221594" w:rsidR="00D16730" w:rsidRPr="00781112" w:rsidRDefault="00D16730" w:rsidP="00827FF4">
            <w:pPr>
              <w:jc w:val="center"/>
              <w:rPr>
                <w:rFonts w:cs="Arial"/>
                <w:color w:val="000000" w:themeColor="text1"/>
                <w:szCs w:val="16"/>
              </w:rPr>
            </w:pPr>
            <w:r w:rsidRPr="00781112">
              <w:rPr>
                <w:rFonts w:cs="Arial"/>
                <w:color w:val="000000" w:themeColor="text1"/>
                <w:szCs w:val="16"/>
              </w:rPr>
              <w:t>2.98%</w:t>
            </w:r>
          </w:p>
        </w:tc>
        <w:tc>
          <w:tcPr>
            <w:tcW w:w="518" w:type="pct"/>
            <w:shd w:val="clear" w:color="auto" w:fill="auto"/>
            <w:vAlign w:val="center"/>
          </w:tcPr>
          <w:p w14:paraId="30E899A6" w14:textId="694EC7E5" w:rsidR="00D16730" w:rsidRPr="00781112" w:rsidRDefault="00D16730"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65B3EA8" w14:textId="3F352604" w:rsidR="00D16730" w:rsidRPr="00781112" w:rsidRDefault="00D16730" w:rsidP="00827FF4">
            <w:pPr>
              <w:jc w:val="center"/>
              <w:rPr>
                <w:rFonts w:cs="Arial"/>
                <w:color w:val="000000" w:themeColor="text1"/>
                <w:szCs w:val="16"/>
              </w:rPr>
            </w:pPr>
            <w:r w:rsidRPr="00781112">
              <w:rPr>
                <w:rFonts w:cs="Arial"/>
                <w:color w:val="000000" w:themeColor="text1"/>
                <w:szCs w:val="16"/>
              </w:rPr>
              <w:t>N/A</w:t>
            </w:r>
          </w:p>
        </w:tc>
      </w:tr>
      <w:tr w:rsidR="00D16730" w:rsidRPr="00781112" w14:paraId="42323ACA" w14:textId="77777777" w:rsidTr="00AA46D2">
        <w:trPr>
          <w:trHeight w:val="361"/>
          <w:jc w:val="center"/>
        </w:trPr>
        <w:tc>
          <w:tcPr>
            <w:tcW w:w="1373" w:type="pct"/>
            <w:shd w:val="clear" w:color="auto" w:fill="auto"/>
            <w:vAlign w:val="center"/>
          </w:tcPr>
          <w:p w14:paraId="1E0C01FB" w14:textId="4E74C614" w:rsidR="00D16730" w:rsidRPr="00781112" w:rsidRDefault="00D16730" w:rsidP="00827FF4">
            <w:pPr>
              <w:rPr>
                <w:rFonts w:cs="Arial"/>
                <w:color w:val="000000" w:themeColor="text1"/>
                <w:szCs w:val="16"/>
                <w:shd w:val="clear" w:color="auto" w:fill="FFFFFF"/>
              </w:rPr>
            </w:pPr>
            <w:r w:rsidRPr="00781112">
              <w:rPr>
                <w:rFonts w:cs="Arial"/>
                <w:szCs w:val="16"/>
                <w:shd w:val="clear" w:color="auto" w:fill="FFFFFF"/>
              </w:rPr>
              <w:t>C3. Home</w:t>
            </w:r>
          </w:p>
        </w:tc>
        <w:tc>
          <w:tcPr>
            <w:tcW w:w="518" w:type="pct"/>
            <w:shd w:val="clear" w:color="auto" w:fill="auto"/>
            <w:vAlign w:val="center"/>
          </w:tcPr>
          <w:p w14:paraId="4DB4C2B7" w14:textId="6F8AD943" w:rsidR="00D16730" w:rsidRPr="00781112" w:rsidRDefault="00D16730" w:rsidP="00827FF4">
            <w:pPr>
              <w:jc w:val="center"/>
              <w:rPr>
                <w:rFonts w:cs="Arial"/>
                <w:color w:val="000000" w:themeColor="text1"/>
                <w:szCs w:val="16"/>
              </w:rPr>
            </w:pPr>
            <w:r w:rsidRPr="00781112">
              <w:rPr>
                <w:rFonts w:cs="Arial"/>
                <w:color w:val="000000" w:themeColor="text1"/>
                <w:szCs w:val="16"/>
              </w:rPr>
              <w:t>39</w:t>
            </w:r>
          </w:p>
        </w:tc>
        <w:tc>
          <w:tcPr>
            <w:tcW w:w="518" w:type="pct"/>
            <w:shd w:val="clear" w:color="auto" w:fill="auto"/>
            <w:vAlign w:val="center"/>
          </w:tcPr>
          <w:p w14:paraId="2A9EB9BA" w14:textId="614BD42A" w:rsidR="00D16730" w:rsidRPr="00781112" w:rsidRDefault="00D16730" w:rsidP="00827FF4">
            <w:pPr>
              <w:jc w:val="center"/>
              <w:rPr>
                <w:rFonts w:cs="Arial"/>
                <w:color w:val="000000" w:themeColor="text1"/>
                <w:szCs w:val="16"/>
              </w:rPr>
            </w:pPr>
            <w:r w:rsidRPr="00781112">
              <w:rPr>
                <w:rFonts w:cs="Arial"/>
                <w:color w:val="000000" w:themeColor="text1"/>
                <w:szCs w:val="16"/>
              </w:rPr>
              <w:t>571</w:t>
            </w:r>
          </w:p>
        </w:tc>
        <w:tc>
          <w:tcPr>
            <w:tcW w:w="518" w:type="pct"/>
            <w:shd w:val="clear" w:color="auto" w:fill="auto"/>
            <w:vAlign w:val="center"/>
          </w:tcPr>
          <w:p w14:paraId="2647E6D8" w14:textId="2853D14D" w:rsidR="00D16730" w:rsidRPr="00781112" w:rsidRDefault="00D16730" w:rsidP="00827FF4">
            <w:pPr>
              <w:jc w:val="center"/>
              <w:rPr>
                <w:rFonts w:cs="Arial"/>
                <w:color w:val="000000" w:themeColor="text1"/>
                <w:szCs w:val="16"/>
              </w:rPr>
            </w:pPr>
          </w:p>
        </w:tc>
        <w:tc>
          <w:tcPr>
            <w:tcW w:w="518" w:type="pct"/>
            <w:shd w:val="clear" w:color="auto" w:fill="auto"/>
            <w:vAlign w:val="center"/>
          </w:tcPr>
          <w:p w14:paraId="6AE17B5B" w14:textId="666A5DE0" w:rsidR="00D16730" w:rsidRPr="00781112" w:rsidRDefault="00D16730" w:rsidP="00827FF4">
            <w:pPr>
              <w:jc w:val="center"/>
              <w:rPr>
                <w:rFonts w:cs="Arial"/>
                <w:color w:val="000000" w:themeColor="text1"/>
                <w:szCs w:val="16"/>
              </w:rPr>
            </w:pPr>
            <w:r w:rsidRPr="00781112">
              <w:rPr>
                <w:rFonts w:cs="Arial"/>
                <w:color w:val="000000" w:themeColor="text1"/>
                <w:szCs w:val="16"/>
              </w:rPr>
              <w:t>6.83%</w:t>
            </w:r>
          </w:p>
        </w:tc>
        <w:tc>
          <w:tcPr>
            <w:tcW w:w="518" w:type="pct"/>
            <w:shd w:val="clear" w:color="auto" w:fill="auto"/>
            <w:vAlign w:val="center"/>
          </w:tcPr>
          <w:p w14:paraId="6746472B" w14:textId="67A3FA0F" w:rsidR="00D16730" w:rsidRPr="00781112" w:rsidRDefault="00D16730" w:rsidP="00827FF4">
            <w:pPr>
              <w:jc w:val="center"/>
              <w:rPr>
                <w:rFonts w:cs="Arial"/>
                <w:color w:val="000000" w:themeColor="text1"/>
                <w:szCs w:val="16"/>
              </w:rPr>
            </w:pPr>
            <w:r w:rsidRPr="00781112">
              <w:rPr>
                <w:rFonts w:cs="Arial"/>
                <w:color w:val="000000" w:themeColor="text1"/>
                <w:szCs w:val="16"/>
              </w:rPr>
              <w:t>6.83%</w:t>
            </w:r>
          </w:p>
        </w:tc>
        <w:tc>
          <w:tcPr>
            <w:tcW w:w="518" w:type="pct"/>
            <w:shd w:val="clear" w:color="auto" w:fill="auto"/>
            <w:vAlign w:val="center"/>
          </w:tcPr>
          <w:p w14:paraId="0E25393B" w14:textId="516B281F" w:rsidR="00D16730" w:rsidRPr="00781112" w:rsidRDefault="00D16730"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114288" w14:textId="251234B7" w:rsidR="00D16730" w:rsidRPr="00781112" w:rsidRDefault="00D16730" w:rsidP="00827FF4">
            <w:pPr>
              <w:jc w:val="center"/>
              <w:rPr>
                <w:rFonts w:cs="Arial"/>
                <w:color w:val="000000" w:themeColor="text1"/>
                <w:szCs w:val="16"/>
              </w:rPr>
            </w:pPr>
            <w:r w:rsidRPr="00781112">
              <w:rPr>
                <w:rFonts w:cs="Arial"/>
                <w:color w:val="000000" w:themeColor="text1"/>
                <w:szCs w:val="16"/>
              </w:rPr>
              <w:t>N/A</w:t>
            </w:r>
          </w:p>
        </w:tc>
      </w:tr>
    </w:tbl>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The State must update its baseline date because the U.S. Department of Education’s Office of Special Education Programs changed the measurement/reporting requirement for the data source used for this indicator to remove 5-year-old kindergarteners from the data source. Based on stakeholder recommendation, the State selected FFY 2020 as the baseline year for all ages. Because the baseline year is FFY 2020 the State does not enter a target for FFY 2020. </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Indicator 6A and 6B, using data from FFY 2020, and OSEP accepts that revision.</w:t>
      </w:r>
      <w:r w:rsidRPr="00781112">
        <w:rPr>
          <w:rFonts w:cs="Arial"/>
          <w:color w:val="000000" w:themeColor="text1"/>
          <w:szCs w:val="16"/>
        </w:rPr>
        <w:br/>
      </w:r>
      <w:r w:rsidRPr="00781112">
        <w:rPr>
          <w:rFonts w:cs="Arial"/>
          <w:color w:val="000000" w:themeColor="text1"/>
          <w:szCs w:val="16"/>
        </w:rPr>
        <w:br/>
        <w:t>The State established baseline for Indicator 6C, using data from FFY 2020, and OSEP accepts the baseline.</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p>
    <w:p w14:paraId="1404DCF9" w14:textId="77777777" w:rsidR="00531E54" w:rsidRPr="00781112" w:rsidRDefault="00531E54" w:rsidP="00A018D4">
      <w:pPr>
        <w:rPr>
          <w:color w:val="000000" w:themeColor="text1"/>
          <w:szCs w:val="20"/>
        </w:rPr>
      </w:pPr>
      <w:bookmarkStart w:id="32"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2"/>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74.75%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75.25%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75.25%</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74.76%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76.62%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76.45%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67.57%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65.64%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63.24%</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69.07%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70.25%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70.50%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70.50%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69.91%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69.12%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68.84%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61.53%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59.28%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56.25%</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75.25%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75.75%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75.75%</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75.19%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76.53%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74.23%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68.52%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64.85%</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69.75%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70.25%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70.50%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70.50%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69.86%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69.65%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69.23%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70.27%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65.26%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58.96%</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75.75%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76.25%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76.25%</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75.58%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69.43%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74.28%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95.77%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24.03%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45.03%</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75.25%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75.75%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75.75%</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75.16%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75.62%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88.04%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96.18%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55.59%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47.25%</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65.67%</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65.92%</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66.17%</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66.42%</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66.67%</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66.92%</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59.60%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59.85%</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60.10%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60.35%</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60.60%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60.85%</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70.04%</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70.29%</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70.54%</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70.79%</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71.04%</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71.29%</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62.64%</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62.89%</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63.14%</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63.39%</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63.64%</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63.89%</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62.43%</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62.68%</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62.93%</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63.18%</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63.43%</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63.68%</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51.80%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52.05%</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52.30%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52.55%</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52.80%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53.05%</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 xml:space="preserve">The RDA Stakeholder Group has met periodically throughout the past year and will continue meeting to establish and review targets and performance as indicated in the SPP/APR and the development and implementation of the State Systemic Improvement Plan (SSIP). Thus far the RDA Stakeholder Group has reviewed historical data around each of the indicators and established targets for each of the indicators. Additionally, the RDA Stakeholder Group assisted NDE in establishing the State Identified Measurable Result (SIMR). As the RDA Stakeholder Group continues meeting, it will provide guidance and input on the development of the continued phases of the SSIP process.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some members serving as liaisons to the RDA Stakeholder Group: Special Education Advisory Council (SEAC) and the Results Matter Nebraska Task Force. SEAC is established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work collaboratively with stakeholders, including SEAC and the Task Force, to analyze and review data to assist in making changes to the SSIP in relation to the SiMR data, interim measures of progress, and any needed changes to infrastructure and programmatic activities.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 xml:space="preserve">NDE engaged parents in setting targets, analyzing data, developing improvement strategies, and evaluating progress for the SPP/APR by ensuring parent representatives were invited to all stakeholder meetings. At stakeholder meetings, NDE staff presented indicator information and led indicator discussions in a way that made the information on the SPP/APR clear and accessible to parents, especially parents who may not have much experience with the SPP/APR. NDE also worked to engage parents by communicating through existing networks with superintendents, principals, and special education directors, asking those administrators to send specific communication to the parents in their schools and districts to ensure that all parents were hearing about the opportunity to provide input on the SPP/APR from their local administrators. </w:t>
      </w:r>
      <w:r w:rsidRPr="00781112">
        <w:rPr>
          <w:rFonts w:cs="Arial"/>
          <w:color w:val="000000" w:themeColor="text1"/>
          <w:szCs w:val="16"/>
        </w:rPr>
        <w:br/>
      </w:r>
      <w:r w:rsidRPr="00781112">
        <w:rPr>
          <w:rFonts w:cs="Arial"/>
          <w:color w:val="000000" w:themeColor="text1"/>
          <w:szCs w:val="16"/>
        </w:rPr>
        <w:br/>
        <w:t xml:space="preserve">NDE prepared its materials for each stakeholder meeting with a focus on helping diverse groups of parents understand the SPP/APR so those parents could give feedback on implementation activities designed to improve outcomes for children with disabilities. NDE did this by providing information on each indicator, including describing what it measured, how Nebraska his historically performed, areas of success within each indicator, and areas of growth. Carefully laying a foundation of information then allowed NDE staff to lead conversations of stakeholders, including diverse groups of parents, focused on improving state-level activities to better support districts in improving outcomes for children with disabilities. </w:t>
      </w:r>
      <w:r w:rsidRPr="00781112">
        <w:rPr>
          <w:rFonts w:cs="Arial"/>
          <w:color w:val="000000" w:themeColor="text1"/>
          <w:szCs w:val="16"/>
        </w:rPr>
        <w:br/>
      </w:r>
      <w:r w:rsidRPr="00781112">
        <w:rPr>
          <w:rFonts w:cs="Arial"/>
          <w:color w:val="000000" w:themeColor="text1"/>
          <w:szCs w:val="16"/>
        </w:rPr>
        <w:br/>
        <w:t xml:space="preserve">Over a period of several months, NDE conducted numerous in-person and virtual meetings focused on soliciting public input for setting targets, analyzing data, developing improvement strategies, and evaluating progress. In addition to meetings, NDE provided information on its website for stakeholder review and a survey where stakeholders could provide feedback. NDE made regular announcements and updates regarding the availability of information for stakeholders and the mechanisms for stakeholder input through its monthly special education directors’ webinar and email update. NDE also sent specific communication to superintendents, principals, and special education directors requesting their input and asking them to distribute specific communication to parents in their districts and schools, inviting their feedback. </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2,307</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152</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6.59%</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420</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18.21%</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360</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15.60%</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734</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31.82%</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641</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27.79%</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1,094</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1,666</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63.24%</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65.67%</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65.67%</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1,375</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2,307</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56.25%</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59.60%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59.60%</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152</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6.59%</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358</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15.52%</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352</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15.26%</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840</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36.41%</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605</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26.22%</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1,192</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1,702</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64.85%</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70.04%</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70.04%</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lastRenderedPageBreak/>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1,445</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2,307</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58.96%</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62.64%</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62.64%</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160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6.94%</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529</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22.93%</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423</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18.34%</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722</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31.30%</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473</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20.50%</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1,145</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1,834</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45.03%</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62.43%</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62.43%</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1,195</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2,307</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47.25%</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51.80%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51.80%</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 xml:space="preserve">Criteria for defining “comparable to same-aged peers” was determined through Item Response Theory (IRT) analyses by Teaching Strategies, based on a national sample. The algorithms result in a 7-point rating system that parallels the Child Outcomes Summary (COS) ratings. These ratings by age are input into the TS GOLD online system which generates a rating based on TS GOLD scores for each functional outcome. Research studies examining the reliability and validity of the TS GOLD are found at: https://teachingstrategies.com/our-approach/research/. </w:t>
      </w:r>
    </w:p>
    <w:p w14:paraId="015A471A" w14:textId="77777777" w:rsidR="004611C1" w:rsidRPr="00781112" w:rsidRDefault="004611C1" w:rsidP="00401663">
      <w:pPr>
        <w:rPr>
          <w:rFonts w:cs="Arial"/>
          <w:b/>
          <w:color w:val="000000" w:themeColor="text1"/>
          <w:szCs w:val="16"/>
        </w:rPr>
      </w:pPr>
      <w:bookmarkStart w:id="33" w:name="_Toc382082381"/>
      <w:bookmarkStart w:id="34"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Teaching Strategies (TS) GOLD, an authentic, observational assessment designed for children birth through 3rd grade, is the assessment used to gather data for Indicator C3. At the child’s entry and at the time of exit from Part B teachers/providers gather and document information from observations of the child. This data forms the basis of the scoring across four areas of development (social emotional, physical, language, and cognitive) and two areas of content learning (literacy and mathematics). TS GOLD objectives and dimensions that comprise each of the functional outcomes reported are from a crosswalk recommended by the Early Childhood Technical Assistance Center (ECTA).  </w:t>
      </w:r>
    </w:p>
    <w:p w14:paraId="393ECB24" w14:textId="77777777" w:rsidR="00221EC9" w:rsidRPr="00781112" w:rsidRDefault="00221EC9" w:rsidP="004369B2">
      <w:pPr>
        <w:rPr>
          <w:b/>
          <w:color w:val="000000" w:themeColor="text1"/>
        </w:rPr>
      </w:pPr>
      <w:r w:rsidRPr="00781112">
        <w:rPr>
          <w:b/>
          <w:color w:val="000000" w:themeColor="text1"/>
        </w:rPr>
        <w:lastRenderedPageBreak/>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In 2020, the TSG Research Team determined the GOLD thresholds for establishing age-expected functioning were too high for measuring progress in Part C and disproportionately higher than thresholds applied in other assessment tools that Part C providers in other states may choose to use. The discrepancy was attributed to a need for better guidance from OSEP and for a revised methodology from TSG. To update the scoring algorithm, TSG convened a council of stakeholders who use GOLD for OSEP reporting, and Nebraska was highly represented on the stakeholder team. The team collaborated to determine the appropriate cut scores used for converting from scores on GOLD to a 7-point scale. The process included reviewing numerous simulations of impacts to data based on different thresholds for age-expected functioning and discussions of the potential impact to comparisons of historical and future data. After multiple reviews, the Council came to consensus on the new thresholds. The changes, while motivated by the need to revise the algorithm for Part C reporting, also have downstream effects on Part B reporting. For Part B services, effects are more variable, but most programs will observe that Summary Statements 1 and 2 look lower with respect to previous years’ data across all outcome areas; however, with the new algorithm in place, it is anticipated that the Summary Statement data for all areas will stabilize in the upcoming reporting periods. Nebraska will adopt the updated algorithm for the OSEP Part B reporting process for the 2021-2022 reporting period. Teaching Strategies released the updated algorithm in the first year of a new reporting cycle so that the change would not negatively impact the state’s determination process; therefore, while we were able to review historical, simulated data, we recognize that we do not have actual data derived from utilizing the new algorithm available to inform target setting this year. We acknowledge that we will need to reestablish baseline and targets in the future when longitudinal data based on the new algorithm is available. Additionally, to better match OSEP’s definition of no improvement in functioning, TSG revised its algorithm for assignment to progress category A. Previously, the algorithm assigned children to category A if there was no change or a regression in the total score for the outcome between entry and exit. The revised algorithm now evaluates progress at the item level. This change provides a more incremental way to measure children’s growth and development and, thus, enhances progress monitoring for children with severe developmental delays. This change yielded a positive effect on our progress category distributions this year resulting in a smaller proportion of children falling into progress category A and a larger proportion of children falling into progress category B. </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 xml:space="preserve">The State provided targets for FFYs 2020 through 2025 for this indicator, but OSEP cannot accept those targets because the State's end targets for FFY 2025 do not reflect improvement over the State's FFY 2014 baseline data. </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2B7490" w:rsidP="001F692C">
      <w:pPr>
        <w:rPr>
          <w:rFonts w:cs="Arial"/>
          <w:color w:val="000000" w:themeColor="text1"/>
          <w:szCs w:val="16"/>
        </w:rPr>
      </w:pPr>
      <w:r w:rsidRPr="00781112">
        <w:rPr>
          <w:rFonts w:cs="Arial"/>
          <w:color w:val="000000" w:themeColor="text1"/>
          <w:szCs w:val="16"/>
        </w:rPr>
        <w:t>The State did not provide targets, as required by the measurement table. The State must provide the required targets for FFY 2020 through FFY 2025 in the FFY 2021 SPP/APR.</w:t>
      </w: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3"/>
      <w:bookmarkEnd w:id="34"/>
    </w:p>
    <w:p w14:paraId="66FBCA03" w14:textId="77777777" w:rsidR="00B654C1" w:rsidRPr="00781112" w:rsidRDefault="00B654C1" w:rsidP="00A018D4">
      <w:pPr>
        <w:rPr>
          <w:color w:val="000000" w:themeColor="text1"/>
          <w:szCs w:val="20"/>
        </w:rPr>
      </w:pPr>
      <w:bookmarkStart w:id="35"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6"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6"/>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7"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7"/>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5"/>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 xml:space="preserve">The RDA Stakeholder Group has met periodically throughout the past year and will continue meeting to establish and review targets and performance as indicated in the SPP/APR and the development and implementation of the State Systemic Improvement Plan (SSIP). Thus far the RDA Stakeholder Group has reviewed historical data around each of the indicators and established targets for each of the indicators. Additionally, the RDA Stakeholder Group assisted NDE in establishing the State Identified Measurable Result (SIMR). As the RDA Stakeholder Group continues meeting, it will provide guidance and input on the development of the continued phases of the SSIP process.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some members serving as liaisons to the RDA Stakeholder Group: Special Education Advisory Council (SEAC) and the Results Matter Nebraska Task Force. SEAC is established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work collaboratively with stakeholders, including SEAC and the Task Force, to analyze and review data to assist in making changes to the SSIP in relation to the SiMR data, interim measures of progress, and any needed changes to infrastructure and programmatic activities. </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2013</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89.37%</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89.80%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90.20%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90.80%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91.80%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91.80%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88.15%</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89.40%</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91.56%</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86.75%</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90.71%</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90.71%</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90.76%</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90.81%</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90.86%</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90.91%</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90.98%</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2,450</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2,895</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90.71%</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90.71%</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84.63%</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 xml:space="preserve">To accurately analyze slippage, NDE compared the Parent Involvement rate in 2020-21 to the Parent Involvement rate from 2019-2020. When looking at parent involvement rate in all districts surveyed in the current year the previous year parent involvement rate was 90.71% and the 2020-21 rate was 84.63%. One probable reason for the slippage is the response rate. In 2019-20 the response rate was 71.44% and in 2020-21 the response rate dropped to 59.03%. In 2019-20 districts did not distribute as many surveys to parents due to COVID-19. Yet, almost the same number of surveys were returned in 2019-20 as in 2020-21. This shows a decrease in parent involvement around 6 percentage points. To determine what might be the reason for the decrease, NDE examined item scores from 2019-20 to 2020-21 and the previous year. NDE analyzes these items, as well as district scores, over time to determine if districts need any technical assistance.  </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Parents of children with disabilities, including parents of preschool children with disabilities, are provided the opportunity to take the parent survey. Surveys are given to all parents of children with disabilities in the districts for students ages 3-21 via email with a link to the survey as the first attempt to provide parents an opportunity to share their satisfaction with their parent involvement in the process to improve services for their child. Parents are also provided the information at parent teacher conferences, at the child’s IEP Team meeting, and other school events. Parents of preschool children with disabilities are also included in these same processes. If parents are unable to access a computer or the internet and have not responded, families receive the survey by mail. The return rate for surveys for preschool parents was the highest return rate for all grade levels. The questions in the survey are not specific to grade level but can be applied to parents of children of any age.</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4,904</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59.03%</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8"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71.44%</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59.03%</w:t>
            </w:r>
          </w:p>
        </w:tc>
      </w:tr>
      <w:bookmarkEnd w:id="38"/>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next survey will be distributed to parents of all students receiving special education services and NDE will work with districts to ensure all surveys are distributed and to encourage parents to respond to the survey. NDE will communicate directly with districts with a high percentage of underrepresented groups and provide technical assistance to ensure a targeted effort towards those groups.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39" w:name="_Hlk81486999"/>
      <w:r w:rsidRPr="0061205F">
        <w:rPr>
          <w:rFonts w:cs="Arial"/>
          <w:b/>
          <w:color w:val="000000" w:themeColor="text1"/>
          <w:szCs w:val="16"/>
        </w:rPr>
        <w:t>of the response rate including any nonresponse bias that was identified,</w:t>
      </w:r>
      <w:bookmarkEnd w:id="39"/>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lastRenderedPageBreak/>
        <w:t xml:space="preserve">To analyze response rate, NDE compared the responders to the parents who should have received the survey. NDE did not identify any nonresponse bias for disability or district. However, NDE found nonresponse bias for African-American or Black and American Indian or Native American parents. This nonresponse bias is likely related to the low number of surveys distributed. To address this, NDE is planning to send the survey to all eligible parents in the 2021–22 school year. NDE will also work with districts closely to make sure surveys are distributed to all parents and that parents are encouraged and reminded to complete the survey. </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 xml:space="preserve">NDE assessed the representativeness of the survey responses by examining the demographic characteristics of the children of the parents who responded to the survey to the demographic characteristics of all students receiving special education services. This comparison indicates the percentage of responses received is representative of the percentage of surveys distributed by district. Results are not representative by race/ethnicity with African American or Black, American Indian or Alaska Native, Hispanic/Latino, and multiple race students underrepresented and white students were overrepresented. For grade levels, elementary grades were slightly overrepresented and middle and high school grades were slightly underrepresented. Results were also not representative for disability category. Developmental delay, emotional disturbance, other health impairment, and specific learning disability were underrepresented. Autism and speech/language impairment were overrepresented. The lack of representativeness is linked to the issues with the response rate, the number of surveys distributed, and the unequal distribution of surveys. </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The next survey will be distributed to parents of all students receiving special education services and NDE will work with districts to ensure all surveys are distributed and to encourage parents to respond to the survey. </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NDE used the Early Childhood Technical Assistance Center (ECTA) Representativeness Calculator to determine representativeness for race, grade, and disability. The ECTA Calculator uses an accepted formula (test of proportional difference) to determine whether the difference between the two percentages is statistically significant (or meaningful), based upon the 90% confidence intervals for each indicator (significance level = .10). The number of districts was too large to analyze using the Representativeness Calculator, so NDE instead used a metric of +/- 3% discrepancy in the proportion of responders per district compared to the proportion of surveys sent per district.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 xml:space="preserve">The 244 districts are categorized into cohorts for sampling purposes. The cohorts are created to reflect geography, size of school district, free/reduced lunch, and disability category in special education. </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submitted its sampling plan for this indicator with its FFY 2020 SPP/APR. OSEP will follow up with the State under separate cover regarding the submission.</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0" w:name="_Toc384383343"/>
      <w:bookmarkStart w:id="41"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2" w:name="_Toc384383344"/>
      <w:bookmarkStart w:id="43" w:name="_Toc392159312"/>
      <w:bookmarkEnd w:id="40"/>
      <w:bookmarkEnd w:id="41"/>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2"/>
      <w:bookmarkEnd w:id="43"/>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236</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4" w:name="_Hlk494459610"/>
      <w:r w:rsidRPr="00781112">
        <w:rPr>
          <w:rFonts w:cs="Arial"/>
          <w:color w:val="000000" w:themeColor="text1"/>
          <w:szCs w:val="16"/>
        </w:rPr>
        <w:t xml:space="preserve">Disproportionate representation is defined as a risk ratio of 3.0 and above for a single year. The minimum cell size for all calculations is 10 and the minimum n size is 30. The alternate risk ratio was used for any districts where the comparison group failed to meet the cell or n size. </w:t>
      </w:r>
    </w:p>
    <w:bookmarkEnd w:id="44"/>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Nebraska reviews policies, procedures, and student file review sheets and supporting documents submitted by the district from the district’s self-assessment, for districts with disproportionate representation to determine if the disproportionate representation is the result of inappropriate identification. </w:t>
      </w:r>
    </w:p>
    <w:p w14:paraId="3B71A72A" w14:textId="77777777" w:rsidR="00DF1529" w:rsidRPr="00781112" w:rsidRDefault="00DF1529" w:rsidP="00DF1529">
      <w:pPr>
        <w:rPr>
          <w:rFonts w:cs="Arial"/>
          <w:b/>
          <w:color w:val="000000" w:themeColor="text1"/>
          <w:szCs w:val="16"/>
        </w:rPr>
      </w:pPr>
      <w:bookmarkStart w:id="45" w:name="_Toc381956337"/>
      <w:bookmarkStart w:id="46" w:name="_Toc384383347"/>
      <w:bookmarkStart w:id="47"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5"/>
      <w:bookmarkEnd w:id="46"/>
      <w:bookmarkEnd w:id="47"/>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8" w:name="_Toc384383348"/>
      <w:bookmarkStart w:id="49"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0" w:name="_Toc384383349"/>
      <w:bookmarkStart w:id="51" w:name="_Toc392159317"/>
      <w:bookmarkEnd w:id="48"/>
      <w:bookmarkEnd w:id="49"/>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2.16%</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NVR</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0"/>
      <w:bookmarkEnd w:id="51"/>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2" w:name="_Hlk20258880"/>
      <w:r w:rsidRPr="00781112">
        <w:rPr>
          <w:rFonts w:cs="Arial"/>
          <w:color w:val="000000" w:themeColor="text1"/>
          <w:szCs w:val="16"/>
        </w:rPr>
        <w:t>YES</w:t>
      </w:r>
    </w:p>
    <w:bookmarkEnd w:id="52"/>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59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4</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185</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2.16%</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Disproportionate representation is defined as a risk ratio of 3.0 and above for a single year. The minimum cell size for all calculations is 10 and the minimum n size is 30. The alternate risk ratio was used for any districts where the comparison group failed to meet the cell or n size. </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Each district who demonstrates disproportionate representation of a racial and ethnic group must complete a self-assessment related to district policies, procedures, and practices implementing the requirements of 34 C.F.R. 300.111 for child find and evaluation practices and provide evidence that supports the district’s analysis. Additionally, the district must complete file reviews for randomly selected files of students within the disproportionate subgroup (disability category and racial and ethnic group) to provide a review of practices. All self-assessments, evidence, and file reviews are returned to NDE. Upon receipt, NDE completes a desk audit review of each district's responses to the self-assessment and NDE determines if each district is correctly implementing the related regulatory requirements and has appropriate identification policies, procedures, and practices. If NDE finds that the disproportionate representation it identified of racial and ethnic groups in special education and related services is the result of inappropriate identification, NDE notifies the district of all findings and ensures any noncompliance is corrected within one year. </w:t>
      </w:r>
    </w:p>
    <w:p w14:paraId="1FCF1BF3" w14:textId="77777777" w:rsidR="00DF1529" w:rsidRPr="00781112" w:rsidRDefault="00DF1529" w:rsidP="00DF1529">
      <w:pPr>
        <w:rPr>
          <w:rFonts w:cs="Arial"/>
          <w:b/>
          <w:color w:val="000000" w:themeColor="text1"/>
          <w:szCs w:val="16"/>
        </w:rPr>
      </w:pPr>
      <w:bookmarkStart w:id="53" w:name="_Toc381956338"/>
      <w:bookmarkStart w:id="54" w:name="_Toc384383352"/>
      <w:bookmarkStart w:id="55"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lastRenderedPageBreak/>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3"/>
      <w:bookmarkEnd w:id="54"/>
      <w:bookmarkEnd w:id="55"/>
    </w:p>
    <w:p w14:paraId="4F5D642D" w14:textId="77777777" w:rsidR="00E119B0" w:rsidRPr="00781112" w:rsidRDefault="00E119B0" w:rsidP="00A018D4">
      <w:pPr>
        <w:rPr>
          <w:color w:val="000000" w:themeColor="text1"/>
          <w:szCs w:val="20"/>
        </w:rPr>
      </w:pPr>
      <w:bookmarkStart w:id="56" w:name="_Toc384383353"/>
      <w:bookmarkStart w:id="57"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8" w:name="_Toc384383354"/>
      <w:bookmarkStart w:id="59" w:name="_Toc392159322"/>
      <w:bookmarkEnd w:id="56"/>
      <w:bookmarkEnd w:id="57"/>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92.76%</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99.74%</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98.43%</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99.07%</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99.54%</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85.24%</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8"/>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8,628</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8,327</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85.24%</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96.51%</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301</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Range of days from 1 – 280.  Due to COVID, districts were not able to meet the timeline of completing evaluations within the 45 school days that does not exceed the 60 calendar days timeline. Students were not in the building and not able to do in person evaluations due to health concerns from COVID. </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Nebraska regulations, at Neb. Admin. Code § 92-009.04A1, establishes the timeline of 45 school days to complete an initial evaluation. This timeline does not exceed 60 calendar days. </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 Nebraska Department of Education, Office of Special Education requires LEAs annually to compile the initial evaluation data for their LEA including:  </w:t>
      </w:r>
      <w:r w:rsidRPr="00781112">
        <w:rPr>
          <w:rFonts w:cs="Arial"/>
          <w:color w:val="000000" w:themeColor="text1"/>
          <w:szCs w:val="16"/>
        </w:rPr>
        <w:br/>
      </w:r>
      <w:r w:rsidRPr="00781112">
        <w:rPr>
          <w:rFonts w:cs="Arial"/>
          <w:color w:val="000000" w:themeColor="text1"/>
          <w:szCs w:val="16"/>
        </w:rPr>
        <w:br/>
        <w:t xml:space="preserve">1. Total number of evaluations completed </w:t>
      </w:r>
      <w:r w:rsidRPr="00781112">
        <w:rPr>
          <w:rFonts w:cs="Arial"/>
          <w:color w:val="000000" w:themeColor="text1"/>
          <w:szCs w:val="16"/>
        </w:rPr>
        <w:br/>
      </w:r>
      <w:r w:rsidRPr="00781112">
        <w:rPr>
          <w:rFonts w:cs="Arial"/>
          <w:color w:val="000000" w:themeColor="text1"/>
          <w:szCs w:val="16"/>
        </w:rPr>
        <w:br/>
        <w:t xml:space="preserve">2. The number of students who qualified within the 45-school day timeline that does not exceed 60 calendar days.  </w:t>
      </w:r>
      <w:r w:rsidRPr="00781112">
        <w:rPr>
          <w:rFonts w:cs="Arial"/>
          <w:color w:val="000000" w:themeColor="text1"/>
          <w:szCs w:val="16"/>
        </w:rPr>
        <w:br/>
      </w:r>
      <w:r w:rsidRPr="00781112">
        <w:rPr>
          <w:rFonts w:cs="Arial"/>
          <w:color w:val="000000" w:themeColor="text1"/>
          <w:szCs w:val="16"/>
        </w:rPr>
        <w:br/>
        <w:t xml:space="preserve">3. The number of students who did not qualify within the timeframe established.  </w:t>
      </w:r>
      <w:r w:rsidRPr="00781112">
        <w:rPr>
          <w:rFonts w:cs="Arial"/>
          <w:color w:val="000000" w:themeColor="text1"/>
          <w:szCs w:val="16"/>
        </w:rPr>
        <w:br/>
      </w:r>
      <w:r w:rsidRPr="00781112">
        <w:rPr>
          <w:rFonts w:cs="Arial"/>
          <w:color w:val="000000" w:themeColor="text1"/>
          <w:szCs w:val="16"/>
        </w:rPr>
        <w:br/>
        <w:t xml:space="preserve">4. The number of students whose initial evaluation did not meet the timeline, and  </w:t>
      </w:r>
      <w:r w:rsidRPr="00781112">
        <w:rPr>
          <w:rFonts w:cs="Arial"/>
          <w:color w:val="000000" w:themeColor="text1"/>
          <w:szCs w:val="16"/>
        </w:rPr>
        <w:br/>
      </w:r>
      <w:r w:rsidRPr="00781112">
        <w:rPr>
          <w:rFonts w:cs="Arial"/>
          <w:color w:val="000000" w:themeColor="text1"/>
          <w:szCs w:val="16"/>
        </w:rPr>
        <w:br/>
        <w:t xml:space="preserve">5. The reasons(s) for the initial evaluation not occurring within the 45-school day timeline that does not exceed 60 calendar days for each of the evaluations, whether the student qualified or not. </w:t>
      </w:r>
      <w:r w:rsidRPr="00781112">
        <w:rPr>
          <w:rFonts w:cs="Arial"/>
          <w:color w:val="000000" w:themeColor="text1"/>
          <w:szCs w:val="16"/>
        </w:rPr>
        <w:br/>
      </w:r>
      <w:r w:rsidRPr="00781112">
        <w:rPr>
          <w:rFonts w:cs="Arial"/>
          <w:color w:val="000000" w:themeColor="text1"/>
          <w:szCs w:val="16"/>
        </w:rPr>
        <w:br/>
        <w:t xml:space="preserve">Based on this information NDE made compliance determinations. </w:t>
      </w:r>
    </w:p>
    <w:p w14:paraId="4F981BFF" w14:textId="77777777" w:rsidR="00C86164" w:rsidRPr="00781112" w:rsidRDefault="00C86164" w:rsidP="00C86164">
      <w:pPr>
        <w:rPr>
          <w:rFonts w:cs="Arial"/>
          <w:b/>
          <w:color w:val="000000" w:themeColor="text1"/>
          <w:szCs w:val="16"/>
        </w:rPr>
      </w:pPr>
      <w:bookmarkStart w:id="60" w:name="_Toc381956339"/>
      <w:bookmarkStart w:id="61" w:name="_Toc384383357"/>
      <w:bookmarkStart w:id="62"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1,237</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1,237</w:t>
            </w: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The State verified that the source of noncompliance was correctly implemented through technical assistance and training as well as communication with the LEA to ensure that proper processes, practices, and procedures were in place to ensure that initial evaluation timelines are met for all students with disabilities, unless an applicable exception is present. The State conducted a review six months after the findings to ensure compliance in the LEA. Students for whom parental consent to evaluate was received, whose initial evaluation was completed within 60 days were 100% compliant. One year after findings, the state re-evaluated the LEAs where noncompliance was found and again found 100% compliance. </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State revisited the LEA ensuring that on additional re-evaluations, since the initial evaluation cannot be corrected, timelines were met and well documented on when the timeline was coming due to have protections in place to ensure that the issue doesn't arise again. The State ensured that each of these evaluations were completed, and a subsequent review of another data set demonstrated the LEAs timeliness was at 100%. </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41</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41</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1816F3D1" w14:textId="77777777" w:rsidTr="003968A6">
        <w:tc>
          <w:tcPr>
            <w:tcW w:w="988" w:type="pct"/>
            <w:shd w:val="clear" w:color="auto" w:fill="auto"/>
          </w:tcPr>
          <w:p w14:paraId="1177FA9A" w14:textId="73A2A90B" w:rsidR="009A755E" w:rsidRPr="00781112" w:rsidRDefault="00596F83" w:rsidP="00A018D4">
            <w:pPr>
              <w:jc w:val="center"/>
              <w:rPr>
                <w:rFonts w:cs="Arial"/>
                <w:color w:val="000000" w:themeColor="text1"/>
                <w:szCs w:val="16"/>
              </w:rPr>
            </w:pPr>
            <w:r w:rsidRPr="00781112">
              <w:rPr>
                <w:rFonts w:cs="Arial"/>
                <w:color w:val="000000" w:themeColor="text1"/>
                <w:szCs w:val="16"/>
              </w:rPr>
              <w:t>FFY 2017</w:t>
            </w:r>
          </w:p>
        </w:tc>
        <w:tc>
          <w:tcPr>
            <w:tcW w:w="1461" w:type="pct"/>
            <w:shd w:val="clear" w:color="auto" w:fill="auto"/>
          </w:tcPr>
          <w:p w14:paraId="42D596E0" w14:textId="4BE898FD" w:rsidR="009A755E" w:rsidRPr="00781112" w:rsidRDefault="00596F83">
            <w:pPr>
              <w:jc w:val="center"/>
              <w:rPr>
                <w:rFonts w:cs="Arial"/>
                <w:noProof/>
                <w:color w:val="000000" w:themeColor="text1"/>
                <w:szCs w:val="16"/>
              </w:rPr>
            </w:pPr>
            <w:r w:rsidRPr="00781112">
              <w:rPr>
                <w:rFonts w:cs="Arial"/>
                <w:color w:val="000000" w:themeColor="text1"/>
                <w:szCs w:val="16"/>
              </w:rPr>
              <w:t>87</w:t>
            </w:r>
          </w:p>
        </w:tc>
        <w:tc>
          <w:tcPr>
            <w:tcW w:w="1317" w:type="pct"/>
            <w:shd w:val="clear" w:color="auto" w:fill="auto"/>
          </w:tcPr>
          <w:p w14:paraId="1709DA4E" w14:textId="03D6E40F" w:rsidR="009A755E" w:rsidRPr="00781112" w:rsidRDefault="002B7490">
            <w:pPr>
              <w:jc w:val="center"/>
              <w:rPr>
                <w:rFonts w:cs="Arial"/>
                <w:noProof/>
                <w:color w:val="000000" w:themeColor="text1"/>
                <w:szCs w:val="16"/>
              </w:rPr>
            </w:pPr>
            <w:r w:rsidRPr="00781112">
              <w:rPr>
                <w:rFonts w:cs="Arial"/>
                <w:color w:val="000000" w:themeColor="text1"/>
                <w:szCs w:val="16"/>
              </w:rPr>
              <w:t>87</w:t>
            </w:r>
          </w:p>
        </w:tc>
        <w:tc>
          <w:tcPr>
            <w:tcW w:w="1234" w:type="pct"/>
            <w:shd w:val="clear" w:color="auto" w:fill="auto"/>
          </w:tcPr>
          <w:p w14:paraId="7008AE63" w14:textId="0E87CC18"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0ED1B1B5" w14:textId="6853D71E" w:rsidR="009A221D" w:rsidRPr="00781112" w:rsidRDefault="009A221D" w:rsidP="004369B2">
      <w:pPr>
        <w:rPr>
          <w:rFonts w:cs="Arial"/>
          <w:b/>
          <w:bCs/>
          <w:color w:val="000000" w:themeColor="text1"/>
          <w:szCs w:val="16"/>
        </w:rPr>
      </w:pPr>
      <w:r w:rsidRPr="00781112">
        <w:rPr>
          <w:rFonts w:cs="Arial"/>
          <w:b/>
          <w:bCs/>
          <w:color w:val="000000" w:themeColor="text1"/>
          <w:szCs w:val="16"/>
        </w:rPr>
        <w:t>FFY 2018</w:t>
      </w:r>
    </w:p>
    <w:p w14:paraId="25C1BC10" w14:textId="12C6C3A0" w:rsidR="009A755E" w:rsidRPr="00781112" w:rsidRDefault="009A755E" w:rsidP="004369B2">
      <w:pPr>
        <w:rPr>
          <w:color w:val="000000" w:themeColor="text1"/>
        </w:rPr>
      </w:pPr>
      <w:r w:rsidRPr="00781112">
        <w:rPr>
          <w:b/>
          <w:color w:val="000000" w:themeColor="text1"/>
        </w:rPr>
        <w:t>Findings of Noncompliance Verified as Corrected</w:t>
      </w:r>
    </w:p>
    <w:p w14:paraId="14586A63" w14:textId="460DC4B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70A5E59" w14:textId="6E4B93E2" w:rsidR="00326C0B" w:rsidRPr="00781112" w:rsidRDefault="002B7490" w:rsidP="009A755E">
      <w:pPr>
        <w:rPr>
          <w:rFonts w:cs="Arial"/>
          <w:color w:val="000000" w:themeColor="text1"/>
          <w:szCs w:val="16"/>
        </w:rPr>
      </w:pPr>
      <w:r w:rsidRPr="00781112">
        <w:rPr>
          <w:rFonts w:cs="Arial"/>
          <w:color w:val="000000" w:themeColor="text1"/>
          <w:szCs w:val="16"/>
        </w:rPr>
        <w:t>Changes were made to the following sections of the APR: FFY18 Findings of Noncompliance Verified as Corrected as well as FFY17 Findings of Noncompliance Verified as Corrected.As previously approved on the FFY2019 APR clarification period and APR submission, the following steps detail the processes and procedures followed by the SEA.</w:t>
      </w:r>
      <w:r w:rsidRPr="00781112">
        <w:rPr>
          <w:rFonts w:cs="Arial"/>
          <w:color w:val="000000" w:themeColor="text1"/>
          <w:szCs w:val="16"/>
        </w:rPr>
        <w:br/>
      </w:r>
      <w:r w:rsidRPr="00781112">
        <w:rPr>
          <w:rFonts w:cs="Arial"/>
          <w:color w:val="000000" w:themeColor="text1"/>
          <w:szCs w:val="16"/>
        </w:rPr>
        <w:br/>
        <w:t>The State verified that the source of noncompliance was correctly implemented through TA and training as well as constant communication with the state to ensure that proper processes, practices, and procedures were put in place to ensure that, unless parental delay or something out of the LEA's control, timelines were met for all students with disabilities. The state conducted a review six months after findings to ensure compliance in the LEA. Students for whom parental consent to evaluate was received whose evaluations were completed within 60 days were 100% compliant. One year after findings, the state re-evaluated the LEAs where noncompliance was found and again found 100% compliance.</w:t>
      </w:r>
    </w:p>
    <w:p w14:paraId="1F4C53D6" w14:textId="19404A71"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4D6CFCBF" w14:textId="034DF97C" w:rsidR="00596F83" w:rsidRPr="00781112" w:rsidRDefault="00596F83" w:rsidP="009A755E">
      <w:pPr>
        <w:rPr>
          <w:rFonts w:cs="Arial"/>
          <w:color w:val="000000" w:themeColor="text1"/>
          <w:szCs w:val="16"/>
        </w:rPr>
      </w:pPr>
      <w:r w:rsidRPr="00781112">
        <w:rPr>
          <w:rFonts w:cs="Arial"/>
          <w:color w:val="000000" w:themeColor="text1"/>
          <w:szCs w:val="16"/>
        </w:rPr>
        <w:t>The State revisited the LEA ensuring that on additional re-evaluations, since the initial evaluation cannot be corrected, timelines were met and well documented on when the timeline was coming due to have protections in place to ensure that the issue doesn't arise again. The State ensured that each of these evaluations were completed and a subsequent review of another data set demonstrated the LEAs timeliness was at 100%.</w:t>
      </w:r>
    </w:p>
    <w:p w14:paraId="08634A47" w14:textId="0468EE5A" w:rsidR="009A221D" w:rsidRPr="00781112" w:rsidRDefault="009A221D" w:rsidP="009A221D">
      <w:pPr>
        <w:rPr>
          <w:rFonts w:cs="Arial"/>
          <w:b/>
          <w:bCs/>
          <w:color w:val="000000" w:themeColor="text1"/>
          <w:szCs w:val="16"/>
        </w:rPr>
      </w:pPr>
      <w:r w:rsidRPr="00781112">
        <w:rPr>
          <w:rFonts w:cs="Arial"/>
          <w:b/>
          <w:bCs/>
          <w:color w:val="000000" w:themeColor="text1"/>
          <w:szCs w:val="16"/>
        </w:rPr>
        <w:t>FFY 2017</w:t>
      </w:r>
    </w:p>
    <w:p w14:paraId="13EA08E3" w14:textId="60D8D7D4" w:rsidR="009A755E" w:rsidRPr="00781112" w:rsidRDefault="009A755E" w:rsidP="004369B2">
      <w:pPr>
        <w:rPr>
          <w:color w:val="000000" w:themeColor="text1"/>
        </w:rPr>
      </w:pPr>
      <w:r w:rsidRPr="00781112">
        <w:rPr>
          <w:b/>
          <w:color w:val="000000" w:themeColor="text1"/>
        </w:rPr>
        <w:t>Findings of Noncompliance Verified as Corrected</w:t>
      </w:r>
    </w:p>
    <w:p w14:paraId="1463A5DD" w14:textId="5274A019"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0FCB1F5A" w14:textId="4276DF9C" w:rsidR="00596F83" w:rsidRPr="00781112" w:rsidRDefault="00596F83" w:rsidP="00596F83">
      <w:pPr>
        <w:rPr>
          <w:rFonts w:cs="Arial"/>
          <w:color w:val="000000" w:themeColor="text1"/>
          <w:szCs w:val="16"/>
        </w:rPr>
      </w:pPr>
      <w:r w:rsidRPr="00781112">
        <w:rPr>
          <w:rFonts w:cs="Arial"/>
          <w:color w:val="000000" w:themeColor="text1"/>
          <w:szCs w:val="16"/>
        </w:rPr>
        <w:t>As previously approved on the FFY2018 and FFY2019 APR clarification period and APR submission, the following steps detail the processes and procedures followed by the SEA.</w:t>
      </w:r>
      <w:r w:rsidRPr="00781112">
        <w:rPr>
          <w:rFonts w:cs="Arial"/>
          <w:color w:val="000000" w:themeColor="text1"/>
          <w:szCs w:val="16"/>
        </w:rPr>
        <w:br/>
      </w:r>
      <w:r w:rsidRPr="00781112">
        <w:rPr>
          <w:rFonts w:cs="Arial"/>
          <w:color w:val="000000" w:themeColor="text1"/>
          <w:szCs w:val="16"/>
        </w:rPr>
        <w:br/>
        <w:t>The State verified that the source of noncompliance was correctly implemented through technical assistance and training as well as communication with the LEA to ensure that proper processes, practices, and procedures were in place to ensure that initial evaluation timelines are met for all students with disabilities, unless an applicable exception is present. The State conducted a review six months after the findings to ensure compliance in the LEA. Students for whom parental consent to evaluate was received, whose initial evaluation was completed within 60 days were 100% compliant. One year after findings, the state re-evaluated the LEAs where noncompliance was found and again found 100% compliance. In addition, a random sampling of student files were reviewed within the LEAs found out of compliance to ensure adherence to policies, practices, and procedures.</w:t>
      </w:r>
    </w:p>
    <w:p w14:paraId="35436354" w14:textId="5F2ED11F"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19A77FA" w14:textId="4B745BDF" w:rsidR="00326C0B" w:rsidRPr="00781112" w:rsidRDefault="002B7490" w:rsidP="009A755E">
      <w:pPr>
        <w:rPr>
          <w:rFonts w:cs="Arial"/>
          <w:color w:val="000000" w:themeColor="text1"/>
          <w:szCs w:val="16"/>
        </w:rPr>
      </w:pPr>
      <w:r w:rsidRPr="00781112">
        <w:rPr>
          <w:rFonts w:cs="Arial"/>
          <w:color w:val="000000" w:themeColor="text1"/>
          <w:szCs w:val="16"/>
        </w:rPr>
        <w:t>The State revisited the LEA ensuring that on additional re-evaluations, since the initial evaluation cannot be corrected, timelines were met and well documented on when the timeline was coming due to have protections in place to ensure that the issue doesn't arise again. The State ensured that each of these evaluations were completed, and a subsequent review of another data set demonstrated the LEAs timeliness was at 100%.</w:t>
      </w:r>
    </w:p>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41 uncorrected findings of noncompliance identified in FFY 2018 and 87 uncorrected findings of noncompliance identified in FFY 2017 were corrected. When reporting on the correction of noncompliance, the State must report, in the FFY 2020 SPP/APR, that it has verified that each LEA with findings of noncompliance identified in FFY 2019 and each LEA with remaining noncompliance identified in FFY 2018 and FFY 2017: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Changes were made to the following sections of the APR: FFY18 Findings of Noncompliance Verified as Corrected as well as FFY17 Findings of Noncompliance Verified as Corrected.</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0"/>
      <w:bookmarkEnd w:id="61"/>
      <w:bookmarkEnd w:id="62"/>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3" w:name="_Toc384383358"/>
      <w:bookmarkStart w:id="64"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5" w:name="_Toc384383359"/>
      <w:bookmarkStart w:id="66" w:name="_Toc392159327"/>
      <w:bookmarkEnd w:id="63"/>
      <w:bookmarkEnd w:id="64"/>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100.00%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5"/>
          <w:bookmarkEnd w:id="66"/>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92.81%</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838</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6</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116</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32</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114</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570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116</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116</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92.81%</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All of the IEPs that were delayed beyond the child’s third birthday were found to be the result of restrictions placed upon personnel related to directive health measures due to COVID 19 as well as parent’s decision whether or not to bring in their child for in-person testing.  </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7" w:name="_Hlk20318414"/>
      <w:bookmarkEnd w:id="67"/>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Nebraska's student information system (ADVISER) collects information on children/students with disabilities from birth to 21. As the children/students are tracked in one system, it can be determined which children transition from Part C to Part B. LEAs report on a secure website the result from their files for line D. </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1231" w:type="pct"/>
            <w:shd w:val="clear" w:color="auto" w:fill="auto"/>
          </w:tcPr>
          <w:p w14:paraId="36D48FD7" w14:textId="2F6E80E6" w:rsidR="009A755E" w:rsidRPr="00781112"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The State verified that the source of noncompliance was correctly implemented through technical assistance and training as well as communication with the LEAs to ensure that proper processes, practices, and procedures were in place to ensure that the transition from C to B timelines are met for all children with disabilities, unless an applicable exception is present. The State conducted a review six months after the findings to ensure compliance in the LEA. All children transitioning from C to B were 100% compliant. One year after findings, the state re-evaluated the LEAs where noncompliance was found and again found 100% compliance. </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The State revisited the LEAs ensuring that on additional transitions from Part C to Part B, since the initial early childhood transition cannot be corrected, timelines were met and well documented on when the timeline was coming due to have protections in place to ensure that the issue does not arise again. The State ensured that each of these transitions were completed, and a subsequent review of another data set demonstrated the LEAs timeliness was at 100%. </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lastRenderedPageBreak/>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326C0B" w:rsidP="00212954">
      <w:pPr>
        <w:rPr>
          <w:rFonts w:cs="Arial"/>
          <w:color w:val="000000" w:themeColor="text1"/>
          <w:szCs w:val="16"/>
        </w:rPr>
      </w:pP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8" w:name="_Toc384383363"/>
      <w:bookmarkStart w:id="69"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0" w:name="_Toc384383364"/>
      <w:bookmarkStart w:id="71" w:name="_Toc392159332"/>
      <w:bookmarkEnd w:id="68"/>
      <w:bookmarkEnd w:id="69"/>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86.73%</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89.41%</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85.16%</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90.85%</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29.29%</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0"/>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59</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106</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29.29%</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55.66%</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The Nebraska Department of Education, Office of Special Education requires school districts to participate in an annual risk analysis where all LEA data</w:t>
      </w:r>
      <w:r w:rsidRPr="00781112">
        <w:rPr>
          <w:rFonts w:cs="Arial"/>
          <w:color w:val="000000" w:themeColor="text1"/>
          <w:szCs w:val="16"/>
        </w:rPr>
        <w:br/>
        <w:t>is reviewed and LEAs are provided differentiated monitoring based on their risk. One component of this differentiated monitoring.</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2"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99</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99</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In the LEAs where noncompliance was found, a Corrective Action Plan (CAP) was put in place and the LEA was given the required timeframe of no longer than a year to correct any level of noncompliance. Within the CAP, the LEA had to: 1) Account for all instances of noncompliance and the root cause and, if needed, modify the policies procedures, and/or practices that contributed to or resulted in noncompliance. The State required the school district to correct each individual case of noncompliance. The State then verified that each LEA in which noncompliance was identified is now correctly implementing the requirement specific to the finding of noncompliance. This verification is based on a review of subsequent data including a review of LEA policies and procedures, transition plans in IEPs and additional file reviews. </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Individual Monitoring teams were assigned to the identified LEAs to conduct follow up of all CAPs as well as conduct a review of student files that were found to be noncompliant within the initial review.  This review of noncompliant/corrected files was followed by a review of additional files based on student population in the given age range to verify corrections. A record of the student files reviewed, and regulations reviewed in each file is maintained to document full correction of noncompliance.  Following the completion of the verification activities, NDE issued a letter to the districts completing the CAP activities and noncompliance correction within satisfaction to notify the LEA of the completion of the CAP successfully and was again in full (100%) compliance with IDEA Regulations and 92 NAC 51. </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461" w:type="pct"/>
            <w:shd w:val="clear" w:color="auto" w:fill="auto"/>
          </w:tcPr>
          <w:p w14:paraId="16129CDC" w14:textId="4ECB3EAC" w:rsidR="009A755E" w:rsidRPr="00781112" w:rsidRDefault="002B7490">
            <w:pPr>
              <w:jc w:val="center"/>
              <w:rPr>
                <w:rFonts w:cs="Arial"/>
                <w:noProof/>
                <w:color w:val="000000" w:themeColor="text1"/>
                <w:szCs w:val="16"/>
              </w:rPr>
            </w:pPr>
            <w:r w:rsidRPr="00781112">
              <w:rPr>
                <w:rFonts w:cs="Arial"/>
                <w:color w:val="000000" w:themeColor="text1"/>
                <w:szCs w:val="16"/>
              </w:rPr>
              <w:t>29</w:t>
            </w:r>
          </w:p>
        </w:tc>
        <w:tc>
          <w:tcPr>
            <w:tcW w:w="1317" w:type="pct"/>
            <w:shd w:val="clear" w:color="auto" w:fill="auto"/>
          </w:tcPr>
          <w:p w14:paraId="631866C2" w14:textId="7A733589" w:rsidR="009A755E" w:rsidRPr="00781112" w:rsidRDefault="002B7490">
            <w:pPr>
              <w:jc w:val="center"/>
              <w:rPr>
                <w:rFonts w:cs="Arial"/>
                <w:noProof/>
                <w:color w:val="000000" w:themeColor="text1"/>
                <w:szCs w:val="16"/>
              </w:rPr>
            </w:pPr>
            <w:r w:rsidRPr="00781112">
              <w:rPr>
                <w:rFonts w:cs="Arial"/>
                <w:color w:val="000000" w:themeColor="text1"/>
                <w:szCs w:val="16"/>
              </w:rPr>
              <w:t>29</w:t>
            </w:r>
          </w:p>
        </w:tc>
        <w:tc>
          <w:tcPr>
            <w:tcW w:w="1234" w:type="pct"/>
            <w:shd w:val="clear" w:color="auto" w:fill="auto"/>
          </w:tcPr>
          <w:p w14:paraId="3A2AFB37" w14:textId="4D254CD3"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22754C03" w14:textId="77777777" w:rsidTr="00A947D9">
        <w:tc>
          <w:tcPr>
            <w:tcW w:w="988" w:type="pct"/>
            <w:shd w:val="clear" w:color="auto" w:fill="auto"/>
          </w:tcPr>
          <w:p w14:paraId="3F1CDA29" w14:textId="16C6A591" w:rsidR="009A755E" w:rsidRPr="00781112" w:rsidRDefault="001E7916" w:rsidP="00A018D4">
            <w:pPr>
              <w:jc w:val="center"/>
              <w:rPr>
                <w:rFonts w:cs="Arial"/>
                <w:color w:val="000000" w:themeColor="text1"/>
                <w:szCs w:val="16"/>
              </w:rPr>
            </w:pPr>
            <w:r w:rsidRPr="00781112">
              <w:rPr>
                <w:rFonts w:cs="Arial"/>
                <w:color w:val="000000" w:themeColor="text1"/>
                <w:szCs w:val="16"/>
              </w:rPr>
              <w:t>FFY 2017</w:t>
            </w:r>
          </w:p>
        </w:tc>
        <w:tc>
          <w:tcPr>
            <w:tcW w:w="1461" w:type="pct"/>
            <w:shd w:val="clear" w:color="auto" w:fill="auto"/>
          </w:tcPr>
          <w:p w14:paraId="50EA299D" w14:textId="70FCF876" w:rsidR="009A755E" w:rsidRPr="00781112" w:rsidRDefault="001E7916">
            <w:pPr>
              <w:jc w:val="center"/>
              <w:rPr>
                <w:rFonts w:cs="Arial"/>
                <w:noProof/>
                <w:color w:val="000000" w:themeColor="text1"/>
                <w:szCs w:val="16"/>
              </w:rPr>
            </w:pPr>
            <w:r w:rsidRPr="00781112">
              <w:rPr>
                <w:rFonts w:cs="Arial"/>
                <w:color w:val="000000" w:themeColor="text1"/>
                <w:szCs w:val="16"/>
              </w:rPr>
              <w:t>42</w:t>
            </w:r>
          </w:p>
        </w:tc>
        <w:tc>
          <w:tcPr>
            <w:tcW w:w="1317" w:type="pct"/>
            <w:shd w:val="clear" w:color="auto" w:fill="auto"/>
          </w:tcPr>
          <w:p w14:paraId="424B5A41" w14:textId="57F0D24B" w:rsidR="009A755E" w:rsidRPr="00781112" w:rsidRDefault="002B7490">
            <w:pPr>
              <w:jc w:val="center"/>
              <w:rPr>
                <w:rFonts w:cs="Arial"/>
                <w:noProof/>
                <w:color w:val="000000" w:themeColor="text1"/>
                <w:szCs w:val="16"/>
              </w:rPr>
            </w:pPr>
            <w:r w:rsidRPr="00781112">
              <w:rPr>
                <w:rFonts w:cs="Arial"/>
                <w:color w:val="000000" w:themeColor="text1"/>
                <w:szCs w:val="16"/>
              </w:rPr>
              <w:t>42</w:t>
            </w:r>
          </w:p>
        </w:tc>
        <w:tc>
          <w:tcPr>
            <w:tcW w:w="1234" w:type="pct"/>
            <w:shd w:val="clear" w:color="auto" w:fill="auto"/>
          </w:tcPr>
          <w:p w14:paraId="5FD250DE" w14:textId="1F07D8E0"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34C4ECD4" w14:textId="2FF7BB06" w:rsidR="009A221D" w:rsidRPr="00781112" w:rsidRDefault="009A221D" w:rsidP="004369B2">
      <w:pPr>
        <w:rPr>
          <w:rFonts w:cs="Arial"/>
          <w:b/>
          <w:bCs/>
          <w:color w:val="000000" w:themeColor="text1"/>
          <w:szCs w:val="16"/>
        </w:rPr>
      </w:pPr>
      <w:r w:rsidRPr="00781112">
        <w:rPr>
          <w:rFonts w:cs="Arial"/>
          <w:b/>
          <w:bCs/>
          <w:color w:val="000000" w:themeColor="text1"/>
          <w:szCs w:val="16"/>
        </w:rPr>
        <w:t>FFY 2018</w:t>
      </w:r>
    </w:p>
    <w:p w14:paraId="6FEADF4E" w14:textId="1A3F6E48" w:rsidR="009A755E" w:rsidRPr="00781112" w:rsidRDefault="009A755E" w:rsidP="004369B2">
      <w:pPr>
        <w:rPr>
          <w:color w:val="000000" w:themeColor="text1"/>
        </w:rPr>
      </w:pPr>
      <w:r w:rsidRPr="00781112">
        <w:rPr>
          <w:b/>
          <w:color w:val="000000" w:themeColor="text1"/>
        </w:rPr>
        <w:t>Findings of Noncompliance Verified as Corrected</w:t>
      </w:r>
    </w:p>
    <w:p w14:paraId="2085B45D" w14:textId="324D03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1D79F1F" w14:textId="0E767476" w:rsidR="00293C7E" w:rsidRPr="00781112" w:rsidRDefault="002B7490" w:rsidP="009A755E">
      <w:pPr>
        <w:rPr>
          <w:rFonts w:cs="Arial"/>
          <w:color w:val="000000" w:themeColor="text1"/>
          <w:szCs w:val="16"/>
        </w:rPr>
      </w:pPr>
      <w:r w:rsidRPr="00781112">
        <w:rPr>
          <w:rFonts w:cs="Arial"/>
          <w:color w:val="000000" w:themeColor="text1"/>
          <w:szCs w:val="16"/>
        </w:rPr>
        <w:t>Changes were made to the following sections of the APR: FFY18 Findings of Noncompliance Verified as Corrected as well as FFY17</w:t>
      </w:r>
      <w:r w:rsidRPr="00781112">
        <w:rPr>
          <w:rFonts w:cs="Arial"/>
          <w:color w:val="000000" w:themeColor="text1"/>
          <w:szCs w:val="16"/>
        </w:rPr>
        <w:br/>
        <w:t>Findings of Noncompliance Verified as Corrected.The State verified that the source of noncompliance was correctly implemented through TA and training as well as constant communication with the state to ensure that proper processes, practices, and procedures were put in place to ensure that, unless, parental delay or something out of the LEA's control, timelines were met for all students with disabilities. The state conducted a review six months after findings to ensure</w:t>
      </w:r>
      <w:r w:rsidRPr="00781112">
        <w:rPr>
          <w:rFonts w:cs="Arial"/>
          <w:color w:val="000000" w:themeColor="text1"/>
          <w:szCs w:val="16"/>
        </w:rPr>
        <w:br/>
        <w:t>compliance in the LEA. LEAs for whom noncompliance was found were reviewed for compliance and, if not corrected, the SEA worked with the LEA to outline additional needs to ensure compliance. By nine months, each LEA was reviewed again to ensure policies, practices, and procedures were compliant as well as a random sampling of student files and existing files initially reviewed. At that point, each LEA was found to be 100% compliant. One year after findings, the state re-evaluated the LEAs where noncompliance was found and again found 100% compliance.</w:t>
      </w:r>
    </w:p>
    <w:p w14:paraId="609FD34E" w14:textId="4F837FE0"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 xml:space="preserve">individual case </w:t>
      </w:r>
      <w:r w:rsidRPr="00781112">
        <w:rPr>
          <w:rFonts w:cs="Arial"/>
          <w:b/>
          <w:color w:val="000000" w:themeColor="text1"/>
          <w:szCs w:val="16"/>
        </w:rPr>
        <w:t>of noncompliance was corrected</w:t>
      </w:r>
    </w:p>
    <w:p w14:paraId="00792EB5" w14:textId="0C273C84" w:rsidR="00293C7E" w:rsidRPr="00781112" w:rsidRDefault="002B7490" w:rsidP="009A755E">
      <w:pPr>
        <w:rPr>
          <w:rFonts w:cs="Arial"/>
          <w:color w:val="000000" w:themeColor="text1"/>
          <w:szCs w:val="16"/>
        </w:rPr>
      </w:pPr>
      <w:r w:rsidRPr="00781112">
        <w:rPr>
          <w:rFonts w:cs="Arial"/>
          <w:color w:val="000000" w:themeColor="text1"/>
          <w:szCs w:val="16"/>
        </w:rPr>
        <w:t>The State revisited the LEA ensuring that on additional re-evaluations, since the initial evaluation cannot be corrected, timelines were met and well documented on when the timeline was coming due to have protections in place to ensure that the issue doesn't arise again. The State ensured that each of these evaluations were completed and a subsequent review of another data set demonstrated the LEAs timeliness. The state worked with districts to develop a corrective action and</w:t>
      </w:r>
      <w:r w:rsidRPr="00781112">
        <w:rPr>
          <w:rFonts w:cs="Arial"/>
          <w:color w:val="000000" w:themeColor="text1"/>
          <w:szCs w:val="16"/>
        </w:rPr>
        <w:br/>
        <w:t>approved the plan. The state then conducted checkpoints with the LEAs at 3, 6 and 9 months to ensure progress on noncompliance corrective action. At month nine, the LEA is to be finished and submit to the SEA to allow additional time to correspondence between the LEA and SEA conducted a review six months after findings to ensure compliance in the LEA. Students for whom parental consent to evaluate was received whose evaluations were completed within 60 days were 100% compliant. One year after findings, the state re-evaluated the LEAs where noncompliance was found and again found 100% compliance.</w:t>
      </w:r>
    </w:p>
    <w:p w14:paraId="3FA4F9AB" w14:textId="3B1372CE" w:rsidR="009A221D" w:rsidRPr="00781112" w:rsidRDefault="009A221D" w:rsidP="009A221D">
      <w:pPr>
        <w:rPr>
          <w:rFonts w:cs="Arial"/>
          <w:b/>
          <w:bCs/>
          <w:color w:val="000000" w:themeColor="text1"/>
          <w:szCs w:val="16"/>
        </w:rPr>
      </w:pPr>
      <w:r w:rsidRPr="00781112">
        <w:rPr>
          <w:rFonts w:cs="Arial"/>
          <w:b/>
          <w:bCs/>
          <w:color w:val="000000" w:themeColor="text1"/>
          <w:szCs w:val="16"/>
        </w:rPr>
        <w:t>FFY 2017</w:t>
      </w:r>
    </w:p>
    <w:p w14:paraId="524990FB" w14:textId="486634C4" w:rsidR="009A755E" w:rsidRPr="00781112" w:rsidRDefault="009A755E" w:rsidP="004369B2">
      <w:pPr>
        <w:rPr>
          <w:color w:val="000000" w:themeColor="text1"/>
        </w:rPr>
      </w:pPr>
      <w:r w:rsidRPr="00781112">
        <w:rPr>
          <w:b/>
          <w:color w:val="000000" w:themeColor="text1"/>
        </w:rPr>
        <w:t>Findings of Noncompliance Verified as Corrected</w:t>
      </w:r>
    </w:p>
    <w:p w14:paraId="6B4BDE06" w14:textId="02CDA05A"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208B3724" w14:textId="7B747604" w:rsidR="001E7916" w:rsidRPr="00781112" w:rsidRDefault="001E7916" w:rsidP="001E7916">
      <w:pPr>
        <w:rPr>
          <w:rFonts w:cs="Arial"/>
          <w:color w:val="000000" w:themeColor="text1"/>
          <w:szCs w:val="16"/>
        </w:rPr>
      </w:pPr>
      <w:r w:rsidRPr="00781112">
        <w:rPr>
          <w:rFonts w:cs="Arial"/>
          <w:color w:val="000000" w:themeColor="text1"/>
          <w:szCs w:val="16"/>
        </w:rPr>
        <w:lastRenderedPageBreak/>
        <w:t>Changes were made to the following sections of the APR: FFY18 Findings of Noncompliance Verified as Corrected as well as FFY17</w:t>
      </w:r>
      <w:r w:rsidRPr="00781112">
        <w:rPr>
          <w:rFonts w:cs="Arial"/>
          <w:color w:val="000000" w:themeColor="text1"/>
          <w:szCs w:val="16"/>
        </w:rPr>
        <w:br/>
        <w:t>Findings of Noncompliance Verified as Corrected.The State verified that the source of noncompliance was correctly implemented through TA and training as well as constant communication with the state to ensure that proper processes, practices, and procedures were put in place to ensure that, unless, parental delay or something out of the LEA's control, timelines were met for all students with disabilities. The state conducted a review six months after findings to ensure</w:t>
      </w:r>
      <w:r w:rsidRPr="00781112">
        <w:rPr>
          <w:rFonts w:cs="Arial"/>
          <w:color w:val="000000" w:themeColor="text1"/>
          <w:szCs w:val="16"/>
        </w:rPr>
        <w:br/>
        <w:t>compliance in the LEA. LEAs for whom noncompliance was found were reviewed for compliance and, if not corrected, the SEA worked with the LEA to outline additional needs to ensure compliance. By nine months, each LEA was reviewed again to ensure policies, practices, and procedures were compliant as well as a random sampling of student files and existing files initially reviewed. At that point, each LEA was found to be 100% compliant. One year after findings, the state re-evaluated the LEAs where noncompliance was found and again found 100% compliance.</w:t>
      </w:r>
    </w:p>
    <w:p w14:paraId="689DDCD6" w14:textId="258D465B"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7C29496" w14:textId="18D25B38" w:rsidR="001E7916" w:rsidRPr="00781112" w:rsidRDefault="001E7916" w:rsidP="001E7916">
      <w:pPr>
        <w:rPr>
          <w:rFonts w:cs="Arial"/>
          <w:color w:val="000000" w:themeColor="text1"/>
          <w:szCs w:val="16"/>
        </w:rPr>
      </w:pPr>
      <w:r w:rsidRPr="00781112">
        <w:rPr>
          <w:rFonts w:cs="Arial"/>
          <w:color w:val="000000" w:themeColor="text1"/>
          <w:szCs w:val="16"/>
        </w:rPr>
        <w:t>The State revisited the LEA ensuring that on additional re-evaluations, since the initial evaluation cannot be corrected, timelines were met and well documented on when the timeline was coming due to have protections in place to ensure that the issue doesn't arise again. The State ensured that each of these evaluations were completed and a subsequent review of another data set demonstrated the LEAs timeliness. The state worked with districts to develop a corrective action and</w:t>
      </w:r>
      <w:r w:rsidRPr="00781112">
        <w:rPr>
          <w:rFonts w:cs="Arial"/>
          <w:color w:val="000000" w:themeColor="text1"/>
          <w:szCs w:val="16"/>
        </w:rPr>
        <w:br/>
        <w:t>approved the plan. The state then conducted checkpoints with the LEAs at 3, 6 and 9 months to ensure progress on noncompliance corrective action. At month nine, the LEA is to be finished and submit to the SEA to allow additional time to correspondence between the LEA and SEA conducted a review six months after findings to ensure compliance in the LEA. Students for whom parental consent to evaluate was received whose evaluations were completed within 60 days were 100% compliant. One year after findings, the state re-evaluated the LEAs where noncompliance was found and again found 100% compliance.</w:t>
      </w:r>
    </w:p>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29 uncorrected findings of noncompliance identified in FFY 2018 and 42 uncorrected findings of noncompliance identified in FFY 2017 were corrected.  </w:t>
      </w:r>
      <w:r w:rsidRPr="00781112">
        <w:rPr>
          <w:rFonts w:cs="Arial"/>
          <w:color w:val="000000" w:themeColor="text1"/>
          <w:szCs w:val="16"/>
        </w:rPr>
        <w:br/>
        <w:t xml:space="preserve">When reporting on the correction of noncompliance, the State must report, in the FFY 2020 SPP/APR, that it has verified that each LEA with findings of noncompliance identified in FFY 2019 and each LEA with remaining noncompliance identified in FFY 2018 and FFY 2017: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B7490" w:rsidP="00212954">
      <w:pPr>
        <w:rPr>
          <w:rFonts w:cs="Arial"/>
          <w:color w:val="000000" w:themeColor="text1"/>
          <w:szCs w:val="16"/>
        </w:rPr>
      </w:pPr>
      <w:r w:rsidRPr="00781112">
        <w:rPr>
          <w:rFonts w:cs="Arial"/>
          <w:color w:val="000000" w:themeColor="text1"/>
          <w:szCs w:val="16"/>
        </w:rPr>
        <w:t>In the narrative describing how the State verified that noncompliance was corrected for findings identified in FFY 2018 and FFY 2017, the State reported: "[t]he State verified that the source of noncompliance was correctly implemented through TA and training as well as constant communication with the state to ensure that proper processes, practices, and procedures were put in place to ensure that, unless, parental delay or something out of the LEA's control, timelines were met for all students with disabilities" and "[t]he State revisited the LEA ensuring that on additional re-evaluations, since the initial evaluation cannot be corrected, timelines were met and well documented on when the timeline was coming due to have protections in place to ensure that the issue doesn't arise again". However, this indicator measures compliance with secondary transition requirements, not compliance with initial evaluation timelines. Therefore, the State did not report that it verified that each LEA with noncompliance identified in FFY 2017 and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w:t>
      </w: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29 uncorrected findings of noncompliance identified in FFY 2018, and the remaining 42 uncorrected findings of noncompliance identified in FFY 2017 were corrected.  When reporting on the correction of noncompliance, the State must report, in the FFY 2021 SPP/APR, that it has verified that each LEA with findings of noncompliance identified in FFY 2020 and each LEA with remaining noncompliance identified in FFY 2018 and FFY 2017: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2"/>
    </w:p>
    <w:p w14:paraId="22761492" w14:textId="77777777" w:rsidR="005C50DB" w:rsidRPr="00781112" w:rsidRDefault="005C50DB" w:rsidP="00A018D4">
      <w:pPr>
        <w:rPr>
          <w:szCs w:val="20"/>
        </w:rPr>
      </w:pPr>
      <w:bookmarkStart w:id="73"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3"/>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39.60%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39.60%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39.40%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34.96%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38.16%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36.20%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30.86%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30.73%</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65.80%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66.50%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67.00%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65.20%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62.86%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61.84%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57.33%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43.50%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34.78%</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83.20%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83.40%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83.40%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83.65%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83.65%</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83.60%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82.43%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78.69%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75.30%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57.23%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44.51%</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30.73%</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30.73%</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30.73%</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31.23%</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31.73%</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32.23%</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34.78%</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34.78%</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34.78%</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35.28%</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35.78%</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36.28%</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44.51%</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44.51%</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44.51%</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45.01%</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45.51%</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46.01%</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 xml:space="preserve">The RDA Stakeholder Group has met periodically throughout the past year and will continue meeting to establish and review targets and performance as indicated in the SPP/APR and the development and implementation of the State Systemic Improvement Plan (SSIP). Thus far the RDA Stakeholder Group has reviewed historical data around each of the indicators and established targets for each of the indicators. Additionally, the RDA Stakeholder Group assisted NDE in establishing the State Identified Measurable Result (SIMR). As the RDA Stakeholder Group continues meeting, it will provide guidance and input on the development of the continued phases of the SSIP process.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some members serving as liaisons to the RDA Stakeholder Group: Special Education Advisory Council (SEAC) and the Results Matter Nebraska Task Force. SEAC is established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work collaboratively with stakeholders, including SEAC and the Task Force, to analyze and review data to assist in making changes to the SSIP in relation to the SiMR data, interim measures of progress, and any needed changes to infrastructure and programmatic activities. </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4"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2,374</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955</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40.23%</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199</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133</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77</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38</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199</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955</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30.73%</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30.73%</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20.84%</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332</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955</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34.78%</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34.78%</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34.76%</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447</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955</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44.51%</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44.51%</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46.81%</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 xml:space="preserve">The percentage who are enrolled in higher education (Target A) dropped by 10 percentage points. This is likely due to more students taking time off before starting college with COVID uncertainty. From the 2019 cohort, 30% were enrolled in higher education, while only 20% were enrolled in higher education from the 2020 cohort. However, the percent of those enrolled in higher education OR competitively employed </w:t>
            </w:r>
            <w:r w:rsidRPr="00781112">
              <w:rPr>
                <w:rFonts w:cs="Arial"/>
                <w:color w:val="000000" w:themeColor="text1"/>
                <w:szCs w:val="16"/>
              </w:rPr>
              <w:lastRenderedPageBreak/>
              <w:t>(Target B) is about the same. While only 5% of the 2019 cohort were competitively employed (Target B of 35% minus Target A of 30%), 12% were competitively employed of the 2020 cohort (Target B of 32% minus Target A of 20%). Overall, it appears that more students from the 2020 cohort chose not to start college and instead went straight into competitive employment.</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40.40%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40.23%</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In 2020, a web survey option was added for students to respond. The state saw a nine percentage point increase in response rate from 2019 to 2020 when this was done. The response rate in 2021 was comparable to 2020. The transition team is planning to reduce the number of questions in the survey in hopes of increasing the response rate, including underrepresented populations.  In addition, all exiting high school students will be surveyed, ensuring that the groups represented in the survey results match the representation in schools in Nebraska.</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To analyze response rate, NDE compared the responders to the students who should have received the survey. NDE did not identify any nonresponse bias for any demographic group. It was determined that an equal representation of individuals based on demographic information collected both responded to or did not respond to the survey in its entirety.  The survey results were also analyzed to determine which questions were not answered and which demographic groups did not answer specific questions to determine questions for use in future surveys.  </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 xml:space="preserve">NDE feels the response data are representative of the demographics of youth who are no longer in secondary school and had IEPs in effect at the time they left school. This was determined by analyzing the responses to surveys and comparing required demographic information collected.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Data in the sample file associated with each student includes gender, ethnicity, English Language Learner status, age, disability, and exit reason.  The state is reviewing student demographics to determine which languages the survey made need translation for and interpreters to complete.</w:t>
      </w:r>
      <w:r w:rsidRPr="008D51F2">
        <w:rPr>
          <w:b w:val="0"/>
        </w:rPr>
        <w:br/>
      </w:r>
      <w:r w:rsidRPr="008D51F2">
        <w:rPr>
          <w:b w:val="0"/>
        </w:rPr>
        <w:br/>
        <w:t xml:space="preserve">The metric used includes the above mentioned weighting approach which was an adjustment for this study of 1.22, representing the loss in statistical efficacy that results from unequal weights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5" w:name="_Toc382082390"/>
      <w:bookmarkStart w:id="76"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9F69E7" w:rsidP="000A2C83">
      <w:pPr>
        <w:rPr>
          <w:rFonts w:cs="Arial"/>
          <w:color w:val="000000" w:themeColor="text1"/>
          <w:szCs w:val="16"/>
        </w:rPr>
      </w:pP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lastRenderedPageBreak/>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did not provide targets for FFYs 2020 through 2025 for this indicator.</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The State did not provide targets, as required by the measurement table. The State must provide the required targets for FFY 2020 through FFY 2025 in the FFY 2021 SPP/APR.</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5"/>
      <w:bookmarkEnd w:id="76"/>
    </w:p>
    <w:p w14:paraId="7EA31497" w14:textId="77777777" w:rsidR="005B0B58" w:rsidRPr="00781112" w:rsidRDefault="005B0B58" w:rsidP="00A018D4">
      <w:pPr>
        <w:rPr>
          <w:color w:val="000000" w:themeColor="text1"/>
          <w:szCs w:val="20"/>
        </w:rPr>
      </w:pPr>
      <w:bookmarkStart w:id="77" w:name="_Toc381786822"/>
      <w:bookmarkStart w:id="78" w:name="_Toc382731911"/>
      <w:bookmarkStart w:id="79" w:name="_Toc382731912"/>
      <w:bookmarkStart w:id="80" w:name="_Toc392159340"/>
      <w:bookmarkEnd w:id="77"/>
      <w:bookmarkEnd w:id="78"/>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79"/>
    <w:bookmarkEnd w:id="80"/>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62CEFB3" w14:textId="55A4ED3A" w:rsidR="004A33CD" w:rsidRPr="00781112" w:rsidRDefault="00E31E29">
      <w:pPr>
        <w:rPr>
          <w:b/>
          <w:color w:val="000000" w:themeColor="text1"/>
        </w:rPr>
      </w:pPr>
      <w:bookmarkStart w:id="81" w:name="_Toc382731913"/>
      <w:bookmarkStart w:id="82"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 xml:space="preserve">The RDA Stakeholder Group has met periodically throughout the past year and will continue meeting to establish and review targets and performance as indicated in the SPP/APR and the development and implementation of the State Systemic Improvement Plan (SSIP). Thus far the RDA Stakeholder Group has reviewed historical data around each of the indicators and established targets for each of the indicators. Additionally, the RDA Stakeholder Group assisted NDE in establishing the State Identified Measurable Result (SIMR). As the RDA Stakeholder Group continues meeting, it will provide guidance and input on the development of the continued phases of the SSIP process.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some members serving as liaisons to the RDA Stakeholder Group: Special Education Advisory Council (SEAC) and the Results Matter Nebraska Task Force. SEAC is established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work collaboratively with stakeholders, including SEAC and the Task Force, to analyze and review data to assist in making changes to the SSIP in relation to the SiMR data, interim measures of progress, and any needed changes to infrastructure and programmatic activities. </w:t>
      </w:r>
    </w:p>
    <w:p w14:paraId="43B1695A" w14:textId="2970A905" w:rsidR="000A2C83" w:rsidRPr="00781112" w:rsidRDefault="000A2C83" w:rsidP="000A2C83">
      <w:pPr>
        <w:rPr>
          <w:rFonts w:cs="Arial"/>
          <w:color w:val="000000" w:themeColor="text1"/>
          <w:szCs w:val="16"/>
        </w:rPr>
      </w:pPr>
    </w:p>
    <w:bookmarkEnd w:id="81"/>
    <w:bookmarkEnd w:id="82"/>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lastRenderedPageBreak/>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28.57%</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14.29%</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p>
        </w:tc>
        <w:tc>
          <w:tcPr>
            <w:tcW w:w="726" w:type="pct"/>
          </w:tcPr>
          <w:p w14:paraId="57B3A075" w14:textId="21F2B25E" w:rsidR="00AF574F" w:rsidRPr="00781112" w:rsidRDefault="00AF574F" w:rsidP="00AF574F">
            <w:pPr>
              <w:spacing w:before="0" w:after="200" w:line="276" w:lineRule="auto"/>
            </w:pPr>
          </w:p>
        </w:tc>
        <w:tc>
          <w:tcPr>
            <w:tcW w:w="726" w:type="pct"/>
          </w:tcPr>
          <w:p w14:paraId="211F936E" w14:textId="58F0DC2F" w:rsidR="00AF574F" w:rsidRPr="00781112" w:rsidRDefault="00AF574F" w:rsidP="00AF574F">
            <w:pPr>
              <w:spacing w:before="0" w:after="200" w:line="276" w:lineRule="auto"/>
            </w:pPr>
          </w:p>
        </w:tc>
        <w:tc>
          <w:tcPr>
            <w:tcW w:w="726" w:type="pct"/>
          </w:tcPr>
          <w:p w14:paraId="53679E27" w14:textId="6773FF8D" w:rsidR="00AF574F" w:rsidRPr="00781112" w:rsidRDefault="00AF574F" w:rsidP="00AF574F">
            <w:pPr>
              <w:spacing w:before="0" w:after="200" w:line="276" w:lineRule="auto"/>
            </w:pPr>
          </w:p>
        </w:tc>
        <w:tc>
          <w:tcPr>
            <w:tcW w:w="726" w:type="pct"/>
          </w:tcPr>
          <w:p w14:paraId="492B2B0A" w14:textId="258B9D99" w:rsidR="00AF574F" w:rsidRPr="00781112" w:rsidRDefault="00AF574F" w:rsidP="00AF574F">
            <w:pPr>
              <w:spacing w:before="0" w:after="200" w:line="276" w:lineRule="auto"/>
            </w:pPr>
          </w:p>
        </w:tc>
        <w:tc>
          <w:tcPr>
            <w:tcW w:w="724" w:type="pct"/>
          </w:tcPr>
          <w:p w14:paraId="181EF58D" w14:textId="76BA9614" w:rsidR="00AF574F" w:rsidRPr="00781112" w:rsidRDefault="00AF574F" w:rsidP="00AF574F">
            <w:pPr>
              <w:spacing w:before="0" w:after="200" w:line="276" w:lineRule="auto"/>
            </w:pP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14.29%</w:t>
            </w: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resolution sessions held in FFY 2020. The State is not required to provide targets until any fiscal year in which ten or more resolution sessions were held. </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3" w:name="_Toc382731916"/>
      <w:bookmarkStart w:id="84"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3"/>
    <w:bookmarkEnd w:id="84"/>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 xml:space="preserve">The RDA Stakeholder Group has met periodically throughout the past year and will continue meeting to establish and review targets and performance as indicated in the SPP/APR and the development and implementation of the State Systemic Improvement Plan (SSIP). Thus far the RDA Stakeholder Group has reviewed historical data around each of the indicators and established targets for each of the indicators. Additionally, the RDA Stakeholder Group assisted NDE in establishing the State Identified Measurable Result (SIMR). As the RDA Stakeholder Group continues meeting, it will provide guidance and input on the development of the continued phases of the SSIP process.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some members serving as liaisons to the RDA Stakeholder Group: Special Education Advisory Council (SEAC) and the Results Matter Nebraska Task Force. SEAC is established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work collaboratively with stakeholders, including SEAC and the Task Force, to analyze and review data to assist in making changes to the SSIP in relation to the SiMR data, interim measures of progress, and any needed changes to infrastructure and programmatic activities. </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75.00%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p>
        </w:tc>
        <w:tc>
          <w:tcPr>
            <w:tcW w:w="774" w:type="pct"/>
          </w:tcPr>
          <w:p w14:paraId="2C484D83" w14:textId="77BCE060" w:rsidR="00C91F30" w:rsidRPr="00781112" w:rsidRDefault="00C91F30" w:rsidP="00C91F30">
            <w:pPr>
              <w:jc w:val="center"/>
              <w:rPr>
                <w:rFonts w:cs="Arial"/>
                <w:color w:val="000000" w:themeColor="text1"/>
                <w:szCs w:val="16"/>
              </w:rPr>
            </w:pPr>
          </w:p>
        </w:tc>
        <w:tc>
          <w:tcPr>
            <w:tcW w:w="774" w:type="pct"/>
          </w:tcPr>
          <w:p w14:paraId="6CD274F3" w14:textId="076582AE" w:rsidR="00C91F30" w:rsidRPr="00781112" w:rsidRDefault="00C91F30" w:rsidP="00C91F30">
            <w:pPr>
              <w:jc w:val="center"/>
              <w:rPr>
                <w:rFonts w:cs="Arial"/>
                <w:color w:val="000000" w:themeColor="text1"/>
                <w:szCs w:val="16"/>
              </w:rPr>
            </w:pPr>
          </w:p>
        </w:tc>
        <w:tc>
          <w:tcPr>
            <w:tcW w:w="774" w:type="pct"/>
          </w:tcPr>
          <w:p w14:paraId="60DD90BA" w14:textId="5816204A" w:rsidR="00C91F30" w:rsidRPr="00781112" w:rsidRDefault="00C91F30" w:rsidP="00C91F30">
            <w:pPr>
              <w:jc w:val="center"/>
              <w:rPr>
                <w:rFonts w:cs="Arial"/>
                <w:color w:val="000000" w:themeColor="text1"/>
                <w:szCs w:val="16"/>
              </w:rPr>
            </w:pPr>
          </w:p>
        </w:tc>
        <w:tc>
          <w:tcPr>
            <w:tcW w:w="774" w:type="pct"/>
          </w:tcPr>
          <w:p w14:paraId="2F06128D" w14:textId="63E3880D" w:rsidR="00C91F30" w:rsidRPr="00781112" w:rsidRDefault="00C91F30" w:rsidP="00C91F30">
            <w:pPr>
              <w:jc w:val="center"/>
              <w:rPr>
                <w:rFonts w:cs="Arial"/>
                <w:color w:val="000000" w:themeColor="text1"/>
                <w:szCs w:val="16"/>
              </w:rPr>
            </w:pPr>
          </w:p>
        </w:tc>
        <w:tc>
          <w:tcPr>
            <w:tcW w:w="774" w:type="pct"/>
          </w:tcPr>
          <w:p w14:paraId="1702830B" w14:textId="0747B6E8" w:rsidR="00C91F30" w:rsidRPr="00781112" w:rsidRDefault="00C91F30" w:rsidP="00C91F30">
            <w:pPr>
              <w:jc w:val="center"/>
              <w:rPr>
                <w:rFonts w:cs="Arial"/>
                <w:color w:val="000000" w:themeColor="text1"/>
                <w:szCs w:val="16"/>
              </w:rPr>
            </w:pP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2</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75.00%</w:t>
            </w:r>
          </w:p>
        </w:tc>
        <w:tc>
          <w:tcPr>
            <w:tcW w:w="760" w:type="pct"/>
            <w:shd w:val="clear" w:color="auto" w:fill="auto"/>
          </w:tcPr>
          <w:p w14:paraId="2530D239" w14:textId="21181E1F" w:rsidR="00ED71A6" w:rsidRPr="00781112"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mediations held in FFY 2020. The State is not required to provide targets until any fiscal year in which ten or more mediations were held. </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 xml:space="preserve">Nebraska’s State-Identified Measurable Result is to increase the reading proficiency for students with disabilities at the 4th grade level as measured by the statewide reading assessment.  </w:t>
      </w:r>
    </w:p>
    <w:p w14:paraId="43CABCA3" w14:textId="77777777" w:rsidR="00AE1972" w:rsidRPr="00781112" w:rsidRDefault="00AE1972" w:rsidP="00AE1972">
      <w:pPr>
        <w:rPr>
          <w:b/>
          <w:bCs/>
        </w:rPr>
      </w:pPr>
      <w:bookmarkStart w:id="85"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YES</w:t>
      </w:r>
    </w:p>
    <w:p w14:paraId="6537B8C1" w14:textId="77777777" w:rsidR="00935B96" w:rsidRPr="00781112" w:rsidRDefault="00935B96" w:rsidP="00935B96">
      <w:pPr>
        <w:rPr>
          <w:b/>
          <w:bCs/>
        </w:rPr>
      </w:pPr>
      <w:r w:rsidRPr="00781112">
        <w:rPr>
          <w:b/>
          <w:bCs/>
        </w:rPr>
        <w:t xml:space="preserve">Provide a description of the system analysis activities conducted to support changing the </w:t>
      </w:r>
      <w:proofErr w:type="spellStart"/>
      <w:r w:rsidRPr="00781112">
        <w:rPr>
          <w:b/>
          <w:bCs/>
        </w:rPr>
        <w:t>SiMR</w:t>
      </w:r>
      <w:proofErr w:type="spellEnd"/>
      <w:r w:rsidRPr="00781112">
        <w:rPr>
          <w:b/>
          <w:bCs/>
        </w:rPr>
        <w:t>.</w:t>
      </w:r>
    </w:p>
    <w:p w14:paraId="25B7B555" w14:textId="1E8CFFD8" w:rsidR="00935B96" w:rsidRPr="00781112" w:rsidRDefault="00935B96" w:rsidP="00935B96">
      <w:r w:rsidRPr="00781112">
        <w:t xml:space="preserve">The State along with Stakeholders, reviewed reading assessment data for grades 3, 4, 8, and 11.  The new requirements for reporting for Indicator 3 were also reviewed and considered.  Stakeholders felt it was critical for the SiMR to align more directly to Indicator 3 than it had in the past to enable districts to understand how they were performing in comparison to the rest of the state towards improving reading proficiency for students with disabilities. </w:t>
      </w:r>
    </w:p>
    <w:p w14:paraId="13B442F7" w14:textId="77777777" w:rsidR="00935B96" w:rsidRPr="00781112" w:rsidRDefault="00935B96" w:rsidP="00935B96">
      <w:r w:rsidRPr="00781112">
        <w:rPr>
          <w:b/>
          <w:bCs/>
        </w:rPr>
        <w:t xml:space="preserve">Please list the data source(s) used to support the change of the </w:t>
      </w:r>
      <w:proofErr w:type="spellStart"/>
      <w:r w:rsidRPr="00781112">
        <w:rPr>
          <w:b/>
          <w:bCs/>
        </w:rPr>
        <w:t>SiMR</w:t>
      </w:r>
      <w:proofErr w:type="spellEnd"/>
      <w:r w:rsidRPr="00781112">
        <w:t>.</w:t>
      </w:r>
    </w:p>
    <w:p w14:paraId="0579C358" w14:textId="0204AE78" w:rsidR="00935B96" w:rsidRPr="00781112" w:rsidRDefault="00935B96" w:rsidP="00935B96">
      <w:r w:rsidRPr="00781112">
        <w:t xml:space="preserve">Nebraska analyzed statewide assessment (NSCAS) for 3rd, 4th, 8th, and 11th graders. </w:t>
      </w:r>
      <w:r w:rsidRPr="00781112">
        <w:br/>
      </w:r>
      <w:r w:rsidRPr="00781112">
        <w:br/>
        <w:t xml:space="preserve">OSEP Measurement Table for Indicator 3 </w:t>
      </w:r>
    </w:p>
    <w:p w14:paraId="2B47B0A1" w14:textId="77777777" w:rsidR="00935B96" w:rsidRPr="00781112" w:rsidRDefault="00935B96" w:rsidP="00935B96">
      <w:pPr>
        <w:rPr>
          <w:rFonts w:cs="Arial"/>
          <w:b/>
          <w:bCs/>
        </w:rPr>
      </w:pPr>
      <w:r w:rsidRPr="00781112">
        <w:rPr>
          <w:rFonts w:cs="Arial"/>
          <w:b/>
          <w:bCs/>
        </w:rPr>
        <w:t xml:space="preserve">Provide a description of how the State analyzed data to reach the decision to change the </w:t>
      </w:r>
      <w:proofErr w:type="spellStart"/>
      <w:r w:rsidRPr="00781112">
        <w:rPr>
          <w:rFonts w:cs="Arial"/>
          <w:b/>
          <w:bCs/>
        </w:rPr>
        <w:t>SiMR</w:t>
      </w:r>
      <w:proofErr w:type="spellEnd"/>
      <w:r w:rsidRPr="00781112">
        <w:rPr>
          <w:rFonts w:cs="Arial"/>
          <w:b/>
          <w:bCs/>
        </w:rPr>
        <w:t>.</w:t>
      </w:r>
    </w:p>
    <w:p w14:paraId="784FEA06" w14:textId="5DE1C5C4" w:rsidR="00935B96" w:rsidRPr="00781112" w:rsidRDefault="00935B96" w:rsidP="00935B96">
      <w:r w:rsidRPr="00781112">
        <w:t xml:space="preserve">The State along with Stakeholders analyzed the Spring 2021 NSCAS data for 3rd graders and 4th graders and recognized there wasn’t a statistical change between the reading proficiency of 3rd grades to that of 4th graders.  The requirements for Indicator 3 were also reviewed and discussed.  Research studies were also reviewed indicating that the transition from learning to read and reading to learn occurred during the 4th year.   Based on the analysis of this information, the decision to change the SiMR from the 3rd grade to the 4th grade was made. </w:t>
      </w:r>
    </w:p>
    <w:p w14:paraId="2CD1EAB5" w14:textId="77777777" w:rsidR="00935B96" w:rsidRPr="00781112" w:rsidRDefault="00935B96" w:rsidP="00935B96">
      <w:pPr>
        <w:rPr>
          <w:b/>
          <w:bCs/>
        </w:rPr>
      </w:pPr>
      <w:r w:rsidRPr="00781112">
        <w:rPr>
          <w:b/>
          <w:bCs/>
        </w:rPr>
        <w:t xml:space="preserve">Please describe the role of stakeholders in the decision to change the </w:t>
      </w:r>
      <w:proofErr w:type="spellStart"/>
      <w:r w:rsidRPr="00781112">
        <w:rPr>
          <w:b/>
          <w:bCs/>
        </w:rPr>
        <w:t>SiMR</w:t>
      </w:r>
      <w:proofErr w:type="spellEnd"/>
      <w:r w:rsidRPr="00781112">
        <w:rPr>
          <w:b/>
          <w:bCs/>
        </w:rPr>
        <w:t xml:space="preserve">. </w:t>
      </w:r>
    </w:p>
    <w:p w14:paraId="0C25E56B" w14:textId="0FC7CF8B" w:rsidR="00935B96" w:rsidRDefault="00935B96" w:rsidP="00935B96">
      <w:r w:rsidRPr="00781112">
        <w:t xml:space="preserve">Stakeholders were informed that OSEP had changed the way assessment was being analyzed and that now OSEP would be looking at specific grade levels rather than grade bands for Indicator 3.  Stakeholders discussed the advantages and disadvantages of changing the SiMR in response to the changes to the reporting of assessment data.  Stakeholders requested the SiMR be similar to what is reported for Indicator 3.  As a result, the SiMR changes from reporting proficiency of students at the 3rd grade level in reading to the 4th grade.   </w:t>
      </w:r>
    </w:p>
    <w:bookmarkEnd w:id="85"/>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 xml:space="preserve">Due to the change of the measure for the SiMR from focusing on improving reading proficiency of 3rd graders to 4th graders, the theory of action was changed to reflect this overall change.  Despite the change in measures, the core of the theory of action did not require additional changes.  </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https://cdn.education.ne.gov/wp-content/uploads/2021/12/Theory-of-Action-v2-ACCESS-CHECKED-sped.pdf  </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6" w:name="_Hlk88409365"/>
      <w:r w:rsidRPr="00730C62">
        <w:rPr>
          <w:b/>
          <w:bCs/>
          <w:szCs w:val="16"/>
        </w:rPr>
        <w:t>just</w:t>
      </w:r>
      <w:r w:rsidR="006457D1">
        <w:rPr>
          <w:b/>
          <w:bCs/>
          <w:szCs w:val="16"/>
        </w:rPr>
        <w:t>i</w:t>
      </w:r>
      <w:r w:rsidRPr="00730C62">
        <w:rPr>
          <w:b/>
          <w:bCs/>
          <w:szCs w:val="16"/>
        </w:rPr>
        <w:t>fication</w:t>
      </w:r>
      <w:bookmarkEnd w:id="86"/>
      <w:r w:rsidRPr="00730C62">
        <w:rPr>
          <w:b/>
          <w:bCs/>
          <w:szCs w:val="16"/>
        </w:rPr>
        <w:t xml:space="preserve"> for the changes.</w:t>
      </w:r>
    </w:p>
    <w:p w14:paraId="168D53FB" w14:textId="164A8367" w:rsidR="00CF0910" w:rsidRDefault="00CF0910" w:rsidP="00CF0910">
      <w:r w:rsidRPr="00781112">
        <w:t xml:space="preserve">Breakdown State Identified Measurable Result (SiMR) data by disability category to provide additional meaning to the data allowing them to assist groups most in need </w:t>
      </w:r>
      <w:r w:rsidRPr="00781112">
        <w:br/>
      </w:r>
      <w:r w:rsidRPr="00781112">
        <w:br/>
        <w:t xml:space="preserve">Upcoming change from using the Measures of academic Progress (MAP) which is currently used to Nebraska Student Centered Assessment System (NSCAS) for growth which will align more closely with the statewide assessment system so teachers have increased knowledge of how students are performing in order to achieve reading standards.  </w:t>
      </w:r>
      <w:r w:rsidRPr="00781112">
        <w:br/>
      </w:r>
      <w:r w:rsidRPr="00781112">
        <w:br/>
        <w:t xml:space="preserve">Focus of Multitiered Systems of Support (MTSS) on Social, Emotional, and Behavioral Learning (SEBL) and impact on reading proficiency due to data showing an increase in mental health issues among students and staff as a result of the pandemic </w:t>
      </w:r>
      <w:r w:rsidRPr="00781112">
        <w:br/>
      </w:r>
      <w:r w:rsidRPr="00781112">
        <w:br/>
        <w:t xml:space="preserve">Timeline for establishing interim targets using NSCAS growth due to the upcoming change in interim measures from the MAP assessment to the NSCAS growth assessment </w:t>
      </w:r>
      <w:r w:rsidRPr="00781112">
        <w:br/>
      </w:r>
      <w:r w:rsidRPr="00781112">
        <w:br/>
        <w:t xml:space="preserve">Alignment activities to clarify for districts the interconnectedness between MTSS, High Quality Instructional Materials, SEBL, Continuous School Improvement, and the whole child based on data gathered indicating the confusion districts have about those initiatives.  </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25.63%</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25.63%</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26.13%</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27.13%</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28.13%</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29.13%</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30.13%</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 xml:space="preserve">Number of Students with Disabilities at the 4th grade level who are proficient in reading? </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 xml:space="preserve">Total number of students with disabilities tested on the statewide reading assessment (both general assessment and alternate assessment)? </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1,073</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4,187</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25.63%</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25.63%</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 xml:space="preserve">Data comes from the same source as Indicator 3  - NSCAS proficiency scores for 4th grade students who received a valid score and for whom a proficiency level was assigned for both students with IEPs against grade level academic achievement standards and proficiency rate for children with IEPs against alternate academic achievement standards.   </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 xml:space="preserve">Data is collected based on the requirements of Indicator 3.  For the analysis for the SiMR, the state adds together the number of students with IEPs who received a valid score and a proficiency level was assigned against grade level academic achievement standards to the number of students with IEPs who received a valid score and proficiency level was assigned against alternate academic achievement standards divided by the total number of students at the 4th grade with IEPs.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Nebraska tested 19,077 fourth-grade students using the MAP assessment. 15,441 students without disabilities and 3,636 students with disabilities were tested. According to an analysis of the MAP reading scores, districts had an average RIT score in the fall 2020 administration for students without disabilities was 202.37 and 187.24 for students with disabilities. During the spring 2021administration, the average RIT (Rasch Unit) score for students without disabilities was 208.96 and for students with disabilities was 194.78. A comparison of fall to spring scores shows students with disabilities demonstrated slightly more growth of 7.54 points whereas students without disabilities showed 6.59 points of growth.</w:t>
      </w:r>
      <w:r w:rsidRPr="00781112">
        <w:rPr>
          <w:color w:val="000000" w:themeColor="text1"/>
        </w:rPr>
        <w:br/>
      </w:r>
      <w:r w:rsidRPr="00781112">
        <w:rPr>
          <w:color w:val="000000" w:themeColor="text1"/>
        </w:rPr>
        <w:br/>
        <w:t xml:space="preserve">When looking specifically at students with disabilities and performance on the MAP reading assessment, scores varied by disability with students with Emotional Disability and Speech/Language Impairments out-scoring students with other disabilities in all three administrations of the MAP assessment. Students with Intellectual Disabilities and Autism had the lowest RIT scores for all test administrations. Average RIT scores for the fall of 2020, winter of 2020 and spring of 2021 are as follows for each category. </w:t>
      </w:r>
      <w:r w:rsidRPr="00781112">
        <w:rPr>
          <w:color w:val="000000" w:themeColor="text1"/>
        </w:rPr>
        <w:br/>
      </w:r>
      <w:r w:rsidRPr="00781112">
        <w:rPr>
          <w:color w:val="000000" w:themeColor="text1"/>
        </w:rPr>
        <w:br/>
        <w:t xml:space="preserve">Emotional Disability was 178.37; 185.98; 185.95 respectively </w:t>
      </w:r>
      <w:r w:rsidRPr="00781112">
        <w:rPr>
          <w:color w:val="000000" w:themeColor="text1"/>
        </w:rPr>
        <w:br/>
      </w:r>
      <w:r w:rsidRPr="00781112">
        <w:rPr>
          <w:color w:val="000000" w:themeColor="text1"/>
        </w:rPr>
        <w:br/>
        <w:t xml:space="preserve">Speech/Language Impairment was 172.44; 182.60; 182.56 respectively </w:t>
      </w:r>
      <w:r w:rsidRPr="00781112">
        <w:rPr>
          <w:color w:val="000000" w:themeColor="text1"/>
        </w:rPr>
        <w:br/>
      </w:r>
      <w:r w:rsidRPr="00781112">
        <w:rPr>
          <w:color w:val="000000" w:themeColor="text1"/>
        </w:rPr>
        <w:br/>
        <w:t xml:space="preserve">Other Health Impaired was 172.07; 181.04; 180.85 respectively </w:t>
      </w:r>
      <w:r w:rsidRPr="00781112">
        <w:rPr>
          <w:color w:val="000000" w:themeColor="text1"/>
        </w:rPr>
        <w:br/>
      </w:r>
      <w:r w:rsidRPr="00781112">
        <w:rPr>
          <w:color w:val="000000" w:themeColor="text1"/>
        </w:rPr>
        <w:br/>
        <w:t xml:space="preserve">Specific Learning Disability was 169.05; 175.48; 178.73 respectively </w:t>
      </w:r>
      <w:r w:rsidRPr="00781112">
        <w:rPr>
          <w:color w:val="000000" w:themeColor="text1"/>
        </w:rPr>
        <w:br/>
      </w:r>
      <w:r w:rsidRPr="00781112">
        <w:rPr>
          <w:color w:val="000000" w:themeColor="text1"/>
        </w:rPr>
        <w:br/>
        <w:t xml:space="preserve">Autism was 167.74; 172.60; 175.24 respectively </w:t>
      </w:r>
      <w:r w:rsidRPr="00781112">
        <w:rPr>
          <w:color w:val="000000" w:themeColor="text1"/>
        </w:rPr>
        <w:br/>
      </w:r>
      <w:r w:rsidRPr="00781112">
        <w:rPr>
          <w:color w:val="000000" w:themeColor="text1"/>
        </w:rPr>
        <w:br/>
        <w:t xml:space="preserve">Intellectual Disability was 155.83; 159.62; and 162.19 respectively </w:t>
      </w:r>
      <w:r w:rsidRPr="00781112">
        <w:rPr>
          <w:color w:val="000000" w:themeColor="text1"/>
        </w:rPr>
        <w:br/>
      </w:r>
      <w:r w:rsidRPr="00781112">
        <w:rPr>
          <w:color w:val="000000" w:themeColor="text1"/>
        </w:rPr>
        <w:br/>
        <w:t xml:space="preserve"> Nebraska also uses the MAP RIT scores to determine the percentage of students considered at-risk for not becoming proficient readers. Based on the </w:t>
      </w:r>
      <w:r w:rsidRPr="00781112">
        <w:rPr>
          <w:color w:val="000000" w:themeColor="text1"/>
        </w:rPr>
        <w:lastRenderedPageBreak/>
        <w:t xml:space="preserve">2021 spring administration of the MAP assessment, 11,668 kindergarten students took the assessment with 9,955 students without disabilities and 1,713 students with disabilities; 13,051 first grade students took the assessment with 10,895 students without disabilities and 2,156 students with disabilities; 16,419 second grade students took the assessment with 13,513 students without disabilities and 2,906 students with disabilities; 16,252 third grade students took the assessment with 13,197 students without disabilities and 3,055 students with disabilities. In looking at percent of students considered at risk, kindergarten had 17.64% students without disabilities and 32.28% of students with disabilities; 1st grade had, 20.12% students without disabilities and 43.00% students with disabilities; 2nd grade had 12.28% students without disabilities and 38.16% students with disabilities; and 3rd grade had 12.18% students without disabilities and 43.86% students with disabilities.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 xml:space="preserve">Describe any data quality issues, unrelated to COVID-19, specific to the </w:t>
      </w:r>
      <w:proofErr w:type="spellStart"/>
      <w:r w:rsidRPr="00781112">
        <w:rPr>
          <w:rFonts w:cs="Arial"/>
          <w:b/>
          <w:bCs/>
        </w:rPr>
        <w:t>SiMR</w:t>
      </w:r>
      <w:proofErr w:type="spellEnd"/>
      <w:r w:rsidRPr="00781112">
        <w:rPr>
          <w:rFonts w:cs="Arial"/>
          <w:b/>
          <w:bCs/>
        </w:rPr>
        <w:t xml:space="preserve">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 xml:space="preserve">Northwest Evaluation Association (NWEA), the institution responsible for the reporting of the MAP data to the state, had a system issue that resulted in the lack of reporting of all Fall and some Winter scores obtained by students during the Fall 2019 and Winter 2019 administration of the MAP assessment.  Nebraska uses MAP data to show progress toward the SiMR and to determine the number of students with disabilities who are considered “at-risk” for not becoming proficient readers.   As a result, Nebraska did not have a full data set to analyze.  In the future, MAP data will no longer be used.  It is being replaced with the NSACAS Growth Assessment and will have similar assessment windows and provide similar data as the MAP Assessment.  The Office of Special Education is working with the Assessment Office as well as the Data Division to ensure data is received on a quarterly basis to ensure data is analyzed on a regular basis and errors or missing data caught earlier.   </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Due to the ongoing pandemic, parents were allowed to opt-out of the NSCAS for the Spring 2021 testing.  As a result, there were 206 fourth-grade students with disabilities who did not participate in the statewide reading assessment which affects the completeness of the data.   The State had allowed parents of all students to opt-out of the statewide reading assessment during the Spring 2021 administration of the assessment due to the ongoing pandemic and safety concerns of students with disabilities attending school in person to take the assessment.  To mitigate the requirement of students having to take the assessment in person, districts allowed those who took the assessment but were attending school virtually to take the assessment at alternate times in smaller group settings in person to lessen the opportunity of transmission of the virus.  For the Spring 2022 administration of the assessment, parents will no longer be able to “opt out” students for the assessment.   </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https://cdn.education.ne.gov/wp-content/uploads/2022/01/Revised-Logic-Model-.pdf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 xml:space="preserve">The evaluation plan was updated to reflect the following changes  </w:t>
      </w:r>
      <w:r w:rsidRPr="00781112">
        <w:rPr>
          <w:color w:val="000000" w:themeColor="text1"/>
        </w:rPr>
        <w:br/>
      </w:r>
      <w:r w:rsidRPr="00781112">
        <w:rPr>
          <w:color w:val="000000" w:themeColor="text1"/>
        </w:rPr>
        <w:br/>
        <w:t xml:space="preserve">Measurement of the SiMR from targeting reading proficiency of students with disabilities at the 3rd-grade level to those at the 4th-grade level.   </w:t>
      </w:r>
      <w:r w:rsidRPr="00781112">
        <w:rPr>
          <w:color w:val="000000" w:themeColor="text1"/>
        </w:rPr>
        <w:br/>
      </w:r>
      <w:r w:rsidRPr="00781112">
        <w:rPr>
          <w:color w:val="000000" w:themeColor="text1"/>
        </w:rPr>
        <w:br/>
        <w:t xml:space="preserve">Measurement showing progress toward the SiMR from Measures of Academic Progress to NSCAS Growth </w:t>
      </w:r>
      <w:r w:rsidRPr="00781112">
        <w:rPr>
          <w:color w:val="000000" w:themeColor="text1"/>
        </w:rPr>
        <w:br/>
      </w:r>
      <w:r w:rsidRPr="00781112">
        <w:rPr>
          <w:color w:val="000000" w:themeColor="text1"/>
        </w:rPr>
        <w:br/>
        <w:t xml:space="preserve">Removed activities previously accomplished </w:t>
      </w:r>
      <w:r w:rsidRPr="00781112">
        <w:rPr>
          <w:color w:val="000000" w:themeColor="text1"/>
        </w:rPr>
        <w:br/>
      </w:r>
      <w:r w:rsidRPr="00781112">
        <w:rPr>
          <w:color w:val="000000" w:themeColor="text1"/>
        </w:rPr>
        <w:br/>
        <w:t xml:space="preserve">Added new measures for systems alignment activities </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 xml:space="preserve">The change of the SiMR measurement from reading proficiency of students at the 3rd-grade level to the 4th-grade level required minimal change but was needed to accurately reflect the changes in measure required by OSEP for Indicator 3 (Proficiency of Students with Disabilities on Reading Assessments for 4th Grade) and how data was being analyzed to ensure clarity for Stakeholders.   </w:t>
      </w:r>
      <w:r w:rsidRPr="00781112">
        <w:rPr>
          <w:color w:val="000000" w:themeColor="text1"/>
        </w:rPr>
        <w:br/>
        <w:t xml:space="preserve"> </w:t>
      </w:r>
      <w:r w:rsidRPr="00781112">
        <w:rPr>
          <w:color w:val="000000" w:themeColor="text1"/>
        </w:rPr>
        <w:br/>
        <w:t xml:space="preserve">The Nebraska Department of Education has worked with stakeholders for a few years to discuss reducing the number of assessments required to understand how students were achieving proficiency in standards.  As a result of these discussions, the Department is moving toward using an NSCAS Growth measure which takes the best of MAP Growth and the NSCAS General Summative Assessment (see https://www.education.ne.gov/assessment/nscas-growth/).   </w:t>
      </w:r>
      <w:r w:rsidRPr="00781112">
        <w:rPr>
          <w:color w:val="000000" w:themeColor="text1"/>
        </w:rPr>
        <w:br/>
        <w:t xml:space="preserve"> </w:t>
      </w:r>
      <w:r w:rsidRPr="00781112">
        <w:rPr>
          <w:color w:val="000000" w:themeColor="text1"/>
        </w:rPr>
        <w:br/>
        <w:t xml:space="preserve">Although the Office of Special Education has indicated changes to the evaluation plan with each SSIP submission, changes had not been formally made to the evaluation plan submitted with Phase II until recently.  To communicate more clearly with stakeholders and OSEP, the evaluation plan was copied from Phase II, consolidated, and published in a separate link on the Special Education website.  Updates included and will continue to include removal of activities accomplished through the work implemented and continue to focus on the quality, relevance, and usefulness of the infrastructure strategies and evidence-based practices that are core to the SSIP.   </w:t>
      </w:r>
      <w:r w:rsidRPr="00781112">
        <w:rPr>
          <w:color w:val="000000" w:themeColor="text1"/>
        </w:rPr>
        <w:br/>
        <w:t xml:space="preserve"> </w:t>
      </w:r>
      <w:r w:rsidRPr="00781112">
        <w:rPr>
          <w:color w:val="000000" w:themeColor="text1"/>
        </w:rPr>
        <w:br/>
        <w:t xml:space="preserve">The evaluation plan was expanded to include specific infrastructure activities being targeted by the Department of Education as a whole.  Recently, the Department in conjunction with Instructional Partners (a non-public organization working with the state of Nebraska to support great teaching and accelerate learning), identified a need to improve alignment, communication, and messaging with key infrastructure strategies including work with High Quality Instruction Materials, Multi-Tiered Systems of Support, Continuous School Improvement, Social Emotional Learning/Social Emotional Behavioral Learning and whole child well-being.  Through conversations among state staff, Educational Service Units (ESUs), districts, schools, and families, the Department recognized how each group interpreted the work and the need to clarify how these specific strategies align and support each other, rather </w:t>
      </w:r>
      <w:r w:rsidRPr="00781112">
        <w:rPr>
          <w:color w:val="000000" w:themeColor="text1"/>
        </w:rPr>
        <w:lastRenderedPageBreak/>
        <w:t xml:space="preserve">than independent from each other.  These activities have been included in the updated evaluation plan and will be growing and emerging as to work is done and data analysis requires updates to the work.   </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Nebraska’s main infrastructure strategy is MTSS focusing on aligning resources and programs within the State educational system.   </w:t>
      </w:r>
      <w:r w:rsidRPr="00781112">
        <w:rPr>
          <w:color w:val="000000" w:themeColor="text1"/>
        </w:rPr>
        <w:br/>
        <w:t xml:space="preserve"> </w:t>
      </w:r>
      <w:r w:rsidRPr="00781112">
        <w:rPr>
          <w:color w:val="000000" w:themeColor="text1"/>
        </w:rPr>
        <w:br/>
        <w:t xml:space="preserve">For the main strategy of implementing MTSS statewide, the State Implemented Language Essentials for Teacher of Reading and Spelling (LETRS), held an MTSS conference, a reading symposium and provide MTSS systems level training and training specific to English Language Arts. </w:t>
      </w:r>
      <w:r w:rsidRPr="00781112">
        <w:rPr>
          <w:color w:val="000000" w:themeColor="text1"/>
        </w:rPr>
        <w:br/>
        <w:t xml:space="preserve"> </w:t>
      </w:r>
      <w:r w:rsidRPr="00781112">
        <w:rPr>
          <w:color w:val="000000" w:themeColor="text1"/>
        </w:rPr>
        <w:br/>
        <w:t xml:space="preserve">To further align resources and programs within the system, Nebraska engaged in the assistance of Instructional Partners to identify specific areas that require further alignment of programs and initiatives at the State level.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MTSS: </w:t>
      </w:r>
      <w:r w:rsidRPr="00781112">
        <w:rPr>
          <w:color w:val="000000" w:themeColor="text1"/>
        </w:rPr>
        <w:br/>
        <w:t xml:space="preserve">Systems Training: </w:t>
      </w:r>
      <w:r w:rsidRPr="00781112">
        <w:rPr>
          <w:color w:val="000000" w:themeColor="text1"/>
        </w:rPr>
        <w:br/>
        <w:t xml:space="preserve">The MTSS State Facilitators provided training and support to districts dependent on their needs. Of the 244 districts, 34.4% (84 districts) have received 4 days of MTSS systems training; 11.5% (28 districts) have received 3 days of systems training; 10.2% (25 districts) have received 2 days of training; and 2.05% (5 districts) have received 1 day of training. So far, Nebraska has only 41.8% (102 districts) that have not received system training for MTSS. Systems training relates to governance, data, finance, quality standards and professional development and/or technical assistance to support sustainability of systems improvement efforts and scale-up across the state. </w:t>
      </w:r>
      <w:r w:rsidRPr="00781112">
        <w:rPr>
          <w:color w:val="000000" w:themeColor="text1"/>
        </w:rPr>
        <w:br/>
        <w:t xml:space="preserve"> </w:t>
      </w:r>
      <w:r w:rsidRPr="00781112">
        <w:rPr>
          <w:color w:val="000000" w:themeColor="text1"/>
        </w:rPr>
        <w:br/>
        <w:t xml:space="preserve">After each training, participants filled out a survey to gather information related to the quality, relevance, and usefulness of the training. Over the course of the four days of training, surveys were conducted after each and the aggregated results are shown in the table below. A total of 420 responses were captured showing that a majority of the participants strongly agreed or agreed with the following: presenters’ knowledge and effectiveness (53.44% and 42.04% respectively); learning objectives were met (39.96% and 51.78% respectively); training maintained the participants’ focus (32.62% and 48.81% respectively); the difficulty of the content was appropriate (35% and 52.81% respectively) ; and the training was worth participants’ time (39.05% and 48.57% respectively). </w:t>
      </w:r>
      <w:r w:rsidRPr="00781112">
        <w:rPr>
          <w:color w:val="000000" w:themeColor="text1"/>
        </w:rPr>
        <w:br/>
      </w:r>
      <w:r w:rsidRPr="00781112">
        <w:rPr>
          <w:color w:val="000000" w:themeColor="text1"/>
        </w:rPr>
        <w:br/>
        <w:t xml:space="preserve">As part of the Targeted Improvement Plan, Districts were asked to report the level of implementation of MTSS based on a Likert scale. Based on that information, 30% of Districts reported they implement the MTSS “most of the time”; 40% of Districts reported they implement evidence-based practice “at least half of the time”; 20% reported they “rarely implemented”; 1% indicated they “don’t know”; 9% reported the MTSS was “not implemented” and 0.4% did not respond. </w:t>
      </w:r>
      <w:r w:rsidRPr="00781112">
        <w:rPr>
          <w:color w:val="000000" w:themeColor="text1"/>
        </w:rPr>
        <w:br/>
      </w:r>
      <w:r w:rsidRPr="00781112">
        <w:rPr>
          <w:color w:val="000000" w:themeColor="text1"/>
        </w:rPr>
        <w:br/>
        <w:t xml:space="preserve">ELA Training: </w:t>
      </w:r>
      <w:r w:rsidRPr="00781112">
        <w:rPr>
          <w:color w:val="000000" w:themeColor="text1"/>
        </w:rPr>
        <w:br/>
        <w:t xml:space="preserve">In order to support districts who have selected reading as a focus for improvement on their Targeted Improvement Plans (TIPs), the MTSS State Facilitators also implemented training specific to reading. The training provided Building and Refining the Core for reading (B&amp;R Core) to 24.6% (60 districts); Intervention to 19.7% (48 districts); Sustainability to 11.9% (29 districts); and Sustainability Partnership to 10.7% (26 districts). ELA training relates to professional development and/or technical assistance and quality standards to support achievement toward the SiMR, sustainability of systems improvement efforts, and scale-up. </w:t>
      </w:r>
      <w:r w:rsidRPr="00781112">
        <w:rPr>
          <w:color w:val="000000" w:themeColor="text1"/>
        </w:rPr>
        <w:br/>
        <w:t xml:space="preserve"> </w:t>
      </w:r>
      <w:r w:rsidRPr="00781112">
        <w:rPr>
          <w:color w:val="000000" w:themeColor="text1"/>
        </w:rPr>
        <w:br/>
        <w:t xml:space="preserve">LETRS Training: </w:t>
      </w:r>
      <w:r w:rsidRPr="00781112">
        <w:rPr>
          <w:color w:val="000000" w:themeColor="text1"/>
        </w:rPr>
        <w:br/>
        <w:t xml:space="preserve">To better support reading, MTSS provided training in the Language Essentials for Teachers of Reading and Spelling (LETRS). In the area of professional development and technical assistance, the state trained 118 individuals in the essentials of reading and spelling. Participants included teachers, administrators, instructional coaches. LETRS training is essential for achievement toward the SiMR. </w:t>
      </w:r>
      <w:r w:rsidRPr="00781112">
        <w:rPr>
          <w:color w:val="000000" w:themeColor="text1"/>
        </w:rPr>
        <w:br/>
        <w:t xml:space="preserve"> </w:t>
      </w:r>
      <w:r w:rsidRPr="00781112">
        <w:rPr>
          <w:color w:val="000000" w:themeColor="text1"/>
        </w:rPr>
        <w:br/>
        <w:t xml:space="preserve">MTSS Reading Symposium Data: </w:t>
      </w:r>
      <w:r w:rsidRPr="00781112">
        <w:rPr>
          <w:color w:val="000000" w:themeColor="text1"/>
        </w:rPr>
        <w:br/>
        <w:t>The annual reading symposium was attended by 73 individuals who ranged in role from teachers to administrators. The reading symposium relates to professional development and/or technical assistance to support achievement toward the SiMR, sustainability of systems improvement efforts, and scale-up.</w:t>
      </w:r>
      <w:r w:rsidRPr="00781112">
        <w:rPr>
          <w:color w:val="000000" w:themeColor="text1"/>
        </w:rPr>
        <w:br/>
      </w:r>
      <w:r w:rsidRPr="00781112">
        <w:rPr>
          <w:color w:val="000000" w:themeColor="text1"/>
        </w:rPr>
        <w:br/>
        <w:t xml:space="preserve">MTSS Summit Data: </w:t>
      </w:r>
      <w:r w:rsidRPr="00781112">
        <w:rPr>
          <w:color w:val="000000" w:themeColor="text1"/>
        </w:rPr>
        <w:br/>
        <w:t xml:space="preserve">The annual MTSS Summit was attended by 801 individuals who ranged in role from teachers to administrators. The annual MTSS Summit relates to professional development and/or technical assistance to support achievement toward the SiMR, sustainability of systems improvement efforts, and scale-up. Overall, the evaluation of the Summit data shows that it was rated very well (67% rated excellent or very good), people who attended were likely to use the information presented (72% rated likely or very likely) and would share the information learned with others (70% rated likely or very likely). </w:t>
      </w:r>
      <w:r w:rsidRPr="00781112">
        <w:rPr>
          <w:color w:val="000000" w:themeColor="text1"/>
        </w:rPr>
        <w:br/>
      </w:r>
      <w:r w:rsidRPr="00781112">
        <w:rPr>
          <w:color w:val="000000" w:themeColor="text1"/>
        </w:rPr>
        <w:br/>
        <w:t xml:space="preserve">MTSS Universal Support: </w:t>
      </w:r>
      <w:r w:rsidRPr="00781112">
        <w:rPr>
          <w:color w:val="000000" w:themeColor="text1"/>
        </w:rPr>
        <w:br/>
        <w:t>From Jan. 1, 2021, to Nov. 30, 2021, the NeMTSS website had nearly 26,000 unique visitors, more than 3.5 million hits and approximately 4,450 downloads. In 2021, there were a total of 4,450 downloads from the NeMTSS Website with 999 downloads of the Program Comparison chart. The Program Comparison chart allows users to evaluate and compare information on more than 80 academic and social-emotional learning programs and interventions.</w:t>
      </w:r>
      <w:r w:rsidRPr="00781112">
        <w:rPr>
          <w:color w:val="000000" w:themeColor="text1"/>
        </w:rPr>
        <w:br/>
      </w:r>
      <w:r w:rsidRPr="00781112">
        <w:rPr>
          <w:color w:val="000000" w:themeColor="text1"/>
        </w:rPr>
        <w:br/>
        <w:t xml:space="preserve">Systems Alignment </w:t>
      </w:r>
      <w:r w:rsidRPr="00781112">
        <w:rPr>
          <w:color w:val="000000" w:themeColor="text1"/>
        </w:rPr>
        <w:br/>
        <w:t xml:space="preserve">Since the inception of the SSIP, the Nebraska Department of Education has been working to align the work of the Office of Special Education and other offices within the Department including the following: MTSS; High-Quality Instructional Materials (HQIM); Continuous Improvement; Social-Emotional and Social-Emotional/Behavioral Learning; Whole Child Wellbeing. Through the focus of these initiatives, districts have expressed a need for further clarification of each of the initiatives including how each support and ties to the others. As a result of the investigation into the alignment of these initiatives, the NDE has established the following activities: </w:t>
      </w:r>
      <w:r w:rsidRPr="00781112">
        <w:rPr>
          <w:color w:val="000000" w:themeColor="text1"/>
        </w:rPr>
        <w:br/>
        <w:t xml:space="preserve">Strengthen coherence of MTSS and Continuous Improvement </w:t>
      </w:r>
      <w:r w:rsidRPr="00781112">
        <w:rPr>
          <w:color w:val="000000" w:themeColor="text1"/>
        </w:rPr>
        <w:br/>
        <w:t xml:space="preserve">Strengthen intersection of MTSS and academics with attention to non-summative assessment guidance in the context of high-quality instructional materials </w:t>
      </w:r>
      <w:r w:rsidRPr="00781112">
        <w:rPr>
          <w:color w:val="000000" w:themeColor="text1"/>
        </w:rPr>
        <w:br/>
      </w:r>
      <w:r w:rsidRPr="00781112">
        <w:rPr>
          <w:color w:val="000000" w:themeColor="text1"/>
        </w:rPr>
        <w:lastRenderedPageBreak/>
        <w:t xml:space="preserve">Development of a common visual about how MTSS, Continuous Improvement, Whole Child Supports and High-Quality Instructional Materials work together </w:t>
      </w:r>
      <w:r w:rsidRPr="00781112">
        <w:rPr>
          <w:color w:val="000000" w:themeColor="text1"/>
        </w:rPr>
        <w:br/>
        <w:t>Streamline and strengthen school supports and monitoring processes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With Nebraska’s main infrastructure strategy being MTSS, the priorities moving forward will be to continue focusing on aligning resources and programs within the State educational system. </w:t>
      </w:r>
      <w:r w:rsidRPr="00781112">
        <w:rPr>
          <w:color w:val="000000" w:themeColor="text1"/>
        </w:rPr>
        <w:br/>
        <w:t xml:space="preserve">For the main strategy of implementing MTSS statewide, the State will continue to implement Language Essentials for Teacher of Reading and Spelling (LETRS), hold an MTSS conference, a reading symposium and provide MTSS systems level training and training specific to English Language Arts. These all will continue, building sustainability and implementation supports. </w:t>
      </w:r>
      <w:r w:rsidRPr="00781112">
        <w:rPr>
          <w:color w:val="000000" w:themeColor="text1"/>
        </w:rPr>
        <w:br/>
        <w:t xml:space="preserve">To continue to support districts who have selected reading as a focus for improvement on their Targeted Improvement Plans (TIPs), the MTSS State Facilitators also will continue to implement training specific to reading. Our ELA specific training will have a high focus on the selection of high-quality instructional materials with detail in aligning the Interventions at Tiers II and III to the materials. Both the MTSS Reading Symposium and the MTSS Summit will ensure connectivity to ELA system support in schools. The Office of Special Education has also partnered with the University of Nebraska - Lincoln to develop Workshops on Reading Development Strategies known as the WORDS project. A student’s ability to read is a critical predictor of academic and lifelong success. Early identification of children who may need extra reading support is essential to keep them on a positive trajectory. In partnership with schools across Nebraska, the WORDS Project provides sustained support and professional development to kindergarten through third grade (K-3) teachers — empowering them to deliver effective reading instruction and assessment. </w:t>
      </w:r>
      <w:r w:rsidRPr="00781112">
        <w:rPr>
          <w:color w:val="000000" w:themeColor="text1"/>
        </w:rPr>
        <w:br/>
        <w:t xml:space="preserve">With the shift in 2020 and 2021 focusing on renewal and acceleration for all students, specifically students with disabilities as a continued historically marginalized subgroup, it became more apparent that the focus within schools and thus within the SEA needed to be on system alignment. Across American Rescue Plan consultation meetings, there was a consistent push to create more coherence, efficiency, and mutual reinforcement across the major processes and to create a clearer sense of connection of how these processes interact and to plan into these processes tiers of support based on need. This work would seek to align, define, and streamline NeMTSS, high-quality instructional materials (HQIM), and continuous improvement processes and tools with attention to social emotional learning and whole-child wellbeing. </w:t>
      </w:r>
      <w:r w:rsidRPr="00781112">
        <w:rPr>
          <w:color w:val="000000" w:themeColor="text1"/>
        </w:rPr>
        <w:br/>
      </w:r>
      <w:r w:rsidRPr="00781112">
        <w:rPr>
          <w:color w:val="000000" w:themeColor="text1"/>
        </w:rPr>
        <w:br/>
        <w:t xml:space="preserve">At the end of this process: </w:t>
      </w:r>
      <w:r w:rsidRPr="00781112">
        <w:rPr>
          <w:color w:val="000000" w:themeColor="text1"/>
        </w:rPr>
        <w:br/>
        <w:t xml:space="preserve">We want to have a shared vision of success - shared within the entire State Educational Agency and statewide, including our Educational Service Units </w:t>
      </w:r>
      <w:r w:rsidRPr="00781112">
        <w:rPr>
          <w:color w:val="000000" w:themeColor="text1"/>
        </w:rPr>
        <w:br/>
        <w:t xml:space="preserve">We want our stakeholders to hear us speaking with one voice </w:t>
      </w:r>
      <w:r w:rsidRPr="00781112">
        <w:rPr>
          <w:color w:val="000000" w:themeColor="text1"/>
        </w:rPr>
        <w:br/>
        <w:t xml:space="preserve">We want to have functional and trusting spaces to identify and productively work through tension and conflict and ensure the work is cohesive </w:t>
      </w:r>
      <w:r w:rsidRPr="00781112">
        <w:rPr>
          <w:color w:val="000000" w:themeColor="text1"/>
        </w:rPr>
        <w:br/>
        <w:t xml:space="preserve">We want to make it clearer what actions school and system leaders need to take to support students and to make it easier for them to take those actions </w:t>
      </w:r>
      <w:r w:rsidRPr="00781112">
        <w:rPr>
          <w:color w:val="000000" w:themeColor="text1"/>
        </w:rPr>
        <w:br/>
        <w:t>Creating this alignment will ensure that schools have the resources they need to support student well-being, ultimately supporting academic growth.</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Nebraska continued to require districts to submit and report on the evidence-based practices used to improve the outcomes of students with disabilities through the development of a Targeted Improvement Plan.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Nebraska continued to require districts to create a Targeted Improvement Plan (TIP) to report the evidence-based strategy implemented to improve student outcomes.  Based on a review of the TIP, 81% of the 244 districts focused on reading as their area of improvement which is an increase from the year before.  The evidence-based practices selected by districts include explicit instruction (61%), strategies to promote active student engagement (20%), implementing flexible grouping (11%), and providing positive and constructive feedback to guide students’ learning and behavior (7%) among other strategies.  243 districts provided a numerical target to demonstrate improvement toward their goal.  73% of those districts provided performance data and 55% of the districts indicated they met or exceeded their target.  </w:t>
      </w:r>
      <w:r w:rsidRPr="00781112">
        <w:rPr>
          <w:color w:val="000000" w:themeColor="text1"/>
        </w:rPr>
        <w:br/>
        <w:t xml:space="preserve"> </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7"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7"/>
    <w:p w14:paraId="3E043DB7" w14:textId="7C3B2CD4" w:rsidR="00AE1972" w:rsidRPr="00781112" w:rsidRDefault="00AE1972" w:rsidP="00AE1972">
      <w:pPr>
        <w:rPr>
          <w:b/>
          <w:bCs/>
        </w:rPr>
      </w:pPr>
      <w:r w:rsidRPr="00781112">
        <w:rPr>
          <w:color w:val="000000" w:themeColor="text1"/>
        </w:rPr>
        <w:t xml:space="preserve">The targeted improvement plan focuses on the core components of continuous improvement and is designed to help districts focus on analyzing data to make decisions to improve the outcomes of students with disabilities.  It also requires districts to select a specific evidence-based practice to implement to achieve those results and develop fidelity measures to ensure practices are implemented with fidelity.  Districts are provided feedback on the targeted improvement plans submitted to further guide the continuous improvement process.  When Nebraska developed Phase I of the SSIP, it was identified that students with disabilities were not achieving at the level anticipated due to the lack of evidence-based practices in use.  The targeted improvement plan has required districts to focus on evidence-based practices and has moved to measuring the fidelity of the practices to improve results.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Districts self-reported the level of fidelity of implementation of the evidence-based practice (EBP) in use as well as fidelity of implementation of MTSS. Information specific to the fidelity of implementation of MTSS can be found in the Continued Evidence-Based Practices section. </w:t>
      </w:r>
      <w:r w:rsidRPr="00781112">
        <w:rPr>
          <w:color w:val="000000" w:themeColor="text1"/>
        </w:rPr>
        <w:br/>
      </w:r>
      <w:r w:rsidRPr="00781112">
        <w:rPr>
          <w:color w:val="000000" w:themeColor="text1"/>
        </w:rPr>
        <w:br/>
        <w:t>As part of the Targeted Improvement Plan, Districts were asked to report the level of implementation of the evidence-based practice selected based on a Likert scale. Based on that information, 45% of Districts reported they implement the evidence-based practice “most of the time”; 42% of Districts reported they implement evidence-based practice “at least half of the time”; 8% reported they “rarely implemented”; 3% indicated they “don’t know”; 1% reported the evidence-based practice was “not implemented” and 0.4% did not respond.</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No additional data was collected to support the decision to continue the ongoing use of each evidence-based practice.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lastRenderedPageBreak/>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Based on a review of the TIPs submitted in 2021, the State will provide additional professional development to assist districts in measuring fidelity, building an effective action plan to track progress, evaluating improvement efforts and applying data-based decision making within a continuous improvement model.  With an increase in additional professional development the state anticipates seeing a higher percentage of districts indicating they are implementing with fidelity and obtaining the targets set to ultimately impact student achievement.  </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color w:val="000000" w:themeColor="text1"/>
        </w:rPr>
        <w:br/>
        <w:t xml:space="preserve">  </w:t>
      </w:r>
      <w:r w:rsidRPr="00781112">
        <w:rPr>
          <w:color w:val="000000" w:themeColor="text1"/>
        </w:rPr>
        <w:br/>
        <w:t xml:space="preserve">The RDA Stakeholder Group has met periodically throughout the past year and will continue meeting to establish and review targets and performance as indicated in the SPP/APR and the development and implementation of the State Systemic Improvement Plan (SSIP). Thus far the RDA Stakeholder Group has reviewed historical data around each of the indicators and established targets for each of the indicators. Additionally, the RDA Stakeholder Group assisted NDE in establishing the State Identified Measurable Result (SIMR). As the RDA Stakeholder Group continues meeting, it will provide guidance and input on the development of the continued phases of the SSIP process.  </w:t>
      </w:r>
      <w:r w:rsidRPr="00781112">
        <w:rPr>
          <w:color w:val="000000" w:themeColor="text1"/>
        </w:rPr>
        <w:br/>
        <w:t xml:space="preserve"> </w:t>
      </w:r>
      <w:r w:rsidRPr="00781112">
        <w:rPr>
          <w:color w:val="000000" w:themeColor="text1"/>
        </w:rPr>
        <w:br/>
        <w:t xml:space="preserve">In addition to the RDA Stakeholder Group, established specifically for the purpose of gathering input on the SPP/APR, Nebraska also obtained input from two longstanding stakeholder groups with some members serving as liaisons to the RDA Stakeholder Group: Special Education Advisory Council (SEAC) and the Results Matter Nebraska Task Force. SEAC is established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work collaboratively with stakeholders, including SEAC and the Task Force, to analyze and review data to assist in making changes to the SSIP in relation to the SiMR data, interim measures of progress, and any needed changes to infrastructure and programmatic activities. </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The Office of Special Education and stakeholders continue to have an ongoing collaborative relationship while implementing and evaluating the SSIP. Stakeholder have included the following: </w:t>
      </w:r>
      <w:r w:rsidRPr="00781112">
        <w:rPr>
          <w:rFonts w:cs="Arial"/>
          <w:b w:val="0"/>
          <w:color w:val="000000" w:themeColor="text1"/>
          <w:szCs w:val="16"/>
        </w:rPr>
        <w:br/>
      </w:r>
      <w:r w:rsidRPr="00781112">
        <w:rPr>
          <w:rFonts w:cs="Arial"/>
          <w:b w:val="0"/>
          <w:color w:val="000000" w:themeColor="text1"/>
          <w:szCs w:val="16"/>
        </w:rPr>
        <w:br/>
        <w:t xml:space="preserve">Results Based Accountability (RDA) Stakeholders </w:t>
      </w:r>
      <w:r w:rsidRPr="00781112">
        <w:rPr>
          <w:rFonts w:cs="Arial"/>
          <w:b w:val="0"/>
          <w:color w:val="000000" w:themeColor="text1"/>
          <w:szCs w:val="16"/>
        </w:rPr>
        <w:br/>
      </w:r>
      <w:r w:rsidRPr="00781112">
        <w:rPr>
          <w:rFonts w:cs="Arial"/>
          <w:b w:val="0"/>
          <w:color w:val="000000" w:themeColor="text1"/>
          <w:szCs w:val="16"/>
        </w:rPr>
        <w:br/>
        <w:t xml:space="preserve">Special Education Advisory Council (SEAC) </w:t>
      </w:r>
      <w:r w:rsidRPr="00781112">
        <w:rPr>
          <w:rFonts w:cs="Arial"/>
          <w:b w:val="0"/>
          <w:color w:val="000000" w:themeColor="text1"/>
          <w:szCs w:val="16"/>
        </w:rPr>
        <w:br/>
      </w:r>
      <w:r w:rsidRPr="00781112">
        <w:rPr>
          <w:rFonts w:cs="Arial"/>
          <w:b w:val="0"/>
          <w:color w:val="000000" w:themeColor="text1"/>
          <w:szCs w:val="16"/>
        </w:rPr>
        <w:br/>
        <w:t xml:space="preserve">MTSS Builder’s Group </w:t>
      </w:r>
      <w:r w:rsidRPr="00781112">
        <w:rPr>
          <w:rFonts w:cs="Arial"/>
          <w:b w:val="0"/>
          <w:color w:val="000000" w:themeColor="text1"/>
          <w:szCs w:val="16"/>
        </w:rPr>
        <w:br/>
      </w:r>
      <w:r w:rsidRPr="00781112">
        <w:rPr>
          <w:rFonts w:cs="Arial"/>
          <w:b w:val="0"/>
          <w:color w:val="000000" w:themeColor="text1"/>
          <w:szCs w:val="16"/>
        </w:rPr>
        <w:br/>
        <w:t xml:space="preserve">Each of the groups consisted of the following: </w:t>
      </w:r>
      <w:r w:rsidRPr="00781112">
        <w:rPr>
          <w:rFonts w:cs="Arial"/>
          <w:b w:val="0"/>
          <w:color w:val="000000" w:themeColor="text1"/>
          <w:szCs w:val="16"/>
        </w:rPr>
        <w:br/>
      </w:r>
      <w:r w:rsidRPr="00781112">
        <w:rPr>
          <w:rFonts w:cs="Arial"/>
          <w:b w:val="0"/>
          <w:color w:val="000000" w:themeColor="text1"/>
          <w:szCs w:val="16"/>
        </w:rPr>
        <w:br/>
        <w:t xml:space="preserve">Parents </w:t>
      </w:r>
      <w:r w:rsidRPr="00781112">
        <w:rPr>
          <w:rFonts w:cs="Arial"/>
          <w:b w:val="0"/>
          <w:color w:val="000000" w:themeColor="text1"/>
          <w:szCs w:val="16"/>
        </w:rPr>
        <w:br/>
      </w:r>
      <w:r w:rsidRPr="00781112">
        <w:rPr>
          <w:rFonts w:cs="Arial"/>
          <w:b w:val="0"/>
          <w:color w:val="000000" w:themeColor="text1"/>
          <w:szCs w:val="16"/>
        </w:rPr>
        <w:br/>
        <w:t xml:space="preserve">Special Education Directors </w:t>
      </w:r>
      <w:r w:rsidRPr="00781112">
        <w:rPr>
          <w:rFonts w:cs="Arial"/>
          <w:b w:val="0"/>
          <w:color w:val="000000" w:themeColor="text1"/>
          <w:szCs w:val="16"/>
        </w:rPr>
        <w:br/>
      </w:r>
      <w:r w:rsidRPr="00781112">
        <w:rPr>
          <w:rFonts w:cs="Arial"/>
          <w:b w:val="0"/>
          <w:color w:val="000000" w:themeColor="text1"/>
          <w:szCs w:val="16"/>
        </w:rPr>
        <w:br/>
        <w:t xml:space="preserve">Special Education staff </w:t>
      </w:r>
      <w:r w:rsidRPr="00781112">
        <w:rPr>
          <w:rFonts w:cs="Arial"/>
          <w:b w:val="0"/>
          <w:color w:val="000000" w:themeColor="text1"/>
          <w:szCs w:val="16"/>
        </w:rPr>
        <w:br/>
      </w:r>
      <w:r w:rsidRPr="00781112">
        <w:rPr>
          <w:rFonts w:cs="Arial"/>
          <w:b w:val="0"/>
          <w:color w:val="000000" w:themeColor="text1"/>
          <w:szCs w:val="16"/>
        </w:rPr>
        <w:br/>
        <w:t xml:space="preserve">General Education Administrators (including principals and superintendents) </w:t>
      </w:r>
      <w:r w:rsidRPr="00781112">
        <w:rPr>
          <w:rFonts w:cs="Arial"/>
          <w:b w:val="0"/>
          <w:color w:val="000000" w:themeColor="text1"/>
          <w:szCs w:val="16"/>
        </w:rPr>
        <w:br/>
      </w:r>
      <w:r w:rsidRPr="00781112">
        <w:rPr>
          <w:rFonts w:cs="Arial"/>
          <w:b w:val="0"/>
          <w:color w:val="000000" w:themeColor="text1"/>
          <w:szCs w:val="16"/>
        </w:rPr>
        <w:br/>
        <w:t xml:space="preserve">Staff from Institutions of Higher Education </w:t>
      </w:r>
      <w:r w:rsidRPr="00781112">
        <w:rPr>
          <w:rFonts w:cs="Arial"/>
          <w:b w:val="0"/>
          <w:color w:val="000000" w:themeColor="text1"/>
          <w:szCs w:val="16"/>
        </w:rPr>
        <w:br/>
      </w:r>
      <w:r w:rsidRPr="00781112">
        <w:rPr>
          <w:rFonts w:cs="Arial"/>
          <w:b w:val="0"/>
          <w:color w:val="000000" w:themeColor="text1"/>
          <w:szCs w:val="16"/>
        </w:rPr>
        <w:br/>
        <w:t xml:space="preserve">Community agencies </w:t>
      </w:r>
      <w:r w:rsidRPr="00781112">
        <w:rPr>
          <w:rFonts w:cs="Arial"/>
          <w:b w:val="0"/>
          <w:color w:val="000000" w:themeColor="text1"/>
          <w:szCs w:val="16"/>
        </w:rPr>
        <w:br/>
      </w:r>
      <w:r w:rsidRPr="00781112">
        <w:rPr>
          <w:rFonts w:cs="Arial"/>
          <w:b w:val="0"/>
          <w:color w:val="000000" w:themeColor="text1"/>
          <w:szCs w:val="16"/>
        </w:rPr>
        <w:br/>
        <w:t xml:space="preserve">Nonpublic school staff </w:t>
      </w:r>
      <w:r w:rsidRPr="00781112">
        <w:rPr>
          <w:rFonts w:cs="Arial"/>
          <w:b w:val="0"/>
          <w:color w:val="000000" w:themeColor="text1"/>
          <w:szCs w:val="16"/>
        </w:rPr>
        <w:br/>
      </w:r>
      <w:r w:rsidRPr="00781112">
        <w:rPr>
          <w:rFonts w:cs="Arial"/>
          <w:b w:val="0"/>
          <w:color w:val="000000" w:themeColor="text1"/>
          <w:szCs w:val="16"/>
        </w:rPr>
        <w:br/>
        <w:t xml:space="preserve">Nebraska State Education Association members </w:t>
      </w:r>
      <w:r w:rsidRPr="00781112">
        <w:rPr>
          <w:rFonts w:cs="Arial"/>
          <w:b w:val="0"/>
          <w:color w:val="000000" w:themeColor="text1"/>
          <w:szCs w:val="16"/>
        </w:rPr>
        <w:br/>
      </w:r>
      <w:r w:rsidRPr="00781112">
        <w:rPr>
          <w:rFonts w:cs="Arial"/>
          <w:b w:val="0"/>
          <w:color w:val="000000" w:themeColor="text1"/>
          <w:szCs w:val="16"/>
        </w:rPr>
        <w:br/>
        <w:t xml:space="preserve">Nebraska Association of Special Education Supervisors members </w:t>
      </w:r>
      <w:r w:rsidRPr="00781112">
        <w:rPr>
          <w:rFonts w:cs="Arial"/>
          <w:b w:val="0"/>
          <w:color w:val="000000" w:themeColor="text1"/>
          <w:szCs w:val="16"/>
        </w:rPr>
        <w:br/>
      </w:r>
      <w:r w:rsidRPr="00781112">
        <w:rPr>
          <w:rFonts w:cs="Arial"/>
          <w:b w:val="0"/>
          <w:color w:val="000000" w:themeColor="text1"/>
          <w:szCs w:val="16"/>
        </w:rPr>
        <w:br/>
        <w:t xml:space="preserve">Members from various Offices within the Nebraska Department of Education including: </w:t>
      </w:r>
      <w:r w:rsidRPr="00781112">
        <w:rPr>
          <w:rFonts w:cs="Arial"/>
          <w:b w:val="0"/>
          <w:color w:val="000000" w:themeColor="text1"/>
          <w:szCs w:val="16"/>
        </w:rPr>
        <w:br/>
      </w:r>
      <w:r w:rsidRPr="00781112">
        <w:rPr>
          <w:rFonts w:cs="Arial"/>
          <w:b w:val="0"/>
          <w:color w:val="000000" w:themeColor="text1"/>
          <w:szCs w:val="16"/>
        </w:rPr>
        <w:br/>
        <w:t xml:space="preserve">Office of Accountability, Accreditation, and Program Approval </w:t>
      </w:r>
      <w:r w:rsidRPr="00781112">
        <w:rPr>
          <w:rFonts w:cs="Arial"/>
          <w:b w:val="0"/>
          <w:color w:val="000000" w:themeColor="text1"/>
          <w:szCs w:val="16"/>
        </w:rPr>
        <w:br/>
      </w:r>
      <w:r w:rsidRPr="00781112">
        <w:rPr>
          <w:rFonts w:cs="Arial"/>
          <w:b w:val="0"/>
          <w:color w:val="000000" w:themeColor="text1"/>
          <w:szCs w:val="16"/>
        </w:rPr>
        <w:br/>
        <w:t xml:space="preserve">School Improvement </w:t>
      </w:r>
      <w:r w:rsidRPr="00781112">
        <w:rPr>
          <w:rFonts w:cs="Arial"/>
          <w:b w:val="0"/>
          <w:color w:val="000000" w:themeColor="text1"/>
          <w:szCs w:val="16"/>
        </w:rPr>
        <w:br/>
      </w:r>
      <w:r w:rsidRPr="00781112">
        <w:rPr>
          <w:rFonts w:cs="Arial"/>
          <w:b w:val="0"/>
          <w:color w:val="000000" w:themeColor="text1"/>
          <w:szCs w:val="16"/>
        </w:rPr>
        <w:br/>
        <w:t xml:space="preserve">Curriculum, Instruction, and Assessment </w:t>
      </w:r>
      <w:r w:rsidRPr="00781112">
        <w:rPr>
          <w:rFonts w:cs="Arial"/>
          <w:b w:val="0"/>
          <w:color w:val="000000" w:themeColor="text1"/>
          <w:szCs w:val="16"/>
        </w:rPr>
        <w:br/>
      </w:r>
      <w:r w:rsidRPr="00781112">
        <w:rPr>
          <w:rFonts w:cs="Arial"/>
          <w:b w:val="0"/>
          <w:color w:val="000000" w:themeColor="text1"/>
          <w:szCs w:val="16"/>
        </w:rPr>
        <w:br/>
        <w:t xml:space="preserve"> Although due to COVID, the State has been unable to meet with stakeholders in person, the State has held virtual meetings. Each of the groups met at least 4 times during the year.</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Members of the RDA Stakeholders formed a workgroup specifically to discuss targets and changes for the SiMR and met virtually an additional 4 times.  Stakeholders collaborated with the State in making decisions about the data for the SiMR including establishing baseline and establishing new targets by making suggestions, responding to questions, and analyzing and reviewing data.  Stakeholders also worked collaboratively with the State to consolidate and update the evaluation plan for the SSIP.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lastRenderedPageBreak/>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 xml:space="preserve">The State provided stakeholders with the changes made at the Federal level with the SSIP, particularly the change in the measurement of Indicator 3 which impacted the SiMR.  Due to the change with OSEP requiring proficiency data for reading at grades 4, 8, and 11, Stakeholders felt it was important to alter the SiMR to reflect what the State was already reporting rather than continuing to focus on the 3rd grade.  Although the SiMR focus has remained (improving the reading proficiency of students with disabilities) the grade level to which the State is focused has changed from 3rd grade to 4th grade.   </w:t>
      </w:r>
      <w:r w:rsidRPr="00781112">
        <w:rPr>
          <w:color w:val="000000" w:themeColor="text1"/>
        </w:rPr>
        <w:br/>
      </w:r>
      <w:r w:rsidRPr="00781112">
        <w:rPr>
          <w:color w:val="000000" w:themeColor="text1"/>
        </w:rPr>
        <w:br/>
        <w:t xml:space="preserve"> Stakeholders continued to advocate for analyzing data for all 4th grade students, but felt it was important to disaggregate data based on disability category to allow districts to see what could be done locally to improve the data.  As a result, the State will now report how 4th grade students perform on the statewide assessment as a whole and by disability category.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 xml:space="preserve">All activities have already been described.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 xml:space="preserve">https://cdn.education.ne.gov/wp-content/uploads/2021/12/Theory-of-Action-v2-ACCESS-CHECKED-sped.pdf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The state is moving from the MAP assessment to the NSCAS Growth Assessment which will cause a lapse in interim data to measure progress toward the SiMR.  The Office of Special Education is working with Data Management and Application Development (DMAD) to ensure we get both MAP assessment and NSCAS Growth Assessment results until the full transition from MAP to NSCAS Growth is completed.   </w:t>
      </w:r>
      <w:r w:rsidRPr="00781112">
        <w:rPr>
          <w:color w:val="000000" w:themeColor="text1"/>
        </w:rPr>
        <w:br/>
      </w:r>
      <w:r w:rsidRPr="00781112">
        <w:rPr>
          <w:color w:val="000000" w:themeColor="text1"/>
        </w:rPr>
        <w:br/>
        <w:t xml:space="preserve">The state has seen multiple staff changes within the Department of Education, particularly with DMAD, and includes a change in the data manager for the Office of Special Education.  DMAD and the new data manager will be provided with support and on-the-job training to ensure data is available when needed. </w:t>
      </w:r>
      <w:r w:rsidRPr="00781112">
        <w:rPr>
          <w:color w:val="000000" w:themeColor="text1"/>
        </w:rPr>
        <w:br/>
      </w:r>
      <w:r w:rsidRPr="00781112">
        <w:rPr>
          <w:color w:val="000000" w:themeColor="text1"/>
        </w:rPr>
        <w:br/>
        <w:t xml:space="preserve">As stated in the Continued Evidence-Based Practice section under Systems Alignment, it was stated that data shows districts are struggling with understanding how the initiatives at the state interconnect and support each other.  To help districts understand how the initiatives support and interconnect, multiple offices within the Department have been working with Instructional Partners to align processes.   </w:t>
      </w:r>
      <w:r w:rsidRPr="00781112">
        <w:rPr>
          <w:color w:val="000000" w:themeColor="text1"/>
        </w:rPr>
        <w:br/>
      </w:r>
      <w:r w:rsidRPr="00781112">
        <w:rPr>
          <w:color w:val="000000" w:themeColor="text1"/>
        </w:rPr>
        <w:br/>
        <w:t xml:space="preserve">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 xml:space="preserve">All information has been provided.  </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revised the baseline for this indicator, using data from FFY 2020, and OSEP accepts that revision.</w:t>
      </w:r>
      <w:r w:rsidRPr="00781112">
        <w:rPr>
          <w:color w:val="000000" w:themeColor="text1"/>
        </w:rPr>
        <w:br/>
      </w:r>
      <w:r w:rsidRPr="00781112">
        <w:rPr>
          <w:color w:val="000000" w:themeColor="text1"/>
        </w:rPr>
        <w:br/>
        <w:t>The State provided targets for FFYs 2020 through 2025 for this indicator, and OSEP accepts those targets.</w:t>
      </w:r>
      <w:r w:rsidRPr="00781112">
        <w:rPr>
          <w:color w:val="000000" w:themeColor="text1"/>
        </w:rPr>
        <w:br/>
      </w:r>
      <w:r w:rsidRPr="00781112">
        <w:rPr>
          <w:color w:val="000000" w:themeColor="text1"/>
        </w:rPr>
        <w:br/>
        <w:t xml:space="preserve">The State provided an explanation of how COVID-19 impacted its ability to collect FFY 2020 data for this indicator and steps the State has taken to mitigate the impact of COVID-19 on data collection. Further, the State reported data quality issues, unrelated to COVID-19,  but specific to the SiMR data. The State reported "Northwest Evaluation Association (NWEA), the institution responsible for the reporting of the MAP data to the state, had a system issue that resulted in the lack of reporting of all Fall and some Winter scores obtained by students during the Fall 2019 and Winter 2019 administration of the MAP assessment.  Nebraska uses MAP data to show progress toward the SiMR and to determine the number of students with disabilities who are considered “at-risk” for not becoming proficient readers. As a result, Nebraska did not have a full data set to analyze.  In the future, MAP data will no longer be used.  It is being replaced with the NSACAS Growth Assessment and will have similar assessment windows and provide similar data as the MAP Assessment.  The Office of Special Education is working with the Assessment Office as well as the Data Division to ensure data is received on a quarterly basis to ensure data is analyzed on a regular basis and errors or missing data caught earlier".   </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8"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Amy Rhone</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State Director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amy.rhone@nebraska.gov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531-207-9978</w:t>
      </w:r>
    </w:p>
    <w:bookmarkEnd w:id="88"/>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04/27/22 12:54:41 PM</w:t>
      </w:r>
    </w:p>
    <w:p w14:paraId="596B3C30" w14:textId="0FA0E81E" w:rsidR="00755AF7" w:rsidRDefault="00755AF7" w:rsidP="00EE4B59">
      <w:pPr>
        <w:rPr>
          <w:rFonts w:cs="Arial"/>
          <w:color w:val="000000" w:themeColor="text1"/>
          <w:szCs w:val="16"/>
        </w:rPr>
      </w:pPr>
    </w:p>
    <w:p w14:paraId="2AF57761" w14:textId="386C229C" w:rsidR="00280352" w:rsidRDefault="00280352" w:rsidP="00EE4B59">
      <w:pPr>
        <w:rPr>
          <w:rFonts w:cs="Arial"/>
          <w:color w:val="000000" w:themeColor="text1"/>
          <w:szCs w:val="16"/>
        </w:rPr>
      </w:pPr>
    </w:p>
    <w:p w14:paraId="70AA529F" w14:textId="77777777" w:rsidR="009F30EB" w:rsidRDefault="009F30EB">
      <w:pPr>
        <w:spacing w:before="0" w:after="200" w:line="276" w:lineRule="auto"/>
        <w:rPr>
          <w:rFonts w:eastAsiaTheme="majorEastAsia" w:cstheme="majorBidi"/>
          <w:b/>
          <w:bCs/>
          <w:color w:val="000000" w:themeColor="text1"/>
          <w:sz w:val="20"/>
          <w:szCs w:val="28"/>
        </w:rPr>
      </w:pPr>
      <w:r>
        <w:rPr>
          <w:color w:val="000000" w:themeColor="text1"/>
        </w:rPr>
        <w:br w:type="page"/>
      </w:r>
    </w:p>
    <w:p w14:paraId="2BCF48BF" w14:textId="41799733" w:rsidR="00280352" w:rsidRDefault="00280352" w:rsidP="00280352">
      <w:pPr>
        <w:pStyle w:val="Heading1"/>
        <w:rPr>
          <w:color w:val="000000" w:themeColor="text1"/>
        </w:rPr>
      </w:pPr>
      <w:r>
        <w:rPr>
          <w:color w:val="000000" w:themeColor="text1"/>
        </w:rPr>
        <w:lastRenderedPageBreak/>
        <w:t>ED Attachments</w:t>
      </w:r>
    </w:p>
    <w:p w14:paraId="2BE42073" w14:textId="1E2A088F" w:rsidR="00280352" w:rsidRDefault="00280352" w:rsidP="00280352"/>
    <w:p w14:paraId="4D970D05" w14:textId="77777777" w:rsidR="00280352" w:rsidRPr="009F30EB" w:rsidRDefault="00280352" w:rsidP="009F30EB"/>
    <w:p w14:paraId="277893EA" w14:textId="12467C45" w:rsidR="00280352" w:rsidRPr="00781112" w:rsidRDefault="0036226A" w:rsidP="00EE4B59">
      <w:pPr>
        <w:rPr>
          <w:rFonts w:cs="Arial"/>
          <w:color w:val="000000" w:themeColor="text1"/>
          <w:szCs w:val="16"/>
        </w:rPr>
      </w:pPr>
      <w:r>
        <w:rPr>
          <w:rFonts w:cs="Arial"/>
          <w:color w:val="000000" w:themeColor="text1"/>
          <w:szCs w:val="16"/>
        </w:rPr>
        <w:object w:dxaOrig="1540" w:dyaOrig="997" w14:anchorId="3DC8A66D">
          <v:shape id="_x0000_i1026" type="#_x0000_t75" alt="ne-resultsmatrix-2022b&#10;" style="width:77.4pt;height:49.55pt" o:ole="">
            <v:imagedata r:id="rId12" o:title=""/>
          </v:shape>
          <o:OLEObject Type="Embed" ProgID="Acrobat.Document.DC" ShapeID="_x0000_i1026" DrawAspect="Icon" ObjectID="_1726423755" r:id="rId13"/>
        </w:object>
      </w:r>
      <w:r w:rsidR="00F40CBD">
        <w:rPr>
          <w:rFonts w:cs="Arial"/>
          <w:color w:val="000000" w:themeColor="text1"/>
          <w:szCs w:val="16"/>
        </w:rPr>
        <w:object w:dxaOrig="1579" w:dyaOrig="1022" w14:anchorId="39250D27">
          <v:shape id="_x0000_i1030" type="#_x0000_t75" alt="NE-2022DataRubricPartB&#10;" style="width:79.1pt;height:50.75pt" o:ole="">
            <v:imagedata r:id="rId14" o:title=""/>
          </v:shape>
          <o:OLEObject Type="Embed" ProgID="Excel.Sheet.12" ShapeID="_x0000_i1030" DrawAspect="Icon" ObjectID="_1726423756" r:id="rId15"/>
        </w:object>
      </w:r>
      <w:r>
        <w:rPr>
          <w:rFonts w:cs="Arial"/>
          <w:color w:val="000000" w:themeColor="text1"/>
          <w:szCs w:val="16"/>
        </w:rPr>
        <w:object w:dxaOrig="1540" w:dyaOrig="997" w14:anchorId="681CA90C">
          <v:shape id="_x0000_i1028" type="#_x0000_t75" alt="NE-B-Dispute-Resolution-2020-21&#10;" style="width:77.4pt;height:49.55pt" o:ole="">
            <v:imagedata r:id="rId16" o:title=""/>
          </v:shape>
          <o:OLEObject Type="Embed" ProgID="Acrobat.Document.DC" ShapeID="_x0000_i1028" DrawAspect="Icon" ObjectID="_1726423757" r:id="rId17"/>
        </w:object>
      </w:r>
    </w:p>
    <w:sectPr w:rsidR="00280352"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8206" w14:textId="77777777" w:rsidR="00F71CB8" w:rsidRDefault="00F71CB8" w:rsidP="000802F7">
      <w:pPr>
        <w:spacing w:before="0" w:after="0"/>
      </w:pPr>
      <w:r>
        <w:separator/>
      </w:r>
    </w:p>
  </w:endnote>
  <w:endnote w:type="continuationSeparator" w:id="0">
    <w:p w14:paraId="5A1652EF" w14:textId="77777777" w:rsidR="00F71CB8" w:rsidRDefault="00F71CB8" w:rsidP="000802F7">
      <w:pPr>
        <w:spacing w:before="0" w:after="0"/>
      </w:pPr>
      <w:r>
        <w:continuationSeparator/>
      </w:r>
    </w:p>
  </w:endnote>
  <w:endnote w:type="continuationNotice" w:id="1">
    <w:p w14:paraId="1A84DF65" w14:textId="77777777" w:rsidR="00F71CB8" w:rsidRDefault="00F71C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3712" w14:textId="77777777" w:rsidR="00F71CB8" w:rsidRDefault="00F71CB8" w:rsidP="000802F7">
      <w:pPr>
        <w:spacing w:before="0" w:after="0"/>
      </w:pPr>
      <w:r>
        <w:separator/>
      </w:r>
    </w:p>
  </w:footnote>
  <w:footnote w:type="continuationSeparator" w:id="0">
    <w:p w14:paraId="4B941B5D" w14:textId="77777777" w:rsidR="00F71CB8" w:rsidRDefault="00F71CB8" w:rsidP="000802F7">
      <w:pPr>
        <w:spacing w:before="0" w:after="0"/>
      </w:pPr>
      <w:r>
        <w:continuationSeparator/>
      </w:r>
    </w:p>
  </w:footnote>
  <w:footnote w:type="continuationNotice" w:id="1">
    <w:p w14:paraId="3FE5BB35" w14:textId="77777777" w:rsidR="00F71CB8" w:rsidRDefault="00F71CB8">
      <w:pPr>
        <w:spacing w:before="0" w:after="0"/>
      </w:pPr>
    </w:p>
  </w:footnote>
  <w:footnote w:id="2">
    <w:p w14:paraId="079ED200" w14:textId="56667A2B" w:rsidR="00717FDE" w:rsidRDefault="00717FDE">
      <w:pPr>
        <w:pStyle w:val="FootnoteText"/>
      </w:pPr>
      <w:r>
        <w:rPr>
          <w:rStyle w:val="FootnoteReference"/>
        </w:rPr>
        <w:footnoteRef/>
      </w:r>
      <w:r>
        <w:t xml:space="preserve"> </w:t>
      </w:r>
      <w:bookmarkStart w:id="3" w:name="_Hlk110429208"/>
      <w:r w:rsidR="00D03BE4" w:rsidRPr="009F30EB">
        <w:rPr>
          <w:rFonts w:eastAsia="Times New Roman" w:cs="Arial"/>
          <w:color w:val="000000" w:themeColor="text1"/>
          <w:sz w:val="16"/>
          <w:szCs w:val="16"/>
        </w:rPr>
        <w:t>Prior to the FFY 2020 submission, the State used a different data source to report data under this indicator.</w:t>
      </w:r>
      <w:bookmarkEnd w:id="3"/>
    </w:p>
  </w:footnote>
  <w:footnote w:id="3">
    <w:p w14:paraId="573C8304" w14:textId="611C2C63" w:rsidR="00D12209" w:rsidRDefault="00D12209">
      <w:pPr>
        <w:pStyle w:val="FootnoteText"/>
      </w:pPr>
      <w:r>
        <w:rPr>
          <w:rStyle w:val="FootnoteReference"/>
        </w:rPr>
        <w:footnoteRef/>
      </w:r>
      <w:r>
        <w:t xml:space="preserve"> </w:t>
      </w:r>
      <w:r w:rsidRPr="009F30EB">
        <w:rPr>
          <w:rFonts w:eastAsia="Times New Roman" w:cs="Arial"/>
          <w:color w:val="000000" w:themeColor="text1"/>
          <w:sz w:val="16"/>
          <w:szCs w:val="16"/>
        </w:rPr>
        <w:t>Prior to the FFY 2020 submission, the State used a different data source to report data under this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2589939">
    <w:abstractNumId w:val="23"/>
  </w:num>
  <w:num w:numId="2" w16cid:durableId="505101159">
    <w:abstractNumId w:val="11"/>
  </w:num>
  <w:num w:numId="3" w16cid:durableId="637615971">
    <w:abstractNumId w:val="21"/>
  </w:num>
  <w:num w:numId="4" w16cid:durableId="1164205965">
    <w:abstractNumId w:val="25"/>
  </w:num>
  <w:num w:numId="5" w16cid:durableId="589508169">
    <w:abstractNumId w:val="0"/>
  </w:num>
  <w:num w:numId="6" w16cid:durableId="705252900">
    <w:abstractNumId w:val="16"/>
  </w:num>
  <w:num w:numId="7" w16cid:durableId="2012948270">
    <w:abstractNumId w:val="8"/>
  </w:num>
  <w:num w:numId="8" w16cid:durableId="1615088920">
    <w:abstractNumId w:val="10"/>
  </w:num>
  <w:num w:numId="9" w16cid:durableId="2024940950">
    <w:abstractNumId w:val="12"/>
  </w:num>
  <w:num w:numId="10" w16cid:durableId="838469511">
    <w:abstractNumId w:val="14"/>
  </w:num>
  <w:num w:numId="11" w16cid:durableId="228809878">
    <w:abstractNumId w:val="18"/>
  </w:num>
  <w:num w:numId="12" w16cid:durableId="1447041042">
    <w:abstractNumId w:val="20"/>
  </w:num>
  <w:num w:numId="13" w16cid:durableId="990912203">
    <w:abstractNumId w:val="9"/>
  </w:num>
  <w:num w:numId="14" w16cid:durableId="1483160298">
    <w:abstractNumId w:val="15"/>
  </w:num>
  <w:num w:numId="15" w16cid:durableId="97334955">
    <w:abstractNumId w:val="13"/>
  </w:num>
  <w:num w:numId="16" w16cid:durableId="331225191">
    <w:abstractNumId w:val="22"/>
  </w:num>
  <w:num w:numId="17" w16cid:durableId="1627810912">
    <w:abstractNumId w:val="2"/>
  </w:num>
  <w:num w:numId="18" w16cid:durableId="30304221">
    <w:abstractNumId w:val="7"/>
  </w:num>
  <w:num w:numId="19" w16cid:durableId="756290638">
    <w:abstractNumId w:val="1"/>
  </w:num>
  <w:num w:numId="20" w16cid:durableId="1120418969">
    <w:abstractNumId w:val="19"/>
  </w:num>
  <w:num w:numId="21" w16cid:durableId="657655700">
    <w:abstractNumId w:val="24"/>
  </w:num>
  <w:num w:numId="22" w16cid:durableId="1849562356">
    <w:abstractNumId w:val="6"/>
  </w:num>
  <w:num w:numId="23" w16cid:durableId="543755399">
    <w:abstractNumId w:val="3"/>
  </w:num>
  <w:num w:numId="24" w16cid:durableId="543642167">
    <w:abstractNumId w:val="4"/>
  </w:num>
  <w:num w:numId="25" w16cid:durableId="123549875">
    <w:abstractNumId w:val="5"/>
  </w:num>
  <w:num w:numId="26" w16cid:durableId="22341989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697E"/>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352"/>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6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17FDE"/>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53D8"/>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0E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D9A"/>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09CF"/>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3BE4"/>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209"/>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3C3"/>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0812"/>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25B"/>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0CBD"/>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1CB8"/>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0EA"/>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86215-DD90-4B50-BA84-6BC15334EB1A}"/>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78</Pages>
  <Words>43553</Words>
  <Characters>248254</Characters>
  <Application>Microsoft Office Word</Application>
  <DocSecurity>0</DocSecurity>
  <Lines>2068</Lines>
  <Paragraphs>582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14</cp:revision>
  <cp:lastPrinted>2014-08-19T16:56:00Z</cp:lastPrinted>
  <dcterms:created xsi:type="dcterms:W3CDTF">2022-08-05T20:07:00Z</dcterms:created>
  <dcterms:modified xsi:type="dcterms:W3CDTF">2022-10-05T01:23:00Z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69ad2663-5e00-46b7-9eae-4720aa028730</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