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North Carolina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NC uses the term Public School Unit (PSU) to represent Local School Agency (LEA).</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330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Under its general supervision authority, the NCDPI-Office of Exceptional Children (OEC)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monitor the implementation of all special education programs for all eligible students with disabilities in the state. The federal Office of Special Education Programs (OSEP) monitors the OEC to ensure that processes and procedures are in place to meet the state’s general supervision requirements. To comply with the requirements of the Individuals with Disabilities Education (IDEA) Act, the OEC has reviewed the mechanisms for monitoring and developed a comprehensive general supervision system. </w:t>
      </w:r>
      <w:r w:rsidRPr="00781112">
        <w:rPr>
          <w:rFonts w:cs="Arial"/>
          <w:color w:val="000000" w:themeColor="text1"/>
          <w:szCs w:val="16"/>
        </w:rPr>
        <w:br/>
      </w:r>
      <w:r w:rsidRPr="00781112">
        <w:rPr>
          <w:rFonts w:cs="Arial"/>
          <w:color w:val="000000" w:themeColor="text1"/>
          <w:szCs w:val="16"/>
        </w:rPr>
        <w:br/>
        <w:t>The system:</w:t>
      </w:r>
      <w:r w:rsidRPr="00781112">
        <w:rPr>
          <w:rFonts w:cs="Arial"/>
          <w:color w:val="000000" w:themeColor="text1"/>
          <w:szCs w:val="16"/>
        </w:rPr>
        <w:br/>
        <w:t>- Supports practices that improve educational results and functional outcomes for children and youth with disabilities;</w:t>
      </w:r>
      <w:r w:rsidRPr="00781112">
        <w:rPr>
          <w:rFonts w:cs="Arial"/>
          <w:color w:val="000000" w:themeColor="text1"/>
          <w:szCs w:val="16"/>
        </w:rPr>
        <w:br/>
        <w:t>- Uses multiple methods to identify, correct, and verify correction of noncompliance as soon as possible but no later than one year after noncompliance is identified; and</w:t>
      </w:r>
      <w:r w:rsidRPr="00781112">
        <w:rPr>
          <w:rFonts w:cs="Arial"/>
          <w:color w:val="000000" w:themeColor="text1"/>
          <w:szCs w:val="16"/>
        </w:rPr>
        <w:br/>
        <w:t>- Utilizes mechanisms to encourage and support improvement and enforce compliance.</w:t>
      </w:r>
      <w:r w:rsidRPr="00781112">
        <w:rPr>
          <w:rFonts w:cs="Arial"/>
          <w:color w:val="000000" w:themeColor="text1"/>
          <w:szCs w:val="16"/>
        </w:rPr>
        <w:br/>
      </w:r>
      <w:r w:rsidRPr="00781112">
        <w:rPr>
          <w:rFonts w:cs="Arial"/>
          <w:color w:val="000000" w:themeColor="text1"/>
          <w:szCs w:val="16"/>
        </w:rPr>
        <w:br/>
        <w:t>COMPONENTS OF NORTH CAROLINA'S GENERAL SUPERVISION SYSTEM</w:t>
      </w:r>
      <w:r w:rsidRPr="00781112">
        <w:rPr>
          <w:rFonts w:cs="Arial"/>
          <w:color w:val="000000" w:themeColor="text1"/>
          <w:szCs w:val="16"/>
        </w:rPr>
        <w:br/>
        <w:t>There are eight components of the General Supervision System, including:</w:t>
      </w:r>
      <w:r w:rsidRPr="00781112">
        <w:rPr>
          <w:rFonts w:cs="Arial"/>
          <w:color w:val="000000" w:themeColor="text1"/>
          <w:szCs w:val="16"/>
        </w:rPr>
        <w:br/>
        <w:t>1) State Performance Plan (SPP) and Annual Performance Report (APR)</w:t>
      </w:r>
      <w:r w:rsidRPr="00781112">
        <w:rPr>
          <w:rFonts w:cs="Arial"/>
          <w:color w:val="000000" w:themeColor="text1"/>
          <w:szCs w:val="16"/>
        </w:rPr>
        <w:br/>
        <w:t>2) Policies, Practices, and Procedures</w:t>
      </w:r>
      <w:r w:rsidRPr="00781112">
        <w:rPr>
          <w:rFonts w:cs="Arial"/>
          <w:color w:val="000000" w:themeColor="text1"/>
          <w:szCs w:val="16"/>
        </w:rPr>
        <w:br/>
        <w:t>3) Dispute Resolution System</w:t>
      </w:r>
      <w:r w:rsidRPr="00781112">
        <w:rPr>
          <w:rFonts w:cs="Arial"/>
          <w:color w:val="000000" w:themeColor="text1"/>
          <w:szCs w:val="16"/>
        </w:rPr>
        <w:br/>
        <w:t>4) Data Collection</w:t>
      </w:r>
      <w:r w:rsidRPr="00781112">
        <w:rPr>
          <w:rFonts w:cs="Arial"/>
          <w:color w:val="000000" w:themeColor="text1"/>
          <w:szCs w:val="16"/>
        </w:rPr>
        <w:br/>
        <w:t>5) Policy Monitoring Activities</w:t>
      </w:r>
      <w:r w:rsidRPr="00781112">
        <w:rPr>
          <w:rFonts w:cs="Arial"/>
          <w:color w:val="000000" w:themeColor="text1"/>
          <w:szCs w:val="16"/>
        </w:rPr>
        <w:br/>
        <w:t>6) Improvement, Correction, Incentives, and Sanctions</w:t>
      </w:r>
      <w:r w:rsidRPr="00781112">
        <w:rPr>
          <w:rFonts w:cs="Arial"/>
          <w:color w:val="000000" w:themeColor="text1"/>
          <w:szCs w:val="16"/>
        </w:rPr>
        <w:br/>
        <w:t>7) Targeted Technical Assistance</w:t>
      </w:r>
      <w:r w:rsidRPr="00781112">
        <w:rPr>
          <w:rFonts w:cs="Arial"/>
          <w:color w:val="000000" w:themeColor="text1"/>
          <w:szCs w:val="16"/>
        </w:rPr>
        <w:br/>
        <w:t>8) Fiscal Management</w:t>
      </w:r>
      <w:r w:rsidRPr="00781112">
        <w:rPr>
          <w:rFonts w:cs="Arial"/>
          <w:color w:val="000000" w:themeColor="text1"/>
          <w:szCs w:val="16"/>
        </w:rPr>
        <w:br/>
      </w:r>
      <w:r w:rsidRPr="00781112">
        <w:rPr>
          <w:rFonts w:cs="Arial"/>
          <w:color w:val="000000" w:themeColor="text1"/>
          <w:szCs w:val="16"/>
        </w:rPr>
        <w:br/>
        <w:t xml:space="preserve">Each component, while separate in its description, connects to form a comprehensive system. Through the triangulation of these activities the OEC complies with federal regulations. Descriptions of the components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North Carolina Department of Public Instruction Office of Exceptional Children General Supervision Position Paper that is posted on the division website (https://www.dpi.nc.gov/media/11981/open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For the purposes of this report, North Carolina has combined the information about its Technical Assistance/Support and Professional Development Systems. The OEC organized its infrastructure to provide technical assistance/support and professional development to Public School Units (PSUs) in </w:t>
      </w:r>
      <w:proofErr w:type="gramStart"/>
      <w:r w:rsidRPr="00781112">
        <w:rPr>
          <w:rFonts w:cs="Arial"/>
          <w:color w:val="000000" w:themeColor="text1"/>
          <w:szCs w:val="16"/>
        </w:rPr>
        <w:t>various ways</w:t>
      </w:r>
      <w:proofErr w:type="gramEnd"/>
      <w:r w:rsidRPr="00781112">
        <w:rPr>
          <w:rFonts w:cs="Arial"/>
          <w:color w:val="000000" w:themeColor="text1"/>
          <w:szCs w:val="16"/>
        </w:rPr>
        <w:t xml:space="preserve"> through multiple teams, committees, groups, and individuals. Certain technical assistance (e.g. responding with information to requests by phone, bi-monthly EC Directors' webinars or on-site at Regional EC Directors quarterly meetings) and professional development (Annual EC Directors' Institutes, Annual Conference on Exceptional Children for more than 3,000 participants, multi-day and weeklong Summer Institutes) and other topical institutes have been consistently provided by the OEC over the years. </w:t>
      </w:r>
      <w:r w:rsidRPr="00781112">
        <w:rPr>
          <w:rFonts w:cs="Arial"/>
          <w:color w:val="000000" w:themeColor="text1"/>
          <w:szCs w:val="16"/>
        </w:rPr>
        <w:br/>
      </w:r>
      <w:r w:rsidRPr="00781112">
        <w:rPr>
          <w:rFonts w:cs="Arial"/>
          <w:color w:val="000000" w:themeColor="text1"/>
          <w:szCs w:val="16"/>
        </w:rPr>
        <w:br/>
        <w:t>When the OEC developed its Strategic Vision, it reviewed its processes for technical assistance and professional development. As a result, some specific needs were identified, including a need for:</w:t>
      </w:r>
      <w:r w:rsidRPr="00781112">
        <w:rPr>
          <w:rFonts w:cs="Arial"/>
          <w:color w:val="000000" w:themeColor="text1"/>
          <w:szCs w:val="16"/>
        </w:rPr>
        <w:br/>
        <w:t>- Common processes for TA requests, follow up, and impact assessment</w:t>
      </w:r>
      <w:r w:rsidRPr="00781112">
        <w:rPr>
          <w:rFonts w:cs="Arial"/>
          <w:color w:val="000000" w:themeColor="text1"/>
          <w:szCs w:val="16"/>
        </w:rPr>
        <w:br/>
        <w:t>- Refinement of systems to use/align tiered systems of support</w:t>
      </w:r>
      <w:r w:rsidRPr="00781112">
        <w:rPr>
          <w:rFonts w:cs="Arial"/>
          <w:color w:val="000000" w:themeColor="text1"/>
          <w:szCs w:val="16"/>
        </w:rPr>
        <w:br/>
        <w:t>- Fidelity measures for all initiatives</w:t>
      </w:r>
      <w:r w:rsidRPr="00781112">
        <w:rPr>
          <w:rFonts w:cs="Arial"/>
          <w:color w:val="000000" w:themeColor="text1"/>
          <w:szCs w:val="16"/>
        </w:rPr>
        <w:br/>
        <w:t>- Stronger alignment with grade-level standards</w:t>
      </w:r>
      <w:r w:rsidRPr="00781112">
        <w:rPr>
          <w:rFonts w:cs="Arial"/>
          <w:color w:val="000000" w:themeColor="text1"/>
          <w:szCs w:val="16"/>
        </w:rPr>
        <w:br/>
        <w:t>- Additional support for developing and providing Specially Designed Instruction and progress monitoring for training, implementation, fidelity checks and evaluation of effectiveness</w:t>
      </w:r>
      <w:r w:rsidRPr="00781112">
        <w:rPr>
          <w:rFonts w:cs="Arial"/>
          <w:color w:val="000000" w:themeColor="text1"/>
          <w:szCs w:val="16"/>
        </w:rPr>
        <w:br/>
        <w:t>- Professional Development aligned to identified state and local priorities</w:t>
      </w:r>
      <w:r w:rsidRPr="00781112">
        <w:rPr>
          <w:rFonts w:cs="Arial"/>
          <w:color w:val="000000" w:themeColor="text1"/>
          <w:szCs w:val="16"/>
        </w:rPr>
        <w:br/>
        <w:t>- Program implementation, including TA, coaching, and program evaluation</w:t>
      </w:r>
      <w:r w:rsidRPr="00781112">
        <w:rPr>
          <w:rFonts w:cs="Arial"/>
          <w:color w:val="000000" w:themeColor="text1"/>
          <w:szCs w:val="16"/>
        </w:rPr>
        <w:br/>
        <w:t>- Relationship to State Board of Education Goals and the OEC Strategic Vision</w:t>
      </w:r>
      <w:r w:rsidRPr="00781112">
        <w:rPr>
          <w:rFonts w:cs="Arial"/>
          <w:color w:val="000000" w:themeColor="text1"/>
          <w:szCs w:val="16"/>
        </w:rPr>
        <w:br/>
        <w:t>- Use of SiMR-Self Assessment (SiMR-SA) data to drive universal, tailored, and customized support</w:t>
      </w:r>
      <w:r w:rsidRPr="00781112">
        <w:rPr>
          <w:rFonts w:cs="Arial"/>
          <w:color w:val="000000" w:themeColor="text1"/>
          <w:szCs w:val="16"/>
        </w:rPr>
        <w:br/>
      </w:r>
      <w:r w:rsidRPr="00781112">
        <w:rPr>
          <w:rFonts w:cs="Arial"/>
          <w:color w:val="000000" w:themeColor="text1"/>
          <w:szCs w:val="16"/>
        </w:rPr>
        <w:br/>
        <w:t>The OEC maintains a tiered system of technical assistance and professional development by including universal, tailored, and customized support for PSUs. With a clearly articulated and understood definition of universal supports to PSUs, the OEC can effectively and sustainably leverage the existing support system to the greatest extent possible.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revised SiMR-SA process places an emphasis on data-driven decision making, and provides information that is both useful to PSUs in supporting their own improvement and providing the OEC the information needed to provide more customized support and identify statewide trends/needs for technical assistance . The SiMR Self-Assessment process does not replace required monitoring activities under General Supervision; rather, it is complementary and non-evaluative by design to support PSUs in reflecting on their strengths and needs. Through the North Carolina Department of Public Instruction’s (NCDPI) partnership with the National Implementation Research Network (NIRN) and the State Implementation and Scaling-up of Evidence-based Practices Center (SISEP), there was an emphasis on ensuring that implementation science informed the work of the entire agency. This included alignment of any new work with the OEC strategic plan and other agency priorities.</w:t>
      </w:r>
      <w:r w:rsidRPr="00781112">
        <w:rPr>
          <w:rFonts w:cs="Arial"/>
          <w:color w:val="000000" w:themeColor="text1"/>
          <w:szCs w:val="16"/>
        </w:rPr>
        <w:br/>
        <w:t xml:space="preserve">The SiMR-SA process provides more accessible and actionable data to PSUs; a tool for reviewing and assessing current practice; and a structure for problem identification, priority setting, solution identification and selection, improvement planning, and installation. This information describing how a PSU is working to implement evidence-based practices facilitates the OEC’s identification of the specific types and levels of support an PSU requires. Information gleaned from OEC reviews of the SiMR-SA data and improvement activities selected by the PSUs will drive how the OEC allocates time and resources to support PSUs through technical assistance and professional development. With the revised SiMR-SA, the OEC has been more systematic in structuring a continuum of support for PSUs -- providing universal support to all PSUs and customized support to those PSU with student outcome data that demonstrates more intensive needs. Comprehensive professional development (e.g., training and coaching) and technical assistance at the intensity level needed to address the PSUs compliance and/or implementation needs will </w:t>
      </w:r>
      <w:proofErr w:type="gramStart"/>
      <w:r w:rsidRPr="00781112">
        <w:rPr>
          <w:rFonts w:cs="Arial"/>
          <w:color w:val="000000" w:themeColor="text1"/>
          <w:szCs w:val="16"/>
        </w:rPr>
        <w:t>ultimately improve</w:t>
      </w:r>
      <w:proofErr w:type="gramEnd"/>
      <w:r w:rsidRPr="00781112">
        <w:rPr>
          <w:rFonts w:cs="Arial"/>
          <w:color w:val="000000" w:themeColor="text1"/>
          <w:szCs w:val="16"/>
        </w:rPr>
        <w:t xml:space="preserve"> outcomes for students with disabilities. With the implementation of the SiMR-SA process, the OEC will continue to use the results to drive support for each PSU.</w:t>
      </w:r>
      <w:r w:rsidRPr="00781112">
        <w:rPr>
          <w:rFonts w:cs="Arial"/>
          <w:color w:val="000000" w:themeColor="text1"/>
          <w:szCs w:val="16"/>
        </w:rPr>
        <w:br/>
      </w:r>
      <w:r w:rsidRPr="00781112">
        <w:rPr>
          <w:rFonts w:cs="Arial"/>
          <w:color w:val="000000" w:themeColor="text1"/>
          <w:szCs w:val="16"/>
        </w:rPr>
        <w:br/>
        <w:t>The OEC provides universal and customized support through regional staff and teaming structures. The OEC expects ongoing system refinements to result in improved provision of services for PSUs, strengthened systems of support for students and families, and improved outcomes for students with disabilities.</w:t>
      </w:r>
      <w:r w:rsidRPr="00781112">
        <w:rPr>
          <w:rFonts w:cs="Arial"/>
          <w:color w:val="000000" w:themeColor="text1"/>
          <w:szCs w:val="16"/>
        </w:rPr>
        <w:br/>
      </w:r>
      <w:r w:rsidRPr="00781112">
        <w:rPr>
          <w:rFonts w:cs="Arial"/>
          <w:color w:val="000000" w:themeColor="text1"/>
          <w:szCs w:val="16"/>
        </w:rPr>
        <w:br/>
        <w:t>(1) the technical assistance sources from which the State received assistance; and (2) the actions the State took as a result of that technical assistance</w:t>
      </w:r>
      <w:r w:rsidRPr="00781112">
        <w:rPr>
          <w:rFonts w:cs="Arial"/>
          <w:color w:val="000000" w:themeColor="text1"/>
          <w:szCs w:val="16"/>
        </w:rPr>
        <w:br/>
      </w:r>
      <w:r w:rsidRPr="00781112">
        <w:rPr>
          <w:rFonts w:cs="Arial"/>
          <w:color w:val="000000" w:themeColor="text1"/>
          <w:szCs w:val="16"/>
        </w:rPr>
        <w:br/>
        <w:t xml:space="preserve">In an effort to improve data quality in North Carolina, the OEC consultants participated with the IDEA Data Center (IDC) to take part in the State Performance Plan/Annual Performance Report (SPP/APR) Data Quality Peer Group (DQPG), the IDC Cross-Role Data Quality Peer Group, the IDC Data Manager Data Quality Peer Group, the annual IDC Interactive Institute in Nashville, TN, the IDC SPP/APR Summit in Lexington, KY, as well as participated in monthly Special Education Data Manager Accountability Group (SEDMAG) calls. OEC Consultants collaborated with the Center for Learning and Development - SRI Education on the Child Outcomes Local Data Use Cohort Cross-State Collaborative to improve outcomes for preschool students in NC. OEC Special Programs and Data staff participated and were copresenters at the 2022 Improving Data, Improving Outcomes (IDIO) Conference as part of the 619 Data Linking Cohort led by DaSY. As a result of participating in these collaboratives, North Carolina has increased technical assistance to PSUs around Indicators 11, 12, 8 and 14 and has seen positive outcomes from the additional support specifically in Indicators 11 and 12 in our increased state rate and in Indicators 8 and 14 in the engagement of districts in the new TA opportunities.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indicators are still critically in need of support from the decline that NC experienced with COVID-19, however we are optimistic about the gains in this reporting year. </w:t>
      </w:r>
      <w:r w:rsidRPr="00781112">
        <w:rPr>
          <w:rFonts w:cs="Arial"/>
          <w:color w:val="000000" w:themeColor="text1"/>
          <w:szCs w:val="16"/>
        </w:rPr>
        <w:br/>
      </w:r>
      <w:r w:rsidRPr="00781112">
        <w:rPr>
          <w:rFonts w:cs="Arial"/>
          <w:color w:val="000000" w:themeColor="text1"/>
          <w:szCs w:val="16"/>
        </w:rPr>
        <w:br/>
        <w:t xml:space="preserve">In addition, OEC Consultants participated with the National Center for Systemic Improvement (NCSI) Cross-State Learning Collaboratives (CSLC). North Carolina also included NCSI and IDC staff on external stakeholder meetings, as well as NC State Systemic Improvement Plan (SSIP) work groups and requested feedback and support around the SPP/APR. Actions taken as a result of this technical assistance include: refinements to Indicator 17 LEA/SiMR Self-Assessment phases and activities, including increased support to LEAs related to data access, analysis, and sharing with local stakeholders; continuous improvement of monitoring protocols for Indicators 4, 9, 10, and significant disproportionality; and, significantly enhanced collaboration with general education offices within NCDPI, including Accountability, Academic Standards, Regional Support, and the Office of Early Learning, which has modeled and supported local general and special education collaborations. </w:t>
      </w:r>
      <w:r w:rsidRPr="00781112">
        <w:rPr>
          <w:rFonts w:cs="Arial"/>
          <w:color w:val="000000" w:themeColor="text1"/>
          <w:szCs w:val="16"/>
        </w:rPr>
        <w:br/>
      </w:r>
      <w:r w:rsidRPr="00781112">
        <w:rPr>
          <w:rFonts w:cs="Arial"/>
          <w:color w:val="000000" w:themeColor="text1"/>
          <w:szCs w:val="16"/>
        </w:rPr>
        <w:br/>
        <w:t xml:space="preserve">Participation in the NCSI Results Based Accountability Collaborative has contributed to the analysis of the State’s General Supervision System with efforts taken to streamline program and fiscal monitoring activities. </w:t>
      </w:r>
      <w:r w:rsidRPr="00781112">
        <w:rPr>
          <w:rFonts w:cs="Arial"/>
          <w:color w:val="000000" w:themeColor="text1"/>
          <w:szCs w:val="16"/>
        </w:rPr>
        <w:br/>
      </w:r>
      <w:r w:rsidRPr="00781112">
        <w:rPr>
          <w:rFonts w:cs="Arial"/>
          <w:color w:val="000000" w:themeColor="text1"/>
          <w:szCs w:val="16"/>
        </w:rPr>
        <w:br/>
        <w:t xml:space="preserve">North Carolina has also participated in activities facilitated by CADRE to review and revise its dispute resolution system using the self-assessment provided by the Office of Special Education Programs. Efforts have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to ensure dispute resolution mechanisms continue to be accessible and internal procedures for investigating state complaints are clear and concise.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Please see the Technical Assistance System Section for North Carolina's combined information about its technical assistance/support and professional development systems.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 xml:space="preserve">In FY2021, the OEC continued to engage stakeholders in the review and revision of the State Systemic Improvement Plan (SSIP), data analysis and target setting around the new State Identified Measurable Result (SiMR). OEC consultants met with both internal and external stakeholders twice monthly to review progress on Indicators, specifically Indicator 4, 9 and 10 and the new collaborative review process as well as engage in resource gathering, training on data </w:t>
      </w:r>
      <w:proofErr w:type="gramStart"/>
      <w:r w:rsidRPr="00781112">
        <w:rPr>
          <w:color w:val="000000" w:themeColor="text1"/>
          <w:szCs w:val="16"/>
        </w:rPr>
        <w:t>analysis</w:t>
      </w:r>
      <w:proofErr w:type="gramEnd"/>
      <w:r w:rsidRPr="00781112">
        <w:rPr>
          <w:color w:val="000000" w:themeColor="text1"/>
          <w:szCs w:val="16"/>
        </w:rPr>
        <w:t xml:space="preserve"> and vetting of tools in preparation for the new SiMR Self Assessment. The external SSIP team includes representation from across the agency, The Council on Educational Services for Exceptional Children, PSU EC Directors, Coordinators and administrators, Technical Assistance partners and Parent Advocacy groups.</w:t>
      </w:r>
      <w:r w:rsidRPr="00781112">
        <w:rPr>
          <w:color w:val="000000" w:themeColor="text1"/>
          <w:szCs w:val="16"/>
        </w:rPr>
        <w:br/>
      </w:r>
      <w:r w:rsidRPr="00781112">
        <w:rPr>
          <w:color w:val="000000" w:themeColor="text1"/>
          <w:szCs w:val="16"/>
        </w:rPr>
        <w:br/>
        <w:t xml:space="preserve">The NCDPI OEC staff engaged parents from the Council on Educational Services for Exceptional Children, the State Advisory Panel and Exceptional Children Assistance Center (ECAC) by sharing the invitations to monthly stakeholder meetings. The meeting invitations </w:t>
      </w:r>
      <w:proofErr w:type="gramStart"/>
      <w:r w:rsidRPr="00781112">
        <w:rPr>
          <w:color w:val="000000" w:themeColor="text1"/>
          <w:szCs w:val="16"/>
        </w:rPr>
        <w:t>were also sent</w:t>
      </w:r>
      <w:proofErr w:type="gramEnd"/>
      <w:r w:rsidRPr="00781112">
        <w:rPr>
          <w:color w:val="000000" w:themeColor="text1"/>
          <w:szCs w:val="16"/>
        </w:rPr>
        <w:t xml:space="preserve"> on the monthly parent listserv from the OEC parent liaison.</w:t>
      </w:r>
      <w:r w:rsidRPr="00781112">
        <w:rPr>
          <w:color w:val="000000" w:themeColor="text1"/>
          <w:szCs w:val="16"/>
        </w:rPr>
        <w:br/>
      </w:r>
      <w:r w:rsidRPr="00781112">
        <w:rPr>
          <w:color w:val="000000" w:themeColor="text1"/>
          <w:szCs w:val="16"/>
        </w:rPr>
        <w:br/>
        <w:t xml:space="preserve">Stakeholder Engagement in Selecting New SiMR Targets and Improvement Strategies </w:t>
      </w:r>
      <w:r w:rsidRPr="00781112">
        <w:rPr>
          <w:color w:val="000000" w:themeColor="text1"/>
          <w:szCs w:val="16"/>
        </w:rPr>
        <w:br/>
      </w:r>
      <w:r w:rsidRPr="00781112">
        <w:rPr>
          <w:color w:val="000000" w:themeColor="text1"/>
          <w:szCs w:val="16"/>
        </w:rPr>
        <w:br/>
        <w:t xml:space="preserve">North Carolina started a new 5-year cycle of our SPP/APR in February 2022. The OEC partnered with stakeholders--especially parents of students with disabilities--to set the new indicator targets and write our new plan. Further, </w:t>
      </w:r>
      <w:proofErr w:type="gramStart"/>
      <w:r w:rsidRPr="00781112">
        <w:rPr>
          <w:color w:val="000000" w:themeColor="text1"/>
          <w:szCs w:val="16"/>
        </w:rPr>
        <w:t>several</w:t>
      </w:r>
      <w:proofErr w:type="gramEnd"/>
      <w:r w:rsidRPr="00781112">
        <w:rPr>
          <w:color w:val="000000" w:themeColor="text1"/>
          <w:szCs w:val="16"/>
        </w:rPr>
        <w:t xml:space="preserve"> parents of SWD are contributing members on the OEC’s three SPP work groups: Data Literacy, Research-informed Practices, and Stakeholder and Family Engagement. </w:t>
      </w:r>
      <w:r w:rsidRPr="00781112">
        <w:rPr>
          <w:color w:val="000000" w:themeColor="text1"/>
          <w:szCs w:val="16"/>
        </w:rPr>
        <w:br/>
      </w:r>
      <w:r w:rsidRPr="00781112">
        <w:rPr>
          <w:color w:val="000000" w:themeColor="text1"/>
          <w:szCs w:val="16"/>
        </w:rPr>
        <w:br/>
      </w:r>
      <w:r w:rsidRPr="00781112">
        <w:rPr>
          <w:color w:val="000000" w:themeColor="text1"/>
          <w:szCs w:val="16"/>
        </w:rPr>
        <w:br/>
        <w:t xml:space="preserve">Family Support representatives included information about the SPP/APR Stakeholder meetings in the </w:t>
      </w:r>
      <w:proofErr w:type="gramStart"/>
      <w:r w:rsidRPr="00781112">
        <w:rPr>
          <w:color w:val="000000" w:themeColor="text1"/>
          <w:szCs w:val="16"/>
        </w:rPr>
        <w:t>Parent to Parent</w:t>
      </w:r>
      <w:proofErr w:type="gramEnd"/>
      <w:r w:rsidRPr="00781112">
        <w:rPr>
          <w:color w:val="000000" w:themeColor="text1"/>
          <w:szCs w:val="16"/>
        </w:rPr>
        <w:t xml:space="preserve"> Family Support Network of the High Country’s newsletter in our section on “Your voice matters”. They also emailed to our total list Services and added it to their Facebook page and sent out to Family Support Network (FSN) of NC, FSN of Central Carolina, FSN of Eastern NC, Inc., FSN of Greater Forsyth, FSN of Northeastern NC, FSN of Region A, FSN of Southern Piedmont, FSN of the Greater Triangle, FSN of Trusted Parents, FSN of Western NC and FSN/HOPE so that they each could send out to their families.</w:t>
      </w:r>
      <w:r w:rsidRPr="00781112">
        <w:rPr>
          <w:color w:val="000000" w:themeColor="text1"/>
          <w:szCs w:val="16"/>
        </w:rPr>
        <w:br/>
      </w:r>
      <w:r w:rsidRPr="00781112">
        <w:rPr>
          <w:color w:val="000000" w:themeColor="text1"/>
          <w:szCs w:val="16"/>
        </w:rPr>
        <w:br/>
        <w:t>Parent stakeholders who attended meetings participated in all activities, including reviewing the historical data, considering baselines (where applicable) and targets and providing feedback on improvement strategies. Parents tended to be the more vocal, interested stakeholders and allowed for rich discussion about North Carolina data.</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To engage diverse groups of parents, each web meeting offered closed captioning in any language, Spanish speaking translators, as well as American Sign Language Interpreters. Staff took time to walk through and explain each topic addressed, provide trend data in </w:t>
      </w:r>
      <w:proofErr w:type="gramStart"/>
      <w:r w:rsidRPr="00781112">
        <w:rPr>
          <w:color w:val="000000" w:themeColor="text1"/>
          <w:szCs w:val="16"/>
        </w:rPr>
        <w:t>easy to read</w:t>
      </w:r>
      <w:proofErr w:type="gramEnd"/>
      <w:r w:rsidRPr="00781112">
        <w:rPr>
          <w:color w:val="000000" w:themeColor="text1"/>
          <w:szCs w:val="16"/>
        </w:rPr>
        <w:t xml:space="preserve"> charts and allow time and activities for discussion. This allowed stakeholders to understand the data and see where North Carolina has been and create a strong plan for where we want to go in the future with the new SiMR. Time was made available at each meeting to encourage discussion and verbal feedback on outcomes for students with disabilities and parent stakeholders reported in evaluations of the meetings that they felt </w:t>
      </w:r>
      <w:proofErr w:type="gramStart"/>
      <w:r w:rsidRPr="00781112">
        <w:rPr>
          <w:color w:val="000000" w:themeColor="text1"/>
          <w:szCs w:val="16"/>
        </w:rPr>
        <w:t>included</w:t>
      </w:r>
      <w:proofErr w:type="gramEnd"/>
      <w:r w:rsidRPr="00781112">
        <w:rPr>
          <w:color w:val="000000" w:themeColor="text1"/>
          <w:szCs w:val="16"/>
        </w:rPr>
        <w:t xml:space="preserve"> and their voices were heard when providing feedback during the sessions.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OEC maintains ongoing EC Director communications in the form of bi-monthly webinars, weekly updates in the form of an emailed newsletter, Directors Advisory Council meetings, and quarterly regional EC Director/Charter Coordinator meetings that keep local EC leaders engages  throughout the year and strongly encourages all PSU leaders to share these communications with their district and school leaders. The OEC also engaged our state Council on Educational Services for Exceptional Children (advises the NC State Board of Education on unmet needs of SWD and in development/implementation of policies related to coordination of services for SWD) and Parent Advisory Council in the analysis and development of improvement strategies and evaluating progress.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NCDPI OEC staff created a website to share all timelines, meeting information, data, improvement strategies and stakeholder feedback results with the public. This website is updated at least monthly with </w:t>
      </w:r>
      <w:proofErr w:type="gramStart"/>
      <w:r w:rsidRPr="00781112">
        <w:rPr>
          <w:color w:val="000000" w:themeColor="text1"/>
          <w:szCs w:val="16"/>
        </w:rPr>
        <w:t>new information</w:t>
      </w:r>
      <w:proofErr w:type="gramEnd"/>
      <w:r w:rsidRPr="00781112">
        <w:rPr>
          <w:color w:val="000000" w:themeColor="text1"/>
          <w:szCs w:val="16"/>
        </w:rPr>
        <w:t xml:space="preserve"> as meetings are held and data and resources are gathered. The website can </w:t>
      </w:r>
      <w:proofErr w:type="gramStart"/>
      <w:r w:rsidRPr="00781112">
        <w:rPr>
          <w:color w:val="000000" w:themeColor="text1"/>
          <w:szCs w:val="16"/>
        </w:rPr>
        <w:t>be accessed</w:t>
      </w:r>
      <w:proofErr w:type="gramEnd"/>
      <w:r w:rsidRPr="00781112">
        <w:rPr>
          <w:color w:val="000000" w:themeColor="text1"/>
          <w:szCs w:val="16"/>
        </w:rPr>
        <w:t xml:space="preserve"> at (https://www.smore.com/kt1ru). In addition to the website, OEC staff created and shared data dashboards to assist PSUs in their data analysis for the SiMR Self-Assessment.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North Carolina Department of Public Instruction (NCDPI), OEC reported to the public on the progress and/or slippage in meeting the measurable and rigorous targets of its SPP/APR. The SPP/APR </w:t>
      </w:r>
      <w:proofErr w:type="gramStart"/>
      <w:r w:rsidRPr="00781112">
        <w:rPr>
          <w:rFonts w:cs="Arial"/>
          <w:color w:val="000000" w:themeColor="text1"/>
          <w:szCs w:val="16"/>
        </w:rPr>
        <w:t>was posted</w:t>
      </w:r>
      <w:proofErr w:type="gramEnd"/>
      <w:r w:rsidRPr="00781112">
        <w:rPr>
          <w:rFonts w:cs="Arial"/>
          <w:color w:val="000000" w:themeColor="text1"/>
          <w:szCs w:val="16"/>
        </w:rPr>
        <w:t xml:space="preserve"> on the NCDPI OEC web page and distributed to the PSUs. In addition, it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available to the media. The Office of Exceptional Children  also reported on the performance of each PSU on the targets in the SPP/APR by June 1, 2022. The reports were posted on the Office’s website, and a link to the reports was provided to the </w:t>
      </w:r>
      <w:proofErr w:type="gramStart"/>
      <w:r w:rsidRPr="00781112">
        <w:rPr>
          <w:rFonts w:cs="Arial"/>
          <w:color w:val="000000" w:themeColor="text1"/>
          <w:szCs w:val="16"/>
        </w:rPr>
        <w:t>PSUs, and</w:t>
      </w:r>
      <w:proofErr w:type="gramEnd"/>
      <w:r w:rsidRPr="00781112">
        <w:rPr>
          <w:rFonts w:cs="Arial"/>
          <w:color w:val="000000" w:themeColor="text1"/>
          <w:szCs w:val="16"/>
        </w:rPr>
        <w:t xml:space="preserve"> distributed to local and regional media.</w:t>
      </w:r>
      <w:r w:rsidRPr="00781112">
        <w:rPr>
          <w:rFonts w:cs="Arial"/>
          <w:color w:val="000000" w:themeColor="text1"/>
          <w:szCs w:val="16"/>
        </w:rPr>
        <w:br/>
      </w:r>
      <w:r w:rsidRPr="00781112">
        <w:rPr>
          <w:rFonts w:cs="Arial"/>
          <w:color w:val="000000" w:themeColor="text1"/>
          <w:szCs w:val="16"/>
        </w:rPr>
        <w:br/>
        <w:t>(https://bi.nc.gov/t/DPI-ExceptionalChildren/views/ECAnnualReport_IndicatorsDashboard_LEADeterminations/ReportDashboard?:showAppBanner=false&amp;:display_count=n&amp;:showVizHome=n&amp;:origin=viz_share_link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br/>
        <w:t>OSEP issued a monitoring report to the State on May 14, 2021. OSEP is reviewing documents the State has already submitted and will review any additional documents the State wishes to submit that address the outstanding findings. Longstanding noncompliance (from unresolved findings issued by OSEP during and prior to FFY 2020) may be a factor in the Department’s 2024 determinations.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as a result of that technical assistance.</w:t>
      </w:r>
      <w:r w:rsidRPr="00781112">
        <w:rPr>
          <w:rFonts w:cs="Arial"/>
          <w:color w:val="000000" w:themeColor="text1"/>
          <w:szCs w:val="16"/>
        </w:rPr>
        <w:br/>
      </w:r>
      <w:r w:rsidRPr="00781112">
        <w:rPr>
          <w:rFonts w:cs="Arial"/>
          <w:color w:val="000000" w:themeColor="text1"/>
          <w:szCs w:val="16"/>
        </w:rPr>
        <w:br/>
        <w:t>OSEP notes that one or more of the Introduction attachment(s)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508A1011" w:rsidR="005E59DB" w:rsidRPr="00781112" w:rsidRDefault="005E59DB" w:rsidP="00B65C2C">
      <w:pPr>
        <w:rPr>
          <w:b/>
          <w:color w:val="000000" w:themeColor="text1"/>
        </w:rPr>
      </w:pPr>
      <w:r w:rsidRPr="00781112">
        <w:rPr>
          <w:b/>
          <w:color w:val="000000" w:themeColor="text1"/>
        </w:rPr>
        <w:t>Historical Data</w:t>
      </w:r>
      <w:r w:rsidR="006D0325">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77.08%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77.02%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68.90%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70.32%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69.06%</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72.51%</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83.92%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78.27%</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79.52%</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80.77%</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82.02%</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83.27%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9,172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628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1,737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9,172</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11,586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83.92%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78.27%</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79.16%</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All public high school students must meet minimum state graduation requirements to earn a diploma and graduate. These graduation requirements are considered the Future-Ready Course of Study (FRC) requirements and prepare students for post-secondary success.</w:t>
      </w:r>
      <w:r w:rsidRPr="00781112">
        <w:rPr>
          <w:rFonts w:cs="Arial"/>
          <w:color w:val="000000" w:themeColor="text1"/>
          <w:szCs w:val="16"/>
        </w:rPr>
        <w:br/>
      </w:r>
      <w:r w:rsidRPr="00781112">
        <w:rPr>
          <w:rFonts w:cs="Arial"/>
          <w:color w:val="000000" w:themeColor="text1"/>
          <w:szCs w:val="16"/>
        </w:rPr>
        <w:br/>
        <w:t xml:space="preserve">All students must earn at least </w:t>
      </w:r>
      <w:proofErr w:type="gramStart"/>
      <w:r w:rsidRPr="00781112">
        <w:rPr>
          <w:rFonts w:cs="Arial"/>
          <w:color w:val="000000" w:themeColor="text1"/>
          <w:szCs w:val="16"/>
        </w:rPr>
        <w:t>22</w:t>
      </w:r>
      <w:proofErr w:type="gramEnd"/>
      <w:r w:rsidRPr="00781112">
        <w:rPr>
          <w:rFonts w:cs="Arial"/>
          <w:color w:val="000000" w:themeColor="text1"/>
          <w:szCs w:val="16"/>
        </w:rPr>
        <w:t xml:space="preserve"> credits in the FRC to graduate from high school. The FRC graduation requirements ensure that a student is prepared for life and whatever pathway they choose after they graduate, workplace, colleges/</w:t>
      </w:r>
      <w:proofErr w:type="gramStart"/>
      <w:r w:rsidRPr="00781112">
        <w:rPr>
          <w:rFonts w:cs="Arial"/>
          <w:color w:val="000000" w:themeColor="text1"/>
          <w:szCs w:val="16"/>
        </w:rPr>
        <w:t>university</w:t>
      </w:r>
      <w:proofErr w:type="gramEnd"/>
      <w:r w:rsidRPr="00781112">
        <w:rPr>
          <w:rFonts w:cs="Arial"/>
          <w:color w:val="000000" w:themeColor="text1"/>
          <w:szCs w:val="16"/>
        </w:rPr>
        <w:t xml:space="preserve"> or the military. Below are the specific course requirements.</w:t>
      </w:r>
      <w:r w:rsidRPr="00781112">
        <w:rPr>
          <w:rFonts w:cs="Arial"/>
          <w:color w:val="000000" w:themeColor="text1"/>
          <w:szCs w:val="16"/>
        </w:rPr>
        <w:br/>
      </w:r>
      <w:r w:rsidRPr="00781112">
        <w:rPr>
          <w:rFonts w:cs="Arial"/>
          <w:color w:val="000000" w:themeColor="text1"/>
          <w:szCs w:val="16"/>
        </w:rPr>
        <w:br/>
        <w:t xml:space="preserve">The Occupational Course of Study is available for those students with disabilities who </w:t>
      </w:r>
      <w:proofErr w:type="gramStart"/>
      <w:r w:rsidRPr="00781112">
        <w:rPr>
          <w:rFonts w:cs="Arial"/>
          <w:color w:val="000000" w:themeColor="text1"/>
          <w:szCs w:val="16"/>
        </w:rPr>
        <w:t>are specifically identified</w:t>
      </w:r>
      <w:proofErr w:type="gramEnd"/>
      <w:r w:rsidRPr="00781112">
        <w:rPr>
          <w:rFonts w:cs="Arial"/>
          <w:color w:val="000000" w:themeColor="text1"/>
          <w:szCs w:val="16"/>
        </w:rPr>
        <w:t xml:space="preserve"> for the program and has adapted course requirements and the same credit requirements as FRC. Below are the specific course requirements.</w:t>
      </w:r>
      <w:r w:rsidRPr="00781112">
        <w:rPr>
          <w:rFonts w:cs="Arial"/>
          <w:color w:val="000000" w:themeColor="text1"/>
          <w:szCs w:val="16"/>
        </w:rPr>
        <w:br/>
      </w:r>
      <w:r w:rsidRPr="00781112">
        <w:rPr>
          <w:rFonts w:cs="Arial"/>
          <w:color w:val="000000" w:themeColor="text1"/>
          <w:szCs w:val="16"/>
        </w:rPr>
        <w:br/>
        <w:t xml:space="preserve">Although the state requires a designated number of courses and credits for students to graduate high school, local school districts and other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may require additional courses and credits to graduate. Families and students </w:t>
      </w:r>
      <w:proofErr w:type="gramStart"/>
      <w:r w:rsidRPr="00781112">
        <w:rPr>
          <w:rFonts w:cs="Arial"/>
          <w:color w:val="000000" w:themeColor="text1"/>
          <w:szCs w:val="16"/>
        </w:rPr>
        <w:t>are strongly encouraged</w:t>
      </w:r>
      <w:proofErr w:type="gramEnd"/>
      <w:r w:rsidRPr="00781112">
        <w:rPr>
          <w:rFonts w:cs="Arial"/>
          <w:color w:val="000000" w:themeColor="text1"/>
          <w:szCs w:val="16"/>
        </w:rPr>
        <w:t xml:space="preserve"> to check with their high school to determine if their district and/or school have additional requirements for students to earn a high school diploma. For more information on graduation in North Carolina see the following link. (https://www.dpi.nc.gov/districts-schools/high-school-graduation-requirements)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In calculating data and setting baseline and targets for Indicator 1, NC recognized that graduation for this school year would decrease significantly due to COVID-19 and the governor's order to close schools in March of 2020 and accept grades in the first quarter of the second semester as final. In the FY2020 SPP/APR, NC saw a 4.76% decrease in graduation percentage as students came back to school both in-person and virtual in SY 2020-21.</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 xml:space="preserve">If the State chooses to revise its baseline in the FFY 2021 SPP/APR, the State must ensure that the data in the Historical Data table are consistent with the data in the SPP/APR Data table. Additionally, the State must provide targets through FFY 2025 and ensure that its FFY 2025 target reflects improvement over its baseline data. </w:t>
      </w:r>
    </w:p>
    <w:p w14:paraId="12317A47" w14:textId="75A98BEA" w:rsidR="00A2794A" w:rsidRPr="00781112" w:rsidRDefault="00A2794A" w:rsidP="00CE5723">
      <w:pPr>
        <w:rPr>
          <w:rFonts w:cs="Arial"/>
          <w:color w:val="000000" w:themeColor="text1"/>
          <w:szCs w:val="16"/>
        </w:rPr>
      </w:pPr>
    </w:p>
    <w:p w14:paraId="35188E98" w14:textId="3E6A3809" w:rsidR="000C60E1" w:rsidRPr="00781112" w:rsidRDefault="007639D7" w:rsidP="004369B2">
      <w:pPr>
        <w:rPr>
          <w:b/>
          <w:color w:val="000000" w:themeColor="text1"/>
        </w:rPr>
      </w:pPr>
      <w:r>
        <w:rPr>
          <w:b/>
          <w:color w:val="000000" w:themeColor="text1"/>
        </w:rPr>
        <w:t xml:space="preserve">Response to actions required in FFY 2020 SPP/APR  </w:t>
      </w:r>
    </w:p>
    <w:p w14:paraId="51F58D04" w14:textId="24D8E986" w:rsidR="002D145D" w:rsidRPr="00781112" w:rsidRDefault="002B7490" w:rsidP="00CE5723">
      <w:pPr>
        <w:rPr>
          <w:rFonts w:cs="Arial"/>
          <w:color w:val="000000" w:themeColor="text1"/>
          <w:szCs w:val="16"/>
        </w:rPr>
      </w:pPr>
      <w:r w:rsidRPr="00781112">
        <w:rPr>
          <w:rFonts w:cs="Arial"/>
          <w:color w:val="000000" w:themeColor="text1"/>
          <w:szCs w:val="16"/>
        </w:rPr>
        <w:t xml:space="preserve">NC updated the Baseline year from the FY2020 SPP/APR to 2019 based on the SY 2018-19 data for Indicator 1 during the clarification period. This update </w:t>
      </w:r>
      <w:proofErr w:type="gramStart"/>
      <w:r w:rsidRPr="00781112">
        <w:rPr>
          <w:rFonts w:cs="Arial"/>
          <w:color w:val="000000" w:themeColor="text1"/>
          <w:szCs w:val="16"/>
        </w:rPr>
        <w:t>was accepted</w:t>
      </w:r>
      <w:proofErr w:type="gramEnd"/>
      <w:r w:rsidRPr="00781112">
        <w:rPr>
          <w:rFonts w:cs="Arial"/>
          <w:color w:val="000000" w:themeColor="text1"/>
          <w:szCs w:val="16"/>
        </w:rPr>
        <w:t>.</w:t>
      </w: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8799B41" w:rsidR="00907A35" w:rsidRPr="00781112" w:rsidRDefault="00907A35" w:rsidP="004369B2">
      <w:pPr>
        <w:rPr>
          <w:b/>
          <w:color w:val="000000" w:themeColor="text1"/>
        </w:rPr>
      </w:pPr>
      <w:r w:rsidRPr="00781112">
        <w:rPr>
          <w:b/>
          <w:color w:val="000000" w:themeColor="text1"/>
        </w:rPr>
        <w:t>Historical Data</w:t>
      </w:r>
      <w:r w:rsidR="006D0325">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17.07%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4.07%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3.95%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4.02%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3.73%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11.44%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17.07%</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16.62%</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16.17%</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15.72%</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15.27%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9,172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628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1,737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1,737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11,586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11.44%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17.07%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14.99%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definition for dropout in North Carolina is an individual who: 1) was enrolled in school at some time during the previous school year; and 2) was not enrolled at the beginning of the current school year; and 3) has not graduated from high school or completed a State or district-approved educational program; and 4) does not meet any to the following exclusionary conditions: a) transfer to another public school district, private school, or State or district-approved educational program (including correctional or health facility programs); b) temporary absence due to suspension or school-excused illness; or c) death.</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In calculating data and setting baseline and targets for Indicator 2, NC recognized that drop out for this school year would increase significantly due to COVID-19 and the governor's order to close schools in March of 2020 and accept grades in the first quarter of the second semester as final. From the FY2020 SPP/APR, NC saw a 3.55% increase in dropout percentage as students came back to school both in-person and virtual in SY 2020-21.</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 xml:space="preserve">If the State chooses to revise its baseline in the FFY 2021 SPP/APR, the State must ensure that the data in the Historical Data table are consistent with the data in the SPP/APR Data table. Additionally, the State must provide targets through FFY 2025 and ensure that its FFY 2025 target reflects improvement over its baseline data. </w:t>
      </w:r>
    </w:p>
    <w:p w14:paraId="7896DD52" w14:textId="585814D8" w:rsidR="00DD051F" w:rsidRPr="00781112" w:rsidRDefault="00DD051F" w:rsidP="000A2C83">
      <w:pPr>
        <w:rPr>
          <w:rFonts w:cs="Arial"/>
          <w:color w:val="000000" w:themeColor="text1"/>
          <w:szCs w:val="16"/>
        </w:rPr>
      </w:pPr>
    </w:p>
    <w:p w14:paraId="361FB648" w14:textId="65396FDB" w:rsidR="000A2C83" w:rsidRPr="00781112" w:rsidRDefault="007639D7" w:rsidP="004369B2">
      <w:pPr>
        <w:rPr>
          <w:b/>
          <w:color w:val="000000" w:themeColor="text1"/>
        </w:rPr>
      </w:pPr>
      <w:r>
        <w:rPr>
          <w:b/>
          <w:color w:val="000000" w:themeColor="text1"/>
        </w:rPr>
        <w:t xml:space="preserve">Response to actions required in FFY 2020 SPP/APR  </w:t>
      </w:r>
    </w:p>
    <w:p w14:paraId="79A0B7BA" w14:textId="7EBF4280" w:rsidR="000A2C83" w:rsidRPr="00781112" w:rsidRDefault="002B7490" w:rsidP="000A2C83">
      <w:pPr>
        <w:rPr>
          <w:rFonts w:cs="Arial"/>
          <w:color w:val="000000" w:themeColor="text1"/>
          <w:szCs w:val="16"/>
        </w:rPr>
      </w:pPr>
      <w:r w:rsidRPr="00781112">
        <w:rPr>
          <w:rFonts w:cs="Arial"/>
          <w:color w:val="000000" w:themeColor="text1"/>
          <w:szCs w:val="16"/>
        </w:rPr>
        <w:t xml:space="preserve">NC updated the Baseline year from the FY2020 SPP/APR to 2019 based on the SY 2018-19 data for Indicator 2. The targets </w:t>
      </w:r>
      <w:proofErr w:type="gramStart"/>
      <w:r w:rsidRPr="00781112">
        <w:rPr>
          <w:rFonts w:cs="Arial"/>
          <w:color w:val="000000" w:themeColor="text1"/>
          <w:szCs w:val="16"/>
        </w:rPr>
        <w:t>were calculated</w:t>
      </w:r>
      <w:proofErr w:type="gramEnd"/>
      <w:r w:rsidRPr="00781112">
        <w:rPr>
          <w:rFonts w:cs="Arial"/>
          <w:color w:val="000000" w:themeColor="text1"/>
          <w:szCs w:val="16"/>
        </w:rPr>
        <w:t xml:space="preserve"> based on this data and approved by stakeholders. In initial calculations, data from NC student information system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which </w:t>
      </w:r>
      <w:proofErr w:type="gramStart"/>
      <w:r w:rsidRPr="00781112">
        <w:rPr>
          <w:rFonts w:cs="Arial"/>
          <w:color w:val="000000" w:themeColor="text1"/>
          <w:szCs w:val="16"/>
        </w:rPr>
        <w:t>were</w:t>
      </w:r>
      <w:proofErr w:type="gramEnd"/>
      <w:r w:rsidRPr="00781112">
        <w:rPr>
          <w:rFonts w:cs="Arial"/>
          <w:color w:val="000000" w:themeColor="text1"/>
          <w:szCs w:val="16"/>
        </w:rPr>
        <w:t xml:space="preserve"> slightly off from final EdFacts submitted data. This correction has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using 2018-19 data File Spec 009 from EdFacts. </w:t>
      </w: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99.67%</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98.79%</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96.80%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99.58%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98.55%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97.61%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35077F04" w:rsidR="00480083" w:rsidRPr="00380FBB" w:rsidRDefault="00480083" w:rsidP="00380FBB">
      <w:pPr>
        <w:spacing w:before="0" w:after="200" w:line="276" w:lineRule="auto"/>
        <w:rPr>
          <w:b/>
          <w:color w:val="000000" w:themeColor="text1"/>
        </w:rPr>
      </w:pPr>
      <w:r w:rsidRPr="00781112">
        <w:rPr>
          <w:b/>
          <w:color w:val="000000" w:themeColor="text1"/>
        </w:rPr>
        <w:t xml:space="preserve">Targets: Description of Stakeholder Input </w:t>
      </w:r>
      <w:r w:rsidR="00380FBB">
        <w:rPr>
          <w:b/>
          <w:color w:val="000000" w:themeColor="text1"/>
        </w:rPr>
        <w:br/>
      </w: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16,156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15,778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13,510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6,060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4,753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4,218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8,740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9,284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7,534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1,191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1,299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1,013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16,157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15,776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5,284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5,349</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4,018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1,292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9,448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10,002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2,588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1,183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1,291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820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15,991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16,156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93.07%</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98.98%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15,336</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15,778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88.95%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97.20%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12,765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13,510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88.89%</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94.49%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57CA0E6A" w14:textId="77777777" w:rsidR="00380FBB" w:rsidRPr="00781112" w:rsidRDefault="00380FBB">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15,980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16,157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92.91%</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98.90%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15,311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15,776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88.96%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97.05%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4,700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5,284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96.60%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88.95%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bl>
    <w:p w14:paraId="43597E6B" w14:textId="77777777" w:rsidR="00380FBB" w:rsidRDefault="00380FBB" w:rsidP="00A34633">
      <w:pPr>
        <w:rPr>
          <w:b/>
          <w:color w:val="000000" w:themeColor="text1"/>
        </w:rPr>
      </w:pPr>
    </w:p>
    <w:p w14:paraId="7829628A" w14:textId="7D97CB26" w:rsidR="00A34633" w:rsidRPr="00781112" w:rsidRDefault="00A34633" w:rsidP="00A34633">
      <w:pPr>
        <w:rPr>
          <w:b/>
          <w:color w:val="000000" w:themeColor="text1"/>
        </w:rPr>
      </w:pPr>
      <w:r w:rsidRPr="00781112">
        <w:rPr>
          <w:b/>
          <w:color w:val="000000" w:themeColor="text1"/>
        </w:rPr>
        <w:lastRenderedPageBreak/>
        <w:t>Provide reasons for slippage for Group C, if applicable</w:t>
      </w:r>
    </w:p>
    <w:p w14:paraId="66B62E2F" w14:textId="7DC14B55" w:rsidR="00A34633" w:rsidRPr="00781112" w:rsidRDefault="00A34633" w:rsidP="00A34633">
      <w:pPr>
        <w:rPr>
          <w:rFonts w:cs="Arial"/>
          <w:color w:val="000000" w:themeColor="text1"/>
          <w:szCs w:val="16"/>
        </w:rPr>
      </w:pPr>
      <w:r w:rsidRPr="00781112">
        <w:rPr>
          <w:rFonts w:cs="Arial"/>
          <w:color w:val="000000" w:themeColor="text1"/>
          <w:szCs w:val="16"/>
        </w:rPr>
        <w:t xml:space="preserve">The reduction in students participating in FY2021 is due to lack of testing in 2019-20 due to COVID. Many students who did </w:t>
      </w:r>
      <w:proofErr w:type="gramStart"/>
      <w:r w:rsidRPr="00781112">
        <w:rPr>
          <w:rFonts w:cs="Arial"/>
          <w:color w:val="000000" w:themeColor="text1"/>
          <w:szCs w:val="16"/>
        </w:rPr>
        <w:t>not</w:t>
      </w:r>
      <w:proofErr w:type="gramEnd"/>
      <w:r w:rsidRPr="00781112">
        <w:rPr>
          <w:rFonts w:cs="Arial"/>
          <w:color w:val="000000" w:themeColor="text1"/>
          <w:szCs w:val="16"/>
        </w:rPr>
        <w:t xml:space="preserve"> </w:t>
      </w:r>
      <w:proofErr w:type="gramStart"/>
      <w:r w:rsidRPr="00781112">
        <w:rPr>
          <w:rFonts w:cs="Arial"/>
          <w:color w:val="000000" w:themeColor="text1"/>
          <w:szCs w:val="16"/>
        </w:rPr>
        <w:t>test</w:t>
      </w:r>
      <w:proofErr w:type="gramEnd"/>
      <w:r w:rsidRPr="00781112">
        <w:rPr>
          <w:rFonts w:cs="Arial"/>
          <w:color w:val="000000" w:themeColor="text1"/>
          <w:szCs w:val="16"/>
        </w:rPr>
        <w:t xml:space="preserve"> in 2019-20 were in 11th grade in 2021-22 and do not have a test on record. North Carolina uses a </w:t>
      </w:r>
      <w:proofErr w:type="gramStart"/>
      <w:r w:rsidRPr="00781112">
        <w:rPr>
          <w:rFonts w:cs="Arial"/>
          <w:color w:val="000000" w:themeColor="text1"/>
          <w:szCs w:val="16"/>
        </w:rPr>
        <w:t>cohort based</w:t>
      </w:r>
      <w:proofErr w:type="gramEnd"/>
      <w:r w:rsidRPr="00781112">
        <w:rPr>
          <w:rFonts w:cs="Arial"/>
          <w:color w:val="000000" w:themeColor="text1"/>
          <w:szCs w:val="16"/>
        </w:rPr>
        <w:t xml:space="preserve"> system in order to bank test scores from prior years depending on the student. For students who would have taken their 10th grade math assessment in 2019-2020 but opted out due to the waiver, we did not have a score for them in 11th grade, resulting in the slippage.</w:t>
      </w:r>
    </w:p>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Public reports of assessment data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here under the heading End of Year Report -  2021-22 - Assessment</w:t>
      </w:r>
      <w:r w:rsidRPr="00781112">
        <w:rPr>
          <w:rFonts w:cs="Arial"/>
          <w:color w:val="000000" w:themeColor="text1"/>
          <w:szCs w:val="16"/>
        </w:rPr>
        <w:br/>
        <w:t>(https://www.dpi.nc.gov/districts-schools/classroom-resources/exceptional-children/program-and-fiscal-monitoring/federal-reporting#EndofYearReports-2824)</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North Carolina saw an increase in participation from the FY2020 data which </w:t>
      </w:r>
      <w:proofErr w:type="gramStart"/>
      <w:r w:rsidRPr="00781112">
        <w:rPr>
          <w:rFonts w:cs="Arial"/>
          <w:color w:val="000000" w:themeColor="text1"/>
          <w:szCs w:val="16"/>
        </w:rPr>
        <w:t>was significantly impacted</w:t>
      </w:r>
      <w:proofErr w:type="gramEnd"/>
      <w:r w:rsidRPr="00781112">
        <w:rPr>
          <w:rFonts w:cs="Arial"/>
          <w:color w:val="000000" w:themeColor="text1"/>
          <w:szCs w:val="16"/>
        </w:rPr>
        <w:t xml:space="preserve"> by COVID due to school closures and waivers in 2019-20. NC is still seeing the impact of the closures and waivers on high school data due to the use of banked scores as explained under reason for slippage.</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the number of those children who were provided accommodations (that did not result in an invalid score) in order to participate in those assessments, and, if any, the number of children with disabilities participating in alternate assessments based on alternate academic achievement standards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13.41%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7.94%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9.85%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12.56%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9.14%</w:t>
            </w:r>
          </w:p>
        </w:tc>
      </w:tr>
    </w:tbl>
    <w:p w14:paraId="4E5C7995" w14:textId="353C8B9D"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16.12%</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18.83%</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21.54%</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24.25%</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26.95%</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11.13%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14.32%</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17.51%</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20.70%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23.89%</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13.53%</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17.21%</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20.89%</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24.57%</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28.25%</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14.99%</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17.42%</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19.85%</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22.28%</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24.73%</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7.25%</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8.58%</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9.91%</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11.24%</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12.57%</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11.50%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13.86%</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16.22%</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18.58%</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20.94%</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132096CA" w14:textId="77777777" w:rsidR="00380FBB" w:rsidRDefault="00380FBB">
      <w:pPr>
        <w:rPr>
          <w:b/>
          <w:color w:val="000000" w:themeColor="text1"/>
        </w:rPr>
      </w:pPr>
    </w:p>
    <w:p w14:paraId="2F64E7B3" w14:textId="6EC4E8B7" w:rsidR="00344AE0" w:rsidRPr="00781112" w:rsidRDefault="00FA33C9">
      <w:pPr>
        <w:rPr>
          <w:b/>
          <w:color w:val="000000" w:themeColor="text1"/>
        </w:rPr>
      </w:pPr>
      <w:r>
        <w:rPr>
          <w:b/>
          <w:color w:val="000000" w:themeColor="text1"/>
        </w:rPr>
        <w:lastRenderedPageBreak/>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59B992E6" w14:textId="77777777" w:rsidR="00380FBB" w:rsidRPr="00781112" w:rsidRDefault="00380FBB"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14,800</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14,037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11,752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1,924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920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868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802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876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1,028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14,797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14,020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3,880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1,921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616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218</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1,089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663</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263</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2,726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14,800</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15.07%</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16.12%</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18.42%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1,796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14,037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11.41%</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11.13%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12.79%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1,896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11,752</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15.07%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13.53%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16.13%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Default="005004AB" w:rsidP="005004AB">
      <w:pPr>
        <w:rPr>
          <w:color w:val="000000" w:themeColor="text1"/>
        </w:rPr>
      </w:pPr>
    </w:p>
    <w:p w14:paraId="676A8E56" w14:textId="77777777" w:rsidR="00380FBB" w:rsidRPr="00781112" w:rsidRDefault="00380FB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3,010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14,797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14.01%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14.99%</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20.34%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1,279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14,020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5.60%</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7.25%</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9.12%</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481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3,880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15.53%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11.50%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12.40%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1722A4E5" w:rsidR="00497DE4" w:rsidRPr="00380FBB" w:rsidRDefault="00497DE4" w:rsidP="00380FBB">
      <w:pPr>
        <w:spacing w:before="0" w:after="200" w:line="276" w:lineRule="auto"/>
        <w:rPr>
          <w:color w:val="000000" w:themeColor="text1"/>
        </w:rPr>
      </w:pPr>
      <w:r w:rsidRPr="00781112">
        <w:rPr>
          <w:b/>
          <w:color w:val="000000" w:themeColor="text1"/>
        </w:rPr>
        <w:t>Regulatory Information</w:t>
      </w:r>
      <w:r w:rsidR="00380FBB">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Public reports of assessment data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here under the heading End of Year Report - 2021-22 - Assessment</w:t>
      </w:r>
      <w:r w:rsidRPr="00781112">
        <w:rPr>
          <w:rFonts w:cs="Arial"/>
          <w:color w:val="000000" w:themeColor="text1"/>
          <w:szCs w:val="16"/>
        </w:rPr>
        <w:br/>
        <w:t>(https://www.dpi.nc.gov/districts-schools/classroom-resources/exceptional-children/program-and-fiscal-monitoring/federal-reporting#EndofYearReports-2824)</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North Carolina saw an increase in participation and performance from the FY2020 data which </w:t>
      </w:r>
      <w:proofErr w:type="gramStart"/>
      <w:r w:rsidRPr="00781112">
        <w:rPr>
          <w:rFonts w:cs="Arial"/>
          <w:color w:val="000000" w:themeColor="text1"/>
          <w:szCs w:val="16"/>
        </w:rPr>
        <w:t>was significantly impacted</w:t>
      </w:r>
      <w:proofErr w:type="gramEnd"/>
      <w:r w:rsidRPr="00781112">
        <w:rPr>
          <w:rFonts w:cs="Arial"/>
          <w:color w:val="000000" w:themeColor="text1"/>
          <w:szCs w:val="16"/>
        </w:rPr>
        <w:t xml:space="preserve"> by COVID due to school closures and waivers in 2019-20. NC is still seeing the impact of the closures and waivers on high school data due to the use of banked scores which also resulted in lower performance in Math for high school.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w:t>
      </w:r>
      <w:proofErr w:type="gramStart"/>
      <w:r w:rsidRPr="00781112">
        <w:rPr>
          <w:rFonts w:cs="Arial"/>
          <w:color w:val="000000" w:themeColor="text1"/>
          <w:szCs w:val="16"/>
          <w:shd w:val="clear" w:color="auto" w:fill="FFFFFF"/>
        </w:rPr>
        <w:t>district</w:t>
      </w:r>
      <w:proofErr w:type="gramEnd"/>
      <w:r w:rsidRPr="00781112">
        <w:rPr>
          <w:rFonts w:cs="Arial"/>
          <w:color w:val="000000" w:themeColor="text1"/>
          <w:szCs w:val="16"/>
          <w:shd w:val="clear" w:color="auto" w:fill="FFFFFF"/>
        </w:rPr>
        <w:t xml:space="preserve">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43.36%</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41.87%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6.94%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37.11%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44.50%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45.50%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46.50%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47.50%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48.50%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45.00%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44.21%</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45.25%</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46.25%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47.25%</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48.25%</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7.50%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8.50%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9.50%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10.50%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11.50%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7.00%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9.00%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11.00%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38.03%</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38.95%</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39.93%</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40.91%</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41.89%</w:t>
            </w:r>
          </w:p>
        </w:tc>
      </w:tr>
    </w:tbl>
    <w:p w14:paraId="3628EDB9" w14:textId="77777777" w:rsidR="00380FBB" w:rsidRDefault="00380FBB" w:rsidP="00380FBB">
      <w:pPr>
        <w:spacing w:before="0" w:after="200" w:line="276" w:lineRule="auto"/>
        <w:rPr>
          <w:b/>
          <w:color w:val="000000" w:themeColor="text1"/>
        </w:rPr>
      </w:pPr>
    </w:p>
    <w:p w14:paraId="08B1A70A" w14:textId="0FC74DE1" w:rsidR="002D145D" w:rsidRPr="00380FBB" w:rsidRDefault="002D145D" w:rsidP="00380FBB">
      <w:pPr>
        <w:spacing w:before="0" w:after="200" w:line="276" w:lineRule="auto"/>
        <w:rPr>
          <w:b/>
          <w:color w:val="000000" w:themeColor="text1"/>
        </w:rPr>
      </w:pPr>
      <w:r w:rsidRPr="00781112">
        <w:rPr>
          <w:b/>
          <w:color w:val="000000" w:themeColor="text1"/>
        </w:rPr>
        <w:t xml:space="preserve">Targets: Description of Stakeholder Input </w:t>
      </w:r>
      <w:r w:rsidR="00380FBB">
        <w:rPr>
          <w:b/>
          <w:color w:val="000000" w:themeColor="text1"/>
        </w:rPr>
        <w:br/>
      </w:r>
      <w:r w:rsidR="002B7490"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002B7490" w:rsidRPr="00781112">
        <w:rPr>
          <w:rFonts w:cs="Arial"/>
          <w:color w:val="000000" w:themeColor="text1"/>
          <w:szCs w:val="16"/>
        </w:rPr>
        <w:t>analysis</w:t>
      </w:r>
      <w:proofErr w:type="gramEnd"/>
      <w:r w:rsidR="002B7490"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002B7490" w:rsidRPr="00781112">
        <w:rPr>
          <w:rFonts w:cs="Arial"/>
          <w:color w:val="000000" w:themeColor="text1"/>
          <w:szCs w:val="16"/>
        </w:rPr>
        <w:t>Coordinators</w:t>
      </w:r>
      <w:proofErr w:type="gramEnd"/>
      <w:r w:rsidR="002B7490" w:rsidRPr="00781112">
        <w:rPr>
          <w:rFonts w:cs="Arial"/>
          <w:color w:val="000000" w:themeColor="text1"/>
          <w:szCs w:val="16"/>
        </w:rPr>
        <w:t xml:space="preserve"> and administrators, OSEP funded technical Assistance Centers and Parent Advocacy groups. Additional external feedback </w:t>
      </w:r>
      <w:proofErr w:type="gramStart"/>
      <w:r w:rsidR="002B7490" w:rsidRPr="00781112">
        <w:rPr>
          <w:rFonts w:cs="Arial"/>
          <w:color w:val="000000" w:themeColor="text1"/>
          <w:szCs w:val="16"/>
        </w:rPr>
        <w:t>is routinely solicited</w:t>
      </w:r>
      <w:proofErr w:type="gramEnd"/>
      <w:r w:rsidR="002B7490"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1,191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1,299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1,013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476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509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359</w:t>
            </w:r>
          </w:p>
        </w:tc>
      </w:tr>
    </w:tbl>
    <w:p w14:paraId="58876AE5" w14:textId="77777777" w:rsidR="00380FBB" w:rsidRDefault="00380FBB" w:rsidP="00286BDF">
      <w:pPr>
        <w:rPr>
          <w:rFonts w:cs="Arial"/>
          <w:b/>
          <w:color w:val="000000" w:themeColor="text1"/>
          <w:szCs w:val="16"/>
        </w:rPr>
      </w:pPr>
    </w:p>
    <w:p w14:paraId="31899BDA" w14:textId="6C036004"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0D325D10" w14:textId="77777777" w:rsidR="00380FBB" w:rsidRDefault="00380FBB">
      <w:pPr>
        <w:rPr>
          <w:b/>
          <w:color w:val="000000" w:themeColor="text1"/>
        </w:rPr>
      </w:pPr>
    </w:p>
    <w:p w14:paraId="3365AF3D" w14:textId="5E1CAD54"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1,183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1,291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820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475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415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381</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476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1,191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36.30%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44.50%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39.97%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509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1,299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39.73%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42.00%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39.18%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359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1,013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37.21%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44.21%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35.44%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North Carolina has found that in addition to less high school students having a test on file for FY 2021,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suffered learning loss due to COVID-19. Students taking the reading exam in 10th grade would have been virtual in </w:t>
      </w:r>
      <w:proofErr w:type="gramStart"/>
      <w:r w:rsidRPr="00781112">
        <w:rPr>
          <w:rFonts w:cs="Arial"/>
          <w:color w:val="000000" w:themeColor="text1"/>
          <w:szCs w:val="16"/>
        </w:rPr>
        <w:t>9th</w:t>
      </w:r>
      <w:proofErr w:type="gramEnd"/>
      <w:r w:rsidRPr="00781112">
        <w:rPr>
          <w:rFonts w:cs="Arial"/>
          <w:color w:val="000000" w:themeColor="text1"/>
          <w:szCs w:val="16"/>
        </w:rPr>
        <w:t xml:space="preserve"> grade which contributed to the lack of understanding of core concepts required for college and career readiness.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that take the alternate assessment have severe health problems and families were not comfortable sending them to school. PSUs reported that virtual students had difficulty accessing and understanding the content. </w:t>
      </w:r>
    </w:p>
    <w:p w14:paraId="52031109" w14:textId="77777777" w:rsidR="00380FBB" w:rsidRPr="00781112" w:rsidRDefault="00380FBB" w:rsidP="000C3A20">
      <w:pPr>
        <w:rPr>
          <w:color w:val="000000" w:themeColor="text1"/>
        </w:rPr>
      </w:pPr>
    </w:p>
    <w:p w14:paraId="63F44A7E" w14:textId="77777777" w:rsidR="00380FBB" w:rsidRDefault="00380FBB">
      <w:pPr>
        <w:spacing w:before="0" w:after="200" w:line="276" w:lineRule="auto"/>
        <w:rPr>
          <w:b/>
          <w:color w:val="000000" w:themeColor="text1"/>
        </w:rPr>
      </w:pPr>
      <w:r>
        <w:rPr>
          <w:b/>
          <w:color w:val="000000" w:themeColor="text1"/>
        </w:rPr>
        <w:br w:type="page"/>
      </w:r>
    </w:p>
    <w:p w14:paraId="73E73F7F" w14:textId="5AB16ECB"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475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1,183</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35.65%</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7.50%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40.15%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415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1,291</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33.55%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7.00%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32.15%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381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820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44.97%</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38.03%</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46.46%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Public reports of assessment data can </w:t>
      </w:r>
      <w:proofErr w:type="gramStart"/>
      <w:r w:rsidRPr="00781112">
        <w:rPr>
          <w:rFonts w:cs="Arial"/>
          <w:color w:val="000000" w:themeColor="text1"/>
          <w:szCs w:val="16"/>
          <w:shd w:val="clear" w:color="auto" w:fill="FFFFFF"/>
        </w:rPr>
        <w:t>be found</w:t>
      </w:r>
      <w:proofErr w:type="gramEnd"/>
      <w:r w:rsidRPr="00781112">
        <w:rPr>
          <w:rFonts w:cs="Arial"/>
          <w:color w:val="000000" w:themeColor="text1"/>
          <w:szCs w:val="16"/>
          <w:shd w:val="clear" w:color="auto" w:fill="FFFFFF"/>
        </w:rPr>
        <w:t xml:space="preserve"> here under the heading End of Year Report - 2021-22 - Assessment</w:t>
      </w:r>
      <w:r w:rsidRPr="00781112">
        <w:rPr>
          <w:rFonts w:cs="Arial"/>
          <w:color w:val="000000" w:themeColor="text1"/>
          <w:szCs w:val="16"/>
          <w:shd w:val="clear" w:color="auto" w:fill="FFFFFF"/>
        </w:rPr>
        <w:br/>
        <w:t>(https://www.dpi.nc.gov/districts-schools/classroom-resources/exceptional-children/program-and-fiscal-monitoring/federal-reporting#EndofYearReports-2824)</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OEC will be gathering stakeholders to review targets for Indicator 3C in the 2022-23 SY. Targets for 3C Reading are rigorous but may be attainable while targets for 3C Math are too low and need to </w:t>
      </w:r>
      <w:proofErr w:type="gramStart"/>
      <w:r w:rsidRPr="00781112">
        <w:rPr>
          <w:rFonts w:cs="Arial"/>
          <w:color w:val="000000" w:themeColor="text1"/>
          <w:szCs w:val="16"/>
          <w:shd w:val="clear" w:color="auto" w:fill="FFFFFF"/>
        </w:rPr>
        <w:t>be revised</w:t>
      </w:r>
      <w:proofErr w:type="gramEnd"/>
      <w:r w:rsidRPr="00781112">
        <w:rPr>
          <w:rFonts w:cs="Arial"/>
          <w:color w:val="000000" w:themeColor="text1"/>
          <w:szCs w:val="16"/>
          <w:shd w:val="clear" w:color="auto" w:fill="FFFFFF"/>
        </w:rPr>
        <w:t xml:space="preserve"> based on more current data.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State, </w:t>
      </w:r>
      <w:proofErr w:type="gramStart"/>
      <w:r w:rsidRPr="00781112">
        <w:rPr>
          <w:rFonts w:cs="Arial"/>
          <w:color w:val="000000" w:themeColor="text1"/>
          <w:szCs w:val="16"/>
          <w:shd w:val="clear" w:color="auto" w:fill="FFFFFF"/>
        </w:rPr>
        <w:t>district</w:t>
      </w:r>
      <w:proofErr w:type="gramEnd"/>
      <w:r w:rsidRPr="00781112">
        <w:rPr>
          <w:rFonts w:cs="Arial"/>
          <w:color w:val="000000" w:themeColor="text1"/>
          <w:szCs w:val="16"/>
          <w:shd w:val="clear" w:color="auto" w:fill="FFFFFF"/>
        </w:rPr>
        <w:t xml:space="preserve">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30.49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35.58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40.94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11.03</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10.44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11.85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27.44</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24.39</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21.34</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18.29</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15.24</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32.02</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28.46</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24.90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21.34</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17.78</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36.85</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32.76</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28.76</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24.58</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20.49</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9.93</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8.83</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7.73</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6.63</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5.53</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9.40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8.36</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7.32</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6.28</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5.24</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10.66</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9.47</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8.28</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7.09</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5.90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 xml:space="preserve">is routinely </w:t>
      </w:r>
      <w:r w:rsidRPr="00781112">
        <w:rPr>
          <w:rFonts w:cs="Arial"/>
          <w:color w:val="000000" w:themeColor="text1"/>
          <w:szCs w:val="16"/>
        </w:rPr>
        <w:lastRenderedPageBreak/>
        <w:t>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7379B896" w14:textId="77777777" w:rsidR="00380FBB" w:rsidRPr="00781112" w:rsidRDefault="00380FBB"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111,704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120,565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110,792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14,800</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14,037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11,752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54,869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58,761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63,328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2,557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2,400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2,716</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1,924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920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868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802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876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1,028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3C3B63E4" w14:textId="77777777" w:rsidR="00380FBB" w:rsidRPr="00781112" w:rsidRDefault="00380FBB"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111,663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120,052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51,814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14,797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14,020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3,880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51,957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48,781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32,569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3,810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1,986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884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1,921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616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218</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1,089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663</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263</w:t>
            </w:r>
          </w:p>
        </w:tc>
      </w:tr>
    </w:tbl>
    <w:p w14:paraId="092618B6" w14:textId="77777777" w:rsidR="00380FBB" w:rsidRPr="00781112" w:rsidRDefault="00380FBB" w:rsidP="00DD5B7A">
      <w:pPr>
        <w:rPr>
          <w:color w:val="000000" w:themeColor="text1"/>
        </w:rPr>
      </w:pPr>
    </w:p>
    <w:p w14:paraId="1C8DD96C" w14:textId="77777777" w:rsidR="00380FBB" w:rsidRDefault="00380FBB">
      <w:pPr>
        <w:spacing w:before="0" w:after="200" w:line="276" w:lineRule="auto"/>
        <w:rPr>
          <w:b/>
          <w:color w:val="000000" w:themeColor="text1"/>
        </w:rPr>
      </w:pPr>
      <w:r>
        <w:rPr>
          <w:b/>
          <w:color w:val="000000" w:themeColor="text1"/>
        </w:rPr>
        <w:br w:type="page"/>
      </w:r>
    </w:p>
    <w:p w14:paraId="300D6CD4" w14:textId="158EA648"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18.42%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51.41%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30.10</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27.44</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32.99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12.79%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50.73%</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36.85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32.02</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37.93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16.13%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59.61%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43.37</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36.85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43.48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North Carolina set attainable but rigorous targets for reducing the gap between all students and SWD in FY2020. In the 2022-23 school year, the OEC will be gathering stakeholders to review these targets and determine if they need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based on more current data. Although SWD increased their proficiency rate from FY2020 to FY2021 (15.07% to 18.42%), All students increased at a much higher rate than expected, (45.18% to 51.41%) which increased the gap.</w:t>
      </w:r>
    </w:p>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North Carolina set attainable but rigorous targets for reducing the gap between all students and SWD in FY2020. In the 2022-23 school year, the OEC will be gathering stakeholders to review these targets and determine if they need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based on more current data. Although SWD increased their proficiency rate from FY2020 to FY2021 (11.41% to 12.79%), All students increased at a much higher rate than expected, (48.26% to 50.73%) which increased the gap.</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20.34%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49.94%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23.84</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9.93</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29.60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9.12%</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42.29%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27.11</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9.40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33.16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12.40%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64.56%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41.21</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10.66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52.17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North Carolina set rigorous targets for reducing the gap between all students and SWD in FY2020. In the 2022-23 school year, the OEC will be gathering stakeholders to review these targets and determine if they need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based on more current data. Although SWD increased their proficiency rate from FY2020 to FY2021 (14.01% to 20.34%), All students increased at a much higher rate than expected, (37.85% to 49.94%) which increased the gap. In </w:t>
      </w:r>
      <w:proofErr w:type="gramStart"/>
      <w:r w:rsidRPr="00781112">
        <w:rPr>
          <w:rFonts w:cs="Arial"/>
          <w:color w:val="000000" w:themeColor="text1"/>
          <w:szCs w:val="16"/>
        </w:rPr>
        <w:t>the FY2022</w:t>
      </w:r>
      <w:proofErr w:type="gramEnd"/>
      <w:r w:rsidRPr="00781112">
        <w:rPr>
          <w:rFonts w:cs="Arial"/>
          <w:color w:val="000000" w:themeColor="text1"/>
          <w:szCs w:val="16"/>
        </w:rPr>
        <w:t xml:space="preserve"> SPP/APR NC anticipates reporting new targets for Indicator 3D Math.</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North Carolina set rigorous targets for reducing the gap between all students and SWD in FY2020. In the 2022-23 school year, the OEC will be gathering stakeholders to review these targets and determine if they need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based on more current data. Although SWD increased their proficiency rate from FY2020 to FY2021 (5.60% to 9.12%), All students increased at a much higher rate than expected, (32.71% to 42.29%) which increased the gap. In </w:t>
      </w:r>
      <w:proofErr w:type="gramStart"/>
      <w:r w:rsidRPr="00781112">
        <w:rPr>
          <w:rFonts w:cs="Arial"/>
          <w:color w:val="000000" w:themeColor="text1"/>
          <w:szCs w:val="16"/>
        </w:rPr>
        <w:t>the FY2022</w:t>
      </w:r>
      <w:proofErr w:type="gramEnd"/>
      <w:r w:rsidRPr="00781112">
        <w:rPr>
          <w:rFonts w:cs="Arial"/>
          <w:color w:val="000000" w:themeColor="text1"/>
          <w:szCs w:val="16"/>
        </w:rPr>
        <w:t xml:space="preserve"> SPP/APR NC anticipates reporting new targets for Indicator 3D Math.</w:t>
      </w: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r w:rsidRPr="00781112">
        <w:rPr>
          <w:rFonts w:cs="Arial"/>
          <w:color w:val="000000" w:themeColor="text1"/>
          <w:szCs w:val="16"/>
        </w:rPr>
        <w:t xml:space="preserve">North Carolina set rigorous targets for reducing the gap between all students and SWD in FY2020. In the 2022-23 school year, the OEC will be gathering stakeholders to review these targets and determine if they need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based on more current data. SWD decreased their proficiency rate from FY2020 to FY2021 (15.53% to 12.40%), while All students increased at a much higher rate than expected, (56.74% to 64.56%) which increased the gap. In </w:t>
      </w:r>
      <w:proofErr w:type="gramStart"/>
      <w:r w:rsidRPr="00781112">
        <w:rPr>
          <w:rFonts w:cs="Arial"/>
          <w:color w:val="000000" w:themeColor="text1"/>
          <w:szCs w:val="16"/>
        </w:rPr>
        <w:t>the FY2022</w:t>
      </w:r>
      <w:proofErr w:type="gramEnd"/>
      <w:r w:rsidRPr="00781112">
        <w:rPr>
          <w:rFonts w:cs="Arial"/>
          <w:color w:val="000000" w:themeColor="text1"/>
          <w:szCs w:val="16"/>
        </w:rPr>
        <w:t xml:space="preserve"> SPP/APR NC anticipates reporting new targets for Indicator 3D Math.</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 xml:space="preserve">In its FFY 2021 SPP/APR, the State must report baseline data that has </w:t>
      </w:r>
      <w:proofErr w:type="gramStart"/>
      <w:r w:rsidRPr="00781112">
        <w:rPr>
          <w:rFonts w:cs="Arial"/>
          <w:color w:val="000000" w:themeColor="text1"/>
          <w:szCs w:val="16"/>
        </w:rPr>
        <w:t>been calculated</w:t>
      </w:r>
      <w:proofErr w:type="gramEnd"/>
      <w:r w:rsidRPr="00781112">
        <w:rPr>
          <w:rFonts w:cs="Arial"/>
          <w:color w:val="000000" w:themeColor="text1"/>
          <w:szCs w:val="16"/>
        </w:rPr>
        <w:t xml:space="preserve"> consistent with the Measurement Table. Additionally, the State must provide through FFY 2025 and ensure that its FFY 2025 target reflects improvement over baseline. </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r w:rsidRPr="00781112">
        <w:rPr>
          <w:rFonts w:cs="Arial"/>
          <w:color w:val="000000" w:themeColor="text1"/>
          <w:szCs w:val="16"/>
        </w:rPr>
        <w:t xml:space="preserve">Using 2018-19 EdFacts Data, North Carolina calculated the proficiency gap between All students and SWD on each assessment by grade. Baseline was set using the 2018-19 Gap between proficiency for all students and SWD, and targets set </w:t>
      </w:r>
      <w:proofErr w:type="gramStart"/>
      <w:r w:rsidRPr="00781112">
        <w:rPr>
          <w:rFonts w:cs="Arial"/>
          <w:color w:val="000000" w:themeColor="text1"/>
          <w:szCs w:val="16"/>
        </w:rPr>
        <w:t>were intended</w:t>
      </w:r>
      <w:proofErr w:type="gramEnd"/>
      <w:r w:rsidRPr="00781112">
        <w:rPr>
          <w:rFonts w:cs="Arial"/>
          <w:color w:val="000000" w:themeColor="text1"/>
          <w:szCs w:val="16"/>
        </w:rPr>
        <w:t xml:space="preserve"> to reduce the gap in each test and grade level by at least half over the next 6 years as selected by stakeholders.</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2018, and OSEP accepts that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52.17%</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52.17%</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0.64%</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52.17%</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47.17%</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42.17%</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37.17%</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32.17%</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27.17%</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324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47.17%</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 xml:space="preserve">In reviewing and analyzing the FY2021 discipline data, slippage was most attributed to the low discipline rates statewide for the 2020-21 school year. Students were </w:t>
      </w:r>
      <w:proofErr w:type="gramStart"/>
      <w:r w:rsidRPr="00781112">
        <w:rPr>
          <w:rFonts w:cs="Arial"/>
          <w:color w:val="000000" w:themeColor="text1"/>
          <w:szCs w:val="16"/>
        </w:rPr>
        <w:t>almost completely</w:t>
      </w:r>
      <w:proofErr w:type="gramEnd"/>
      <w:r w:rsidRPr="00781112">
        <w:rPr>
          <w:rFonts w:cs="Arial"/>
          <w:color w:val="000000" w:themeColor="text1"/>
          <w:szCs w:val="16"/>
        </w:rPr>
        <w:t xml:space="preserve"> virtual in 2020-21 due to COVID-19. North Carolina had only four PSUs that met the state established minimum cell size and 4 PSUs that met the definition of significant discrepancy. Because states must exclude PSUs who do not meet the cell size, this resulted in an increased percentage. </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North Carolina met with stakeholders and revised its definition of Significant Discrepancy in FY2020. For indicator 4a, North Carolina's definition of "significant discrepancy" with regard to suspensions/expulsions for students with IEPs is greater than 2.5x the rate of suspensions/expulsions of students without IEPs and a minimum Cell Size of &gt; 5 SWD.</w:t>
      </w:r>
      <w:r w:rsidRPr="00781112">
        <w:rPr>
          <w:rFonts w:cs="Arial"/>
          <w:color w:val="000000" w:themeColor="text1"/>
          <w:szCs w:val="16"/>
        </w:rPr>
        <w:br/>
      </w:r>
      <w:r w:rsidRPr="00781112">
        <w:rPr>
          <w:rFonts w:cs="Arial"/>
          <w:color w:val="000000" w:themeColor="text1"/>
          <w:szCs w:val="16"/>
        </w:rPr>
        <w:br/>
        <w:t xml:space="preserve">Significant Discrepancy Definition Rate Ratio Method – </w:t>
      </w:r>
      <w:r w:rsidRPr="00781112">
        <w:rPr>
          <w:rFonts w:cs="Arial"/>
          <w:color w:val="000000" w:themeColor="text1"/>
          <w:szCs w:val="16"/>
        </w:rPr>
        <w:br/>
      </w:r>
      <w:r w:rsidRPr="00781112">
        <w:rPr>
          <w:rFonts w:cs="Arial"/>
          <w:color w:val="000000" w:themeColor="text1"/>
          <w:szCs w:val="16"/>
        </w:rPr>
        <w:br/>
        <w:t>Step 1:Calculate % of Students with Disabilities Suspended/Expelled &gt; 10 days by PSU</w:t>
      </w:r>
      <w:r w:rsidRPr="00781112">
        <w:rPr>
          <w:rFonts w:cs="Arial"/>
          <w:color w:val="000000" w:themeColor="text1"/>
          <w:szCs w:val="16"/>
        </w:rPr>
        <w:br/>
        <w:t>(Special Ed Students Suspended/Expelled &gt; 10 days/SWD in PSU child count)= PSUSWD %</w:t>
      </w:r>
      <w:r w:rsidRPr="00781112">
        <w:rPr>
          <w:rFonts w:cs="Arial"/>
          <w:color w:val="000000" w:themeColor="text1"/>
          <w:szCs w:val="16"/>
        </w:rPr>
        <w:br/>
      </w:r>
      <w:r w:rsidRPr="00781112">
        <w:rPr>
          <w:rFonts w:cs="Arial"/>
          <w:color w:val="000000" w:themeColor="text1"/>
          <w:szCs w:val="16"/>
        </w:rPr>
        <w:br/>
        <w:t>Step 2: Calculate % of Non-Disabled Students Suspended/Expelled &gt; 10 Days by PSU</w:t>
      </w:r>
      <w:r w:rsidRPr="00781112">
        <w:rPr>
          <w:rFonts w:cs="Arial"/>
          <w:color w:val="000000" w:themeColor="text1"/>
          <w:szCs w:val="16"/>
        </w:rPr>
        <w:br/>
        <w:t xml:space="preserve">(General Ed Students Suspended &gt; 10 days/General Ed Students in PSU)= PSU Non-SWD % </w:t>
      </w:r>
      <w:r w:rsidRPr="00781112">
        <w:rPr>
          <w:rFonts w:cs="Arial"/>
          <w:color w:val="000000" w:themeColor="text1"/>
          <w:szCs w:val="16"/>
        </w:rPr>
        <w:br/>
      </w:r>
      <w:r w:rsidRPr="00781112">
        <w:rPr>
          <w:rFonts w:cs="Arial"/>
          <w:color w:val="000000" w:themeColor="text1"/>
          <w:szCs w:val="16"/>
        </w:rPr>
        <w:br/>
        <w:t>Step 3: Calculate Rate Ratio by PSU:</w:t>
      </w:r>
      <w:r w:rsidRPr="00781112">
        <w:rPr>
          <w:rFonts w:cs="Arial"/>
          <w:color w:val="000000" w:themeColor="text1"/>
          <w:szCs w:val="16"/>
        </w:rPr>
        <w:br/>
        <w:t>(PSU % of SWD Suspended &gt; 10 days /PSU % of Non-SWD Suspended &gt; 10 days) = PSU Rate Ratio</w:t>
      </w:r>
      <w:r w:rsidRPr="00781112">
        <w:rPr>
          <w:rFonts w:cs="Arial"/>
          <w:color w:val="000000" w:themeColor="text1"/>
          <w:szCs w:val="16"/>
        </w:rPr>
        <w:br/>
      </w:r>
      <w:r w:rsidRPr="00781112">
        <w:rPr>
          <w:rFonts w:cs="Arial"/>
          <w:color w:val="000000" w:themeColor="text1"/>
          <w:szCs w:val="16"/>
        </w:rPr>
        <w:br/>
        <w:t>Step 4: Determine Cell Size for 4A &amp; 4B: &gt; 5 SWD Suspended/ Expelled &gt; 10 days</w:t>
      </w:r>
      <w:r w:rsidRPr="00781112">
        <w:rPr>
          <w:rFonts w:cs="Arial"/>
          <w:color w:val="000000" w:themeColor="text1"/>
          <w:szCs w:val="16"/>
        </w:rPr>
        <w:br/>
      </w:r>
      <w:r w:rsidRPr="00781112">
        <w:rPr>
          <w:rFonts w:cs="Arial"/>
          <w:color w:val="000000" w:themeColor="text1"/>
          <w:szCs w:val="16"/>
        </w:rPr>
        <w:br/>
        <w:t>Step 5: Determine Significant Discrepancy: PSUs with Rate Ratio &gt; 2.5 (percent of SWD suspended/Expelled &gt; 10 days is at least 2.5 x greater than the Percent of non-disabled Suspended/Expelled &gt; 10 days</w:t>
      </w:r>
      <w:r w:rsidRPr="00781112">
        <w:rPr>
          <w:rFonts w:cs="Arial"/>
          <w:color w:val="000000" w:themeColor="text1"/>
          <w:szCs w:val="16"/>
        </w:rPr>
        <w:br/>
      </w:r>
      <w:r w:rsidRPr="00781112">
        <w:rPr>
          <w:rFonts w:cs="Arial"/>
          <w:color w:val="000000" w:themeColor="text1"/>
          <w:szCs w:val="16"/>
        </w:rPr>
        <w:br/>
        <w:t>Step 6: Calculate 4a Significant Discrepancy: Percent of districts that have a significant discrepancy in the rate of suspensions and expulsions of greater than 10 days in a school year for children with IEPS</w:t>
      </w:r>
      <w:r w:rsidRPr="00781112">
        <w:rPr>
          <w:rFonts w:cs="Arial"/>
          <w:color w:val="000000" w:themeColor="text1"/>
          <w:szCs w:val="16"/>
        </w:rPr>
        <w:br/>
        <w:t>(# of Districts with Rate Ratio &gt; 2.5 the rate of suspensions/expulsions of Non-SWD and a minimum Cell Size of &gt; 5 SWD/# of PSUs in the state with a minimum Cell Size of &gt; 5 SWD)</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SY 2020-21 most schools were fully virtual due to COVID-19 and North Carolina saw the decrease in out-of-school suspensions in PSUs across the state contributed to most PSUs not meeting the minimum cell size requirements for this indicator. NC analyzes all districts in Indicator 4b. Our minimum cell size is </w:t>
      </w:r>
      <w:proofErr w:type="gramStart"/>
      <w:r w:rsidRPr="00781112">
        <w:rPr>
          <w:rFonts w:cs="Arial"/>
          <w:color w:val="000000" w:themeColor="text1"/>
          <w:szCs w:val="16"/>
        </w:rPr>
        <w:t>5</w:t>
      </w:r>
      <w:proofErr w:type="gramEnd"/>
      <w:r w:rsidRPr="00781112">
        <w:rPr>
          <w:rFonts w:cs="Arial"/>
          <w:color w:val="000000" w:themeColor="text1"/>
          <w:szCs w:val="16"/>
        </w:rPr>
        <w:t xml:space="preserve"> for our accepted methodology for SWD suspended or expelled greater than 10 days. The </w:t>
      </w:r>
      <w:proofErr w:type="gramStart"/>
      <w:r w:rsidRPr="00781112">
        <w:rPr>
          <w:rFonts w:cs="Arial"/>
          <w:color w:val="000000" w:themeColor="text1"/>
          <w:szCs w:val="16"/>
        </w:rPr>
        <w:t>percent</w:t>
      </w:r>
      <w:proofErr w:type="gramEnd"/>
      <w:r w:rsidRPr="00781112">
        <w:rPr>
          <w:rFonts w:cs="Arial"/>
          <w:color w:val="000000" w:themeColor="text1"/>
          <w:szCs w:val="16"/>
        </w:rPr>
        <w:t xml:space="preserve"> included are the LEAs that met the minimum cell size. North Carolina does not use a minimum N size to ensure that all its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are included to the maximum extent possible. A minimum cell size allows North Carolina to analyze its data more carefully given the number of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that have small numbers of students </w:t>
      </w:r>
      <w:r w:rsidRPr="00781112">
        <w:rPr>
          <w:rFonts w:cs="Arial"/>
          <w:color w:val="000000" w:themeColor="text1"/>
          <w:szCs w:val="16"/>
        </w:rPr>
        <w:lastRenderedPageBreak/>
        <w:t xml:space="preserve">with disabilities in their child counts. Cell size allows for a comparison to overall child count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whether findings for this indicator are systemic in nature.</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the FY2021 data, if a PSU had a significant discrepancy in the rate of suspensions and expulsions of greater than 10 days in a school year for children with IEPs greater than 2.5x the rate of suspensions/expulsions of students without IEPs, the EC Division analyzed data for patterns of systemically problematic policies, procedures and practices that contributed to the significant discrepancy.</w:t>
      </w:r>
      <w:r w:rsidRPr="00781112">
        <w:rPr>
          <w:rFonts w:cs="Arial"/>
          <w:color w:val="000000" w:themeColor="text1"/>
          <w:szCs w:val="16"/>
        </w:rPr>
        <w:br/>
      </w:r>
      <w:r w:rsidRPr="00781112">
        <w:rPr>
          <w:rFonts w:cs="Arial"/>
          <w:color w:val="000000" w:themeColor="text1"/>
          <w:szCs w:val="16"/>
        </w:rPr>
        <w:br/>
        <w:t xml:space="preserve">North Carolina revised the method of review of policies, procedures and practices for Indicator 4a/b. For the FY2021 APR submission, the OEC moved this review to a collaborative assessment process which includes a tool to walk </w:t>
      </w:r>
      <w:proofErr w:type="gramStart"/>
      <w:r w:rsidRPr="00781112">
        <w:rPr>
          <w:rFonts w:cs="Arial"/>
          <w:color w:val="000000" w:themeColor="text1"/>
          <w:szCs w:val="16"/>
        </w:rPr>
        <w:t>PSU’s</w:t>
      </w:r>
      <w:proofErr w:type="gramEnd"/>
      <w:r w:rsidRPr="00781112">
        <w:rPr>
          <w:rFonts w:cs="Arial"/>
          <w:color w:val="000000" w:themeColor="text1"/>
          <w:szCs w:val="16"/>
        </w:rPr>
        <w:t xml:space="preserve"> through state and IDEA requirements around discipline and disciplinary actions for SWD. The tool is intended for the PSU team to gather evidence that they are implementing the requirement, providing the needed training,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support to appropriate parties and that the process of carrying out the requirement in the school or individual instance is done with fidelity. The OEC has conducted an analysis of discipline data and identified PSUs required to complete submission of a guided, collaborative, assessment review that includes coaching and conversations with OEC staff. All PSUs in the state </w:t>
      </w:r>
      <w:proofErr w:type="gramStart"/>
      <w:r w:rsidRPr="00781112">
        <w:rPr>
          <w:rFonts w:cs="Arial"/>
          <w:color w:val="000000" w:themeColor="text1"/>
          <w:szCs w:val="16"/>
        </w:rPr>
        <w:t>were trained</w:t>
      </w:r>
      <w:proofErr w:type="gramEnd"/>
      <w:r w:rsidRPr="00781112">
        <w:rPr>
          <w:rFonts w:cs="Arial"/>
          <w:color w:val="000000" w:themeColor="text1"/>
          <w:szCs w:val="16"/>
        </w:rPr>
        <w:t xml:space="preserve"> in use of the review process tools in the Spring of 2022 with follow up training and technical assistance provided to identified PSUs. Face to face meetings with PSU teams and OEC teams </w:t>
      </w:r>
      <w:proofErr w:type="gramStart"/>
      <w:r w:rsidRPr="00781112">
        <w:rPr>
          <w:rFonts w:cs="Arial"/>
          <w:color w:val="000000" w:themeColor="text1"/>
          <w:szCs w:val="16"/>
        </w:rPr>
        <w:t>were conducted</w:t>
      </w:r>
      <w:proofErr w:type="gramEnd"/>
      <w:r w:rsidRPr="00781112">
        <w:rPr>
          <w:rFonts w:cs="Arial"/>
          <w:color w:val="000000" w:themeColor="text1"/>
          <w:szCs w:val="16"/>
        </w:rPr>
        <w:t xml:space="preserve"> in Spring/Summer of 2022. PSUs were encouraged to select a team of individuals to conduct the review that includes individuals from cross disciplines, such as district and school administrators, EC Directors, Curriculum Leads, Equity Officers, MTSS Coordinators, guidance counselor, social worker, special education teacher, general education teacher, parent of a student with a disability and a school psychologist. OEC staff teams were cross sectional and </w:t>
      </w:r>
      <w:proofErr w:type="gramStart"/>
      <w:r w:rsidRPr="00781112">
        <w:rPr>
          <w:rFonts w:cs="Arial"/>
          <w:color w:val="000000" w:themeColor="text1"/>
          <w:szCs w:val="16"/>
        </w:rPr>
        <w:t>included,</w:t>
      </w:r>
      <w:proofErr w:type="gramEnd"/>
      <w:r w:rsidRPr="00781112">
        <w:rPr>
          <w:rFonts w:cs="Arial"/>
          <w:color w:val="000000" w:themeColor="text1"/>
          <w:szCs w:val="16"/>
        </w:rPr>
        <w:t xml:space="preserve"> leadership team members on each team and Integrated Academic &amp; Behavior Systems (IABS) consultants.</w:t>
      </w:r>
      <w:r w:rsidRPr="00781112">
        <w:rPr>
          <w:rFonts w:cs="Arial"/>
          <w:color w:val="000000" w:themeColor="text1"/>
          <w:szCs w:val="16"/>
        </w:rPr>
        <w:br/>
      </w:r>
      <w:r w:rsidRPr="00781112">
        <w:rPr>
          <w:rFonts w:cs="Arial"/>
          <w:color w:val="000000" w:themeColor="text1"/>
          <w:szCs w:val="16"/>
        </w:rPr>
        <w:br/>
        <w:t>The review tool includes the following instructions and activities:</w:t>
      </w:r>
      <w:r w:rsidRPr="00781112">
        <w:rPr>
          <w:rFonts w:cs="Arial"/>
          <w:color w:val="000000" w:themeColor="text1"/>
          <w:szCs w:val="16"/>
        </w:rPr>
        <w:br/>
        <w:t>Review the district’s written procedures for Discipline. Determine if administrators and teachers are complying with all the components of the Discipline Regulations (</w:t>
      </w:r>
      <w:proofErr w:type="gramStart"/>
      <w:r w:rsidRPr="00781112">
        <w:rPr>
          <w:rFonts w:cs="Arial"/>
          <w:color w:val="000000" w:themeColor="text1"/>
          <w:szCs w:val="16"/>
        </w:rPr>
        <w:t>i.e.</w:t>
      </w:r>
      <w:proofErr w:type="gramEnd"/>
      <w:r w:rsidRPr="00781112">
        <w:rPr>
          <w:rFonts w:cs="Arial"/>
          <w:color w:val="000000" w:themeColor="text1"/>
          <w:szCs w:val="16"/>
        </w:rPr>
        <w:t xml:space="preserve"> Parent notification, manifestation determinations, change of placement). Determine if students with disabilities of all racial and ethnic groups, and particularly students of the identified group(s), </w:t>
      </w:r>
      <w:proofErr w:type="gramStart"/>
      <w:r w:rsidRPr="00781112">
        <w:rPr>
          <w:rFonts w:cs="Arial"/>
          <w:color w:val="000000" w:themeColor="text1"/>
          <w:szCs w:val="16"/>
        </w:rPr>
        <w:t>are disciplined</w:t>
      </w:r>
      <w:proofErr w:type="gramEnd"/>
      <w:r w:rsidRPr="00781112">
        <w:rPr>
          <w:rFonts w:cs="Arial"/>
          <w:color w:val="000000" w:themeColor="text1"/>
          <w:szCs w:val="16"/>
        </w:rPr>
        <w:t xml:space="preserve"> equitably.</w:t>
      </w:r>
      <w:r w:rsidRPr="00781112">
        <w:rPr>
          <w:rFonts w:cs="Arial"/>
          <w:color w:val="000000" w:themeColor="text1"/>
          <w:szCs w:val="16"/>
        </w:rPr>
        <w:br/>
        <w:t>NC 1504-2 Discipline Procedures</w:t>
      </w:r>
      <w:r w:rsidRPr="00781112">
        <w:rPr>
          <w:rFonts w:cs="Arial"/>
          <w:color w:val="000000" w:themeColor="text1"/>
          <w:szCs w:val="16"/>
        </w:rPr>
        <w:br/>
        <w:t>NC 1504-2 Authority of School Personnel</w:t>
      </w:r>
      <w:r w:rsidRPr="00781112">
        <w:rPr>
          <w:rFonts w:cs="Arial"/>
          <w:color w:val="000000" w:themeColor="text1"/>
          <w:szCs w:val="16"/>
        </w:rPr>
        <w:br/>
        <w:t>Guidance Manual for Homebound Placement</w:t>
      </w:r>
      <w:r w:rsidRPr="00781112">
        <w:rPr>
          <w:rFonts w:cs="Arial"/>
          <w:color w:val="000000" w:themeColor="text1"/>
          <w:szCs w:val="16"/>
        </w:rPr>
        <w:br/>
        <w:t>North Carolina School Discipline Laws and Regulations - March 2021</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recognizes the State reported, "SY 2020-21 most schools were fully virtual due to COVID-19 and North Carolina saw the decrease in out-of-school suspensions in PSUs across the state contributed to most PSUs not meeting the minimum cell size requirements for this indicator."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4AFA24F3" w14:textId="77777777" w:rsidR="00380FBB" w:rsidRPr="00781112" w:rsidRDefault="00380FBB"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35E087DA" w14:textId="77777777" w:rsidR="00380FBB" w:rsidRPr="00781112" w:rsidRDefault="00380FBB"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17.86%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17.86%</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327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17.86%</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For Indicator 4b, North Carolina's definition of "significant discrepancy" with regard to suspensions/expulsions for students with IEPs is greater than 2.5x the rate of suspensions/expulsions of students without IEPs and a minimum Cell Size of &gt; 5 SWD in each racial ethnic group.</w:t>
      </w:r>
      <w:r w:rsidRPr="00781112">
        <w:rPr>
          <w:rFonts w:cs="Arial"/>
          <w:color w:val="000000" w:themeColor="text1"/>
          <w:szCs w:val="16"/>
        </w:rPr>
        <w:br/>
        <w:t>Significant Discrepancy Definition Rate Ratio Method – For Each Racial/Ethnic Group</w:t>
      </w:r>
      <w:r w:rsidRPr="00781112">
        <w:rPr>
          <w:rFonts w:cs="Arial"/>
          <w:color w:val="000000" w:themeColor="text1"/>
          <w:szCs w:val="16"/>
        </w:rPr>
        <w:br/>
      </w:r>
      <w:r w:rsidRPr="00781112">
        <w:rPr>
          <w:rFonts w:cs="Arial"/>
          <w:color w:val="000000" w:themeColor="text1"/>
          <w:szCs w:val="16"/>
        </w:rPr>
        <w:br/>
        <w:t>Step 1:Calculate % of Students with Disabilities Suspended/Expelled &gt; 10 Days by PSU and Race</w:t>
      </w:r>
      <w:r w:rsidRPr="00781112">
        <w:rPr>
          <w:rFonts w:cs="Arial"/>
          <w:color w:val="000000" w:themeColor="text1"/>
          <w:szCs w:val="16"/>
        </w:rPr>
        <w:br/>
        <w:t>((RACE)Special Ed Students Suspended/Expelled &gt; 10 days/(RACE)Special Ed Students in PSU)= PSU SWD %</w:t>
      </w:r>
      <w:r w:rsidRPr="00781112">
        <w:rPr>
          <w:rFonts w:cs="Arial"/>
          <w:color w:val="000000" w:themeColor="text1"/>
          <w:szCs w:val="16"/>
        </w:rPr>
        <w:br/>
      </w:r>
      <w:r w:rsidRPr="00781112">
        <w:rPr>
          <w:rFonts w:cs="Arial"/>
          <w:color w:val="000000" w:themeColor="text1"/>
          <w:szCs w:val="16"/>
        </w:rPr>
        <w:br/>
        <w:t xml:space="preserve">Step 2: Calculate % of Non-Disabled Students Suspended/Expelled &gt; 10 Days by PSU </w:t>
      </w:r>
      <w:r w:rsidRPr="00781112">
        <w:rPr>
          <w:rFonts w:cs="Arial"/>
          <w:color w:val="000000" w:themeColor="text1"/>
          <w:szCs w:val="16"/>
        </w:rPr>
        <w:br/>
        <w:t xml:space="preserve">General Ed Students Suspended &gt; 10 days/General Ed Students in PSU)= PSU Non-SWD % </w:t>
      </w:r>
      <w:r w:rsidRPr="00781112">
        <w:rPr>
          <w:rFonts w:cs="Arial"/>
          <w:color w:val="000000" w:themeColor="text1"/>
          <w:szCs w:val="16"/>
        </w:rPr>
        <w:br/>
      </w:r>
      <w:r w:rsidRPr="00781112">
        <w:rPr>
          <w:rFonts w:cs="Arial"/>
          <w:color w:val="000000" w:themeColor="text1"/>
          <w:szCs w:val="16"/>
        </w:rPr>
        <w:br/>
        <w:t>Step 3: Calculate Rate Ratio by PSU:</w:t>
      </w:r>
      <w:r w:rsidRPr="00781112">
        <w:rPr>
          <w:rFonts w:cs="Arial"/>
          <w:color w:val="000000" w:themeColor="text1"/>
          <w:szCs w:val="16"/>
        </w:rPr>
        <w:br/>
        <w:t>(PSU % of (RACE) SWD Suspended &gt; 10 days /PSU % of Non-SWD Suspended &gt; 10 days) = PSU Rate Ratio</w:t>
      </w:r>
      <w:r w:rsidRPr="00781112">
        <w:rPr>
          <w:rFonts w:cs="Arial"/>
          <w:color w:val="000000" w:themeColor="text1"/>
          <w:szCs w:val="16"/>
        </w:rPr>
        <w:br/>
      </w:r>
      <w:r w:rsidRPr="00781112">
        <w:rPr>
          <w:rFonts w:cs="Arial"/>
          <w:color w:val="000000" w:themeColor="text1"/>
          <w:szCs w:val="16"/>
        </w:rPr>
        <w:br/>
        <w:t>Step 4: Determine Cell Size for 4B: &gt; 5 SWD Suspended/ Expelled by Race/Ethnicity &gt; 10 days</w:t>
      </w:r>
      <w:r w:rsidRPr="00781112">
        <w:rPr>
          <w:rFonts w:cs="Arial"/>
          <w:color w:val="000000" w:themeColor="text1"/>
          <w:szCs w:val="16"/>
        </w:rPr>
        <w:br/>
      </w:r>
      <w:r w:rsidRPr="00781112">
        <w:rPr>
          <w:rFonts w:cs="Arial"/>
          <w:color w:val="000000" w:themeColor="text1"/>
          <w:szCs w:val="16"/>
        </w:rPr>
        <w:br/>
        <w:t>Step 5: Determine Significant Discrepancy: PSUs with Rate Ratio &gt; 2.5 (Percent of SWD Suspended/Expelled &gt; 10 days is at least 2.5 x greater than the Percent of non-disabled Suspended/Expelled &gt; 10 days</w:t>
      </w:r>
      <w:r w:rsidRPr="00781112">
        <w:rPr>
          <w:rFonts w:cs="Arial"/>
          <w:color w:val="000000" w:themeColor="text1"/>
          <w:szCs w:val="16"/>
        </w:rPr>
        <w:br/>
      </w:r>
      <w:r w:rsidRPr="00781112">
        <w:rPr>
          <w:rFonts w:cs="Arial"/>
          <w:color w:val="000000" w:themeColor="text1"/>
          <w:szCs w:val="16"/>
        </w:rPr>
        <w:br/>
        <w:t>Step 6: Calculate 4b Significant Discrepancy: Percent of districts that have a significant discrepancy in the rate of suspensions and expulsions of greater than 10 days in a school year for children with IEPs by each of the seven Race/Ethnicity categories.</w:t>
      </w:r>
      <w:r w:rsidRPr="00781112">
        <w:rPr>
          <w:rFonts w:cs="Arial"/>
          <w:color w:val="000000" w:themeColor="text1"/>
          <w:szCs w:val="16"/>
        </w:rPr>
        <w:br/>
        <w:t>(# of Districts with Rate Ratio &gt; 2.5 the rate of suspensions/expulsions of Non-SWD/# of Districts in the state with &gt;5 SWD SUSPENDED Expelled by Race)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SY 2020-21 most schools were fully virtual due to COVID-19 and North Carolina saw the decrease in out-of-school suspensions in PSUs across the state contributed to most PSUs not meeting the minimum cell size requirements for this indicator. NC analyzes all districts in Indicator 4b. Our minimum cell size is </w:t>
      </w:r>
      <w:proofErr w:type="gramStart"/>
      <w:r w:rsidRPr="00781112">
        <w:rPr>
          <w:rFonts w:cs="Arial"/>
          <w:color w:val="000000" w:themeColor="text1"/>
          <w:szCs w:val="16"/>
        </w:rPr>
        <w:t>5</w:t>
      </w:r>
      <w:proofErr w:type="gramEnd"/>
      <w:r w:rsidRPr="00781112">
        <w:rPr>
          <w:rFonts w:cs="Arial"/>
          <w:color w:val="000000" w:themeColor="text1"/>
          <w:szCs w:val="16"/>
        </w:rPr>
        <w:t xml:space="preserve"> for our accepted methodology for SWD suspended or expelled greater than 10 days. The </w:t>
      </w:r>
      <w:proofErr w:type="gramStart"/>
      <w:r w:rsidRPr="00781112">
        <w:rPr>
          <w:rFonts w:cs="Arial"/>
          <w:color w:val="000000" w:themeColor="text1"/>
          <w:szCs w:val="16"/>
        </w:rPr>
        <w:t>percent</w:t>
      </w:r>
      <w:proofErr w:type="gramEnd"/>
      <w:r w:rsidRPr="00781112">
        <w:rPr>
          <w:rFonts w:cs="Arial"/>
          <w:color w:val="000000" w:themeColor="text1"/>
          <w:szCs w:val="16"/>
        </w:rPr>
        <w:t xml:space="preserve"> included are the LEAs that met the </w:t>
      </w:r>
      <w:r w:rsidRPr="00781112">
        <w:rPr>
          <w:rFonts w:cs="Arial"/>
          <w:color w:val="000000" w:themeColor="text1"/>
          <w:szCs w:val="16"/>
        </w:rPr>
        <w:lastRenderedPageBreak/>
        <w:t xml:space="preserve">minimum cell size. North Carolina does not use a minimum N size to ensure that all its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are included to the maximum extent possible. A minimum cell size allows North Carolina to analyze its data more carefully given the number of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that have small numbers of students with disabilities in their child counts. Cell size allows for a comparison to overall child count in order to determine whether findings for this indicator are systemic in nature.</w:t>
      </w:r>
      <w:r w:rsidRPr="00781112">
        <w:rPr>
          <w:rFonts w:cs="Arial"/>
          <w:color w:val="000000" w:themeColor="text1"/>
          <w:szCs w:val="16"/>
        </w:rPr>
        <w:br/>
      </w:r>
      <w:r w:rsidRPr="00781112">
        <w:rPr>
          <w:rFonts w:cs="Arial"/>
          <w:color w:val="000000" w:themeColor="text1"/>
          <w:szCs w:val="16"/>
        </w:rPr>
        <w:br/>
        <w:t>FFY 2020 Data Note</w:t>
      </w:r>
      <w:r w:rsidRPr="00781112">
        <w:rPr>
          <w:rFonts w:cs="Arial"/>
          <w:color w:val="000000" w:themeColor="text1"/>
          <w:szCs w:val="16"/>
        </w:rPr>
        <w:br/>
        <w:t xml:space="preserve">For the 10 public school units (PSUs) identified in FFY2020 that had policies, procedure or practices that contributed to the significant discrepancy, the OEC piloted the new Indicator 4 review tool as Phase 1 of its targeted monitoring process. OEC staff provided training, targeted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met in person with the districts to use the review tool described above to ensure that the PSU was correctly implementing policies, practices and procedures related to disciplinary actions involving SWD. As a result of these intense reviews, PSUs </w:t>
      </w:r>
      <w:proofErr w:type="gramStart"/>
      <w:r w:rsidRPr="00781112">
        <w:rPr>
          <w:rFonts w:cs="Arial"/>
          <w:color w:val="000000" w:themeColor="text1"/>
          <w:szCs w:val="16"/>
        </w:rPr>
        <w:t>were given</w:t>
      </w:r>
      <w:proofErr w:type="gramEnd"/>
      <w:r w:rsidRPr="00781112">
        <w:rPr>
          <w:rFonts w:cs="Arial"/>
          <w:color w:val="000000" w:themeColor="text1"/>
          <w:szCs w:val="16"/>
        </w:rPr>
        <w:t xml:space="preserve"> recommendations on strengthening their processes. There were no findings of noncompliance. </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the FY2021 data, if a PSU had a significant discrepancy in the rate of suspensions and expulsions of greater than 10 days in a school year for children with IEPs greater than 2.5x the rate of suspensions/expulsions of students without IEPs, the EC Division analyzed data for patterns of systemically problematic policies, procedures and practices that contributed to the significant discrepancy.</w:t>
      </w:r>
      <w:r w:rsidRPr="00781112">
        <w:rPr>
          <w:rFonts w:cs="Arial"/>
          <w:color w:val="000000" w:themeColor="text1"/>
          <w:szCs w:val="16"/>
        </w:rPr>
        <w:br/>
      </w:r>
      <w:r w:rsidRPr="00781112">
        <w:rPr>
          <w:rFonts w:cs="Arial"/>
          <w:color w:val="000000" w:themeColor="text1"/>
          <w:szCs w:val="16"/>
        </w:rPr>
        <w:br/>
        <w:t xml:space="preserve">North Carolina revised its method of review of policies, procedures and practices for Indicator 4a/b. For the FY2021 APR submission, the OEC moved this review to a collaborative assessment process which includes a tool to walk </w:t>
      </w:r>
      <w:proofErr w:type="gramStart"/>
      <w:r w:rsidRPr="00781112">
        <w:rPr>
          <w:rFonts w:cs="Arial"/>
          <w:color w:val="000000" w:themeColor="text1"/>
          <w:szCs w:val="16"/>
        </w:rPr>
        <w:t>PSU’s</w:t>
      </w:r>
      <w:proofErr w:type="gramEnd"/>
      <w:r w:rsidRPr="00781112">
        <w:rPr>
          <w:rFonts w:cs="Arial"/>
          <w:color w:val="000000" w:themeColor="text1"/>
          <w:szCs w:val="16"/>
        </w:rPr>
        <w:t xml:space="preserve"> through state and IDEA requirements around discipline and disciplinary actions for SWD. The tool is intended for the PSU team to gather evidence that they are implementing the requirement, providing the needed training,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support to appropriate parties and that the process of carrying out the requirement in the school or individual instance is done with fidelity. The OEC has conducted an analysis of discipline data and identified PSUs required to complete submission of a guided, collaborative, assessment review that includes coaching and conversations with OEC staff. All PSUs in the state </w:t>
      </w:r>
      <w:proofErr w:type="gramStart"/>
      <w:r w:rsidRPr="00781112">
        <w:rPr>
          <w:rFonts w:cs="Arial"/>
          <w:color w:val="000000" w:themeColor="text1"/>
          <w:szCs w:val="16"/>
        </w:rPr>
        <w:t>were trained</w:t>
      </w:r>
      <w:proofErr w:type="gramEnd"/>
      <w:r w:rsidRPr="00781112">
        <w:rPr>
          <w:rFonts w:cs="Arial"/>
          <w:color w:val="000000" w:themeColor="text1"/>
          <w:szCs w:val="16"/>
        </w:rPr>
        <w:t xml:space="preserve"> in use of the review process tools in the Spring of 2022 with follow up training and technical assistance provided to identified PSUs. Face to face meetings with PSU teams and OEC teams </w:t>
      </w:r>
      <w:proofErr w:type="gramStart"/>
      <w:r w:rsidRPr="00781112">
        <w:rPr>
          <w:rFonts w:cs="Arial"/>
          <w:color w:val="000000" w:themeColor="text1"/>
          <w:szCs w:val="16"/>
        </w:rPr>
        <w:t>were conducted</w:t>
      </w:r>
      <w:proofErr w:type="gramEnd"/>
      <w:r w:rsidRPr="00781112">
        <w:rPr>
          <w:rFonts w:cs="Arial"/>
          <w:color w:val="000000" w:themeColor="text1"/>
          <w:szCs w:val="16"/>
        </w:rPr>
        <w:t xml:space="preserve"> in Spring/Summer of 2022. PSUs were encouraged to select a team of individuals to conduct the review that includes individuals from cross disciplines, such as district and school administrators, EC Directors, Curriculum Leads, Equity Officers, MTSS Coordinators, guidance counselor, social worker, special education teacher, general education teacher, parent of a student with a disability and a school psychologist. OEC staff teams were cross sectional and </w:t>
      </w:r>
      <w:proofErr w:type="gramStart"/>
      <w:r w:rsidRPr="00781112">
        <w:rPr>
          <w:rFonts w:cs="Arial"/>
          <w:color w:val="000000" w:themeColor="text1"/>
          <w:szCs w:val="16"/>
        </w:rPr>
        <w:t>included,</w:t>
      </w:r>
      <w:proofErr w:type="gramEnd"/>
      <w:r w:rsidRPr="00781112">
        <w:rPr>
          <w:rFonts w:cs="Arial"/>
          <w:color w:val="000000" w:themeColor="text1"/>
          <w:szCs w:val="16"/>
        </w:rPr>
        <w:t xml:space="preserve"> leadership team members on each team and Integrated Academic &amp; Behavior Systems (IABS) consultants.</w:t>
      </w:r>
      <w:r w:rsidRPr="00781112">
        <w:rPr>
          <w:rFonts w:cs="Arial"/>
          <w:color w:val="000000" w:themeColor="text1"/>
          <w:szCs w:val="16"/>
        </w:rPr>
        <w:br/>
      </w:r>
      <w:r w:rsidRPr="00781112">
        <w:rPr>
          <w:rFonts w:cs="Arial"/>
          <w:color w:val="000000" w:themeColor="text1"/>
          <w:szCs w:val="16"/>
        </w:rPr>
        <w:br/>
        <w:t>The review tool includes the following instructions and activities:</w:t>
      </w:r>
      <w:r w:rsidRPr="00781112">
        <w:rPr>
          <w:rFonts w:cs="Arial"/>
          <w:color w:val="000000" w:themeColor="text1"/>
          <w:szCs w:val="16"/>
        </w:rPr>
        <w:br/>
        <w:t>Review the district’s written procedures for Discipline. Determine if administrators and teachers are complying with all the components of the Discipline Regulations (</w:t>
      </w:r>
      <w:proofErr w:type="gramStart"/>
      <w:r w:rsidRPr="00781112">
        <w:rPr>
          <w:rFonts w:cs="Arial"/>
          <w:color w:val="000000" w:themeColor="text1"/>
          <w:szCs w:val="16"/>
        </w:rPr>
        <w:t>i.e.</w:t>
      </w:r>
      <w:proofErr w:type="gramEnd"/>
      <w:r w:rsidRPr="00781112">
        <w:rPr>
          <w:rFonts w:cs="Arial"/>
          <w:color w:val="000000" w:themeColor="text1"/>
          <w:szCs w:val="16"/>
        </w:rPr>
        <w:t xml:space="preserve"> Parent notification, manifestation determinations, change of placement). Determine if students with disabilities of all racial and ethnic groups, and particularly students of the identified group(s), are disciplined equitably.</w:t>
      </w:r>
      <w:r w:rsidRPr="00781112">
        <w:rPr>
          <w:rFonts w:cs="Arial"/>
          <w:color w:val="000000" w:themeColor="text1"/>
          <w:szCs w:val="16"/>
        </w:rPr>
        <w:br/>
        <w:t>NC 1504-2 Discipline Procedures</w:t>
      </w:r>
      <w:r w:rsidRPr="00781112">
        <w:rPr>
          <w:rFonts w:cs="Arial"/>
          <w:color w:val="000000" w:themeColor="text1"/>
          <w:szCs w:val="16"/>
        </w:rPr>
        <w:br/>
        <w:t>NC 1504-2 Authority of School Personnel</w:t>
      </w:r>
      <w:r w:rsidRPr="00781112">
        <w:rPr>
          <w:rFonts w:cs="Arial"/>
          <w:color w:val="000000" w:themeColor="text1"/>
          <w:szCs w:val="16"/>
        </w:rPr>
        <w:br/>
        <w:t>Guidance Manual for Homebound Placement</w:t>
      </w:r>
      <w:r w:rsidRPr="00781112">
        <w:rPr>
          <w:rFonts w:cs="Arial"/>
          <w:color w:val="000000" w:themeColor="text1"/>
          <w:szCs w:val="16"/>
        </w:rPr>
        <w:br/>
        <w:t>North Carolina School Discipline Laws and Regulations - March 2021</w:t>
      </w:r>
      <w:r w:rsidRPr="00781112">
        <w:rPr>
          <w:rFonts w:cs="Arial"/>
          <w:color w:val="000000" w:themeColor="text1"/>
          <w:szCs w:val="16"/>
        </w:rPr>
        <w:br/>
      </w:r>
      <w:r w:rsidRPr="00781112">
        <w:rPr>
          <w:rFonts w:cs="Arial"/>
          <w:color w:val="000000" w:themeColor="text1"/>
          <w:szCs w:val="16"/>
        </w:rPr>
        <w:br/>
        <w:t xml:space="preserve">Phase 2 of the targeted monitoring process, beginning in the Spring/Summer of 2023 and continuing, includes a student record review protocol to ensure that the PSUs are implementing its policies, practices, and procedures in compliance with the requirements. During Phase 2, PSUs that have practices that are determined to be noncompliant will be issued a finding with a corresponding corrective action timeline and a verification process to ensure that the practice determined to be noncompliant </w:t>
      </w:r>
      <w:proofErr w:type="gramStart"/>
      <w:r w:rsidRPr="00781112">
        <w:rPr>
          <w:rFonts w:cs="Arial"/>
          <w:color w:val="000000" w:themeColor="text1"/>
          <w:szCs w:val="16"/>
        </w:rPr>
        <w:t>is corrected</w:t>
      </w:r>
      <w:proofErr w:type="gramEnd"/>
      <w:r w:rsidRPr="00781112">
        <w:rPr>
          <w:rFonts w:cs="Arial"/>
          <w:color w:val="000000" w:themeColor="text1"/>
          <w:szCs w:val="16"/>
        </w:rPr>
        <w:t xml:space="preserve"> and determined not ongoing. Phase 2 of the targeted monitoring process complies with the requirements of the 09-02 Memorandum.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w:t>
      </w:r>
      <w:r w:rsidRPr="00781112">
        <w:rPr>
          <w:rFonts w:cs="Arial"/>
          <w:color w:val="000000" w:themeColor="text1"/>
          <w:szCs w:val="16"/>
        </w:rPr>
        <w:lastRenderedPageBreak/>
        <w:t>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After significant internal and external stakeholder input, the NC OEC provided multiple statewide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on Indicators 4, 9 and 10 and the new review process related to these Indicators. The NC OES teams met in person with PSU teams in each district that was identified as having Significant Discrepancy in FFY 2020 and completed a review process of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This review required the PSUs to submit </w:t>
      </w:r>
      <w:proofErr w:type="gramStart"/>
      <w:r w:rsidRPr="00781112">
        <w:rPr>
          <w:rFonts w:cs="Arial"/>
          <w:color w:val="000000" w:themeColor="text1"/>
          <w:szCs w:val="16"/>
        </w:rPr>
        <w:t>evidences</w:t>
      </w:r>
      <w:proofErr w:type="gramEnd"/>
      <w:r w:rsidRPr="00781112">
        <w:rPr>
          <w:rFonts w:cs="Arial"/>
          <w:color w:val="000000" w:themeColor="text1"/>
          <w:szCs w:val="16"/>
        </w:rPr>
        <w:t xml:space="preserve"> of meeting state and federal policies in their local policies, practices and procedures. Recommendations for systemic improvements around disciplinary practices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to the districts during the collaborative review process</w:t>
      </w:r>
      <w:proofErr w:type="gramStart"/>
      <w:r w:rsidRPr="00781112">
        <w:rPr>
          <w:rFonts w:cs="Arial"/>
          <w:color w:val="000000" w:themeColor="text1"/>
          <w:szCs w:val="16"/>
        </w:rPr>
        <w:t xml:space="preserve"> however</w:t>
      </w:r>
      <w:proofErr w:type="gramEnd"/>
      <w:r w:rsidRPr="00781112">
        <w:rPr>
          <w:rFonts w:cs="Arial"/>
          <w:color w:val="000000" w:themeColor="text1"/>
          <w:szCs w:val="16"/>
        </w:rPr>
        <w:t xml:space="preserve"> no district was identified with findings of noncompliance.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recognizes the State reported, "SY 2020-21 most schools were fully virtual due to COVID-19 and North Carolina saw the decrease in out-of-school suspensions in PSUs across the state contributed to most PSUs not meeting the minimum cell size requirements for this indicator."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68.70%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66.85%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67.51%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68.70%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12.03%</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12.03%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1.68%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1.68%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68.75%</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68.80%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68.85%</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68.90%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68.95%</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12.00%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12.00%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11.50%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11.50%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11.25%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1.63%</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1.58%</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1.53%</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1.48%</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1.43%</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0536875C" w14:textId="77777777" w:rsidR="00380FBB" w:rsidRDefault="00380FBB">
      <w:pPr>
        <w:spacing w:before="0" w:after="200" w:line="276" w:lineRule="auto"/>
        <w:rPr>
          <w:b/>
          <w:color w:val="000000" w:themeColor="text1"/>
        </w:rPr>
      </w:pPr>
      <w:r>
        <w:rPr>
          <w:b/>
          <w:color w:val="000000" w:themeColor="text1"/>
        </w:rPr>
        <w:br w:type="page"/>
      </w:r>
    </w:p>
    <w:p w14:paraId="4D7BF763" w14:textId="01C888D8"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184,459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128,437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21,299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1,644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195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804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128,437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184,459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69.63%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21,299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184,459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12.03%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11.55%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2,643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184,459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B7E5CD7" w14:textId="17F39371" w:rsidR="004A4803" w:rsidRPr="00380FBB" w:rsidRDefault="006C575D" w:rsidP="004369B2">
      <w:pPr>
        <w:rPr>
          <w:b/>
          <w:color w:val="000000" w:themeColor="text1"/>
        </w:rPr>
      </w:pPr>
      <w:r w:rsidRPr="00781112">
        <w:rPr>
          <w:b/>
          <w:color w:val="000000" w:themeColor="text1"/>
        </w:rPr>
        <w:t>Provide additional information about this indicator (optional)</w:t>
      </w: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2BC6DDF2" w14:textId="073D5D9E" w:rsidR="00380FBB" w:rsidRDefault="00380FBB">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35527AAE" w14:textId="766C174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p w14:paraId="65C6363F" w14:textId="77777777" w:rsidR="00380FBB" w:rsidRPr="00781112" w:rsidRDefault="00380FBB" w:rsidP="00BB7BC9">
      <w:pPr>
        <w:rPr>
          <w:rFonts w:cs="Arial"/>
          <w:color w:val="000000" w:themeColor="text1"/>
          <w:szCs w:val="16"/>
        </w:rPr>
      </w:pP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37.30%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37.60%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29.64%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35.86%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34.93%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34.64%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30.59%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29.64%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19.70%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19.40%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19.40%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26.84%</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21.73%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21.91%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23.74%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26.84%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3B5740C0" w:rsidR="0059735F" w:rsidRPr="00781112" w:rsidRDefault="0059735F" w:rsidP="0059735F">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lastRenderedPageBreak/>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29.64%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26.84%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29.60%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29.70%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29.80%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29.90%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26.25%</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26.00%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25.75%</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25.50%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25.25%</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2.40%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2.35%</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2.30%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2.25%</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3,406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5,676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1,728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10,810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695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1,855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651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3,201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1,200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1,439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363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3,002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49</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77</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152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93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209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462EC6DB" w14:textId="77777777" w:rsidR="00380FBB" w:rsidRDefault="00380FBB">
      <w:pPr>
        <w:spacing w:before="0" w:after="200" w:line="276" w:lineRule="auto"/>
        <w:rPr>
          <w:b/>
          <w:bCs/>
          <w:color w:val="000000" w:themeColor="text1"/>
        </w:rPr>
      </w:pPr>
      <w:r>
        <w:rPr>
          <w:b/>
          <w:bCs/>
          <w:color w:val="000000" w:themeColor="text1"/>
        </w:rPr>
        <w:br w:type="page"/>
      </w:r>
    </w:p>
    <w:p w14:paraId="0F42B2F6" w14:textId="68B6C19E"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3,201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10,810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29.64%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29.60%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29.61%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3,155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10,810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26.84%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26.25%</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29.19%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209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10,810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2.42%</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2.40%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1.93%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6B Slippage: For FFY2021, PSUs reported that more children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as having intensive needs than in previous years. PSUs shared that this increase seems related to fewer children ages 0-3 receiving regular healthcare and educational services during the height of the COVID-19 pandemic as well as a lack of identification at an earlier age. Factors impacting these circumstances included lockdowns, community </w:t>
      </w:r>
      <w:proofErr w:type="gramStart"/>
      <w:r w:rsidRPr="00781112">
        <w:rPr>
          <w:rFonts w:cs="Arial"/>
          <w:color w:val="000000" w:themeColor="text1"/>
          <w:szCs w:val="16"/>
        </w:rPr>
        <w:t>child care</w:t>
      </w:r>
      <w:proofErr w:type="gramEnd"/>
      <w:r w:rsidRPr="00781112">
        <w:rPr>
          <w:rFonts w:cs="Arial"/>
          <w:color w:val="000000" w:themeColor="text1"/>
          <w:szCs w:val="16"/>
        </w:rPr>
        <w:t xml:space="preserve"> centers with restricted access and/or closures, virtual health appointments, family choice, etc.</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82.55%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84.04%</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82.34%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84.85%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84.82%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84.77%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35.20%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35.50%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38.16%</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35.08%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34.73%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37.90%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38.72%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38.02%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83.67%</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82.52%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83.27%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83.64%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38.50%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34.24%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37.40%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38.10%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37.93%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82.51%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81.81%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84.01%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83.55%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82.99%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54.35%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52.05%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50.69%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54.12%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53.30%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84.28%</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84.48%</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84.68%</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84.88%</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85.08%</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38.56%</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38.96%</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39.36%</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39.76%</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40.16%</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84.07%</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84.47%</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84.87%</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85.27%</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85.67%</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38.90%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39.30%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39.70%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40.10%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40.50%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82.91%</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83.31%</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83.71%</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84.11%</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84.51%</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54.75%</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55.11%</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55.55%</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55.95%</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56.35%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5,696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68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1.19%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756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13.27%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2,702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47.44%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1,749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30.71%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421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7.39%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w:t>
            </w:r>
            <w:r w:rsidRPr="00781112">
              <w:rPr>
                <w:rFonts w:cs="Arial"/>
                <w:color w:val="000000" w:themeColor="text1"/>
                <w:szCs w:val="16"/>
              </w:rPr>
              <w:lastRenderedPageBreak/>
              <w:t xml:space="preserve">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4,451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5,275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84.77%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84.28%</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84.38%</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2,170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5,696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38.02%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38.56%</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38.10%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69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1.21%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789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13.85%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2,666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46.80%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1,801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31.62%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371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6.51%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4,467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5,325</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83.64%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84.07%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83.89%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2,172</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37.93%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38.90%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38.13%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74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1.30%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740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12.99%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1,882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33.04%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2,141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37.59%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859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15.08%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4,023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4,837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82.99%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82.91%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83.17%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53.30%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54.75%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52.67%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Public School Units (PSUs) used the Child Outcomes Summary Form (COSF) to collect "entry" and "exit" data regarding outcomes for preschool children aged 3 through 5 with IEPs. PSUs then submitted their data using </w:t>
      </w:r>
      <w:proofErr w:type="gramStart"/>
      <w:r w:rsidRPr="00781112">
        <w:rPr>
          <w:rFonts w:cs="Arial"/>
          <w:color w:val="000000" w:themeColor="text1"/>
          <w:szCs w:val="16"/>
        </w:rPr>
        <w:t>the Every</w:t>
      </w:r>
      <w:proofErr w:type="gramEnd"/>
      <w:r w:rsidRPr="00781112">
        <w:rPr>
          <w:rFonts w:cs="Arial"/>
          <w:color w:val="000000" w:themeColor="text1"/>
          <w:szCs w:val="16"/>
        </w:rPr>
        <w:t xml:space="preserve"> Child Accountability and Tracking System (ECATS), the State's accountability/reporting system that includes a required module for reporting for students with disabilities. All data </w:t>
      </w:r>
      <w:proofErr w:type="gramStart"/>
      <w:r w:rsidRPr="00781112">
        <w:rPr>
          <w:rFonts w:cs="Arial"/>
          <w:color w:val="000000" w:themeColor="text1"/>
          <w:szCs w:val="16"/>
        </w:rPr>
        <w:t>was populated</w:t>
      </w:r>
      <w:proofErr w:type="gramEnd"/>
      <w:r w:rsidRPr="00781112">
        <w:rPr>
          <w:rFonts w:cs="Arial"/>
          <w:color w:val="000000" w:themeColor="text1"/>
          <w:szCs w:val="16"/>
        </w:rPr>
        <w:t xml:space="preserve"> to the ECO COSF form to further validate the data and allow follow-up, if needed, with PSUs.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North Carolina has measures in place for improving outcomes for all children. Extensive training to understand the outcomes is ongoing. Training </w:t>
      </w:r>
      <w:proofErr w:type="gramStart"/>
      <w:r w:rsidRPr="00781112">
        <w:rPr>
          <w:rFonts w:cs="Arial"/>
          <w:color w:val="000000" w:themeColor="text1"/>
          <w:szCs w:val="16"/>
        </w:rPr>
        <w:t>is regularly provided</w:t>
      </w:r>
      <w:proofErr w:type="gramEnd"/>
      <w:r w:rsidRPr="00781112">
        <w:rPr>
          <w:rFonts w:cs="Arial"/>
          <w:color w:val="000000" w:themeColor="text1"/>
          <w:szCs w:val="16"/>
        </w:rPr>
        <w:t xml:space="preserve"> throughout the year, formalized and through self-paced modules. One of the most widely used tools by PSUs to evaluate student progress is the Teaching Strategies Gold, a system for assessing children from birth through kindergarten. Our cross-sector partners at the Department of Health and Human Services (DHHS) Division of Child Development and Early Education (DCDEE), along with the Office of Early Learning at the NC Department of Public Instruction have been in collaboration to coordinate efforts to bring Teaching Strategies Gold to all preschools classrooms. To further support preschool children with disabilities and their families, NCDPI has partnered with the North Carolina Early Learning Network (ELN), providing early learning communities with professional development and technical assistance based on guiding principles and values, aligned </w:t>
      </w:r>
      <w:proofErr w:type="gramStart"/>
      <w:r w:rsidRPr="00781112">
        <w:rPr>
          <w:rFonts w:cs="Arial"/>
          <w:color w:val="000000" w:themeColor="text1"/>
          <w:szCs w:val="16"/>
        </w:rPr>
        <w:t>with</w:t>
      </w:r>
      <w:proofErr w:type="gramEnd"/>
      <w:r w:rsidRPr="00781112">
        <w:rPr>
          <w:rFonts w:cs="Arial"/>
          <w:color w:val="000000" w:themeColor="text1"/>
          <w:szCs w:val="16"/>
        </w:rPr>
        <w:t xml:space="preserve"> and reported in the State Performance Plan/Annual Performance Report. ELN promotes the development and successful participation of North Carolina’s preschool-age exceptional children in a broad range of activities and contexts. Preschool coordinators have access to multi-tiered levels of support and facilitated cross-sector professional development. Program support focuses on expanding skills and increased family participation to improve the performance and success of preschool children in North Carolina. Additionally, NC is receiving TA support from the Collaborative for Academic, Social, and Emotional Learning (CASEL) and ECTA/DaSy Centers. CASEL is providing targeted TA to NC to align MTSS efforts with school wide Social Emotional Learning (SEL) efforts. NC is also currently in a cross-state cohort focusing on improving local Child Outcomes data use. Through the TA support, NC is identifying opportunities for improving communication and support between the state and local preschool programs to facilitate local Child Outcomes data use. The TA from ECTA/DaSy Centers will align with the NCPMI intensive TA since NC Program policy, monitoring (PPM) practices affect and support positive child outcomes. Also, aligning communication about NC PPM implementation with the communication and support focused on improving Child Outcomes data supports NC’s focus on PPM implementation and scale-up efforts as a strategy for supporting Child Outcomes for children enrolled in preschool programs.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Default="00DF5951" w:rsidP="009C74BD">
      <w:r>
        <w:t xml:space="preserve">States </w:t>
      </w:r>
      <w:proofErr w:type="gramStart"/>
      <w:r>
        <w:t>are encouraged</w:t>
      </w:r>
      <w:proofErr w:type="gramEnd"/>
      <w:r>
        <w:t xml:space="preserve"> to work in collaboration with their OSEP-funded parent centers in collecting data.</w:t>
      </w:r>
    </w:p>
    <w:p w14:paraId="5FCF3D88" w14:textId="77777777" w:rsidR="00380FBB" w:rsidRPr="00781112" w:rsidRDefault="00380FBB" w:rsidP="009C74BD">
      <w:pPr>
        <w:rPr>
          <w:rFonts w:cs="Arial"/>
          <w:szCs w:val="16"/>
        </w:rPr>
      </w:pP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339F3968" w14:textId="1D4AA342" w:rsidR="008B600B" w:rsidRDefault="00487CBD" w:rsidP="004369B2">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04E19BFB" w14:textId="77777777" w:rsidR="00380FBB" w:rsidRPr="00781112" w:rsidRDefault="00380FB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45.17%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45.17%</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43.43%</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44.24%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43.98%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49.36%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45.17%</w:t>
            </w:r>
          </w:p>
        </w:tc>
      </w:tr>
    </w:tbl>
    <w:p w14:paraId="0E2D4617" w14:textId="77777777" w:rsidR="000417B4" w:rsidRDefault="000417B4" w:rsidP="004369B2">
      <w:pPr>
        <w:rPr>
          <w:color w:val="000000" w:themeColor="text1"/>
        </w:rPr>
      </w:pPr>
    </w:p>
    <w:p w14:paraId="7AF6698F" w14:textId="77777777" w:rsidR="00380FBB" w:rsidRPr="00781112" w:rsidRDefault="00380FBB" w:rsidP="004369B2">
      <w:pPr>
        <w:rPr>
          <w:color w:val="000000" w:themeColor="text1"/>
        </w:rPr>
      </w:pPr>
    </w:p>
    <w:p w14:paraId="6D8528EC" w14:textId="77777777" w:rsidR="00380FBB" w:rsidRDefault="00380FBB">
      <w:pPr>
        <w:spacing w:before="0" w:after="200" w:line="276" w:lineRule="auto"/>
        <w:rPr>
          <w:b/>
          <w:color w:val="000000" w:themeColor="text1"/>
        </w:rPr>
      </w:pPr>
      <w:r>
        <w:rPr>
          <w:b/>
          <w:color w:val="000000" w:themeColor="text1"/>
        </w:rPr>
        <w:br w:type="page"/>
      </w:r>
    </w:p>
    <w:p w14:paraId="1F4FFBFE" w14:textId="4F042826" w:rsidR="00FB6462" w:rsidRPr="00781112" w:rsidRDefault="00FB6462"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49.36%</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50.00%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51.00%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52.00%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53.00%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1,808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3,729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45.17%</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49.36%</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48.48%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North Carolina Department of Public Instruction (NCDPI) used a 17-item survey with a Likert scale for responses.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items were previously developed and validated by the National Center for Special Education Accountability (NCSEAM) as part of a 25-item survey for parents of children ages 5-21. For parents of preschool children, NCDPI used a corresponding 17-item survey with a Likert scale for responses.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items were previously developed and validated by the National Center for Special Education Accountability (NCSEAM) as part of a 25-item survey for parents of preschool children. Each family selected to participate in the annual sample </w:t>
      </w:r>
      <w:proofErr w:type="gramStart"/>
      <w:r w:rsidRPr="00781112">
        <w:rPr>
          <w:rFonts w:cs="Arial"/>
          <w:color w:val="000000" w:themeColor="text1"/>
          <w:szCs w:val="16"/>
        </w:rPr>
        <w:t>is sent</w:t>
      </w:r>
      <w:proofErr w:type="gramEnd"/>
      <w:r w:rsidRPr="00781112">
        <w:rPr>
          <w:rFonts w:cs="Arial"/>
          <w:color w:val="000000" w:themeColor="text1"/>
          <w:szCs w:val="16"/>
        </w:rPr>
        <w:t xml:space="preserve"> a letter explaining the importance of the survey and guaranteeing the confidentiality of the parent’s responses. The letter includes a web-based link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to complete the survey. Parents also have the option of receiving a printed copy of the survey to complete and return. The items on each survey were fully equated so that they have the same meaning, the same standard applies, and measures from the two surveys can be and were aggregated by NCDPI.</w:t>
      </w:r>
      <w:r w:rsidRPr="00781112">
        <w:rPr>
          <w:rFonts w:cs="Arial"/>
          <w:color w:val="000000" w:themeColor="text1"/>
          <w:szCs w:val="16"/>
        </w:rPr>
        <w:br/>
        <w:t xml:space="preserve">When analyzing and reporting the data, North Carolina used a percentage calculation of parents' responses of "strongly agree" and "very strongly agree" for a simple majority of survey items indicating their perception that schools facilitated their involvement. The calculation was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the standard used in previous years for the 25-item survey and yielded similar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85,032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4.39%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4.65%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4.39%</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OEC will work with PSUs to ensure that pre-survey highlights </w:t>
      </w:r>
      <w:proofErr w:type="gramStart"/>
      <w:r w:rsidRPr="0061205F">
        <w:rPr>
          <w:rFonts w:cs="Arial"/>
          <w:bCs/>
          <w:color w:val="000000" w:themeColor="text1"/>
          <w:szCs w:val="16"/>
        </w:rPr>
        <w:t>are included</w:t>
      </w:r>
      <w:proofErr w:type="gramEnd"/>
      <w:r w:rsidRPr="0061205F">
        <w:rPr>
          <w:rFonts w:cs="Arial"/>
          <w:bCs/>
          <w:color w:val="000000" w:themeColor="text1"/>
          <w:szCs w:val="16"/>
        </w:rPr>
        <w:t xml:space="preserve"> in newsletters and via email to notify parents of the coming survey. There is also consideration from the OEC to provide parents with the link to the survey instrument at the annual review in the sample districts. This face-to-face interaction at the time of the meeting may increase responses from underrepresented populations. For example, parents with limited access to the internet could have an opportunity to complete surveys after meetings, and families who may need a translator who might already be present for the meeting would have them available. In addition, the OEC is collaborating with parent advocacy groups across the state to include notices of the surveys and instructions on how to complete the survey for parents in their native language. Currently the surveys are available in both English and Spanish however the OEC is working to make them available in other languages.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OEC staff analyzed the non-response data to determine the subgroups where parents of SWD were not responding. In FY2021 the districts in the sample </w:t>
      </w:r>
      <w:proofErr w:type="gramStart"/>
      <w:r>
        <w:rPr>
          <w:rFonts w:cs="Arial"/>
          <w:szCs w:val="16"/>
        </w:rPr>
        <w:t>were instructed</w:t>
      </w:r>
      <w:proofErr w:type="gramEnd"/>
      <w:r>
        <w:rPr>
          <w:rFonts w:cs="Arial"/>
          <w:szCs w:val="16"/>
        </w:rPr>
        <w:t xml:space="preserve"> to send letters with links to the survey instrument to their entire special education student population on the December child count to elicit a wider range of responses from parents. In the Spring of 2022, the OEC also held training webinars for districts with tips and practices to increase parent engagement, including various communication methods, use of district staff and local school meetings to encourage responses to the survey. To increase responses among Hispanic parents, the OEC provided form letters to the PSUs which included QR codes for easy access to the survey instrument in both English and Spanish. </w:t>
      </w:r>
      <w:r>
        <w:rPr>
          <w:rFonts w:cs="Arial"/>
          <w:szCs w:val="16"/>
        </w:rPr>
        <w:br/>
        <w:t xml:space="preserve">The OEC will implement a process to monitor responses as they come in and increase efforts to include subgroups of non-responders. The OEC has completed an analysis of the rate of engagement by subgroups to assess </w:t>
      </w:r>
      <w:proofErr w:type="gramStart"/>
      <w:r>
        <w:rPr>
          <w:rFonts w:cs="Arial"/>
          <w:szCs w:val="16"/>
        </w:rPr>
        <w:t>significance</w:t>
      </w:r>
      <w:proofErr w:type="gramEnd"/>
      <w:r>
        <w:rPr>
          <w:rFonts w:cs="Arial"/>
          <w:szCs w:val="16"/>
        </w:rPr>
        <w:t xml:space="preserve"> of differences in response rates when controlling for the state </w:t>
      </w:r>
      <w:proofErr w:type="gramStart"/>
      <w:r>
        <w:rPr>
          <w:rFonts w:cs="Arial"/>
          <w:szCs w:val="16"/>
        </w:rPr>
        <w:t>population..</w:t>
      </w:r>
      <w:proofErr w:type="gramEnd"/>
      <w:r>
        <w:rPr>
          <w:rFonts w:cs="Arial"/>
          <w:szCs w:val="16"/>
        </w:rPr>
        <w:t xml:space="preserve"> The OEC is exploring the option with the Indicator 8 data analysis contractor of applying weighting to assess overall responses in parent involvement and </w:t>
      </w:r>
      <w:proofErr w:type="gramStart"/>
      <w:r>
        <w:rPr>
          <w:rFonts w:cs="Arial"/>
          <w:szCs w:val="16"/>
        </w:rPr>
        <w:t>in order to</w:t>
      </w:r>
      <w:proofErr w:type="gramEnd"/>
      <w:r>
        <w:rPr>
          <w:rFonts w:cs="Arial"/>
          <w:szCs w:val="16"/>
        </w:rPr>
        <w:t xml:space="preserve"> assess for the potential of nonresponse bias.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A total of 85032 parent surveys (school-age and preschool) </w:t>
      </w:r>
      <w:proofErr w:type="gramStart"/>
      <w:r w:rsidRPr="000A2B9F">
        <w:rPr>
          <w:bCs/>
          <w:color w:val="000000" w:themeColor="text1"/>
        </w:rPr>
        <w:t>were instructed</w:t>
      </w:r>
      <w:proofErr w:type="gramEnd"/>
      <w:r w:rsidRPr="000A2B9F">
        <w:rPr>
          <w:bCs/>
          <w:color w:val="000000" w:themeColor="text1"/>
        </w:rPr>
        <w:t xml:space="preserve"> to be distributed among PSUs in the sample. A total of 3729 surveys </w:t>
      </w:r>
      <w:proofErr w:type="gramStart"/>
      <w:r w:rsidRPr="000A2B9F">
        <w:rPr>
          <w:bCs/>
          <w:color w:val="000000" w:themeColor="text1"/>
        </w:rPr>
        <w:t>were completed</w:t>
      </w:r>
      <w:proofErr w:type="gramEnd"/>
      <w:r w:rsidRPr="000A2B9F">
        <w:rPr>
          <w:bCs/>
          <w:color w:val="000000" w:themeColor="text1"/>
        </w:rPr>
        <w:t xml:space="preserve"> and returned for a response rate of 4.39% which was lower than the previous year.</w:t>
      </w:r>
      <w:r w:rsidRPr="000A2B9F">
        <w:rPr>
          <w:bCs/>
          <w:color w:val="000000" w:themeColor="text1"/>
        </w:rPr>
        <w:br/>
      </w:r>
      <w:r w:rsidRPr="000A2B9F">
        <w:rPr>
          <w:bCs/>
          <w:color w:val="000000" w:themeColor="text1"/>
        </w:rPr>
        <w:lastRenderedPageBreak/>
        <w:br/>
        <w:t>a) Distribution by Race</w:t>
      </w:r>
      <w:r w:rsidRPr="000A2B9F">
        <w:rPr>
          <w:bCs/>
          <w:color w:val="000000" w:themeColor="text1"/>
        </w:rPr>
        <w:br/>
        <w:t xml:space="preserve">The OEC analyzed the Indicator 8 sample data by race. In FY2021 White students </w:t>
      </w:r>
      <w:proofErr w:type="gramStart"/>
      <w:r w:rsidRPr="000A2B9F">
        <w:rPr>
          <w:bCs/>
          <w:color w:val="000000" w:themeColor="text1"/>
        </w:rPr>
        <w:t>were underrepresented</w:t>
      </w:r>
      <w:proofErr w:type="gramEnd"/>
      <w:r w:rsidRPr="000A2B9F">
        <w:rPr>
          <w:bCs/>
          <w:color w:val="000000" w:themeColor="text1"/>
        </w:rPr>
        <w:t xml:space="preserve"> by 6%. In North Carolina in the past, Black students have been underrepresented, however in FY2021, </w:t>
      </w:r>
      <w:proofErr w:type="gramStart"/>
      <w:r w:rsidRPr="000A2B9F">
        <w:rPr>
          <w:bCs/>
          <w:color w:val="000000" w:themeColor="text1"/>
        </w:rPr>
        <w:t>black</w:t>
      </w:r>
      <w:proofErr w:type="gramEnd"/>
      <w:r w:rsidRPr="000A2B9F">
        <w:rPr>
          <w:bCs/>
          <w:color w:val="000000" w:themeColor="text1"/>
        </w:rPr>
        <w:t xml:space="preserve"> students were overrepresented by 4.5%. North Carolina has increased representation for black students by instructing </w:t>
      </w:r>
      <w:proofErr w:type="gramStart"/>
      <w:r w:rsidRPr="000A2B9F">
        <w:rPr>
          <w:bCs/>
          <w:color w:val="000000" w:themeColor="text1"/>
        </w:rPr>
        <w:t>PSU’s</w:t>
      </w:r>
      <w:proofErr w:type="gramEnd"/>
      <w:r w:rsidRPr="000A2B9F">
        <w:rPr>
          <w:bCs/>
          <w:color w:val="000000" w:themeColor="text1"/>
        </w:rPr>
        <w:t xml:space="preserve"> to send survey links to their entire child count.</w:t>
      </w:r>
      <w:r w:rsidRPr="000A2B9F">
        <w:rPr>
          <w:bCs/>
          <w:color w:val="000000" w:themeColor="text1"/>
        </w:rPr>
        <w:br/>
      </w:r>
      <w:r w:rsidRPr="000A2B9F">
        <w:rPr>
          <w:bCs/>
          <w:color w:val="000000" w:themeColor="text1"/>
        </w:rPr>
        <w:br/>
        <w:t>For respondents, parents of Black students were underrepresented by 9.87% while parents of Hispanic students were underrepresented by 5.31%. Parents of white students were overrepresented by 13.12%.</w:t>
      </w:r>
      <w:r w:rsidRPr="000A2B9F">
        <w:rPr>
          <w:bCs/>
          <w:color w:val="000000" w:themeColor="text1"/>
        </w:rPr>
        <w:br/>
      </w:r>
      <w:r w:rsidRPr="000A2B9F">
        <w:rPr>
          <w:bCs/>
          <w:color w:val="000000" w:themeColor="text1"/>
        </w:rPr>
        <w:br/>
        <w:t>b) Distribution by Disability Category</w:t>
      </w:r>
      <w:r w:rsidRPr="000A2B9F">
        <w:rPr>
          <w:bCs/>
          <w:color w:val="000000" w:themeColor="text1"/>
        </w:rPr>
        <w:br/>
        <w:t>The OEC analyzed the Indicator 8 sample and response data by disability category.</w:t>
      </w:r>
      <w:r w:rsidRPr="000A2B9F">
        <w:rPr>
          <w:bCs/>
          <w:color w:val="000000" w:themeColor="text1"/>
        </w:rPr>
        <w:br/>
      </w:r>
      <w:r w:rsidRPr="000A2B9F">
        <w:rPr>
          <w:bCs/>
          <w:color w:val="000000" w:themeColor="text1"/>
        </w:rPr>
        <w:br/>
        <w:t xml:space="preserve">In North Carolina in the past, students with other health impairments, and specific learning disabilities were under-represented. </w:t>
      </w:r>
      <w:proofErr w:type="gramStart"/>
      <w:r w:rsidRPr="000A2B9F">
        <w:rPr>
          <w:bCs/>
          <w:color w:val="000000" w:themeColor="text1"/>
        </w:rPr>
        <w:t>Also</w:t>
      </w:r>
      <w:proofErr w:type="gramEnd"/>
      <w:r w:rsidRPr="000A2B9F">
        <w:rPr>
          <w:bCs/>
          <w:color w:val="000000" w:themeColor="text1"/>
        </w:rPr>
        <w:t xml:space="preserve"> students in other disability categories were slightly over-represented, however in FY2021, students by disability were not over or underrepresented. North Carolina has increased representativeness for all students by instructing PSU’s to send survey links to their entire child count.</w:t>
      </w:r>
      <w:r w:rsidRPr="000A2B9F">
        <w:rPr>
          <w:bCs/>
          <w:color w:val="000000" w:themeColor="text1"/>
        </w:rPr>
        <w:br/>
      </w:r>
      <w:r w:rsidRPr="000A2B9F">
        <w:rPr>
          <w:bCs/>
          <w:color w:val="000000" w:themeColor="text1"/>
        </w:rPr>
        <w:br/>
        <w:t xml:space="preserve">For respondents, parent responders of students with Autism (11%), Multiple Disabilities (5.5%) and Speech Language Impairment (3.08%) were overrepresented while parents of students with Learning Disabilities (18.3%) and Other Health Impairments (8.4%) were underrepresented. There were also 3.4% of respondents who chose not to report disability. Percentage points over and </w:t>
      </w:r>
      <w:proofErr w:type="gramStart"/>
      <w:r w:rsidRPr="000A2B9F">
        <w:rPr>
          <w:bCs/>
          <w:color w:val="000000" w:themeColor="text1"/>
        </w:rPr>
        <w:t>under represented</w:t>
      </w:r>
      <w:proofErr w:type="gramEnd"/>
      <w:r w:rsidRPr="000A2B9F">
        <w:rPr>
          <w:bCs/>
          <w:color w:val="000000" w:themeColor="text1"/>
        </w:rPr>
        <w:t xml:space="preserve"> are noted after each disability category. </w:t>
      </w:r>
      <w:r w:rsidRPr="000A2B9F">
        <w:rPr>
          <w:bCs/>
          <w:color w:val="000000" w:themeColor="text1"/>
        </w:rPr>
        <w:br/>
      </w:r>
      <w:r w:rsidRPr="000A2B9F">
        <w:rPr>
          <w:bCs/>
          <w:color w:val="000000" w:themeColor="text1"/>
        </w:rPr>
        <w:br/>
        <w:t xml:space="preserve">*Difference (percentage points) between the percentage of surveys distributed and the percentage of responders in the sample who completed the survey. The acceptable range of over/under-representation is +/-3 percentage points and </w:t>
      </w:r>
      <w:proofErr w:type="gramStart"/>
      <w:r w:rsidRPr="000A2B9F">
        <w:rPr>
          <w:bCs/>
          <w:color w:val="000000" w:themeColor="text1"/>
        </w:rPr>
        <w:t>was used</w:t>
      </w:r>
      <w:proofErr w:type="gramEnd"/>
      <w:r w:rsidRPr="000A2B9F">
        <w:rPr>
          <w:bCs/>
          <w:color w:val="000000" w:themeColor="text1"/>
        </w:rPr>
        <w:t xml:space="preserve"> to determine representativeness.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A comparison of the respondents in the annual sample to the representative survey distribution, suggests that certain response groups, as noted in the section about the State's analyses, did not match the representative sample surveyed indicating non-response bias in certain race and disability types. However, these percentages </w:t>
      </w:r>
      <w:proofErr w:type="gramStart"/>
      <w:r w:rsidRPr="000A2B9F">
        <w:rPr>
          <w:b w:val="0"/>
          <w:bCs/>
          <w:color w:val="000000" w:themeColor="text1"/>
        </w:rPr>
        <w:t>were impacted</w:t>
      </w:r>
      <w:proofErr w:type="gramEnd"/>
      <w:r w:rsidRPr="000A2B9F">
        <w:rPr>
          <w:b w:val="0"/>
          <w:bCs/>
          <w:color w:val="000000" w:themeColor="text1"/>
        </w:rPr>
        <w:t xml:space="preserve"> by the fact that parents selected the race/ethnicity and disability category of their children rather than tracking surveys to identify students/children. Thus, survey responses may not directly correspond to the race/ethnicity or disability category of the children </w:t>
      </w:r>
      <w:proofErr w:type="gramStart"/>
      <w:r w:rsidRPr="000A2B9F">
        <w:rPr>
          <w:b w:val="0"/>
          <w:bCs/>
          <w:color w:val="000000" w:themeColor="text1"/>
        </w:rPr>
        <w:t>and also</w:t>
      </w:r>
      <w:proofErr w:type="gramEnd"/>
      <w:r w:rsidRPr="000A2B9F">
        <w:rPr>
          <w:b w:val="0"/>
          <w:bCs/>
          <w:color w:val="000000" w:themeColor="text1"/>
        </w:rPr>
        <w:t xml:space="preserve"> account for missing information when a parent chose not to respond to the questions about race/ethnicity or disability category. For future surveys, the State will consider the possibility of tracking surveys to identified students/children in the sample.</w:t>
      </w:r>
      <w:r w:rsidRPr="000A2B9F">
        <w:rPr>
          <w:b w:val="0"/>
          <w:bCs/>
          <w:color w:val="000000" w:themeColor="text1"/>
        </w:rPr>
        <w:br/>
      </w:r>
      <w:r w:rsidRPr="000A2B9F">
        <w:rPr>
          <w:b w:val="0"/>
          <w:bCs/>
          <w:color w:val="000000" w:themeColor="text1"/>
        </w:rPr>
        <w:br/>
        <w:t xml:space="preserve">In addition, North Carolina is working with the SSIP Stakeholder and Family Engagement workgroup to analyze the FY 2020 and FY 2021 Indicator 8 survey data and reports to engage families and districts in use of the data. The NC SSIP Stakeholder and Family engagement workgroup has developed resources and tools to share with families to reduce bias and promote response from a broad cross section of parents of children with disabilities. These resources include an infographic explaining Indicator 8 data, how it </w:t>
      </w:r>
      <w:proofErr w:type="gramStart"/>
      <w:r w:rsidRPr="000A2B9F">
        <w:rPr>
          <w:b w:val="0"/>
          <w:bCs/>
          <w:color w:val="000000" w:themeColor="text1"/>
        </w:rPr>
        <w:t>is used</w:t>
      </w:r>
      <w:proofErr w:type="gramEnd"/>
      <w:r w:rsidRPr="000A2B9F">
        <w:rPr>
          <w:b w:val="0"/>
          <w:bCs/>
          <w:color w:val="000000" w:themeColor="text1"/>
        </w:rPr>
        <w:t xml:space="preserve"> for improvement and why parents should submit a response and the importance of submitting valid responses. In </w:t>
      </w:r>
      <w:proofErr w:type="gramStart"/>
      <w:r w:rsidRPr="000A2B9F">
        <w:rPr>
          <w:b w:val="0"/>
          <w:bCs/>
          <w:color w:val="000000" w:themeColor="text1"/>
        </w:rPr>
        <w:t>the FY2022</w:t>
      </w:r>
      <w:proofErr w:type="gramEnd"/>
      <w:r w:rsidRPr="000A2B9F">
        <w:rPr>
          <w:b w:val="0"/>
          <w:bCs/>
          <w:color w:val="000000" w:themeColor="text1"/>
        </w:rPr>
        <w:t xml:space="preserve">, Information about Indicator 8 will </w:t>
      </w:r>
      <w:proofErr w:type="gramStart"/>
      <w:r w:rsidRPr="000A2B9F">
        <w:rPr>
          <w:b w:val="0"/>
          <w:bCs/>
          <w:color w:val="000000" w:themeColor="text1"/>
        </w:rPr>
        <w:t>be shared</w:t>
      </w:r>
      <w:proofErr w:type="gramEnd"/>
      <w:r w:rsidRPr="000A2B9F">
        <w:rPr>
          <w:b w:val="0"/>
          <w:bCs/>
          <w:color w:val="000000" w:themeColor="text1"/>
        </w:rPr>
        <w:t xml:space="preserve"> through Parent newsletters from the department and from district and school level list serves. The OEC will work with </w:t>
      </w:r>
      <w:proofErr w:type="gramStart"/>
      <w:r w:rsidRPr="000A2B9F">
        <w:rPr>
          <w:b w:val="0"/>
          <w:bCs/>
          <w:color w:val="000000" w:themeColor="text1"/>
        </w:rPr>
        <w:t>PSU’s</w:t>
      </w:r>
      <w:proofErr w:type="gramEnd"/>
      <w:r w:rsidRPr="000A2B9F">
        <w:rPr>
          <w:b w:val="0"/>
          <w:bCs/>
          <w:color w:val="000000" w:themeColor="text1"/>
        </w:rPr>
        <w:t xml:space="preserve"> to ensure that pre-survey highlights are included in newsletters and via email to notify parents of the coming survey. There is also consideration from the OEC to provide parents with the link to the survey instrument at the annual review in the sample districts. This face-to-face interaction at the time of the meeting may increase responses from underrepresented populations. The OEC is also collaborating with parent advocacy groups across the state to include notices of the surveys and instructions on how to complete the survey for parents in their native language.</w:t>
      </w:r>
      <w:r w:rsidRPr="000A2B9F">
        <w:rPr>
          <w:b w:val="0"/>
          <w:bCs/>
          <w:color w:val="000000" w:themeColor="text1"/>
        </w:rPr>
        <w:br/>
      </w:r>
      <w:r w:rsidRPr="000A2B9F">
        <w:rPr>
          <w:b w:val="0"/>
          <w:bCs/>
          <w:color w:val="000000" w:themeColor="text1"/>
        </w:rPr>
        <w:br/>
        <w:t xml:space="preserve">In December of 2022, the OEC met with stakeholders to discuss moving to census data collection rather than sampling for Indicator 8. This potential change would include a required checkbox on the IEP ensuring that parents </w:t>
      </w:r>
      <w:proofErr w:type="gramStart"/>
      <w:r w:rsidRPr="000A2B9F">
        <w:rPr>
          <w:b w:val="0"/>
          <w:bCs/>
          <w:color w:val="000000" w:themeColor="text1"/>
        </w:rPr>
        <w:t>were provided</w:t>
      </w:r>
      <w:proofErr w:type="gramEnd"/>
      <w:r w:rsidRPr="000A2B9F">
        <w:rPr>
          <w:b w:val="0"/>
          <w:bCs/>
          <w:color w:val="000000" w:themeColor="text1"/>
        </w:rPr>
        <w:t xml:space="preserve"> an opportunity to respond to the survey at the end of an annual review or Initial IEP. As of the date of the SPP/APR submission, stakeholders have positively reacted to changing to census collection for this indicator not only to increase ease of use and understanding between PSU staff and parent stakeholders but to decrease non-response bias and increase accuracy and validity of the survey responses.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*Difference (percentage points) between the percentage of surveys distributed and the percentage of responders in the sample who completed the survey. The acceptable range of over/under-representation is typically +/-3 percentage points and </w:t>
      </w:r>
      <w:proofErr w:type="gramStart"/>
      <w:r w:rsidRPr="000A2B9F">
        <w:rPr>
          <w:b w:val="0"/>
          <w:bCs/>
        </w:rPr>
        <w:t>was used</w:t>
      </w:r>
      <w:proofErr w:type="gramEnd"/>
      <w:r w:rsidRPr="000A2B9F">
        <w:rPr>
          <w:b w:val="0"/>
          <w:bCs/>
        </w:rPr>
        <w:t xml:space="preserve"> to determine representativeness. Some percentages may not add to </w:t>
      </w:r>
      <w:proofErr w:type="gramStart"/>
      <w:r w:rsidRPr="000A2B9F">
        <w:rPr>
          <w:b w:val="0"/>
          <w:bCs/>
        </w:rPr>
        <w:t>100</w:t>
      </w:r>
      <w:proofErr w:type="gramEnd"/>
      <w:r w:rsidRPr="000A2B9F">
        <w:rPr>
          <w:b w:val="0"/>
          <w:bCs/>
        </w:rPr>
        <w:t xml:space="preserve"> due to rounding.</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North Carolina conducts an OSEP approved sampling of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(PSUs), charter schools and State-Operated Programs (SOPs). A sampling calculator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establish representative samples through </w:t>
      </w:r>
      <w:proofErr w:type="gramStart"/>
      <w:r w:rsidRPr="00781112">
        <w:rPr>
          <w:rFonts w:cs="Arial"/>
          <w:color w:val="000000" w:themeColor="text1"/>
          <w:szCs w:val="16"/>
        </w:rPr>
        <w:t>fiscal</w:t>
      </w:r>
      <w:proofErr w:type="gramEnd"/>
      <w:r w:rsidRPr="00781112">
        <w:rPr>
          <w:rFonts w:cs="Arial"/>
          <w:color w:val="000000" w:themeColor="text1"/>
          <w:szCs w:val="16"/>
        </w:rPr>
        <w:t xml:space="preserve"> year 2025-26. PSU level information </w:t>
      </w:r>
      <w:proofErr w:type="gramStart"/>
      <w:r w:rsidRPr="00781112">
        <w:rPr>
          <w:rFonts w:cs="Arial"/>
          <w:color w:val="000000" w:themeColor="text1"/>
          <w:szCs w:val="16"/>
        </w:rPr>
        <w:t>was entered</w:t>
      </w:r>
      <w:proofErr w:type="gramEnd"/>
      <w:r w:rsidRPr="00781112">
        <w:rPr>
          <w:rFonts w:cs="Arial"/>
          <w:color w:val="000000" w:themeColor="text1"/>
          <w:szCs w:val="16"/>
        </w:rPr>
        <w:t xml:space="preserve"> into the Sampling Calculator and a sampling of PSUs, based on a multi-way cluster model, was produced. Samples were equivalent for size of PSU, percentage of males and females, students with disabilities, and minority race. All PSUs </w:t>
      </w:r>
      <w:proofErr w:type="gramStart"/>
      <w:r w:rsidRPr="00781112">
        <w:rPr>
          <w:rFonts w:cs="Arial"/>
          <w:color w:val="000000" w:themeColor="text1"/>
          <w:szCs w:val="16"/>
        </w:rPr>
        <w:t>are sampled</w:t>
      </w:r>
      <w:proofErr w:type="gramEnd"/>
      <w:r w:rsidRPr="00781112">
        <w:rPr>
          <w:rFonts w:cs="Arial"/>
          <w:color w:val="000000" w:themeColor="text1"/>
          <w:szCs w:val="16"/>
        </w:rPr>
        <w:t xml:space="preserve"> at least once every five years. The five PSUs with an Average Daily Membership (ADM) of 50,000 or more are sampled each year with certain high schools selected on a five (5) year </w:t>
      </w:r>
      <w:proofErr w:type="gramStart"/>
      <w:r w:rsidRPr="00781112">
        <w:rPr>
          <w:rFonts w:cs="Arial"/>
          <w:color w:val="000000" w:themeColor="text1"/>
          <w:szCs w:val="16"/>
        </w:rPr>
        <w:t>rotation..</w:t>
      </w:r>
      <w:proofErr w:type="gramEnd"/>
      <w:r w:rsidRPr="00781112">
        <w:rPr>
          <w:rFonts w:cs="Arial"/>
          <w:color w:val="000000" w:themeColor="text1"/>
          <w:szCs w:val="16"/>
        </w:rPr>
        <w:t xml:space="preserve"> For each PSU in the sample, PSUs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include all students with IEPs who were on the December 2021 child count.</w:t>
      </w:r>
      <w:r w:rsidRPr="00781112">
        <w:rPr>
          <w:rFonts w:cs="Arial"/>
          <w:color w:val="000000" w:themeColor="text1"/>
          <w:szCs w:val="16"/>
        </w:rPr>
        <w:br/>
      </w:r>
      <w:r w:rsidRPr="00781112">
        <w:rPr>
          <w:rFonts w:cs="Arial"/>
          <w:color w:val="000000" w:themeColor="text1"/>
          <w:szCs w:val="16"/>
        </w:rPr>
        <w:br/>
        <w:t xml:space="preserve">As noted above, in December of 2022, the OEC met with stakeholders to discuss moving to census data collection rather than sampling for Indicator 8. This potential change would include a required checkbox on the IEP ensuring that parents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an opportunity to respond to the survey at the end of an annual review or Initial IEP. As of the date of the SPP/APR submission, stakeholders have positively reacted to changing to census collection for this indicator not only to increase ease of use and understanding between PSU staff and parent stakeholders but to decrease non-response bias and </w:t>
      </w:r>
      <w:r w:rsidRPr="00781112">
        <w:rPr>
          <w:rFonts w:cs="Arial"/>
          <w:color w:val="000000" w:themeColor="text1"/>
          <w:szCs w:val="16"/>
        </w:rPr>
        <w:lastRenderedPageBreak/>
        <w:t xml:space="preserve">increase accuracy and validity of the survey responses. North Carolina anticipates moving to annual review/IEP collection in the 2023-24 school year however the decision on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to move fully to reporting census or continuing with the PSU sample has not been confirmed.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 xml:space="preserve">In the FFY 2021 SPP/APR, the State must analyze the response rate to identify potential non-response bias and identify steps taken to reduce any identified bias to promote response from a broad cross section of parents of children with disabilities, as required by the Measurement Table.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North Carolina addressed representativeness and potential non-response bias and described the analysis of each in the FY2021 SPP/APR</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4A0A4386" w14:textId="77777777" w:rsidR="00380FBB" w:rsidRDefault="00380FBB">
      <w:pPr>
        <w:rPr>
          <w:b/>
          <w:color w:val="000000" w:themeColor="text1"/>
        </w:rPr>
      </w:pPr>
    </w:p>
    <w:p w14:paraId="0AFC7BFC" w14:textId="77777777" w:rsidR="00380FBB" w:rsidRDefault="00380FBB">
      <w:pPr>
        <w:rPr>
          <w:b/>
          <w:color w:val="000000" w:themeColor="text1"/>
        </w:rPr>
      </w:pPr>
    </w:p>
    <w:p w14:paraId="77101B89" w14:textId="06CD3F27"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323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In North Carolina, disproportionate representation of racial and ethnic groups in special education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risk ratio of =&gt; 3.0. The minimum n-size is </w:t>
      </w:r>
      <w:proofErr w:type="gramStart"/>
      <w:r w:rsidRPr="00781112">
        <w:rPr>
          <w:rFonts w:cs="Arial"/>
          <w:color w:val="000000" w:themeColor="text1"/>
          <w:szCs w:val="16"/>
        </w:rPr>
        <w:t>30</w:t>
      </w:r>
      <w:proofErr w:type="gramEnd"/>
      <w:r w:rsidRPr="00781112">
        <w:rPr>
          <w:rFonts w:cs="Arial"/>
          <w:color w:val="000000" w:themeColor="text1"/>
          <w:szCs w:val="16"/>
        </w:rPr>
        <w:t xml:space="preserve"> and minimum cell size is 10.</w:t>
      </w:r>
      <w:r w:rsidRPr="00781112">
        <w:rPr>
          <w:rFonts w:cs="Arial"/>
          <w:color w:val="000000" w:themeColor="text1"/>
          <w:szCs w:val="16"/>
        </w:rPr>
        <w:br/>
      </w:r>
      <w:r w:rsidRPr="00781112">
        <w:rPr>
          <w:rFonts w:cs="Arial"/>
          <w:color w:val="000000" w:themeColor="text1"/>
          <w:szCs w:val="16"/>
        </w:rPr>
        <w:br/>
        <w:t xml:space="preserve">For students aged 5 and in Kindergarten through age 21, NC uses one year of data, the current year for the target and comparison group being examined. The target group is SWD in the child count in the racial/ethnic group </w:t>
      </w:r>
      <w:proofErr w:type="gramStart"/>
      <w:r w:rsidRPr="00781112">
        <w:rPr>
          <w:rFonts w:cs="Arial"/>
          <w:color w:val="000000" w:themeColor="text1"/>
          <w:szCs w:val="16"/>
        </w:rPr>
        <w:t>being analyzed</w:t>
      </w:r>
      <w:proofErr w:type="gramEnd"/>
      <w:r w:rsidRPr="00781112">
        <w:rPr>
          <w:rFonts w:cs="Arial"/>
          <w:color w:val="000000" w:themeColor="text1"/>
          <w:szCs w:val="16"/>
        </w:rPr>
        <w:t xml:space="preserve"> and the comparison group is total enrollment for all other racial/ethnic groups.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Rules: </w:t>
      </w:r>
      <w:r w:rsidRPr="00781112">
        <w:rPr>
          <w:rFonts w:cs="Arial"/>
          <w:color w:val="000000" w:themeColor="text1"/>
          <w:szCs w:val="16"/>
        </w:rPr>
        <w:br/>
        <w:t>If there are fewer than 10 students in the target group for a PSU and less than 30 for a particular race no calculation is computed.</w:t>
      </w:r>
      <w:r w:rsidRPr="00781112">
        <w:rPr>
          <w:rFonts w:cs="Arial"/>
          <w:color w:val="000000" w:themeColor="text1"/>
          <w:szCs w:val="16"/>
        </w:rPr>
        <w:br/>
        <w:t>When minimum cell and n sizes are met for both target and comparison groups, a Weighted Risk Ratio is computed.</w:t>
      </w:r>
      <w:r w:rsidRPr="00781112">
        <w:rPr>
          <w:rFonts w:cs="Arial"/>
          <w:color w:val="000000" w:themeColor="text1"/>
          <w:szCs w:val="16"/>
        </w:rPr>
        <w:br/>
        <w:t>When minimum cell and n sizes are met by the target group but the minimum cell and/or n sizes are not met by the comparison group an Alternate Risk Ratio is computed.</w:t>
      </w:r>
      <w:r w:rsidRPr="00781112">
        <w:rPr>
          <w:rFonts w:cs="Arial"/>
          <w:color w:val="000000" w:themeColor="text1"/>
          <w:szCs w:val="16"/>
        </w:rPr>
        <w:br/>
      </w:r>
      <w:r w:rsidRPr="00781112">
        <w:rPr>
          <w:rFonts w:cs="Arial"/>
          <w:color w:val="000000" w:themeColor="text1"/>
          <w:szCs w:val="16"/>
        </w:rPr>
        <w:br/>
        <w:t>A PSU will need to complete a review of policies, practices and procedures for disproportionate representation if the calculated weighted or alternate risk ratio is 3.0 or higher for a particular racial/ethnic group in which there are at least 10 students in the special education population.</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In FY2021 North Carolina implemented a change in process at the state level to get a more </w:t>
      </w:r>
      <w:proofErr w:type="gramStart"/>
      <w:r w:rsidRPr="00781112">
        <w:rPr>
          <w:rFonts w:cs="Arial"/>
          <w:color w:val="000000" w:themeColor="text1"/>
          <w:szCs w:val="16"/>
        </w:rPr>
        <w:t>in depth</w:t>
      </w:r>
      <w:proofErr w:type="gramEnd"/>
      <w:r w:rsidRPr="00781112">
        <w:rPr>
          <w:rFonts w:cs="Arial"/>
          <w:color w:val="000000" w:themeColor="text1"/>
          <w:szCs w:val="16"/>
        </w:rPr>
        <w:t xml:space="preserve"> view of how PSUs are identifying students with disabilities. All PSUs with disproportionate representation were required to participate in a collaborative review of policies, practices and procedures and meet face to face with OEC staff.</w:t>
      </w:r>
      <w:r w:rsidRPr="00781112">
        <w:rPr>
          <w:rFonts w:cs="Arial"/>
          <w:color w:val="000000" w:themeColor="text1"/>
          <w:szCs w:val="16"/>
        </w:rPr>
        <w:br/>
      </w:r>
      <w:r w:rsidRPr="00781112">
        <w:rPr>
          <w:rFonts w:cs="Arial"/>
          <w:color w:val="000000" w:themeColor="text1"/>
          <w:szCs w:val="16"/>
        </w:rPr>
        <w:br/>
        <w:t xml:space="preserve">During the review process, OEC staff made recommendations on systemic changes the PSU should make </w:t>
      </w:r>
      <w:proofErr w:type="gramStart"/>
      <w:r w:rsidRPr="00781112">
        <w:rPr>
          <w:rFonts w:cs="Arial"/>
          <w:color w:val="000000" w:themeColor="text1"/>
          <w:szCs w:val="16"/>
        </w:rPr>
        <w:t>in regards to</w:t>
      </w:r>
      <w:proofErr w:type="gramEnd"/>
      <w:r w:rsidRPr="00781112">
        <w:rPr>
          <w:rFonts w:cs="Arial"/>
          <w:color w:val="000000" w:themeColor="text1"/>
          <w:szCs w:val="16"/>
        </w:rPr>
        <w:t xml:space="preserve"> policies, procedures, training, monitoring and evaluation of SWD. PSUs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progress towards these recommendations prior to Jan 2023.</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6C7DDF6" w14:textId="77777777" w:rsidR="00380FBB" w:rsidRPr="00781112" w:rsidRDefault="00380FBB"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2.90%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2.90%</w:t>
            </w:r>
          </w:p>
        </w:tc>
      </w:tr>
      <w:bookmarkEnd w:id="56"/>
      <w:bookmarkEnd w:id="57"/>
    </w:tbl>
    <w:p w14:paraId="1840A66A" w14:textId="77777777" w:rsidR="00BA687C" w:rsidRDefault="00BA687C" w:rsidP="004369B2">
      <w:pPr>
        <w:rPr>
          <w:color w:val="000000" w:themeColor="text1"/>
        </w:rPr>
      </w:pPr>
    </w:p>
    <w:p w14:paraId="648961B9" w14:textId="77777777" w:rsidR="00380FBB" w:rsidRPr="00781112" w:rsidRDefault="00380FBB"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323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2.90%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In North Carolina, disproportionate representation of racial and ethnic groups in special education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risk ratio of =&gt; 3.0. The minimum n-size is 30 and minimum cell size is 10.</w:t>
      </w:r>
      <w:r w:rsidRPr="00781112">
        <w:rPr>
          <w:rFonts w:cs="Arial"/>
          <w:color w:val="000000" w:themeColor="text1"/>
          <w:szCs w:val="16"/>
        </w:rPr>
        <w:br/>
      </w:r>
      <w:r w:rsidRPr="00781112">
        <w:rPr>
          <w:rFonts w:cs="Arial"/>
          <w:color w:val="000000" w:themeColor="text1"/>
          <w:szCs w:val="16"/>
        </w:rPr>
        <w:br/>
        <w:t>For Indicator 10:</w:t>
      </w:r>
      <w:r w:rsidRPr="00781112">
        <w:rPr>
          <w:rFonts w:cs="Arial"/>
          <w:color w:val="000000" w:themeColor="text1"/>
          <w:szCs w:val="16"/>
        </w:rPr>
        <w:br/>
        <w:t>Six major disability categories are examined.</w:t>
      </w:r>
      <w:r w:rsidRPr="00781112">
        <w:rPr>
          <w:rFonts w:cs="Arial"/>
          <w:color w:val="000000" w:themeColor="text1"/>
          <w:szCs w:val="16"/>
        </w:rPr>
        <w:br/>
        <w:t>Intellectual Disability (IDMI, IDMO, IDSE)</w:t>
      </w:r>
      <w:r w:rsidRPr="00781112">
        <w:rPr>
          <w:rFonts w:cs="Arial"/>
          <w:color w:val="000000" w:themeColor="text1"/>
          <w:szCs w:val="16"/>
        </w:rPr>
        <w:br/>
        <w:t>Specific Learning Disability (LD)</w:t>
      </w:r>
      <w:r w:rsidRPr="00781112">
        <w:rPr>
          <w:rFonts w:cs="Arial"/>
          <w:color w:val="000000" w:themeColor="text1"/>
          <w:szCs w:val="16"/>
        </w:rPr>
        <w:br/>
        <w:t>Speech and/or Language Impairment (SI)</w:t>
      </w:r>
      <w:r w:rsidRPr="00781112">
        <w:rPr>
          <w:rFonts w:cs="Arial"/>
          <w:color w:val="000000" w:themeColor="text1"/>
          <w:szCs w:val="16"/>
        </w:rPr>
        <w:br/>
        <w:t>Emotional Disability (ED)</w:t>
      </w:r>
      <w:r w:rsidRPr="00781112">
        <w:rPr>
          <w:rFonts w:cs="Arial"/>
          <w:color w:val="000000" w:themeColor="text1"/>
          <w:szCs w:val="16"/>
        </w:rPr>
        <w:br/>
        <w:t>Other Health Impairment (OH)</w:t>
      </w:r>
      <w:r w:rsidRPr="00781112">
        <w:rPr>
          <w:rFonts w:cs="Arial"/>
          <w:color w:val="000000" w:themeColor="text1"/>
          <w:szCs w:val="16"/>
        </w:rPr>
        <w:br/>
        <w:t>Autism (AU)</w:t>
      </w:r>
      <w:r w:rsidRPr="00781112">
        <w:rPr>
          <w:rFonts w:cs="Arial"/>
          <w:color w:val="000000" w:themeColor="text1"/>
          <w:szCs w:val="16"/>
        </w:rPr>
        <w:br/>
      </w:r>
      <w:r w:rsidRPr="00781112">
        <w:rPr>
          <w:rFonts w:cs="Arial"/>
          <w:color w:val="000000" w:themeColor="text1"/>
          <w:szCs w:val="16"/>
        </w:rPr>
        <w:br/>
        <w:t xml:space="preserve">For students aged 5 and in Kindergarten through age 21, NC uses one year of data, the current year for the target and comparison group being examined. </w:t>
      </w:r>
      <w:r w:rsidRPr="00781112">
        <w:rPr>
          <w:rFonts w:cs="Arial"/>
          <w:color w:val="000000" w:themeColor="text1"/>
          <w:szCs w:val="16"/>
        </w:rPr>
        <w:br/>
        <w:t xml:space="preserve">Target group is Child Count by PSU: # of SWD in the disability category </w:t>
      </w:r>
      <w:proofErr w:type="gramStart"/>
      <w:r w:rsidRPr="00781112">
        <w:rPr>
          <w:rFonts w:cs="Arial"/>
          <w:color w:val="000000" w:themeColor="text1"/>
          <w:szCs w:val="16"/>
        </w:rPr>
        <w:t>being examined</w:t>
      </w:r>
      <w:proofErr w:type="gramEnd"/>
      <w:r w:rsidRPr="00781112">
        <w:rPr>
          <w:rFonts w:cs="Arial"/>
          <w:color w:val="000000" w:themeColor="text1"/>
          <w:szCs w:val="16"/>
        </w:rPr>
        <w:t xml:space="preserve"> in the racial/ethnic group being analyzed </w:t>
      </w:r>
      <w:r w:rsidRPr="00781112">
        <w:rPr>
          <w:rFonts w:cs="Arial"/>
          <w:color w:val="000000" w:themeColor="text1"/>
          <w:szCs w:val="16"/>
        </w:rPr>
        <w:br/>
        <w:t xml:space="preserve">Comparison group is Enrollment by PSU: total enrollment by all other racial/ethnic groups. </w:t>
      </w:r>
      <w:r w:rsidRPr="00781112">
        <w:rPr>
          <w:rFonts w:cs="Arial"/>
          <w:color w:val="000000" w:themeColor="text1"/>
          <w:szCs w:val="16"/>
        </w:rPr>
        <w:br/>
      </w:r>
      <w:r w:rsidRPr="00781112">
        <w:rPr>
          <w:rFonts w:cs="Arial"/>
          <w:color w:val="000000" w:themeColor="text1"/>
          <w:szCs w:val="16"/>
        </w:rPr>
        <w:br/>
        <w:t xml:space="preserve">Rules: </w:t>
      </w:r>
      <w:r w:rsidRPr="00781112">
        <w:rPr>
          <w:rFonts w:cs="Arial"/>
          <w:color w:val="000000" w:themeColor="text1"/>
          <w:szCs w:val="16"/>
        </w:rPr>
        <w:br/>
        <w:t>If there are fewer than 10 students in the target group for a PSU and less than 30 for a particular race no calculation is computed.</w:t>
      </w:r>
      <w:r w:rsidRPr="00781112">
        <w:rPr>
          <w:rFonts w:cs="Arial"/>
          <w:color w:val="000000" w:themeColor="text1"/>
          <w:szCs w:val="16"/>
        </w:rPr>
        <w:br/>
        <w:t>When minimum cell and n sizes are met for both target and comparison groups, a Weighted Risk Ratio is computed.</w:t>
      </w:r>
      <w:r w:rsidRPr="00781112">
        <w:rPr>
          <w:rFonts w:cs="Arial"/>
          <w:color w:val="000000" w:themeColor="text1"/>
          <w:szCs w:val="16"/>
        </w:rPr>
        <w:br/>
        <w:t>When minimum cell and n sizes are met by the target group but the minimum cell and/or n sizes are not met by the comparison group an Alternate Risk Ratio is computed.</w:t>
      </w:r>
      <w:r w:rsidRPr="00781112">
        <w:rPr>
          <w:rFonts w:cs="Arial"/>
          <w:color w:val="000000" w:themeColor="text1"/>
          <w:szCs w:val="16"/>
        </w:rPr>
        <w:br/>
      </w:r>
      <w:r w:rsidRPr="00781112">
        <w:rPr>
          <w:rFonts w:cs="Arial"/>
          <w:color w:val="000000" w:themeColor="text1"/>
          <w:szCs w:val="16"/>
        </w:rPr>
        <w:br/>
        <w:t>A PSU will need to complete a review of policies, practices and procedures for disproportionate representation if the calculated weighted or alternate risk ratio is 3.0 or higher for a particular racial/ethnic group in which there are at least 10 students in the special education population.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In FY2021 North Carolina implemented a change in process at the state level to get a more </w:t>
      </w:r>
      <w:proofErr w:type="gramStart"/>
      <w:r w:rsidRPr="00781112">
        <w:rPr>
          <w:rFonts w:cs="Arial"/>
          <w:color w:val="000000" w:themeColor="text1"/>
          <w:szCs w:val="16"/>
        </w:rPr>
        <w:t>in depth</w:t>
      </w:r>
      <w:proofErr w:type="gramEnd"/>
      <w:r w:rsidRPr="00781112">
        <w:rPr>
          <w:rFonts w:cs="Arial"/>
          <w:color w:val="000000" w:themeColor="text1"/>
          <w:szCs w:val="16"/>
        </w:rPr>
        <w:t xml:space="preserve"> view of how PSUs are identifying students with disabilities. All PSUs with disproportionate representation were required to participate in a collaborative review of policies, practices and procedures and meet face to face with OEC staff.</w:t>
      </w:r>
      <w:r w:rsidRPr="00781112">
        <w:rPr>
          <w:rFonts w:cs="Arial"/>
          <w:color w:val="000000" w:themeColor="text1"/>
          <w:szCs w:val="16"/>
        </w:rPr>
        <w:br/>
      </w:r>
      <w:r w:rsidRPr="00781112">
        <w:rPr>
          <w:rFonts w:cs="Arial"/>
          <w:color w:val="000000" w:themeColor="text1"/>
          <w:szCs w:val="16"/>
        </w:rPr>
        <w:br/>
        <w:t>During the review process, OEC staff did not identify noncompliance however made recommendations on systemic changes the PSU should make in regards to policies, procedures, training, monitoring and evaluation of SWD. PSUs were required to submit progress towards these recommendations prior to Jan 2023.</w:t>
      </w:r>
      <w:r w:rsidRPr="00781112">
        <w:rPr>
          <w:rFonts w:cs="Arial"/>
          <w:color w:val="000000" w:themeColor="text1"/>
          <w:szCs w:val="16"/>
        </w:rPr>
        <w:br/>
      </w:r>
      <w:r w:rsidRPr="00781112">
        <w:rPr>
          <w:rFonts w:cs="Arial"/>
          <w:color w:val="000000" w:themeColor="text1"/>
          <w:szCs w:val="16"/>
        </w:rPr>
        <w:br/>
        <w:t>The OEC has analyzed the data from the review process and will create a plan in FY2022 to prioritize and address systemic issues at the state level that can be addressed via training, technical assistance and coaching to support improvement in PSUs.</w:t>
      </w:r>
      <w:r w:rsidRPr="00781112">
        <w:rPr>
          <w:rFonts w:cs="Arial"/>
          <w:color w:val="000000" w:themeColor="text1"/>
          <w:szCs w:val="16"/>
        </w:rPr>
        <w:br/>
      </w:r>
      <w:r w:rsidRPr="00781112">
        <w:rPr>
          <w:rFonts w:cs="Arial"/>
          <w:color w:val="000000" w:themeColor="text1"/>
          <w:szCs w:val="16"/>
        </w:rPr>
        <w:br/>
        <w:t xml:space="preserve">Phase 2 of the targeted monitoring process, beginning in the Spring/Summer of 2023 and continuing, includes a student record review protocol to ensure that the PSUs are implementing its policies, practices, and procedures in compliance with the requirements. During Phase 2, PSUs that have </w:t>
      </w:r>
      <w:r w:rsidRPr="00781112">
        <w:rPr>
          <w:rFonts w:cs="Arial"/>
          <w:color w:val="000000" w:themeColor="text1"/>
          <w:szCs w:val="16"/>
        </w:rPr>
        <w:lastRenderedPageBreak/>
        <w:t xml:space="preserve">practices that are determined to be noncompliant will be issued a finding with a corresponding corrective action timeline and a verification process to ensure that the practice determined to be noncompliant </w:t>
      </w:r>
      <w:proofErr w:type="gramStart"/>
      <w:r w:rsidRPr="00781112">
        <w:rPr>
          <w:rFonts w:cs="Arial"/>
          <w:color w:val="000000" w:themeColor="text1"/>
          <w:szCs w:val="16"/>
        </w:rPr>
        <w:t>is corrected</w:t>
      </w:r>
      <w:proofErr w:type="gramEnd"/>
      <w:r w:rsidRPr="00781112">
        <w:rPr>
          <w:rFonts w:cs="Arial"/>
          <w:color w:val="000000" w:themeColor="text1"/>
          <w:szCs w:val="16"/>
        </w:rPr>
        <w:t xml:space="preserve"> and determined not ongoing. Phase 2 of the targeted monitoring process complies with the requirements of the 09-02 Memorandum.</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FFY 2020 Data Note</w:t>
      </w:r>
      <w:r w:rsidRPr="00781112">
        <w:rPr>
          <w:rFonts w:cs="Arial"/>
          <w:color w:val="000000" w:themeColor="text1"/>
          <w:szCs w:val="16"/>
        </w:rPr>
        <w:br/>
      </w:r>
      <w:r w:rsidRPr="00781112">
        <w:rPr>
          <w:rFonts w:cs="Arial"/>
          <w:color w:val="000000" w:themeColor="text1"/>
          <w:szCs w:val="16"/>
        </w:rPr>
        <w:br/>
        <w:t xml:space="preserve">For the </w:t>
      </w:r>
      <w:proofErr w:type="gramStart"/>
      <w:r w:rsidRPr="00781112">
        <w:rPr>
          <w:rFonts w:cs="Arial"/>
          <w:color w:val="000000" w:themeColor="text1"/>
          <w:szCs w:val="16"/>
        </w:rPr>
        <w:t>9</w:t>
      </w:r>
      <w:proofErr w:type="gramEnd"/>
      <w:r w:rsidRPr="00781112">
        <w:rPr>
          <w:rFonts w:cs="Arial"/>
          <w:color w:val="000000" w:themeColor="text1"/>
          <w:szCs w:val="16"/>
        </w:rPr>
        <w:t xml:space="preserve"> public school units (PSUs) with disproportionate representation of racial/ethnic groups in specific disability categories as a result of inappropriate identification in FY2020, the OEC piloted the new Indicator 10 review tool as Phase 1 of its targeted monitoring process. OEC staff provided training, targeted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met in person with the districts to use the review tool described above to ensure that the PSU was correctly implementing policies, practices and procedures related to identification involving SWD. As a result of these intense reviews, PSUs </w:t>
      </w:r>
      <w:proofErr w:type="gramStart"/>
      <w:r w:rsidRPr="00781112">
        <w:rPr>
          <w:rFonts w:cs="Arial"/>
          <w:color w:val="000000" w:themeColor="text1"/>
          <w:szCs w:val="16"/>
        </w:rPr>
        <w:t>were given</w:t>
      </w:r>
      <w:proofErr w:type="gramEnd"/>
      <w:r w:rsidRPr="00781112">
        <w:rPr>
          <w:rFonts w:cs="Arial"/>
          <w:color w:val="000000" w:themeColor="text1"/>
          <w:szCs w:val="16"/>
        </w:rPr>
        <w:t xml:space="preserve"> recommendations on strengthening their processes. There were no findings of noncompliance during this phase.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nine districts identified in FFY 2020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After significant internal and external stakeholder input, the NC OEC provided multiple statewide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on Indicators 4, 9 and 10 and the new review process related to these Indicators. The NC OES teams met in person with PSU teams in each district that was identified as having Disproportionate Representation in FFY 2020 and completed a review process of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This review required the PSUs to submit </w:t>
      </w:r>
      <w:proofErr w:type="gramStart"/>
      <w:r w:rsidRPr="00781112">
        <w:rPr>
          <w:rFonts w:cs="Arial"/>
          <w:color w:val="000000" w:themeColor="text1"/>
          <w:szCs w:val="16"/>
        </w:rPr>
        <w:t>evidences</w:t>
      </w:r>
      <w:proofErr w:type="gramEnd"/>
      <w:r w:rsidRPr="00781112">
        <w:rPr>
          <w:rFonts w:cs="Arial"/>
          <w:color w:val="000000" w:themeColor="text1"/>
          <w:szCs w:val="16"/>
        </w:rPr>
        <w:t xml:space="preserve"> of meeting state and federal policies in their local policies, practices and procedures. Recommendations for systemic improvements around identification practices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to the districts during the collaborative review process however no district was identified with findings of noncompliance.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84.62%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91.98%</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90.22%</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88.99%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84.13%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59.11%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2A457183" w14:textId="77777777" w:rsidR="00380FBB" w:rsidRDefault="00380FBB">
      <w:pPr>
        <w:spacing w:before="0" w:after="200" w:line="276" w:lineRule="auto"/>
        <w:rPr>
          <w:b/>
          <w:color w:val="000000" w:themeColor="text1"/>
        </w:rPr>
      </w:pPr>
      <w:r>
        <w:rPr>
          <w:b/>
          <w:color w:val="000000" w:themeColor="text1"/>
        </w:rPr>
        <w:br w:type="page"/>
      </w:r>
    </w:p>
    <w:p w14:paraId="3FAEB3AB" w14:textId="5C5E573C"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44,765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30,453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59.11%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68.03%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14,312</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1-5 days - 1559</w:t>
      </w:r>
      <w:r w:rsidRPr="00781112">
        <w:rPr>
          <w:color w:val="000000" w:themeColor="text1"/>
        </w:rPr>
        <w:br/>
        <w:t>6-15 days - 1999</w:t>
      </w:r>
      <w:r w:rsidRPr="00781112">
        <w:rPr>
          <w:color w:val="000000" w:themeColor="text1"/>
        </w:rPr>
        <w:br/>
        <w:t>16-25 days - 1402</w:t>
      </w:r>
      <w:r w:rsidRPr="00781112">
        <w:rPr>
          <w:color w:val="000000" w:themeColor="text1"/>
        </w:rPr>
        <w:br/>
        <w:t>26-35 days - 1005</w:t>
      </w:r>
      <w:r w:rsidRPr="00781112">
        <w:rPr>
          <w:color w:val="000000" w:themeColor="text1"/>
        </w:rPr>
        <w:br/>
        <w:t>36-45 days - 820</w:t>
      </w:r>
      <w:r w:rsidRPr="00781112">
        <w:rPr>
          <w:color w:val="000000" w:themeColor="text1"/>
        </w:rPr>
        <w:br/>
        <w:t>46 days or more - 7527</w:t>
      </w:r>
      <w:r w:rsidRPr="00781112">
        <w:rPr>
          <w:color w:val="000000" w:themeColor="text1"/>
        </w:rPr>
        <w:br/>
        <w:t>Total - 14312</w:t>
      </w:r>
      <w:r w:rsidRPr="00781112">
        <w:rPr>
          <w:color w:val="000000" w:themeColor="text1"/>
        </w:rPr>
        <w:br/>
      </w:r>
      <w:r w:rsidRPr="00781112">
        <w:rPr>
          <w:color w:val="000000" w:themeColor="text1"/>
        </w:rPr>
        <w:br/>
        <w:t>Reasons for delays/referrals that went beyond the 90-day timeline:</w:t>
      </w:r>
      <w:r w:rsidRPr="00781112">
        <w:rPr>
          <w:color w:val="000000" w:themeColor="text1"/>
        </w:rPr>
        <w:br/>
        <w:t>Referral paperwork not processed in a timely manner - 6531</w:t>
      </w:r>
      <w:r w:rsidRPr="00781112">
        <w:rPr>
          <w:color w:val="000000" w:themeColor="text1"/>
        </w:rPr>
        <w:br/>
        <w:t>Excessive student absences - 355</w:t>
      </w:r>
      <w:r w:rsidRPr="00781112">
        <w:rPr>
          <w:color w:val="000000" w:themeColor="text1"/>
        </w:rPr>
        <w:br/>
        <w:t>Weather delays - 53</w:t>
      </w:r>
      <w:r w:rsidRPr="00781112">
        <w:rPr>
          <w:color w:val="000000" w:themeColor="text1"/>
        </w:rPr>
        <w:br/>
        <w:t>Delay in getting parent consent for evaluation - 3506</w:t>
      </w:r>
      <w:r w:rsidRPr="00781112">
        <w:rPr>
          <w:color w:val="000000" w:themeColor="text1"/>
        </w:rPr>
        <w:br/>
        <w:t>Other - (e.g. limited access to personnel with appropriate credentials to administer evaluations, availability of licensed staff to conduct IEP Team meetings for referrals and/or eligibility/placement, staff turnover) - 2908</w:t>
      </w:r>
      <w:r w:rsidRPr="00781112">
        <w:rPr>
          <w:color w:val="000000" w:themeColor="text1"/>
        </w:rPr>
        <w:br/>
        <w:t>COVID-19 - 959</w:t>
      </w:r>
      <w:r w:rsidRPr="00781112">
        <w:rPr>
          <w:color w:val="000000" w:themeColor="text1"/>
        </w:rPr>
        <w:br/>
        <w:t>Total - 14312</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North Carolina has an established timeline (90 calendar days) from receipt of the referral to the placement determination. The 90-day timeline/receipt of the referral begins before parental consent to evaluate and includes the time the evaluation must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eligibility determined and a decision about placement made.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FY 2021 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for all PSUs through Every Child Accountability and Tracking System (ECATS), North Carolina's accountability system for collecting data for students with IEPs. Allowable exceptions, that were removed from the number of referrals received, were included in ECATS as follows: children who transferred in or out of the PSU, dropped out, or died within 90 days of receipt of referral; children who transferred into the PSU after the 90 day timeline expired and children whose parent(s) repeatedly failed or refused to produce them for the evaluation.</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COVID-19 continues to significantly impact data collection for Indicator 11. North Carolina has seen a decrease in the number of staff available to conduct evaluations. As a result, the number of children for whom the state's referral to placement timeline remains lower than pre-COVID years.Because NC's 90-day timeline ends with the placement decision, this </w:t>
      </w:r>
      <w:proofErr w:type="gramStart"/>
      <w:r w:rsidRPr="00781112">
        <w:rPr>
          <w:rFonts w:cs="Arial"/>
          <w:color w:val="000000" w:themeColor="text1"/>
          <w:szCs w:val="16"/>
        </w:rPr>
        <w:t>is documented</w:t>
      </w:r>
      <w:proofErr w:type="gramEnd"/>
      <w:r w:rsidRPr="00781112">
        <w:rPr>
          <w:rFonts w:cs="Arial"/>
          <w:color w:val="000000" w:themeColor="text1"/>
          <w:szCs w:val="16"/>
        </w:rPr>
        <w:t xml:space="preserve"> in ECATS according to the parent's written response to the PSU's request for initial placement. NC attributes the initial dip in its Indicator 11 data to the data management errors in documenting the parent's response in ECATS. Since this documentation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close the initial referral timeline, PSUs may have met the regulatory requirements for the Indicator 11 and obtained the parent's written response; however, failed to appropriately document the end of the process within ECATS. Additionally, given the shift to alternative means of participation in IEP Team meetings during and post-COVID, obtaining written consent for initial placement introduced the need for additional practices to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at the local level to ensure written parental consent were obtained after virtual meetings and documented in ECATS. As a result, extensive technical assistance activities regarding data management </w:t>
      </w:r>
      <w:proofErr w:type="gramStart"/>
      <w:r w:rsidRPr="00781112">
        <w:rPr>
          <w:rFonts w:cs="Arial"/>
          <w:color w:val="000000" w:themeColor="text1"/>
          <w:szCs w:val="16"/>
        </w:rPr>
        <w:t>were initiated</w:t>
      </w:r>
      <w:proofErr w:type="gramEnd"/>
      <w:r w:rsidRPr="00781112">
        <w:rPr>
          <w:rFonts w:cs="Arial"/>
          <w:color w:val="000000" w:themeColor="text1"/>
          <w:szCs w:val="16"/>
        </w:rPr>
        <w:t xml:space="preserve"> statewide.</w:t>
      </w:r>
      <w:r w:rsidRPr="00781112">
        <w:rPr>
          <w:rFonts w:cs="Arial"/>
          <w:color w:val="000000" w:themeColor="text1"/>
          <w:szCs w:val="16"/>
        </w:rPr>
        <w:br/>
      </w:r>
      <w:r w:rsidRPr="00781112">
        <w:rPr>
          <w:rFonts w:cs="Arial"/>
          <w:color w:val="000000" w:themeColor="text1"/>
          <w:szCs w:val="16"/>
        </w:rPr>
        <w:br/>
        <w:t>To mitigate the impact of COVID-19 on data collection, the State took the following steps:</w:t>
      </w:r>
      <w:r w:rsidRPr="00781112">
        <w:rPr>
          <w:rFonts w:cs="Arial"/>
          <w:color w:val="000000" w:themeColor="text1"/>
          <w:szCs w:val="16"/>
        </w:rPr>
        <w:br/>
        <w:t xml:space="preserve"> - Held Monthly Office Hour WebEx Meetings to provide technical assistance for Indicator 7, 11, 12, and Child Count collections. Streamlined all technical assistance materials for monitoring and reporting Indicator 11 data.</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257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22</w:t>
            </w:r>
          </w:p>
        </w:tc>
      </w:tr>
    </w:tbl>
    <w:p w14:paraId="49183A2D" w14:textId="23DB1EFD" w:rsidR="009A755E" w:rsidRPr="00781112" w:rsidRDefault="00450F98" w:rsidP="004369B2">
      <w:pPr>
        <w:rPr>
          <w:color w:val="000000" w:themeColor="text1"/>
        </w:rPr>
      </w:pPr>
      <w:r>
        <w:rPr>
          <w:b/>
          <w:color w:val="000000" w:themeColor="text1"/>
        </w:rPr>
        <w:lastRenderedPageBreak/>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257 PSUs with findings of non-compliance were required to access the reports tool in the new Every Child Accountability and Tracking System (ECATS) to report and update their data, at a minimum on a quarterly basis in order for the OEC to review new data/student records to verify that each PSU with non-compliance was correctly implementing the regulatory requirements. Any PSU whose data were not verified by the State to be 100% compliant in the first quarter was reviewed in the second quarter or sooner, and was required to submit data/evidence to NCDPI's OEC of any changes made to improve processes as part of correcting non-compliance prior to the OEC reviewing additional new records in a subsequent quarterly review as required by the 09-02 memo. During this time, the OEC provided additional technical assistance, prior to the review of new data/student records, to PSUs that had low compliance rates. Upon review of the new data/student records for the 257 PSUs with findings of non-compliance, the OEC verified that 235 PSUs demonstrated 100% compliance on subsequent record reviews and were correctly implementing the regulatory requirements within one year of identification.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257 PSUs with non-compliant findings had 13071 child-specific findings of non-compliance in 2020-21. At the time of the initial determination of compliance for Indicator 11, the OEC verified that the PSUs with non-compliance also submitted/updated data/evidence through </w:t>
      </w:r>
      <w:proofErr w:type="gramStart"/>
      <w:r w:rsidRPr="00781112">
        <w:rPr>
          <w:rFonts w:cs="Arial"/>
          <w:color w:val="000000" w:themeColor="text1"/>
          <w:szCs w:val="16"/>
        </w:rPr>
        <w:t>the Every</w:t>
      </w:r>
      <w:proofErr w:type="gramEnd"/>
      <w:r w:rsidRPr="00781112">
        <w:rPr>
          <w:rFonts w:cs="Arial"/>
          <w:color w:val="000000" w:themeColor="text1"/>
          <w:szCs w:val="16"/>
        </w:rPr>
        <w:t xml:space="preserve"> Child Accountability and Tracking System (ECATS) that 13071 child-specific instances of non-compliance had been corrected. PSUs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data/evidence through ECATS to the NCDPI, as soon as possible and no later than one year from notification of the non-compliant findings, that the remaining 22 PSUs with child-specific instances of non-compliance had been corrected.</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DATA NOTE = NC notified its PSUs of noncompliance with Indicator 11 for the FFY2020 in May of 2022. Therefore, the </w:t>
      </w:r>
      <w:proofErr w:type="gramStart"/>
      <w:r w:rsidRPr="00781112">
        <w:rPr>
          <w:rFonts w:cs="Arial"/>
          <w:color w:val="000000" w:themeColor="text1"/>
          <w:szCs w:val="16"/>
        </w:rPr>
        <w:t>22</w:t>
      </w:r>
      <w:proofErr w:type="gramEnd"/>
      <w:r w:rsidRPr="00781112">
        <w:rPr>
          <w:rFonts w:cs="Arial"/>
          <w:color w:val="000000" w:themeColor="text1"/>
          <w:szCs w:val="16"/>
        </w:rPr>
        <w:t xml:space="preserve"> findings of noncompliance subsequently corrected is considered pending as the PSUs are still within their one year of correction. For these </w:t>
      </w:r>
      <w:proofErr w:type="gramStart"/>
      <w:r w:rsidRPr="00781112">
        <w:rPr>
          <w:rFonts w:cs="Arial"/>
          <w:color w:val="000000" w:themeColor="text1"/>
          <w:szCs w:val="16"/>
        </w:rPr>
        <w:t>22</w:t>
      </w:r>
      <w:proofErr w:type="gramEnd"/>
      <w:r w:rsidRPr="00781112">
        <w:rPr>
          <w:rFonts w:cs="Arial"/>
          <w:color w:val="000000" w:themeColor="text1"/>
          <w:szCs w:val="16"/>
        </w:rPr>
        <w:t xml:space="preserve"> findings of noncompliance, the state will be undertaking the same actions described above for Prongs 1 and 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36</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36</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The 36 PSUs with findings of non-compliance were required to access the reports tool in the new Every Child Accountability and Tracking System (ECATS) to report and update their data, at a minimum on a quarterly basis in order for the OEC to review new data/student records to verify that each PSU with non-compliance was correctly implementing the regulatory requirements. Any PSU whose data were not verified by the State to be 100% compliant in the first quarter was reviewed in the second quarter or sooner, and was required to submit data/evidence to NCDPI's OEC of any changes made to improve processes as part of correcting non-compliance prior to the OEC reviewing additional new records in a subsequent quarterly review as required by the 09-02 memo. During this time, the OEC provided additional technical assistance, prior to the review of new data/student records, to PSUs that had low compliance rates. Upon review of the new data/student records for the 36 PSUs with findings of non-compliance, the OEC verified that all 36 PSUs demonstrated 100% compliance on subsequent record reviews and were correctly implementing the regulatory requirements.</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 xml:space="preserve">The 36 PSUs with non-compliant findings had child-specific findings of non-compliance in 2019-20. At the time of the initial determination of compliance for Indicator 11, the OEC verified that the PSUs with non-compliance also submitted/updated data/evidence through </w:t>
      </w:r>
      <w:proofErr w:type="gramStart"/>
      <w:r w:rsidRPr="00781112">
        <w:rPr>
          <w:rFonts w:cs="Arial"/>
          <w:color w:val="000000" w:themeColor="text1"/>
          <w:szCs w:val="16"/>
        </w:rPr>
        <w:t>the Every</w:t>
      </w:r>
      <w:proofErr w:type="gramEnd"/>
      <w:r w:rsidRPr="00781112">
        <w:rPr>
          <w:rFonts w:cs="Arial"/>
          <w:color w:val="000000" w:themeColor="text1"/>
          <w:szCs w:val="16"/>
        </w:rPr>
        <w:t xml:space="preserve"> Child Accountability and Tracking System (ECATS) that all child-specific instances of non-compliance had been corrected. </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w:t>
      </w:r>
      <w:proofErr w:type="gramStart"/>
      <w:r w:rsidRPr="00781112">
        <w:rPr>
          <w:rFonts w:cs="Arial"/>
          <w:color w:val="000000" w:themeColor="text1"/>
          <w:szCs w:val="16"/>
        </w:rPr>
        <w:t>36</w:t>
      </w:r>
      <w:proofErr w:type="gramEnd"/>
      <w:r w:rsidRPr="00781112">
        <w:rPr>
          <w:rFonts w:cs="Arial"/>
          <w:color w:val="000000" w:themeColor="text1"/>
          <w:szCs w:val="16"/>
        </w:rPr>
        <w:t xml:space="preserve"> uncorrected findings of noncompliance identified in FFY 2019 were corrected.  </w:t>
      </w:r>
      <w:r w:rsidRPr="00781112">
        <w:rPr>
          <w:rFonts w:cs="Arial"/>
          <w:color w:val="000000" w:themeColor="text1"/>
          <w:szCs w:val="16"/>
        </w:rPr>
        <w:br/>
        <w:t>When reporting on the correction of noncompliance, the State must report, in the FFY 2021 SPP/APR, that it has verified that each LEA with findings of noncompliance identified in FFY 2020 and each LEA with remaining noncompliance identified in FFY 2019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NC has reported on FY2020 correction of noncompliance in the FFY2021 SPP/APR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lastRenderedPageBreak/>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w:t>
      </w:r>
      <w:proofErr w:type="gramStart"/>
      <w:r w:rsidRPr="00781112">
        <w:rPr>
          <w:rFonts w:cs="Arial"/>
          <w:color w:val="000000" w:themeColor="text1"/>
          <w:szCs w:val="16"/>
        </w:rPr>
        <w:t>22</w:t>
      </w:r>
      <w:proofErr w:type="gramEnd"/>
      <w:r w:rsidRPr="00781112">
        <w:rPr>
          <w:rFonts w:cs="Arial"/>
          <w:color w:val="000000" w:themeColor="text1"/>
          <w:szCs w:val="16"/>
        </w:rPr>
        <w:t xml:space="preserve">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48.40%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96.48%</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86.03%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89.60%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70.42%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46.46%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4,434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474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2,420</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729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117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2,420</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3,114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46.46%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77.71%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694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Reasons for delays/referrals that went beyond the third birthday:</w:t>
      </w:r>
      <w:r w:rsidRPr="00781112">
        <w:rPr>
          <w:bCs/>
          <w:color w:val="000000" w:themeColor="text1"/>
        </w:rPr>
        <w:br/>
        <w:t>a. Family Circumstance (e.g. illness/death in family, change in custody) - 53</w:t>
      </w:r>
      <w:r w:rsidRPr="00781112">
        <w:rPr>
          <w:bCs/>
          <w:color w:val="000000" w:themeColor="text1"/>
        </w:rPr>
        <w:br/>
        <w:t>b. Child Circumstance (e.g. child was sick) - 9</w:t>
      </w:r>
      <w:r w:rsidRPr="00781112">
        <w:rPr>
          <w:bCs/>
          <w:color w:val="000000" w:themeColor="text1"/>
        </w:rPr>
        <w:br/>
        <w:t>c. Part B Circumstance (e.g. delays completing evaluations, timely meetings, arranging transportation, enrollment, etc.) - 221</w:t>
      </w:r>
      <w:r w:rsidRPr="00781112">
        <w:rPr>
          <w:bCs/>
          <w:color w:val="000000" w:themeColor="text1"/>
        </w:rPr>
        <w:br/>
        <w:t>d. Part C Circumstance (e.g. delays in notifying or issuing transition planning meeting invitation) - 21</w:t>
      </w:r>
      <w:r w:rsidRPr="00781112">
        <w:rPr>
          <w:bCs/>
          <w:color w:val="000000" w:themeColor="text1"/>
        </w:rPr>
        <w:br/>
        <w:t>COVID Delay - 390</w:t>
      </w:r>
      <w:r w:rsidRPr="00781112">
        <w:rPr>
          <w:bCs/>
          <w:color w:val="000000" w:themeColor="text1"/>
        </w:rPr>
        <w:br/>
        <w:t>TOTAL - 694</w:t>
      </w:r>
      <w:r w:rsidRPr="00781112">
        <w:rPr>
          <w:bCs/>
          <w:color w:val="000000" w:themeColor="text1"/>
        </w:rPr>
        <w:br/>
      </w:r>
      <w:r w:rsidRPr="00781112">
        <w:rPr>
          <w:bCs/>
          <w:color w:val="000000" w:themeColor="text1"/>
        </w:rPr>
        <w:br/>
        <w:t>Number of students with delays by days beyond third birthday:</w:t>
      </w:r>
      <w:r w:rsidRPr="00781112">
        <w:rPr>
          <w:bCs/>
          <w:color w:val="000000" w:themeColor="text1"/>
        </w:rPr>
        <w:br/>
        <w:t>1 to 5 days - 38</w:t>
      </w:r>
      <w:r w:rsidRPr="00781112">
        <w:rPr>
          <w:bCs/>
          <w:color w:val="000000" w:themeColor="text1"/>
        </w:rPr>
        <w:br/>
        <w:t>6 to15 days -  69</w:t>
      </w:r>
      <w:r w:rsidRPr="00781112">
        <w:rPr>
          <w:bCs/>
          <w:color w:val="000000" w:themeColor="text1"/>
        </w:rPr>
        <w:br/>
        <w:t>16 to 25 days -  40</w:t>
      </w:r>
      <w:r w:rsidRPr="00781112">
        <w:rPr>
          <w:bCs/>
          <w:color w:val="000000" w:themeColor="text1"/>
        </w:rPr>
        <w:br/>
        <w:t>26 to 35 days - 57</w:t>
      </w:r>
      <w:r w:rsidRPr="00781112">
        <w:rPr>
          <w:bCs/>
          <w:color w:val="000000" w:themeColor="text1"/>
        </w:rPr>
        <w:br/>
        <w:t>36 to 45 days - 38</w:t>
      </w:r>
      <w:r w:rsidRPr="00781112">
        <w:rPr>
          <w:bCs/>
          <w:color w:val="000000" w:themeColor="text1"/>
        </w:rPr>
        <w:br/>
        <w:t>46 days or more - 452</w:t>
      </w:r>
      <w:r w:rsidRPr="00781112">
        <w:rPr>
          <w:bCs/>
          <w:color w:val="000000" w:themeColor="text1"/>
        </w:rPr>
        <w:br/>
        <w:t>TOTAL -  694</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data used to report on this indicator includes statewide data that </w:t>
      </w:r>
      <w:proofErr w:type="gramStart"/>
      <w:r w:rsidRPr="00781112">
        <w:rPr>
          <w:rFonts w:cs="Arial"/>
          <w:color w:val="000000" w:themeColor="text1"/>
          <w:szCs w:val="16"/>
        </w:rPr>
        <w:t>are</w:t>
      </w:r>
      <w:proofErr w:type="gramEnd"/>
      <w:r w:rsidRPr="00781112">
        <w:rPr>
          <w:rFonts w:cs="Arial"/>
          <w:color w:val="000000" w:themeColor="text1"/>
          <w:szCs w:val="16"/>
        </w:rPr>
        <w:t xml:space="preserve"> inclusive of every school district in the state that provides special education and related services to the preschool-age population. Data </w:t>
      </w:r>
      <w:proofErr w:type="gramStart"/>
      <w:r w:rsidRPr="00781112">
        <w:rPr>
          <w:rFonts w:cs="Arial"/>
          <w:color w:val="000000" w:themeColor="text1"/>
          <w:szCs w:val="16"/>
        </w:rPr>
        <w:t>were not obtained</w:t>
      </w:r>
      <w:proofErr w:type="gramEnd"/>
      <w:r w:rsidRPr="00781112">
        <w:rPr>
          <w:rFonts w:cs="Arial"/>
          <w:color w:val="000000" w:themeColor="text1"/>
          <w:szCs w:val="16"/>
        </w:rPr>
        <w:t xml:space="preserve"> by sampling. The Department created Excel spreadsheets with the required data collection fields which automatically calculated the percentage of timely transitions. Each PSU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have its Exceptional Children Director sign an assurance as to the accuracy of the data. Spreadsheets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electronically to the Department. The Department also created an optional spreadsheet to assist PSUs in tracking the referral and placement dates for each student. The Part C system begins notifying Part B of children starting at 2 years, 3 months of age. The transition process </w:t>
      </w:r>
      <w:proofErr w:type="gramStart"/>
      <w:r w:rsidRPr="00781112">
        <w:rPr>
          <w:rFonts w:cs="Arial"/>
          <w:color w:val="000000" w:themeColor="text1"/>
          <w:szCs w:val="16"/>
        </w:rPr>
        <w:t>is outlined</w:t>
      </w:r>
      <w:proofErr w:type="gramEnd"/>
      <w:r w:rsidRPr="00781112">
        <w:rPr>
          <w:rFonts w:cs="Arial"/>
          <w:color w:val="000000" w:themeColor="text1"/>
          <w:szCs w:val="16"/>
        </w:rPr>
        <w:t xml:space="preserve"> in a Guiding Practices Document and local interagency plans; and additional technical assistance is provided by numerous supporting documents (http://nceln.fpg.unc.edu/node/315).</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283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283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283 PSUs with findings of non-compliance were required to access the reports tool in the new Every Child Accountability and Tracking System (ECATS) to report and update their data, at a minimum on a quarterly basis in order for the OEC to review new data/student records to verify that each PSU with non-compliance was correctly implementing the regulatory requirements. Any PSU whose data were not verified by the State to be 100% compliant in the first quarter was reviewed in the second quarter or sooner, and was required to submit data/evidence to NCDPI's OEC of any changes made to improve processes as part of correcting non-compliance prior to the OEC reviewing additional new records in a subsequent quarterly review as </w:t>
      </w:r>
      <w:r w:rsidRPr="00781112">
        <w:rPr>
          <w:rFonts w:cs="Arial"/>
          <w:color w:val="000000" w:themeColor="text1"/>
          <w:szCs w:val="16"/>
        </w:rPr>
        <w:lastRenderedPageBreak/>
        <w:t>required by the 09-02 memo. During this time, the OEC provided additional technical assistance, prior to the review of new data/student records, to PSUs that had low compliance rates. Upon review of the new data/student records for the 283 PSUs with findings of non-compliance, the OEC verified that all 283 PSUs demonstrated 100% compliance on subsequent record reviews and were correctly implementing the regulatory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283 PSUs with non-compliant findings had 1620 child-specific findings of non-compliance in 2020-21. At the time of the initial determination of compliance for Indicator 12, the OEC verified that the PSUs with non-compliance also submitted/updated data/evidence through </w:t>
      </w:r>
      <w:proofErr w:type="gramStart"/>
      <w:r w:rsidRPr="00781112">
        <w:rPr>
          <w:rFonts w:cs="Arial"/>
          <w:color w:val="000000" w:themeColor="text1"/>
          <w:szCs w:val="16"/>
        </w:rPr>
        <w:t>the Every</w:t>
      </w:r>
      <w:proofErr w:type="gramEnd"/>
      <w:r w:rsidRPr="00781112">
        <w:rPr>
          <w:rFonts w:cs="Arial"/>
          <w:color w:val="000000" w:themeColor="text1"/>
          <w:szCs w:val="16"/>
        </w:rPr>
        <w:t xml:space="preserve"> Child Accountability and Tracking System (ECATS) that 1620 child-specific instances of non-compliance had been corrected.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The three PSUs with findings of non-compliance were required to access the reports tool in the new Every Child Accountability and Tracking System (ECATS) to report and update their data, at a minimum on a quarterly basis in order for the OEC to review new data/student records to verify that each PSU with non-compliance was correctly implementing the regulatory requirements. Any PSU whose data were not verified by the State to be 100% compliant in the first quarter was reviewed in the second quarter or sooner, and was required to submit data/evidence to NCDPI's OEC of any changes made to improve processes as part of correcting non-compliance prior to the OEC reviewing additional new records in a subsequent quarterly review as required by the 09-02 memo. During this time, the OEC provided additional technical assistance, prior to the review of new data/student records, to PSUs that had low compliance rates. Upon review of the new data/student records for the three PSUs with findings of non-compliance, the OEC verified that all three PSUs demonstrated 100% compliance on subsequent record reviews and were correctly implementing the regulatory requirements.</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 xml:space="preserve">The three PSUs with non-compliant findings had 1039 child-specific findings of non-compliance in 2019-20. At the time of the initial determination of compliance for Indicator 12, the OEC verified that the PSUs with non-compliance also submitted/updated data/evidence through </w:t>
      </w:r>
      <w:proofErr w:type="gramStart"/>
      <w:r w:rsidRPr="00781112">
        <w:rPr>
          <w:rFonts w:cs="Arial"/>
          <w:color w:val="000000" w:themeColor="text1"/>
          <w:szCs w:val="16"/>
        </w:rPr>
        <w:t>the Every</w:t>
      </w:r>
      <w:proofErr w:type="gramEnd"/>
      <w:r w:rsidRPr="00781112">
        <w:rPr>
          <w:rFonts w:cs="Arial"/>
          <w:color w:val="000000" w:themeColor="text1"/>
          <w:szCs w:val="16"/>
        </w:rPr>
        <w:t xml:space="preserve"> Child Accountability and Tracking System (ECATS) that the child-specific instances of non-compliance had been corrected.</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w:t>
      </w:r>
      <w:proofErr w:type="gramStart"/>
      <w:r w:rsidRPr="00781112">
        <w:rPr>
          <w:rFonts w:cs="Arial"/>
          <w:color w:val="000000" w:themeColor="text1"/>
          <w:szCs w:val="16"/>
        </w:rPr>
        <w:t>3</w:t>
      </w:r>
      <w:proofErr w:type="gramEnd"/>
      <w:r w:rsidRPr="00781112">
        <w:rPr>
          <w:rFonts w:cs="Arial"/>
          <w:color w:val="000000" w:themeColor="text1"/>
          <w:szCs w:val="16"/>
        </w:rPr>
        <w:t xml:space="preserve"> uncorrected findings of noncompliance identified in FFY 2019 were corrected.  </w:t>
      </w:r>
      <w:r w:rsidRPr="00781112">
        <w:rPr>
          <w:rFonts w:cs="Arial"/>
          <w:color w:val="000000" w:themeColor="text1"/>
          <w:szCs w:val="16"/>
        </w:rPr>
        <w:br/>
        <w:t>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NC has reported on FY2020 correction of noncompliance in the FFY2021 SPP/APR</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94.70%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85.35%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85.45%</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80.84%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56.42%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60.74%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366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606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60.74%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60.40%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Secondary Transition data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through the state’s monitoring system, known as the Program Compliance Review (PCR). The PCR is a comprehensive monitoring activity used to ensure that students with disabilities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a free appropriate public education. PCR Monitoring activities </w:t>
      </w:r>
      <w:proofErr w:type="gramStart"/>
      <w:r w:rsidRPr="00781112">
        <w:rPr>
          <w:rFonts w:cs="Arial"/>
          <w:color w:val="000000" w:themeColor="text1"/>
          <w:szCs w:val="16"/>
        </w:rPr>
        <w:t>are conducted</w:t>
      </w:r>
      <w:proofErr w:type="gramEnd"/>
      <w:r w:rsidRPr="00781112">
        <w:rPr>
          <w:rFonts w:cs="Arial"/>
          <w:color w:val="000000" w:themeColor="text1"/>
          <w:szCs w:val="16"/>
        </w:rPr>
        <w:t xml:space="preserve"> by a monitoring team composed of consultants from the North Carolina Department of Public Instruction Office of Exceptional Children (NCDPI OEC) and is led by the assigned regional Policy, Monitoring and Audit consultant. </w:t>
      </w:r>
      <w:r w:rsidRPr="00781112">
        <w:rPr>
          <w:rFonts w:cs="Arial"/>
          <w:color w:val="000000" w:themeColor="text1"/>
          <w:szCs w:val="16"/>
        </w:rPr>
        <w:br/>
      </w:r>
      <w:r w:rsidRPr="00781112">
        <w:rPr>
          <w:rFonts w:cs="Arial"/>
          <w:color w:val="000000" w:themeColor="text1"/>
          <w:szCs w:val="16"/>
        </w:rPr>
        <w:br/>
        <w:t xml:space="preserve">All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(PSUs), which includes traditional school systems, charter schools, and state operated programs are scheduled for a PCR on a five-year rotation. Additionally, the PCR </w:t>
      </w:r>
      <w:proofErr w:type="gramStart"/>
      <w:r w:rsidRPr="00781112">
        <w:rPr>
          <w:rFonts w:cs="Arial"/>
          <w:color w:val="000000" w:themeColor="text1"/>
          <w:szCs w:val="16"/>
        </w:rPr>
        <w:t>is utilized</w:t>
      </w:r>
      <w:proofErr w:type="gramEnd"/>
      <w:r w:rsidRPr="00781112">
        <w:rPr>
          <w:rFonts w:cs="Arial"/>
          <w:color w:val="000000" w:themeColor="text1"/>
          <w:szCs w:val="16"/>
        </w:rPr>
        <w:t xml:space="preserve"> in the second semester of the first year of operation for all new charter schools. For FFY2021, NCDPI OEC monitored PSUs that were scheduled for the final year of a </w:t>
      </w:r>
      <w:proofErr w:type="gramStart"/>
      <w:r w:rsidRPr="00781112">
        <w:rPr>
          <w:rFonts w:cs="Arial"/>
          <w:color w:val="000000" w:themeColor="text1"/>
          <w:szCs w:val="16"/>
        </w:rPr>
        <w:t>five year</w:t>
      </w:r>
      <w:proofErr w:type="gramEnd"/>
      <w:r w:rsidRPr="00781112">
        <w:rPr>
          <w:rFonts w:cs="Arial"/>
          <w:color w:val="000000" w:themeColor="text1"/>
          <w:szCs w:val="16"/>
        </w:rPr>
        <w:t xml:space="preserve"> rotation monitoring schedule. </w:t>
      </w:r>
      <w:r w:rsidRPr="00781112">
        <w:rPr>
          <w:rFonts w:cs="Arial"/>
          <w:color w:val="000000" w:themeColor="text1"/>
          <w:szCs w:val="16"/>
        </w:rPr>
        <w:br/>
      </w:r>
      <w:r w:rsidRPr="00781112">
        <w:rPr>
          <w:rFonts w:cs="Arial"/>
          <w:color w:val="000000" w:themeColor="text1"/>
          <w:szCs w:val="16"/>
        </w:rPr>
        <w:br/>
        <w:t xml:space="preserve">The number of student records (student monitoring cohort) selected for review is based on a chart developed for use with the PCR process. The chart considers the Active Child Count of Exceptional Children and the number of schools in the district. The number of records selected for monitoring secondary transition includes records for student monitoring as well as an additional number of transition aged student records to provide a representative cohort from across the school system. </w:t>
      </w:r>
      <w:r w:rsidRPr="00781112">
        <w:rPr>
          <w:rFonts w:cs="Arial"/>
          <w:color w:val="000000" w:themeColor="text1"/>
          <w:szCs w:val="16"/>
        </w:rPr>
        <w:br/>
      </w:r>
      <w:r w:rsidRPr="00781112">
        <w:rPr>
          <w:rFonts w:cs="Arial"/>
          <w:color w:val="000000" w:themeColor="text1"/>
          <w:szCs w:val="16"/>
        </w:rPr>
        <w:br/>
        <w:t xml:space="preserve">A virtual student record review </w:t>
      </w:r>
      <w:proofErr w:type="gramStart"/>
      <w:r w:rsidRPr="00781112">
        <w:rPr>
          <w:rFonts w:cs="Arial"/>
          <w:color w:val="000000" w:themeColor="text1"/>
          <w:szCs w:val="16"/>
        </w:rPr>
        <w:t>was completed</w:t>
      </w:r>
      <w:proofErr w:type="gramEnd"/>
      <w:r w:rsidRPr="00781112">
        <w:rPr>
          <w:rFonts w:cs="Arial"/>
          <w:color w:val="000000" w:themeColor="text1"/>
          <w:szCs w:val="16"/>
        </w:rPr>
        <w:t xml:space="preserve"> of each selected student’s special education file. The Special Education Student Record Review Protocol measures compliance in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areas, including a dedicated section of review indicators related to secondary transition. The secondary transition indicators are based upon the indicator 13 Checklist, developed by the National Secondary Transition and Technical Assistance Center (NSTTAC). </w:t>
      </w:r>
      <w:r w:rsidRPr="00781112">
        <w:rPr>
          <w:rFonts w:cs="Arial"/>
          <w:color w:val="000000" w:themeColor="text1"/>
          <w:szCs w:val="16"/>
        </w:rPr>
        <w:br/>
      </w:r>
      <w:r w:rsidRPr="00781112">
        <w:rPr>
          <w:rFonts w:cs="Arial"/>
          <w:color w:val="000000" w:themeColor="text1"/>
          <w:szCs w:val="16"/>
        </w:rPr>
        <w:br/>
        <w:t>For FFY2021, NCDPI OEC reviewed 606 transition aged student records and identified 240 records with instances of noncompliance</w:t>
      </w:r>
      <w:proofErr w:type="gramStart"/>
      <w:r w:rsidRPr="00781112">
        <w:rPr>
          <w:rFonts w:cs="Arial"/>
          <w:color w:val="000000" w:themeColor="text1"/>
          <w:szCs w:val="16"/>
        </w:rPr>
        <w:t xml:space="preserve"> NCDPI</w:t>
      </w:r>
      <w:proofErr w:type="gramEnd"/>
      <w:r w:rsidRPr="00781112">
        <w:rPr>
          <w:rFonts w:cs="Arial"/>
          <w:color w:val="000000" w:themeColor="text1"/>
          <w:szCs w:val="16"/>
        </w:rPr>
        <w:t xml:space="preserve"> OEC issued letters of findings to those PSUs with one or more instances of Indicator 13 noncompliance. The calculated compliance rate of 60.40 % falls short of the target of 100%. *However, for FFY 2021 NCDPI OEC has determined that no slippage has occurred based upon the small percentage decrease of less than one half of one percent (FFY2021 60.40%, FFY2020 60.74%), which </w:t>
      </w:r>
      <w:proofErr w:type="gramStart"/>
      <w:r w:rsidRPr="00781112">
        <w:rPr>
          <w:rFonts w:cs="Arial"/>
          <w:color w:val="000000" w:themeColor="text1"/>
          <w:szCs w:val="16"/>
        </w:rPr>
        <w:t>seems to be</w:t>
      </w:r>
      <w:proofErr w:type="gramEnd"/>
      <w:r w:rsidRPr="00781112">
        <w:rPr>
          <w:rFonts w:cs="Arial"/>
          <w:color w:val="000000" w:themeColor="text1"/>
          <w:szCs w:val="16"/>
        </w:rPr>
        <w:t xml:space="preserve"> a reasonable consideration for a margin of error.</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192</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192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Prong 1 and Prong 2 activities were required for each PSU that was monitored in FFY2020 and had one or more non-compliant findings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secondary transition. To verify that these PSUs were correctly implementing the regulatory requirements, a subsequent (Prong 2) review of student records </w:t>
      </w:r>
      <w:proofErr w:type="gramStart"/>
      <w:r w:rsidRPr="00781112">
        <w:rPr>
          <w:rFonts w:cs="Arial"/>
          <w:color w:val="000000" w:themeColor="text1"/>
          <w:szCs w:val="16"/>
        </w:rPr>
        <w:t>was completed</w:t>
      </w:r>
      <w:proofErr w:type="gramEnd"/>
      <w:r w:rsidRPr="00781112">
        <w:rPr>
          <w:rFonts w:cs="Arial"/>
          <w:color w:val="000000" w:themeColor="text1"/>
          <w:szCs w:val="16"/>
        </w:rPr>
        <w:t xml:space="preserve">. During the Prong 2 process, NCDPI OEC staff reviewed an additional student sample of secondary transition records for each PSU where any instance of non-compliance </w:t>
      </w:r>
      <w:proofErr w:type="gramStart"/>
      <w:r w:rsidRPr="00781112">
        <w:rPr>
          <w:rFonts w:cs="Arial"/>
          <w:color w:val="000000" w:themeColor="text1"/>
          <w:szCs w:val="16"/>
        </w:rPr>
        <w:t>was identified</w:t>
      </w:r>
      <w:proofErr w:type="gramEnd"/>
      <w:r w:rsidRPr="00781112">
        <w:rPr>
          <w:rFonts w:cs="Arial"/>
          <w:color w:val="000000" w:themeColor="text1"/>
          <w:szCs w:val="16"/>
        </w:rPr>
        <w:t xml:space="preserve">. NCDPI OEC staff reviewed the newly selected student records electronically through </w:t>
      </w:r>
      <w:proofErr w:type="gramStart"/>
      <w:r w:rsidRPr="00781112">
        <w:rPr>
          <w:rFonts w:cs="Arial"/>
          <w:color w:val="000000" w:themeColor="text1"/>
          <w:szCs w:val="16"/>
        </w:rPr>
        <w:t>the Every</w:t>
      </w:r>
      <w:proofErr w:type="gramEnd"/>
      <w:r w:rsidRPr="00781112">
        <w:rPr>
          <w:rFonts w:cs="Arial"/>
          <w:color w:val="000000" w:themeColor="text1"/>
          <w:szCs w:val="16"/>
        </w:rPr>
        <w:t xml:space="preserve"> Child Accountability and Tracking System (ECATS) to ensure that any systemic noncompliance had been identified, corrected and thus were able to verify that the PSUs demonstrated 100% compliance on subsequent record reviews and were correctly implementing the specific regulatory requirements consistent with OSEP Memo 09-02.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NCDPI OEC staff conducted Prong 1 reviews for all PSUs that had findings of non-compliance in one or more student secondary transition records. Prong 1 required the correction of individual noncompliant transition plans and review and revision, if necessary, of, of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regarding transition planning.  The PSUs that had identified non-compliance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a copy of each student's IEP that documented the correction of student specific noncompliance for NCDPI OEC review and verification. If IEPs could </w:t>
      </w:r>
      <w:proofErr w:type="gramStart"/>
      <w:r w:rsidRPr="00781112">
        <w:rPr>
          <w:rFonts w:cs="Arial"/>
          <w:color w:val="000000" w:themeColor="text1"/>
          <w:szCs w:val="16"/>
        </w:rPr>
        <w:t>be accessed</w:t>
      </w:r>
      <w:proofErr w:type="gramEnd"/>
      <w:r w:rsidRPr="00781112">
        <w:rPr>
          <w:rFonts w:cs="Arial"/>
          <w:color w:val="000000" w:themeColor="text1"/>
          <w:szCs w:val="16"/>
        </w:rPr>
        <w:t xml:space="preserve"> electronically through ECATS, the NCDPI OEC Monitoring Consultants verified correction using the electronic submission/version of the IEP(s). The NCDPI OEC Monitoring Consultants verified the correction of each individual case of noncompliance related to the transition requirements was corrected within one year of notification of noncompliance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w:t>
      </w:r>
      <w:r w:rsidRPr="00781112">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NC has reported on FY2020 correction of noncompliance in the FFY2021 SPP/APR</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39.50%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39.75%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40.51%</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27.27%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29.48%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28.51%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19.64%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62.51%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63.07%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69.99%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50.90%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81.76%</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78.14%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77.70%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80.76%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57.98%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41.51%</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42.50%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43.00%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43.50%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44.00%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73.00%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75.00%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77.00%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79.00%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81.00%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83.75%</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85.75%</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87.75%</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89.75%</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91.75%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5,289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1,017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19.23%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229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434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1,017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19.64%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41.51%</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22.52%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663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1,017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50.90%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65.19%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725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1,017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57.98%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83.75%</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71.29%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42.28%</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19.23%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North Carolina trains PSUs in the sampling plan annually in the Spring prior to the data collection period. The training includes an overview of the Indicator 14 data collection and the calculation, where and how to access the exiting data for the students included in the collection, access to the survey collection tool, and training and instruction for how to ask questions and glean information from students and family. The training materials </w:t>
      </w:r>
      <w:proofErr w:type="gramStart"/>
      <w:r w:rsidRPr="00B551F2">
        <w:t>are posted</w:t>
      </w:r>
      <w:proofErr w:type="gramEnd"/>
      <w:r w:rsidRPr="00B551F2">
        <w:t xml:space="preserve"> on the OEC website so that PSUs can train staff. In FY2021 PSUs attempted to contact over 5,000 students however 1186 students </w:t>
      </w:r>
      <w:proofErr w:type="gramStart"/>
      <w:r w:rsidRPr="00B551F2">
        <w:t>were marked</w:t>
      </w:r>
      <w:proofErr w:type="gramEnd"/>
      <w:r w:rsidRPr="00B551F2">
        <w:t xml:space="preserve"> as “Student Declined to Comment '' or “Could not reach student”. There were 292 respondents that were unengaged in any post school activities. To reach groups that are underrepresented, the OEC will include in the training to PSUs the need to utilize staff who may be familiar with the students such as high school teachers, </w:t>
      </w:r>
      <w:proofErr w:type="gramStart"/>
      <w:r w:rsidRPr="00B551F2">
        <w:t>counselors</w:t>
      </w:r>
      <w:proofErr w:type="gramEnd"/>
      <w:r w:rsidRPr="00B551F2">
        <w:t xml:space="preserve"> and administrative personnel as well as bilingual staff to ensure that communication with non-English speaking </w:t>
      </w:r>
      <w:r w:rsidRPr="00B551F2">
        <w:lastRenderedPageBreak/>
        <w:t>responders can participate. PSUs also will be prompted and provided with templates to use post card mailers, social media, email and QR codes to contact students and engage with them as many students do not answer phone calls.</w:t>
      </w:r>
      <w:r w:rsidRPr="00B551F2">
        <w:br/>
      </w:r>
      <w:r w:rsidRPr="00B551F2">
        <w:br/>
        <w:t>Finally, PSU's will be encouraged to meet with students and families near the time the student graduates or exits to ensure they have the most updated and current contact information possible and to make it a practice to collect this information during the student’s exit IEP meetings or meetings when the Summary of Performance is completed.</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OEC staff analyzed the non-response data to determine the subgroups where SWD were not responding. In FY2021 the districts in the sample </w:t>
      </w:r>
      <w:proofErr w:type="gramStart"/>
      <w:r w:rsidRPr="00B551F2">
        <w:t>were instructed</w:t>
      </w:r>
      <w:proofErr w:type="gramEnd"/>
      <w:r w:rsidRPr="00B551F2">
        <w:t xml:space="preserve"> to contact all students meeting the exit criteria on the previous exit count to elicit a wider range of responses. In the Spring of 2022, the OEC also held training webinars for districts with tips and practices to increase student response rate, including various communication methods, use of district staff and local school meetings to encourage responses to the survey. </w:t>
      </w:r>
      <w:r w:rsidRPr="00B551F2">
        <w:br/>
      </w:r>
      <w:r w:rsidRPr="00B551F2">
        <w:br/>
        <w:t xml:space="preserve">Of the youth who are no longer in secondary school and had IEPs in effect at the time they left school that were sampled (5,289) and a response was NOT recorded (4,272), the percent of minority students who did not respond (2,880) was 67.42% while the percent of white students who did not respond (1,392) was 32.58% suggesting that minority students are at a higher risk for not responding or having non-response bias. </w:t>
      </w:r>
      <w:r w:rsidRPr="00B551F2">
        <w:br/>
      </w:r>
      <w:r w:rsidRPr="00B551F2">
        <w:br/>
        <w:t xml:space="preserve">The OEC will implement a process to monitor responses as they come in and increase efforts to include subgroups of non-responders. The OEC has completed an analysis of the rate of engagement by subgroups </w:t>
      </w:r>
      <w:proofErr w:type="gramStart"/>
      <w:r w:rsidRPr="00B551F2">
        <w:t>in order to</w:t>
      </w:r>
      <w:proofErr w:type="gramEnd"/>
      <w:r w:rsidRPr="00B551F2">
        <w:t xml:space="preserve"> identify strategies to increase representativeness. The OEC is exploring the option with the Indicator 14 data analysis of applying weighting to assess overall responses and determine where the non-response bias is most impacting the data. </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In FY2021 the OEC analyzed the representation and response data by race/ethnicity and disability. Minority students in NC public schools represent 54.11% of the total student population. White students represent 45.89% of the total student population. In the districts sampled in FY2021, for youth who are no longer in secondary school and had IEPs in effect at the time they left school (5,289) minority students in the sample (3,417) represented 64.61% and white students in the sample (1,872) represented 35.39%. </w:t>
      </w:r>
      <w:r w:rsidRPr="008D51F2">
        <w:br/>
      </w:r>
      <w:r w:rsidRPr="008D51F2">
        <w:br/>
        <w:t xml:space="preserve">Of the youth who are no longer in secondary school and had IEPs in effect at the time they left school that were </w:t>
      </w:r>
      <w:proofErr w:type="gramStart"/>
      <w:r w:rsidRPr="008D51F2">
        <w:t>sampled</w:t>
      </w:r>
      <w:proofErr w:type="gramEnd"/>
      <w:r w:rsidRPr="008D51F2">
        <w:t xml:space="preserve"> and a response was recorded (1017), the percent of minority students who responded (537) was 52.80% while the percent of white students who responded (480) was 47.20%. </w:t>
      </w:r>
      <w:r w:rsidRPr="008D51F2">
        <w:br/>
      </w:r>
      <w:r w:rsidRPr="008D51F2">
        <w:br/>
        <w:t xml:space="preserve">As noted above, Of the youth who are no longer in secondary school and had IEPs in effect at the time they left school that were sampled (5,289) and a response was NOT recorded (4,272), the percent of minority students who did not respond (2,880) was 67.42% while the percent of white students who did not respond (1,392) was 32.58% suggesting that minority students are at a higher risk for not responding or having non-response bias. </w:t>
      </w:r>
      <w:r w:rsidRPr="008D51F2">
        <w:br/>
      </w:r>
      <w:r w:rsidRPr="008D51F2">
        <w:br/>
        <w:t xml:space="preserve">For disability category, youth who are no longer in secondary school and had IEPs in effect at the time they left school when broken down by disability category for FY2021 data; the analysis of the sample data compared to the total exit count for the state showed that students with Learning Disability were overrepresented in the sample by 13.97% and students identified with Other Health Impairment were overrepresented by 6.65%. No disability category showed underrepresentation that met the acceptable range of over/under-representation. </w:t>
      </w:r>
      <w:r w:rsidRPr="008D51F2">
        <w:br/>
      </w:r>
      <w:r w:rsidRPr="008D51F2">
        <w:br/>
        <w:t xml:space="preserve">Of the youth who are no longer in secondary school and had IEPs in effect at the time they left school who responded to the survey, students with Learning Disability were overrepresented in the response data by 12.25% and students identified with Other Health Impairment were overrepresented in the response data by 5.13%. No disability category showed underrepresentation in the response data that met the acceptable range of over/under-representation.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In addition to the strategies noted above to ensure that will increase the response rate for underrepresented populations, the OEC will </w:t>
      </w:r>
      <w:proofErr w:type="gramStart"/>
      <w:r w:rsidRPr="008D51F2">
        <w:rPr>
          <w:b w:val="0"/>
        </w:rPr>
        <w:t>make an effort</w:t>
      </w:r>
      <w:proofErr w:type="gramEnd"/>
      <w:r w:rsidRPr="008D51F2">
        <w:rPr>
          <w:b w:val="0"/>
        </w:rPr>
        <w:t xml:space="preserve"> to provide the instructions for accessing data and training earlier to PSUs with more opportunities to access multiple ways to engage in the training content. The number of sample records where PSUs did not submit a response at all is concerning so the OEC is considering a mandatory selection in the Indicator 14 data that notes </w:t>
      </w:r>
      <w:proofErr w:type="gramStart"/>
      <w:r w:rsidRPr="008D51F2">
        <w:rPr>
          <w:b w:val="0"/>
        </w:rPr>
        <w:t>whether or not</w:t>
      </w:r>
      <w:proofErr w:type="gramEnd"/>
      <w:r w:rsidRPr="008D51F2">
        <w:rPr>
          <w:b w:val="0"/>
        </w:rPr>
        <w:t xml:space="preserve"> the PSU reached out to the student at all. FY2021 is the first year that PSUs submitted Indicator 14 Survey data in the state IEP system ECATS. The survey is directly associated with a student record which allows for accurate exit and demographic data however the newness of the system, training timeline and </w:t>
      </w:r>
      <w:proofErr w:type="gramStart"/>
      <w:r w:rsidRPr="008D51F2">
        <w:rPr>
          <w:b w:val="0"/>
        </w:rPr>
        <w:t>timeframe</w:t>
      </w:r>
      <w:proofErr w:type="gramEnd"/>
      <w:r w:rsidRPr="008D51F2">
        <w:rPr>
          <w:b w:val="0"/>
        </w:rPr>
        <w:t xml:space="preserve"> in which the data is collected may have impacted the quality of the PSU data entry.</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range of over/under-representation of +/-3 percentage points </w:t>
      </w:r>
      <w:proofErr w:type="gramStart"/>
      <w:r w:rsidRPr="008D51F2">
        <w:rPr>
          <w:b w:val="0"/>
        </w:rPr>
        <w:t>was used</w:t>
      </w:r>
      <w:proofErr w:type="gramEnd"/>
      <w:r w:rsidRPr="008D51F2">
        <w:rPr>
          <w:b w:val="0"/>
        </w:rPr>
        <w:t xml:space="preserve"> to determine 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North Carolina conducts a sampling of it's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units (PSUs), charter schools and State-Operated Programs (SOPs). A sampling calculator developed by the National Post-school Outcomes Center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establish representative samples through fiscal year 2025-26. PSU level information </w:t>
      </w:r>
      <w:proofErr w:type="gramStart"/>
      <w:r w:rsidRPr="00781112">
        <w:rPr>
          <w:rFonts w:cs="Arial"/>
          <w:color w:val="000000" w:themeColor="text1"/>
          <w:szCs w:val="16"/>
        </w:rPr>
        <w:t>was entered</w:t>
      </w:r>
      <w:proofErr w:type="gramEnd"/>
      <w:r w:rsidRPr="00781112">
        <w:rPr>
          <w:rFonts w:cs="Arial"/>
          <w:color w:val="000000" w:themeColor="text1"/>
          <w:szCs w:val="16"/>
        </w:rPr>
        <w:t xml:space="preserve"> into the Sampling Calculator and a sampling of PSUs, based on a multi-way cluster model, was produced. Samples were equivalent for size of PSU, percentage of males and females, students with disabilities, and minority race. All PSUs </w:t>
      </w:r>
      <w:proofErr w:type="gramStart"/>
      <w:r w:rsidRPr="00781112">
        <w:rPr>
          <w:rFonts w:cs="Arial"/>
          <w:color w:val="000000" w:themeColor="text1"/>
          <w:szCs w:val="16"/>
        </w:rPr>
        <w:t>are sampled</w:t>
      </w:r>
      <w:proofErr w:type="gramEnd"/>
      <w:r w:rsidRPr="00781112">
        <w:rPr>
          <w:rFonts w:cs="Arial"/>
          <w:color w:val="000000" w:themeColor="text1"/>
          <w:szCs w:val="16"/>
        </w:rPr>
        <w:t xml:space="preserve"> at least once every five </w:t>
      </w:r>
      <w:r w:rsidRPr="00781112">
        <w:rPr>
          <w:rFonts w:cs="Arial"/>
          <w:color w:val="000000" w:themeColor="text1"/>
          <w:szCs w:val="16"/>
        </w:rPr>
        <w:lastRenderedPageBreak/>
        <w:t xml:space="preserve">years. The five PSUs with an Average Daily Membership (ADM) of 50,000 or more are sampled each year with certain high schools selected on a </w:t>
      </w:r>
      <w:proofErr w:type="gramStart"/>
      <w:r w:rsidRPr="00781112">
        <w:rPr>
          <w:rFonts w:cs="Arial"/>
          <w:color w:val="000000" w:themeColor="text1"/>
          <w:szCs w:val="16"/>
        </w:rPr>
        <w:t>five year</w:t>
      </w:r>
      <w:proofErr w:type="gramEnd"/>
      <w:r w:rsidRPr="00781112">
        <w:rPr>
          <w:rFonts w:cs="Arial"/>
          <w:color w:val="000000" w:themeColor="text1"/>
          <w:szCs w:val="16"/>
        </w:rPr>
        <w:t xml:space="preserve"> rotation. Students in the sample for each PSU, include all students with IEPs who graduated with a regular diploma, aged out, received a certificate, or dropped out.</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0C7AB17F" w14:textId="77777777" w:rsidR="00380FBB" w:rsidRPr="00781112" w:rsidRDefault="00380FBB" w:rsidP="00286BDF">
      <w:pPr>
        <w:rPr>
          <w:rFonts w:cs="Arial"/>
          <w:color w:val="000000" w:themeColor="text1"/>
          <w:szCs w:val="16"/>
        </w:rPr>
      </w:pP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86.00%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75.00%-85.00%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75.00%-85.00%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38.46%</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47.37%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34.21%</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21.05%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12.50%</w:t>
            </w:r>
          </w:p>
        </w:tc>
      </w:tr>
    </w:tbl>
    <w:p w14:paraId="161341C1" w14:textId="77777777" w:rsidR="00CE0C68" w:rsidRPr="00781112" w:rsidRDefault="00CE0C68" w:rsidP="004369B2">
      <w:pPr>
        <w:rPr>
          <w:color w:val="000000" w:themeColor="text1"/>
        </w:rPr>
      </w:pPr>
    </w:p>
    <w:p w14:paraId="1E99DC3D" w14:textId="77777777" w:rsidR="00380FBB" w:rsidRDefault="00380FBB">
      <w:pPr>
        <w:spacing w:before="0" w:after="200" w:line="276" w:lineRule="auto"/>
        <w:rPr>
          <w:b/>
          <w:color w:val="000000" w:themeColor="text1"/>
        </w:rPr>
      </w:pPr>
      <w:r>
        <w:rPr>
          <w:b/>
          <w:color w:val="000000" w:themeColor="text1"/>
        </w:rPr>
        <w:br w:type="page"/>
      </w:r>
    </w:p>
    <w:p w14:paraId="3D302901" w14:textId="59F81DBE" w:rsidR="008E31C4" w:rsidRPr="00781112" w:rsidRDefault="008E31C4" w:rsidP="004369B2">
      <w:pPr>
        <w:rPr>
          <w:color w:val="000000" w:themeColor="text1"/>
        </w:rPr>
      </w:pPr>
      <w:r w:rsidRPr="00781112">
        <w:rPr>
          <w:b/>
          <w:color w:val="000000" w:themeColor="text1"/>
        </w:rPr>
        <w:lastRenderedPageBreak/>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35.48%</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NC's data did not meet the target for successful resolution meetings. However, many parties may engage in multiple dispute resolution mechanisms to resolve their disagreements (</w:t>
      </w:r>
      <w:proofErr w:type="gramStart"/>
      <w:r w:rsidRPr="00781112">
        <w:rPr>
          <w:rFonts w:cs="Arial"/>
          <w:color w:val="000000" w:themeColor="text1"/>
          <w:szCs w:val="16"/>
        </w:rPr>
        <w:t>i.e.</w:t>
      </w:r>
      <w:proofErr w:type="gramEnd"/>
      <w:r w:rsidRPr="00781112">
        <w:rPr>
          <w:rFonts w:cs="Arial"/>
          <w:color w:val="000000" w:themeColor="text1"/>
          <w:szCs w:val="16"/>
        </w:rPr>
        <w:t xml:space="preserve"> facilitated IEP Team meetings or mediation) made available at no charge by NCDPI. At other times, the parties engage in mediation that is outside of the NCDPI Dispute Resolution System. The NCDPI hypothesizes that parties in dispute use multiple meetings to resolve their disagreements given the few </w:t>
      </w:r>
      <w:proofErr w:type="gramStart"/>
      <w:r w:rsidRPr="00781112">
        <w:rPr>
          <w:rFonts w:cs="Arial"/>
          <w:color w:val="000000" w:themeColor="text1"/>
          <w:szCs w:val="16"/>
        </w:rPr>
        <w:t>number</w:t>
      </w:r>
      <w:proofErr w:type="gramEnd"/>
      <w:r w:rsidRPr="00781112">
        <w:rPr>
          <w:rFonts w:cs="Arial"/>
          <w:color w:val="000000" w:themeColor="text1"/>
          <w:szCs w:val="16"/>
        </w:rPr>
        <w:t xml:space="preserve"> of Due Process petitions that end in a formal hearing.</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69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rFonts w:cs="Arial"/>
          <w:color w:val="000000" w:themeColor="text1"/>
          <w:szCs w:val="16"/>
        </w:rPr>
        <w:t>analysis</w:t>
      </w:r>
      <w:proofErr w:type="gramEnd"/>
      <w:r w:rsidRPr="00781112">
        <w:rPr>
          <w:rFonts w:cs="Arial"/>
          <w:color w:val="000000" w:themeColor="text1"/>
          <w:szCs w:val="16"/>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administrators, OSEP funded technical Assistance Centers and Parent Advocacy groups. Additional external feedback </w:t>
      </w:r>
      <w:proofErr w:type="gramStart"/>
      <w:r w:rsidRPr="00781112">
        <w:rPr>
          <w:rFonts w:cs="Arial"/>
          <w:color w:val="000000" w:themeColor="text1"/>
          <w:szCs w:val="16"/>
        </w:rPr>
        <w:t>is routinely solicited</w:t>
      </w:r>
      <w:proofErr w:type="gramEnd"/>
      <w:r w:rsidRPr="00781112">
        <w:rPr>
          <w:rFonts w:cs="Arial"/>
          <w:color w:val="000000" w:themeColor="text1"/>
          <w:szCs w:val="16"/>
        </w:rPr>
        <w:t xml:space="preserve"> from the EC Directors’ Advisory Council, the NC Council of Administrators of Special Education, national technical assistance centers, and content experts at state institutions of higher education (IHEs).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71.00%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78.95%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64.47%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46.03%</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763767D8" w14:textId="77777777" w:rsidR="00380FBB" w:rsidRDefault="00380FBB">
      <w:pPr>
        <w:spacing w:before="0" w:after="200" w:line="276" w:lineRule="auto"/>
        <w:rPr>
          <w:b/>
          <w:color w:val="000000" w:themeColor="text1"/>
        </w:rPr>
      </w:pPr>
      <w:r>
        <w:rPr>
          <w:b/>
          <w:color w:val="000000" w:themeColor="text1"/>
        </w:rPr>
        <w:br w:type="page"/>
      </w:r>
    </w:p>
    <w:p w14:paraId="287DA72B" w14:textId="0FA2DE50" w:rsidR="008E31C4" w:rsidRPr="00781112" w:rsidRDefault="008E31C4" w:rsidP="004369B2">
      <w:pPr>
        <w:rPr>
          <w:color w:val="000000" w:themeColor="text1"/>
        </w:rPr>
      </w:pPr>
      <w:r w:rsidRPr="00781112">
        <w:rPr>
          <w:b/>
          <w:color w:val="000000" w:themeColor="text1"/>
        </w:rPr>
        <w:lastRenderedPageBreak/>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27</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69</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NC's data did not meet the target for successful mediation agreements. However, many parties may engage in multiple dispute resolution mechanisms to resolve their disagreements (</w:t>
      </w:r>
      <w:proofErr w:type="gramStart"/>
      <w:r w:rsidRPr="00781112">
        <w:rPr>
          <w:rFonts w:cs="Arial"/>
          <w:color w:val="000000" w:themeColor="text1"/>
          <w:szCs w:val="16"/>
        </w:rPr>
        <w:t>i.e.</w:t>
      </w:r>
      <w:proofErr w:type="gramEnd"/>
      <w:r w:rsidRPr="00781112">
        <w:rPr>
          <w:rFonts w:cs="Arial"/>
          <w:color w:val="000000" w:themeColor="text1"/>
          <w:szCs w:val="16"/>
        </w:rPr>
        <w:t xml:space="preserve"> facilitated IEP Team meetings or mediation outside of NCDPI). The NCDPI attributes the low percentage of mediation agreements to the number of mediation meetings required to resolve issues particularly when attorney fees are the last issue in dispute.</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NC will reduce the </w:t>
      </w:r>
      <w:proofErr w:type="gramStart"/>
      <w:r w:rsidRPr="00781112">
        <w:rPr>
          <w:color w:val="000000" w:themeColor="text1"/>
        </w:rPr>
        <w:t>6.83% point</w:t>
      </w:r>
      <w:proofErr w:type="gramEnd"/>
      <w:r w:rsidRPr="00781112">
        <w:rPr>
          <w:color w:val="000000" w:themeColor="text1"/>
        </w:rPr>
        <w:t xml:space="preserve"> gap between students of color (SoC) with disabilities (4.19% career and college ready; CCR) and white students with disabilities (11.02% CCR) by 90% in the 40 public school units (PSUs) with &lt;25% all-student proficiency in 4th grade reading that opted-in as SiMR Support partner PSUs.</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 xml:space="preserve">INFRASTRUCTURE ANALYSIS – This </w:t>
      </w:r>
      <w:proofErr w:type="gramStart"/>
      <w:r w:rsidRPr="00781112">
        <w:t>was conducted</w:t>
      </w:r>
      <w:proofErr w:type="gramEnd"/>
      <w:r w:rsidRPr="00781112">
        <w:t xml:space="preserve"> in summer 2021 with full Office of Exceptional Children (OEC) staff participation. We created our own reflection tool based on the NCSI’s eight-component General Supervision framework. This analysis illuminated both strengths and opportunities for growth in OEC resources, organization, talent, and processes. The full analysis can </w:t>
      </w:r>
      <w:proofErr w:type="gramStart"/>
      <w:r w:rsidRPr="00781112">
        <w:t>be viewed</w:t>
      </w:r>
      <w:proofErr w:type="gramEnd"/>
      <w:r w:rsidRPr="00781112">
        <w:t xml:space="preserve"> at:   https://docs.google.com/document/d/15WLfD6nfRAnIcfTYnDBTnbMWHLkbf4PK/edit?usp=sharing&amp;ouid=114466409737524691690&amp;rtpof=true&amp;sd=true</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 Longitudinal 4th and 8th grade reading and math end-of-grade assessment data</w:t>
      </w:r>
      <w:r w:rsidRPr="00781112">
        <w:br/>
        <w:t>• Longitudinal SWD graduation data</w:t>
      </w:r>
      <w:r w:rsidRPr="00781112">
        <w:br/>
        <w:t>• SEA and PSU demographic and geographic data</w:t>
      </w:r>
      <w:r w:rsidRPr="00781112">
        <w:br/>
        <w:t>• Discipline and attendance data; School Report Card data</w:t>
      </w:r>
      <w:r w:rsidRPr="00781112">
        <w:br/>
        <w:t>• Significant Disproportionality and Indicator 4/9/10 data</w:t>
      </w:r>
      <w:r w:rsidRPr="00781112">
        <w:br/>
        <w:t>• PSU Determinations</w:t>
      </w:r>
      <w:r w:rsidRPr="00781112">
        <w:br/>
        <w:t>• EC Director and Teacher Attrition data</w:t>
      </w:r>
      <w:r w:rsidRPr="00781112">
        <w:br/>
        <w:t>• Teacher Demographic data</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 xml:space="preserve">In collaboration with our stakeholders, including our external evaluator and national TA center state </w:t>
      </w:r>
      <w:proofErr w:type="gramStart"/>
      <w:r w:rsidRPr="00781112">
        <w:t>leads</w:t>
      </w:r>
      <w:proofErr w:type="gramEnd"/>
      <w:r w:rsidRPr="00781112">
        <w:t xml:space="preserve">, the OEC conducted multiple analyses in determining whether to continue with the original </w:t>
      </w:r>
      <w:proofErr w:type="gramStart"/>
      <w:r w:rsidRPr="00781112">
        <w:t>graduation-focused</w:t>
      </w:r>
      <w:proofErr w:type="gramEnd"/>
      <w:r w:rsidRPr="00781112">
        <w:t xml:space="preserve"> SiMR or identify a new area of focus. NC made significant progress on the original SiMR, and as presented in the FY2020 Indicator 17 response several factors (i.e., adverse impacts of lost instructional time during COVID, SWD outcome data from statewide assessments, shifting agency priorities to early elementary literacy, and opportunities for better alignment with NCDPI’s Every Student Succeeds Act Consolidated State Plan), led all stakeholders to look for a new, more relevant SiMR. Beginning with longitudinal analyses of Indicator 1 and 3 data, the OEC followed stakeholder preference/interests in narrowing the investigation to reading outcomes for SWD. Stakeholders selected </w:t>
      </w:r>
      <w:proofErr w:type="gramStart"/>
      <w:r w:rsidRPr="00781112">
        <w:t>4th</w:t>
      </w:r>
      <w:proofErr w:type="gramEnd"/>
      <w:r w:rsidRPr="00781112">
        <w:t xml:space="preserve"> grade reading as the target for improvement over the course of four meetings in summer/fall 2021. In 2022, the OEC conducted </w:t>
      </w:r>
      <w:proofErr w:type="gramStart"/>
      <w:r w:rsidRPr="00781112">
        <w:t>several</w:t>
      </w:r>
      <w:proofErr w:type="gramEnd"/>
      <w:r w:rsidRPr="00781112">
        <w:t xml:space="preserve"> more rounds of analysis, disaggregating SEA and PSU data by racial subgroups, region, charter/traditional PSU, etc. The OEC determined we could make significant improvement on Indicator 3b/4th grade reading by focusing efforts on PSUs (97 of 294 submitting data in 2020-21) with &lt;25% of all students scoring in the College and Career Ready (CCR) range (a score of 4 or 5 on EOG). Additional analyses were then run with these 97 PSUs to determine if any opportunity gaps existed in 4th grade reading and found that within the SWD subgroup we had a </w:t>
      </w:r>
      <w:proofErr w:type="gramStart"/>
      <w:r w:rsidRPr="00781112">
        <w:t>6.35% point</w:t>
      </w:r>
      <w:proofErr w:type="gramEnd"/>
      <w:r w:rsidRPr="00781112">
        <w:t xml:space="preserve"> gap between non-white and white SWD. (The OEC later ran this battery of analysis on all NC PSUs to be able to track PSU and SEA progress over time). After identifying the intervention group of PSUs for the new SSIP (via </w:t>
      </w:r>
      <w:proofErr w:type="gramStart"/>
      <w:r w:rsidRPr="00781112">
        <w:t>40</w:t>
      </w:r>
      <w:proofErr w:type="gramEnd"/>
      <w:r w:rsidRPr="00781112">
        <w:t xml:space="preserve"> of the 97 PSUs opting in as SiMR-Support PSUs), the OEC recalculated the opportunity gap among the 40 PSUs to arrive at the final SiMR.</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 xml:space="preserve">As described above, the OEC has been in consistent and close contact with stakeholders since summer 2021 related to the SiMR change. In addition to participation in bi-monthly open EC stakeholder meetings in 2022, stakeholders contributed to the SiMR decision via participation on three SPP work groups which include multiple internal and external stakeholders, including parents of SWD, parent TA center representatives, PSU staff, and advocacy organizations. Along with Regional Data Teams (RDTs), these work groups design and implement SSIP priorities. Notably, one of the work groups with stakeholder membership </w:t>
      </w:r>
      <w:proofErr w:type="gramStart"/>
      <w:r w:rsidRPr="00781112">
        <w:t>is focused</w:t>
      </w:r>
      <w:proofErr w:type="gramEnd"/>
      <w:r w:rsidRPr="00781112">
        <w:t xml:space="preserve"> on Data Literacy; this group coordinated and presented most of the SiMR-related analyses with all other stakeholders. In addition, external stakeholders are the intended audience for NCDPI SPP/APR website (https://www.dpi.nc.gov/districts-schools/classroom-resources/exceptional-children/program-and-fiscal-monitoring/federal-reporting/state-performance-plan-spp-annual-performance-report-apr#:~:text=The%20NCDPI%20State%20Performance%20Plan,outcomes%20for%20students%20with%20disabilities.), as well, which provides current information about the SSIP and all other indicators. </w:t>
      </w:r>
      <w:r w:rsidRPr="00781112">
        <w:br/>
      </w:r>
      <w:r w:rsidRPr="00781112">
        <w:br/>
        <w:t xml:space="preserve">The OEC also maintains ongoing EC Director communications in the form of monthly webinars, weekly emails, Directors Advisory Council meetings, and quarterly regional EC Director meetings keep local EC leaders engaged in SSIP implementation (e.g., SiMR selection process) throughout the year. The OEC also engaged our state Council on Educational Services for Exceptional Children (advises the NC State Board of Education on unmet needs of SWD and in development/implementation of policies related to coordination of services for SWD) in the SiMR decision-making process. </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40 PSUs that opted in as SiMR-Support partners from a group of 97 invited PSUs with &lt;25% of all students scoring in the College and Career Ready (CCR) on the 2020-21 4th grade reading state assessment. Within these 40 PSUs, no more than six elementary schools will </w:t>
      </w:r>
      <w:proofErr w:type="gramStart"/>
      <w:r w:rsidRPr="00781112">
        <w:rPr>
          <w:color w:val="000000" w:themeColor="text1"/>
        </w:rPr>
        <w:t>be selected</w:t>
      </w:r>
      <w:proofErr w:type="gramEnd"/>
      <w:r w:rsidRPr="00781112">
        <w:rPr>
          <w:color w:val="000000" w:themeColor="text1"/>
        </w:rPr>
        <w:t xml:space="preserve"> as targeted intervention/pilot sites.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The OEC modified the SSIP Theory of Action (ToA) to reflect what we learned from our infrastructure analysis and our initial, state-level root cause analysis of opportunity gaps in </w:t>
      </w:r>
      <w:proofErr w:type="gramStart"/>
      <w:r w:rsidRPr="00781112">
        <w:t>4th</w:t>
      </w:r>
      <w:proofErr w:type="gramEnd"/>
      <w:r w:rsidRPr="00781112">
        <w:t xml:space="preserve"> grade reading among SWD racial subgroups. Where the previous ToA relied heavily on OEC-supported identification and implementation of evidence-based practices to improve graduation rates for SWD, the revised ToA incorporates a broader application of the whole general supervision system to support local improvement. By strategically coordinating OEC talent and resources in three lanes of effort—Data, Accountability, and Capacity-building—we anticipate providing more specific and customized support to our SiMR Support PSUs and more actionable/relevant universal support to all PSUs. Further, in targeting two main constructs as the path to improvement—early elementary literacy and beliefs systems involving SWD and students of color—we anticipate a more efficient and coherent installation and monitoring of local supports.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https://docs.google.com/presentation/d/1V8ABybJdn12i0DJgw66ifyWsmw7SXX5onxJO0e3OCLY/edit?usp=sharing</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4.19%</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8.50%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11.00%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12.50%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15.00%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SWD of Color in SiMR Support PSUs Who Scored at Career and College Ready on 2020-21 4th Grade Reading State Assessment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SWD of Color in SiMR Support PSUs Who Took the 2020-21 4th Grade Reading State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49</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1,224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74.51%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4.00%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Although there is a slight reduction (less than 1% point) in our data for the new SiMR, the table above </w:t>
      </w:r>
      <w:proofErr w:type="gramStart"/>
      <w:r w:rsidRPr="00781112">
        <w:rPr>
          <w:color w:val="000000" w:themeColor="text1"/>
        </w:rPr>
        <w:t>is comparing</w:t>
      </w:r>
      <w:proofErr w:type="gramEnd"/>
      <w:r w:rsidRPr="00781112">
        <w:rPr>
          <w:color w:val="000000" w:themeColor="text1"/>
        </w:rPr>
        <w:t xml:space="preserve"> FFY2021 Data for the new SiMR for NC to our FFY2020 data from our previous SiMR (Graduation) automatically. This comparison </w:t>
      </w:r>
      <w:proofErr w:type="gramStart"/>
      <w:r w:rsidRPr="00781112">
        <w:rPr>
          <w:color w:val="000000" w:themeColor="text1"/>
        </w:rPr>
        <w:t>is</w:t>
      </w:r>
      <w:proofErr w:type="gramEnd"/>
      <w:r w:rsidRPr="00781112">
        <w:rPr>
          <w:color w:val="000000" w:themeColor="text1"/>
        </w:rPr>
        <w:t xml:space="preserve"> not accurately reflecting the data for the current SiMR.</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DATA SOURCE FOR FFY 2021 - 2021-22 4th Grade End of Grade Reading data for SiMR Opt-In PSUs</w:t>
      </w:r>
      <w:r w:rsidRPr="00781112">
        <w:rPr>
          <w:color w:val="000000" w:themeColor="text1"/>
        </w:rPr>
        <w:br/>
        <w:t>DATA SOURCE FOR FFY 2021 - 2021-22 4th Grade End of Grade Reading data for SiMR Opt-In PSUs</w:t>
      </w:r>
      <w:r w:rsidRPr="00781112">
        <w:rPr>
          <w:color w:val="000000" w:themeColor="text1"/>
        </w:rPr>
        <w:br/>
        <w:t>Based on OSEP's guidance for Indicator 17, NC is reporting only on Career and College Ready progress in performance for SWD of Color in 4th grade reading in the SPP/APR table above.</w:t>
      </w:r>
      <w:r w:rsidRPr="00781112">
        <w:rPr>
          <w:color w:val="000000" w:themeColor="text1"/>
        </w:rPr>
        <w:br/>
        <w:t xml:space="preserve">The definition of SoC in North Carolina's SiMR is all non-white students. </w:t>
      </w:r>
      <w:r w:rsidRPr="00781112">
        <w:rPr>
          <w:color w:val="000000" w:themeColor="text1"/>
        </w:rPr>
        <w:br/>
      </w:r>
      <w:r w:rsidRPr="00781112">
        <w:rPr>
          <w:color w:val="000000" w:themeColor="text1"/>
        </w:rPr>
        <w:br/>
        <w:t>The NC SiMR is looking to reduce the gap between white SWD and students of color (SoC) SWD in 4th Grade Reading for districts that have less than 25% College and Career Ready for all students and have opted-in to receive support from the OEC.</w:t>
      </w:r>
      <w:r w:rsidRPr="00781112">
        <w:rPr>
          <w:color w:val="000000" w:themeColor="text1"/>
        </w:rPr>
        <w:br/>
      </w:r>
      <w:r w:rsidRPr="00781112">
        <w:rPr>
          <w:color w:val="000000" w:themeColor="text1"/>
        </w:rPr>
        <w:br/>
        <w:t>The formula is: 4th Grade Reading data for SiMR Opt-In PSUs - % WHITE SWD CCR - % SoC SWD CRR = GAP</w:t>
      </w:r>
      <w:r w:rsidRPr="00781112">
        <w:rPr>
          <w:color w:val="000000" w:themeColor="text1"/>
        </w:rPr>
        <w:br/>
      </w:r>
      <w:r w:rsidRPr="00781112">
        <w:rPr>
          <w:color w:val="000000" w:themeColor="text1"/>
        </w:rPr>
        <w:br/>
        <w:t>The actual percentage point gap data for FY2021 is</w:t>
      </w:r>
      <w:r w:rsidRPr="00781112">
        <w:rPr>
          <w:color w:val="000000" w:themeColor="text1"/>
        </w:rPr>
        <w:br/>
        <w:t>%White CCR:12.34%</w:t>
      </w:r>
      <w:r w:rsidRPr="00781112">
        <w:rPr>
          <w:color w:val="000000" w:themeColor="text1"/>
        </w:rPr>
        <w:br/>
        <w:t>%SoC CCR:4.00%</w:t>
      </w:r>
      <w:r w:rsidRPr="00781112">
        <w:rPr>
          <w:color w:val="000000" w:themeColor="text1"/>
        </w:rPr>
        <w:br/>
        <w:t>FFY2020 Percentage Point Difference: 6.83</w:t>
      </w:r>
      <w:r w:rsidRPr="00781112">
        <w:rPr>
          <w:color w:val="000000" w:themeColor="text1"/>
        </w:rPr>
        <w:br/>
        <w:t>FFY2021 Percentage Point Difference: 8.34</w:t>
      </w:r>
      <w:r w:rsidRPr="00781112">
        <w:rPr>
          <w:color w:val="000000" w:themeColor="text1"/>
        </w:rPr>
        <w:br/>
        <w:t>Status: Did Not Meet Target</w:t>
      </w:r>
      <w:r w:rsidRPr="00781112">
        <w:rPr>
          <w:color w:val="000000" w:themeColor="text1"/>
        </w:rPr>
        <w:br/>
      </w:r>
      <w:r w:rsidRPr="00781112">
        <w:rPr>
          <w:color w:val="000000" w:themeColor="text1"/>
        </w:rPr>
        <w:br/>
        <w:t>North Carolina has established decreasing percentage point gap targets to significantly reduce the gap between SWD of Color and White SWD over the next 5 years. The targets are:</w:t>
      </w:r>
      <w:r w:rsidRPr="00781112">
        <w:rPr>
          <w:color w:val="000000" w:themeColor="text1"/>
        </w:rPr>
        <w:br/>
      </w:r>
      <w:r w:rsidRPr="00781112">
        <w:rPr>
          <w:color w:val="000000" w:themeColor="text1"/>
        </w:rPr>
        <w:lastRenderedPageBreak/>
        <w:t>FFY 2021 - 6</w:t>
      </w:r>
      <w:r w:rsidRPr="00781112">
        <w:rPr>
          <w:color w:val="000000" w:themeColor="text1"/>
        </w:rPr>
        <w:br/>
        <w:t>FFY 2022 - 5</w:t>
      </w:r>
      <w:r w:rsidRPr="00781112">
        <w:rPr>
          <w:color w:val="000000" w:themeColor="text1"/>
        </w:rPr>
        <w:br/>
        <w:t>FFY 2023 - 3.5</w:t>
      </w:r>
      <w:r w:rsidRPr="00781112">
        <w:rPr>
          <w:color w:val="000000" w:themeColor="text1"/>
        </w:rPr>
        <w:br/>
        <w:t>FFY 2024 - 2.0</w:t>
      </w:r>
      <w:r w:rsidRPr="00781112">
        <w:rPr>
          <w:color w:val="000000" w:themeColor="text1"/>
        </w:rPr>
        <w:br/>
        <w:t>FFY 2025 - .68</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proofErr w:type="gramStart"/>
      <w:r w:rsidRPr="00781112">
        <w:rPr>
          <w:color w:val="000000" w:themeColor="text1"/>
        </w:rPr>
        <w:t>4th</w:t>
      </w:r>
      <w:proofErr w:type="gramEnd"/>
      <w:r w:rsidRPr="00781112">
        <w:rPr>
          <w:color w:val="000000" w:themeColor="text1"/>
        </w:rPr>
        <w:t xml:space="preserve"> grade reading end-of-grade assessment data are collected from our statewide accountability system and transferred to an internal NCDPI data warehouse (CEDARS). The OEC extracts the file from CEDARS and disaggregates/compares the </w:t>
      </w:r>
      <w:proofErr w:type="gramStart"/>
      <w:r w:rsidRPr="00781112">
        <w:rPr>
          <w:color w:val="000000" w:themeColor="text1"/>
        </w:rPr>
        <w:t>4th</w:t>
      </w:r>
      <w:proofErr w:type="gramEnd"/>
      <w:r w:rsidRPr="00781112">
        <w:rPr>
          <w:color w:val="000000" w:themeColor="text1"/>
        </w:rPr>
        <w:t xml:space="preserve"> grade reading data by PSU, region, PSU type, race, gender, disability status, and disability category, at minimum. We also calculate compounding effects of two or more of these conditions (e.g., race x disability status) to determine magnitude of risk for different subgroups. PSUs may also request customized analysis for their unique context (e.g., military affiliation). For the SiMR, we compare white SWD and non-white SWD 4th grade reading CCR status at the district and school level. From there, we can calculate the size and magnitude of opportunity gaps among subgroups which allow for more strategic selection of intervention schools and EBPs.</w:t>
      </w:r>
      <w:r w:rsidRPr="00781112">
        <w:rPr>
          <w:color w:val="000000" w:themeColor="text1"/>
        </w:rPr>
        <w:br/>
      </w:r>
      <w:r w:rsidRPr="00781112">
        <w:rPr>
          <w:color w:val="000000" w:themeColor="text1"/>
        </w:rPr>
        <w:br/>
        <w:t xml:space="preserve">For the purposes of SPP/APR Reporting, NC will report the College &amp; Career Ready percent of SWD of Color each year with the goal of increasing the percent College and Career Ready as defined in the targets.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FY 2021 SSIP Evaluation Plan - https://docs.google.com/document/d/1_iGuokd857I-WlX515OSWcb5HO_Se7fv/edit?usp=sharing&amp;ouid=114466409737524691690&amp;rtpof=true&amp;sd=true</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The SSIP evaluation plan for the new SiMR is a complete overhaul from the original graduation-focused plan. The new evaluation plan uses a quasi-experimental design comparing intervention schools from the 40 SiMR support PSUs to schools from the </w:t>
      </w:r>
      <w:proofErr w:type="gramStart"/>
      <w:r w:rsidRPr="00781112">
        <w:rPr>
          <w:color w:val="000000" w:themeColor="text1"/>
        </w:rPr>
        <w:t>57</w:t>
      </w:r>
      <w:proofErr w:type="gramEnd"/>
      <w:r w:rsidRPr="00781112">
        <w:rPr>
          <w:color w:val="000000" w:themeColor="text1"/>
        </w:rPr>
        <w:t xml:space="preserve"> control PSUs over time. The comparison </w:t>
      </w:r>
      <w:proofErr w:type="gramStart"/>
      <w:r w:rsidRPr="00781112">
        <w:rPr>
          <w:color w:val="000000" w:themeColor="text1"/>
        </w:rPr>
        <w:t>is designed</w:t>
      </w:r>
      <w:proofErr w:type="gramEnd"/>
      <w:r w:rsidRPr="00781112">
        <w:rPr>
          <w:color w:val="000000" w:themeColor="text1"/>
        </w:rPr>
        <w:t xml:space="preserve"> to determine the impact of intensive and collaborative support between the SiMR Support PSUs and the OEC. A more focused SiMR allows for more focused evaluation, with the new plan using just three summative metrics and a much smaller array of formative metrics.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evaluation plan changed because the SiMR changed. The new SiMR has completely different measures of success (</w:t>
      </w:r>
      <w:proofErr w:type="gramStart"/>
      <w:r w:rsidRPr="00781112">
        <w:rPr>
          <w:color w:val="000000" w:themeColor="text1"/>
        </w:rPr>
        <w:t>4th</w:t>
      </w:r>
      <w:proofErr w:type="gramEnd"/>
      <w:r w:rsidRPr="00781112">
        <w:rPr>
          <w:color w:val="000000" w:themeColor="text1"/>
        </w:rPr>
        <w:t xml:space="preserve"> grade reading), different targets for improvement (select PSUs/schools), different interventions strategies (intensive TA and coaching teams assigned to SiMR support PSUs), and different SWD being positively impacted by improvement efforts (elementary students). As such, we built a new evaluation plan from the ground up in collaboration with our external evaluator at UNC Charlotte over the past six months.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Cycle of Local EC Capacity-building Supports – the OEC coordinates a series of capacity-building activities for local systems improvement which includes: </w:t>
      </w:r>
      <w:r w:rsidRPr="00781112">
        <w:rPr>
          <w:color w:val="000000" w:themeColor="text1"/>
        </w:rPr>
        <w:br/>
        <w:t>• Quarterly EC Regional Directors meetings</w:t>
      </w:r>
      <w:r w:rsidRPr="00781112">
        <w:rPr>
          <w:color w:val="000000" w:themeColor="text1"/>
        </w:rPr>
        <w:br/>
        <w:t>• Bi-Monthly EC Director/Coordinator webinars</w:t>
      </w:r>
      <w:r w:rsidRPr="00781112">
        <w:rPr>
          <w:color w:val="000000" w:themeColor="text1"/>
        </w:rPr>
        <w:br/>
        <w:t>• Weekly EC communications &amp; memos</w:t>
      </w:r>
      <w:r w:rsidRPr="00781112">
        <w:rPr>
          <w:color w:val="000000" w:themeColor="text1"/>
        </w:rPr>
        <w:br/>
        <w:t>• Monthly and ad hoc topical office hours</w:t>
      </w:r>
      <w:r w:rsidRPr="00781112">
        <w:rPr>
          <w:color w:val="000000" w:themeColor="text1"/>
        </w:rPr>
        <w:br/>
        <w:t>• Quarterly statewide EC webinars</w:t>
      </w:r>
      <w:r w:rsidRPr="00781112">
        <w:rPr>
          <w:color w:val="000000" w:themeColor="text1"/>
        </w:rPr>
        <w:br/>
        <w:t>• Web-based toolkits, professional learning, data dashboards, and other resources</w:t>
      </w:r>
      <w:r w:rsidRPr="00781112">
        <w:rPr>
          <w:color w:val="000000" w:themeColor="text1"/>
        </w:rPr>
        <w:br/>
        <w:t>• Annual EC Conference, March EC Administrator Institute, and EC Summer Institutes</w:t>
      </w:r>
      <w:r w:rsidRPr="00781112">
        <w:rPr>
          <w:color w:val="000000" w:themeColor="text1"/>
        </w:rPr>
        <w:br/>
      </w:r>
      <w:r w:rsidRPr="00781112">
        <w:rPr>
          <w:color w:val="000000" w:themeColor="text1"/>
        </w:rPr>
        <w:br/>
        <w:t>EC Regional Data Teams (RDT) - OEC staff are assigned to 1 of these 4 teams, which are primary implementing unit of SSIP; RDTs analyze regional- and PSU-level root cause of SWD performance across indicators; implement/support universal SSIP outputs; provide tailored and customized data-based support, problem-solving, and coaching; provide forum for PSUs to collaborate through regional EC Director meetings and new director cohorts</w:t>
      </w:r>
      <w:r w:rsidRPr="00781112">
        <w:rPr>
          <w:color w:val="000000" w:themeColor="text1"/>
        </w:rPr>
        <w:br/>
      </w:r>
      <w:r w:rsidRPr="00781112">
        <w:rPr>
          <w:color w:val="000000" w:themeColor="text1"/>
        </w:rPr>
        <w:br/>
        <w:t xml:space="preserve">SSIP Work Groups - Data Literacy, Stakeholder &amp; Family Engagement, Research-informed Practices, and Systems Coherence groups produce deliverables in alignment with SSIP priorities identified by stakeholders. External stakeholders, including parents of students with disabilities, are key participants in work groups. </w:t>
      </w:r>
      <w:r w:rsidRPr="00781112">
        <w:rPr>
          <w:color w:val="000000" w:themeColor="text1"/>
        </w:rPr>
        <w:br/>
      </w:r>
      <w:r w:rsidRPr="00781112">
        <w:rPr>
          <w:color w:val="000000" w:themeColor="text1"/>
        </w:rPr>
        <w:br/>
        <w:t xml:space="preserve">Every Child Accountability and Tracking System (ECATS) – this central data support in NC’s infrastructure for special education is in its </w:t>
      </w:r>
      <w:proofErr w:type="gramStart"/>
      <w:r w:rsidRPr="00781112">
        <w:rPr>
          <w:color w:val="000000" w:themeColor="text1"/>
        </w:rPr>
        <w:t>3rd</w:t>
      </w:r>
      <w:proofErr w:type="gramEnd"/>
      <w:r w:rsidRPr="00781112">
        <w:rPr>
          <w:color w:val="000000" w:themeColor="text1"/>
        </w:rPr>
        <w:t xml:space="preserve"> year of operation and enhancements continue; MTSS module and early warning system now live. Since its launch in 2019, the ECATS system has documented </w:t>
      </w:r>
      <w:proofErr w:type="gramStart"/>
      <w:r w:rsidRPr="00781112">
        <w:rPr>
          <w:color w:val="000000" w:themeColor="text1"/>
        </w:rPr>
        <w:t>nearly one</w:t>
      </w:r>
      <w:proofErr w:type="gramEnd"/>
      <w:r w:rsidRPr="00781112">
        <w:rPr>
          <w:color w:val="000000" w:themeColor="text1"/>
        </w:rPr>
        <w:t xml:space="preserve"> million IEP meetings, 180,0856 referral meetings, 15,251 manifestation determination meetings, and 2.7 million EC progress reports. Additionally, the use of the online professional learning series supporting the use of ECATS for meaningful IEP processes continues. The Early Warning System( EWS) within the MTSS Module of ECATS allows for viewing and analyzing multiple pieces of data for systematic, data-driven problem solving. The recommended way to look at data gathered from universal screening is within the context of an Early Warning System or EWS. An early warning system is a place that houses multiple sources and types of data. The data are generally designed around research-based, highly predictive, risk </w:t>
      </w:r>
      <w:r w:rsidRPr="00781112">
        <w:rPr>
          <w:color w:val="000000" w:themeColor="text1"/>
        </w:rPr>
        <w:lastRenderedPageBreak/>
        <w:t>indicators of student performance in the areas of academics, behavior and attendance.</w:t>
      </w:r>
      <w:r w:rsidRPr="00781112">
        <w:rPr>
          <w:color w:val="000000" w:themeColor="text1"/>
        </w:rPr>
        <w:br/>
      </w:r>
      <w:r w:rsidRPr="00781112">
        <w:rPr>
          <w:color w:val="000000" w:themeColor="text1"/>
        </w:rPr>
        <w:br/>
        <w:t xml:space="preserve">NC State Improvement Project (SIP) – Through OSEP State Personnel Development Grant, the North Carolina State Improvement Project (NC SIP) provides comprehensive, high quality professional development and follow up coaching focused on effective leadership and effective instruction to districts and schools by </w:t>
      </w:r>
      <w:r w:rsidRPr="00781112">
        <w:rPr>
          <w:color w:val="000000" w:themeColor="text1"/>
        </w:rPr>
        <w:br/>
        <w:t xml:space="preserve">-building state-level capacity; </w:t>
      </w:r>
      <w:r w:rsidRPr="00781112">
        <w:rPr>
          <w:color w:val="000000" w:themeColor="text1"/>
        </w:rPr>
        <w:br/>
        <w:t xml:space="preserve">-enhancing leadership skills in administrators; </w:t>
      </w:r>
      <w:r w:rsidRPr="00781112">
        <w:rPr>
          <w:color w:val="000000" w:themeColor="text1"/>
        </w:rPr>
        <w:br/>
        <w:t xml:space="preserve">-delivering research-based professional development on literacy and mathematics instruction; </w:t>
      </w:r>
      <w:r w:rsidRPr="00781112">
        <w:rPr>
          <w:color w:val="000000" w:themeColor="text1"/>
        </w:rPr>
        <w:br/>
        <w:t xml:space="preserve">-aligning state and institutions of higher education instructional content; and </w:t>
      </w:r>
      <w:r w:rsidRPr="00781112">
        <w:rPr>
          <w:color w:val="000000" w:themeColor="text1"/>
        </w:rPr>
        <w:br/>
        <w:t>-improving family engagement at all levels of service delivery.</w:t>
      </w:r>
      <w:r w:rsidRPr="00781112">
        <w:rPr>
          <w:color w:val="000000" w:themeColor="text1"/>
        </w:rPr>
        <w:br/>
      </w:r>
      <w:r w:rsidRPr="00781112">
        <w:rPr>
          <w:color w:val="000000" w:themeColor="text1"/>
        </w:rPr>
        <w:br/>
        <w:t xml:space="preserve">Facilitated Assessment of MTSS-District Level (FAM-D and FAM-S) – NC MTSS measures saturation, implementation, and growth on two self-rating tools: the Facilitated Assessment of MTSS - School Level (FAM-S) and the Facilitated Assessment of MTSS - District Level (FAM-D). Both tools </w:t>
      </w:r>
      <w:proofErr w:type="gramStart"/>
      <w:r w:rsidRPr="00781112">
        <w:rPr>
          <w:color w:val="000000" w:themeColor="text1"/>
        </w:rPr>
        <w:t>are recommended</w:t>
      </w:r>
      <w:proofErr w:type="gramEnd"/>
      <w:r w:rsidRPr="00781112">
        <w:rPr>
          <w:color w:val="000000" w:themeColor="text1"/>
        </w:rPr>
        <w:t xml:space="preserve"> to complete with a facilitator to guide team conversations. Both tools engage implementation teams - the FAM-S at the school level and the FAM-D at the district level. </w:t>
      </w:r>
      <w:r w:rsidRPr="00781112">
        <w:rPr>
          <w:color w:val="000000" w:themeColor="text1"/>
        </w:rPr>
        <w:br/>
      </w:r>
      <w:r w:rsidRPr="00781112">
        <w:rPr>
          <w:color w:val="000000" w:themeColor="text1"/>
        </w:rPr>
        <w:br/>
        <w:t xml:space="preserve">The FAM-S </w:t>
      </w:r>
      <w:proofErr w:type="gramStart"/>
      <w:r w:rsidRPr="00781112">
        <w:rPr>
          <w:color w:val="000000" w:themeColor="text1"/>
        </w:rPr>
        <w:t>is intended</w:t>
      </w:r>
      <w:proofErr w:type="gramEnd"/>
      <w:r w:rsidRPr="00781112">
        <w:rPr>
          <w:color w:val="000000" w:themeColor="text1"/>
        </w:rPr>
        <w:t xml:space="preserve"> to be used within a facilitated administration setting which allows district personnel to review evidence to support the school team’s proposed score. Participation in the FAM-S is optional. NC DPI recommends an annual facilitated administration between April and June. The facilitated administration </w:t>
      </w:r>
      <w:proofErr w:type="gramStart"/>
      <w:r w:rsidRPr="00781112">
        <w:rPr>
          <w:color w:val="000000" w:themeColor="text1"/>
        </w:rPr>
        <w:t>is led</w:t>
      </w:r>
      <w:proofErr w:type="gramEnd"/>
      <w:r w:rsidRPr="00781112">
        <w:rPr>
          <w:color w:val="000000" w:themeColor="text1"/>
        </w:rPr>
        <w:t xml:space="preserve"> by the district MTSS/PBIS Coordinator and/or another member of the District MTSS Team. The instrument can </w:t>
      </w:r>
      <w:proofErr w:type="gramStart"/>
      <w:r w:rsidRPr="00781112">
        <w:rPr>
          <w:color w:val="000000" w:themeColor="text1"/>
        </w:rPr>
        <w:t>be used</w:t>
      </w:r>
      <w:proofErr w:type="gramEnd"/>
      <w:r w:rsidRPr="00781112">
        <w:rPr>
          <w:color w:val="000000" w:themeColor="text1"/>
        </w:rPr>
        <w:t xml:space="preserve"> at any time as an implementation self-report and guide for school leadership teams. District and school teams can utilize the tool to support and align with school improvement planning. </w:t>
      </w:r>
      <w:r w:rsidRPr="00781112">
        <w:rPr>
          <w:color w:val="000000" w:themeColor="text1"/>
        </w:rPr>
        <w:br/>
        <w:t xml:space="preserve">The state NC MTSS team analyzes the </w:t>
      </w:r>
      <w:proofErr w:type="gramStart"/>
      <w:r w:rsidRPr="00781112">
        <w:rPr>
          <w:color w:val="000000" w:themeColor="text1"/>
        </w:rPr>
        <w:t>41</w:t>
      </w:r>
      <w:proofErr w:type="gramEnd"/>
      <w:r w:rsidRPr="00781112">
        <w:rPr>
          <w:color w:val="000000" w:themeColor="text1"/>
        </w:rPr>
        <w:t xml:space="preserve"> items of the FAM-S to identify statewide trends, strengths, and weaknesses. In 2021-22 the highest rated items on the FAM-S (75% or more of school teams rated as either operationalizing (2) or optimizing (3)) included the following items (item content summarized below, full items and rubric are available in the FAM-S:</w:t>
      </w:r>
      <w:r w:rsidRPr="00781112">
        <w:rPr>
          <w:color w:val="000000" w:themeColor="text1"/>
        </w:rPr>
        <w:br/>
      </w:r>
      <w:proofErr w:type="gramStart"/>
      <w:r w:rsidRPr="00781112">
        <w:rPr>
          <w:color w:val="000000" w:themeColor="text1"/>
        </w:rPr>
        <w:t>1</w:t>
      </w:r>
      <w:proofErr w:type="gramEnd"/>
      <w:r w:rsidRPr="00781112">
        <w:rPr>
          <w:color w:val="000000" w:themeColor="text1"/>
        </w:rPr>
        <w:t>. Principal actively involved</w:t>
      </w:r>
      <w:r w:rsidRPr="00781112">
        <w:rPr>
          <w:color w:val="000000" w:themeColor="text1"/>
        </w:rPr>
        <w:br/>
      </w:r>
      <w:proofErr w:type="gramStart"/>
      <w:r w:rsidRPr="00781112">
        <w:rPr>
          <w:color w:val="000000" w:themeColor="text1"/>
        </w:rPr>
        <w:t>3</w:t>
      </w:r>
      <w:proofErr w:type="gramEnd"/>
      <w:r w:rsidRPr="00781112">
        <w:rPr>
          <w:color w:val="000000" w:themeColor="text1"/>
        </w:rPr>
        <w:t>. Teaming structures</w:t>
      </w:r>
      <w:r w:rsidRPr="00781112">
        <w:rPr>
          <w:color w:val="000000" w:themeColor="text1"/>
        </w:rPr>
        <w:br/>
      </w:r>
      <w:proofErr w:type="gramStart"/>
      <w:r w:rsidRPr="00781112">
        <w:rPr>
          <w:color w:val="000000" w:themeColor="text1"/>
        </w:rPr>
        <w:t>21</w:t>
      </w:r>
      <w:proofErr w:type="gramEnd"/>
      <w:r w:rsidRPr="00781112">
        <w:rPr>
          <w:color w:val="000000" w:themeColor="text1"/>
        </w:rPr>
        <w:t>. Engage students, families, stakeholders in MTSS</w:t>
      </w:r>
      <w:r w:rsidRPr="00781112">
        <w:rPr>
          <w:color w:val="000000" w:themeColor="text1"/>
        </w:rPr>
        <w:br/>
      </w:r>
      <w:proofErr w:type="gramStart"/>
      <w:r w:rsidRPr="00781112">
        <w:rPr>
          <w:color w:val="000000" w:themeColor="text1"/>
        </w:rPr>
        <w:t>29</w:t>
      </w:r>
      <w:proofErr w:type="gramEnd"/>
      <w:r w:rsidRPr="00781112">
        <w:rPr>
          <w:color w:val="000000" w:themeColor="text1"/>
        </w:rPr>
        <w:t>. Core Academic Practices</w:t>
      </w:r>
      <w:r w:rsidRPr="00781112">
        <w:rPr>
          <w:color w:val="000000" w:themeColor="text1"/>
        </w:rPr>
        <w:br/>
      </w:r>
      <w:proofErr w:type="gramStart"/>
      <w:r w:rsidRPr="00781112">
        <w:rPr>
          <w:color w:val="000000" w:themeColor="text1"/>
        </w:rPr>
        <w:t>30</w:t>
      </w:r>
      <w:proofErr w:type="gramEnd"/>
      <w:r w:rsidRPr="00781112">
        <w:rPr>
          <w:color w:val="000000" w:themeColor="text1"/>
        </w:rPr>
        <w:t>. Core Behavior Practices</w:t>
      </w:r>
      <w:r w:rsidRPr="00781112">
        <w:rPr>
          <w:color w:val="000000" w:themeColor="text1"/>
        </w:rPr>
        <w:br/>
      </w:r>
      <w:r w:rsidRPr="00781112">
        <w:rPr>
          <w:color w:val="000000" w:themeColor="text1"/>
        </w:rPr>
        <w:br/>
        <w:t xml:space="preserve">In addition to the item strengths, IABS also identifies areas for improvement. In 2021-22, </w:t>
      </w:r>
      <w:proofErr w:type="gramStart"/>
      <w:r w:rsidRPr="00781112">
        <w:rPr>
          <w:color w:val="000000" w:themeColor="text1"/>
        </w:rPr>
        <w:t>the following items were rated by 10-13% of schools</w:t>
      </w:r>
      <w:proofErr w:type="gramEnd"/>
      <w:r w:rsidRPr="00781112">
        <w:rPr>
          <w:color w:val="000000" w:themeColor="text1"/>
        </w:rPr>
        <w:t xml:space="preserve"> as not implementing:</w:t>
      </w:r>
      <w:r w:rsidRPr="00781112">
        <w:rPr>
          <w:color w:val="000000" w:themeColor="text1"/>
        </w:rPr>
        <w:br/>
        <w:t xml:space="preserve">10. PD/Coaching is provided to school staff on multiple tiers of instruction and intervention </w:t>
      </w:r>
      <w:r w:rsidRPr="00781112">
        <w:rPr>
          <w:color w:val="000000" w:themeColor="text1"/>
        </w:rPr>
        <w:br/>
      </w:r>
      <w:proofErr w:type="gramStart"/>
      <w:r w:rsidRPr="00781112">
        <w:rPr>
          <w:color w:val="000000" w:themeColor="text1"/>
        </w:rPr>
        <w:t>19</w:t>
      </w:r>
      <w:proofErr w:type="gramEnd"/>
      <w:r w:rsidRPr="00781112">
        <w:rPr>
          <w:color w:val="000000" w:themeColor="text1"/>
        </w:rPr>
        <w:t>. Staff provided data on implementation and outcomes</w:t>
      </w:r>
      <w:r w:rsidRPr="00781112">
        <w:rPr>
          <w:color w:val="000000" w:themeColor="text1"/>
        </w:rPr>
        <w:br/>
      </w:r>
      <w:proofErr w:type="gramStart"/>
      <w:r w:rsidRPr="00781112">
        <w:rPr>
          <w:color w:val="000000" w:themeColor="text1"/>
        </w:rPr>
        <w:t>33</w:t>
      </w:r>
      <w:proofErr w:type="gramEnd"/>
      <w:r w:rsidRPr="00781112">
        <w:rPr>
          <w:color w:val="000000" w:themeColor="text1"/>
        </w:rPr>
        <w:t>. Supplemental behavior and social-emotional practices</w:t>
      </w:r>
      <w:r w:rsidRPr="00781112">
        <w:rPr>
          <w:color w:val="000000" w:themeColor="text1"/>
        </w:rPr>
        <w:br/>
      </w:r>
      <w:proofErr w:type="gramStart"/>
      <w:r w:rsidRPr="00781112">
        <w:rPr>
          <w:color w:val="000000" w:themeColor="text1"/>
        </w:rPr>
        <w:t>34</w:t>
      </w:r>
      <w:proofErr w:type="gramEnd"/>
      <w:r w:rsidRPr="00781112">
        <w:rPr>
          <w:color w:val="000000" w:themeColor="text1"/>
        </w:rPr>
        <w:t>. Intensive academic practices</w:t>
      </w:r>
      <w:r w:rsidRPr="00781112">
        <w:rPr>
          <w:color w:val="000000" w:themeColor="text1"/>
        </w:rPr>
        <w:br/>
      </w:r>
      <w:proofErr w:type="gramStart"/>
      <w:r w:rsidRPr="00781112">
        <w:rPr>
          <w:color w:val="000000" w:themeColor="text1"/>
        </w:rPr>
        <w:t>35</w:t>
      </w:r>
      <w:proofErr w:type="gramEnd"/>
      <w:r w:rsidRPr="00781112">
        <w:rPr>
          <w:color w:val="000000" w:themeColor="text1"/>
        </w:rPr>
        <w:t>. Intensive behavior/social and emotional practices</w:t>
      </w:r>
      <w:r w:rsidRPr="00781112">
        <w:rPr>
          <w:color w:val="000000" w:themeColor="text1"/>
        </w:rPr>
        <w:br/>
      </w:r>
      <w:r w:rsidRPr="00781112">
        <w:rPr>
          <w:color w:val="000000" w:themeColor="text1"/>
        </w:rPr>
        <w:br/>
        <w:t xml:space="preserve">The FAM-D measures district implementation of the NC MTSS framework. Data from the FAM-D assists district-level personnel to identify and prioritize implementation steps. The instrument contains </w:t>
      </w:r>
      <w:proofErr w:type="gramStart"/>
      <w:r w:rsidRPr="00781112">
        <w:rPr>
          <w:color w:val="000000" w:themeColor="text1"/>
        </w:rPr>
        <w:t>25</w:t>
      </w:r>
      <w:proofErr w:type="gramEnd"/>
      <w:r w:rsidRPr="00781112">
        <w:rPr>
          <w:color w:val="000000" w:themeColor="text1"/>
        </w:rPr>
        <w:t xml:space="preserve"> items in 6 critical components (Leadership, Building Capacity/Implementation Infrastructure, Communication and Collaboration, Problem-Solving Process, Multi-Tiered Instruction/Intervention Model, and Data/Evaluation). Each item </w:t>
      </w:r>
      <w:proofErr w:type="gramStart"/>
      <w:r w:rsidRPr="00781112">
        <w:rPr>
          <w:color w:val="000000" w:themeColor="text1"/>
        </w:rPr>
        <w:t>is rated</w:t>
      </w:r>
      <w:proofErr w:type="gramEnd"/>
      <w:r w:rsidRPr="00781112">
        <w:rPr>
          <w:color w:val="000000" w:themeColor="text1"/>
        </w:rPr>
        <w:t xml:space="preserve"> using a rubric with the following responses: Not Implementing, Emerging/Developing, Operationalizing, Optimizing.</w:t>
      </w:r>
      <w:r w:rsidRPr="00781112">
        <w:rPr>
          <w:color w:val="000000" w:themeColor="text1"/>
        </w:rPr>
        <w:br/>
      </w:r>
      <w:r w:rsidRPr="00781112">
        <w:rPr>
          <w:color w:val="000000" w:themeColor="text1"/>
        </w:rPr>
        <w:br/>
        <w:t>The FAM-D was developed and validated by the NC MTSS team during the 2020-21 school year. 2021-22 is the first year of available FAM-D data.</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Cycle of Local EC Capacity-building Supports – (addressed GOVERNANCE/DATA/PROFESSIONAL DEVELOPMENT/TECHNICAL ASSISTANCE) In FY 2021, the focus for local SiMR-related capacity-building has been on orientation to the new SiMR, the new SiMR Self-Assessment (SiMR-SA; see new infrastructure improvement strategies section below), and the Phase I local 4th grade reading data analysis. Spring and Fall 2022 Administrator institutes, regional meetings, and webinars included intensive sessions for PSU EC Directors and their teams to build common language and understanding around opportunity gaps, systemic and structural inequity, belief systems, and courageous conversations when looking at subgroup data. Retention and recruitment of local EC leadership was also a priority, using the community of practice model to strengthen resilience and relationships at the regional level. The outcome of this strategy is that local EC leadership is equipped to engage in Phase I Data Analysis of the SiMR-SA with their stakeholders.</w:t>
      </w:r>
      <w:r w:rsidRPr="00781112">
        <w:rPr>
          <w:color w:val="000000" w:themeColor="text1"/>
        </w:rPr>
        <w:br/>
      </w:r>
      <w:r w:rsidRPr="00781112">
        <w:rPr>
          <w:color w:val="000000" w:themeColor="text1"/>
        </w:rPr>
        <w:br/>
        <w:t>EC Regional Data Teams (RDT) - (addressed DATA/PROFESSIONAL DEVELOPMENT/TECHNICAL ASSISTANCE) highlights of work in FY2021 include data analysis and PSU reviews of educational equity indicators (4, 9, 10), SiMR-focused EBP/improvement strategy inventory, orientation to SiMR Data Analysis, internal systems-level coaching capacity building, PSU EC staffing recruitment and retention, and establishing/strengthening regional communities of practice with local EC Directors. The outcome of this strategy is increasing collaboration between NCDPI and PSUs and between general and special education leaders at the local level.</w:t>
      </w:r>
      <w:r w:rsidRPr="00781112">
        <w:rPr>
          <w:color w:val="000000" w:themeColor="text1"/>
        </w:rPr>
        <w:br/>
      </w:r>
      <w:r w:rsidRPr="00781112">
        <w:rPr>
          <w:color w:val="000000" w:themeColor="text1"/>
        </w:rPr>
        <w:br/>
        <w:t xml:space="preserve">SPP Work Groups – (addressed GOVERNANCE/DATA/PROFESSIONAL DEVELOPMENT /TECHNICAL ASSISTANCE); five work groups—Data Literacy, Stakeholder &amp; Family Engagement, Research-informed Practices, Educational Equity, and Systems Coherence—were extremely productive in FY 2021. Each group started the year identifying priorities based on findings from the 2021 OEC Infrastructure analysis. Data Literacy coordinated multiple state, </w:t>
      </w:r>
      <w:proofErr w:type="gramStart"/>
      <w:r w:rsidRPr="00781112">
        <w:rPr>
          <w:color w:val="000000" w:themeColor="text1"/>
        </w:rPr>
        <w:t>district</w:t>
      </w:r>
      <w:proofErr w:type="gramEnd"/>
      <w:r w:rsidRPr="00781112">
        <w:rPr>
          <w:color w:val="000000" w:themeColor="text1"/>
        </w:rPr>
        <w:t xml:space="preserve"> and school-level analyses for the SiMR and led capacity-building sessions for local EC leadership across a variety of meetings and platforms. Stakeholder &amp; Family Engagement developed multiple IEP resources for parents in collaboration with our EC parent TA center and partnered with NCPTA’s EC subcommittee on multiple presentations. They also supported development and analysis of the Indicator 8 survey, which will serve as a formative measure for one of the SSIP evaluation plan goals. Research-informed Practices supported literature reviews and maintenance of the professional learning library. Educational Equity continued internal capacity-building for OEC staff on belief systems, biases, and disproportionality. Systems Coherence continued to coordinate all internal and external stakeholder meetings, OEC and RDT capacity-building related to the new SiMR, and development of the annual Indicator 17 report. The outcome of this strategy is increased stakeholder engagement, increased collaboration within NCDPI, and more efficient and meaningful development of resources for PSUs.</w:t>
      </w:r>
      <w:r w:rsidRPr="00781112">
        <w:rPr>
          <w:color w:val="000000" w:themeColor="text1"/>
        </w:rPr>
        <w:br/>
      </w:r>
      <w:r w:rsidRPr="00781112">
        <w:rPr>
          <w:color w:val="000000" w:themeColor="text1"/>
        </w:rPr>
        <w:lastRenderedPageBreak/>
        <w:br/>
        <w:t>Every Child Accountability and Tracking System (ECATS) - (addressed GOVERNANCE/DATA/ACCOUNTABILITY) – The outcome of this strategy is that user satisfaction with ECATS continues to grow and utilization of the required IEP module is robust. System repairs are conducted in a timely manner and feedback cycles from field to DPI and back support system maintenance/currency with policy and practice changes.</w:t>
      </w:r>
      <w:r w:rsidRPr="00781112">
        <w:rPr>
          <w:color w:val="000000" w:themeColor="text1"/>
        </w:rPr>
        <w:br/>
        <w:t xml:space="preserve">For the ECATS MTSS Early Warning System (EWS), we adopted the common measures at the high school level and then adapted what we know about academic screening indicators to provide indicators at the middle and elementary levels. With the data available in a state-wide EWS, we will be able to refine the indicators and cut points on a regular basis to better predict students who may require intervention. </w:t>
      </w:r>
      <w:r w:rsidRPr="00781112">
        <w:rPr>
          <w:color w:val="000000" w:themeColor="text1"/>
        </w:rPr>
        <w:br/>
        <w:t xml:space="preserve">The early warning indicators in ECATS MTSS include attendance, behavior data in the form of office discipline referrals and In-School Suspension/Out of School Suspensions, and academic indicators. The academic indicators include historical information such as grades and end of year test scores as well as universal screening results from third party vendors. The indicators are associated with risk levels. These risk levels are informed by research, national guidance, and </w:t>
      </w:r>
      <w:proofErr w:type="gramStart"/>
      <w:r w:rsidRPr="00781112">
        <w:rPr>
          <w:color w:val="000000" w:themeColor="text1"/>
        </w:rPr>
        <w:t>third party</w:t>
      </w:r>
      <w:proofErr w:type="gramEnd"/>
      <w:r w:rsidRPr="00781112">
        <w:rPr>
          <w:color w:val="000000" w:themeColor="text1"/>
        </w:rPr>
        <w:t xml:space="preserve"> vendor recommendations. The Attendance indicators are triggered by attendance data – excused &amp; unexcused absences; attendance data is the single data source that informs the attendance indicator in the EWS; the Behavior indicators are triggered by discipline data – in school and out of school suspension; behavior incidents and in-school/out of school suspension incidents are the data source that informs the behavior indicator in the EWS; the attendance and behavior indicators are the most straightforward and align most closely with the original design of an early warning system. </w:t>
      </w:r>
      <w:r w:rsidRPr="00781112">
        <w:rPr>
          <w:color w:val="000000" w:themeColor="text1"/>
        </w:rPr>
        <w:br/>
        <w:t xml:space="preserve">For academics, we have a variety of measures that may inform the indicator in the EWS. </w:t>
      </w:r>
      <w:proofErr w:type="gramStart"/>
      <w:r w:rsidRPr="00781112">
        <w:rPr>
          <w:color w:val="000000" w:themeColor="text1"/>
        </w:rPr>
        <w:t>In order to</w:t>
      </w:r>
      <w:proofErr w:type="gramEnd"/>
      <w:r w:rsidRPr="00781112">
        <w:rPr>
          <w:color w:val="000000" w:themeColor="text1"/>
        </w:rPr>
        <w:t xml:space="preserve"> prevent </w:t>
      </w:r>
      <w:proofErr w:type="gramStart"/>
      <w:r w:rsidRPr="00781112">
        <w:rPr>
          <w:color w:val="000000" w:themeColor="text1"/>
        </w:rPr>
        <w:t>over identification</w:t>
      </w:r>
      <w:proofErr w:type="gramEnd"/>
      <w:r w:rsidRPr="00781112">
        <w:rPr>
          <w:color w:val="000000" w:themeColor="text1"/>
        </w:rPr>
        <w:t xml:space="preserve"> of students at-risk these measures fire in a hierarchical fashion based on what we know are the most accurate indicators. Across all grades, if districts are using one of the </w:t>
      </w:r>
      <w:proofErr w:type="gramStart"/>
      <w:r w:rsidRPr="00781112">
        <w:rPr>
          <w:color w:val="000000" w:themeColor="text1"/>
        </w:rPr>
        <w:t>third party</w:t>
      </w:r>
      <w:proofErr w:type="gramEnd"/>
      <w:r w:rsidRPr="00781112">
        <w:rPr>
          <w:color w:val="000000" w:themeColor="text1"/>
        </w:rPr>
        <w:t xml:space="preserve"> screening tools that will feed into ECATS, the cut points for risk associated with the assessment will inform the EWS. Generally, screening and progress monitoring measures are well researched and the cut points are an accurate predictor of later success in the associated academic area.</w:t>
      </w:r>
      <w:r w:rsidRPr="00781112">
        <w:rPr>
          <w:color w:val="000000" w:themeColor="text1"/>
        </w:rPr>
        <w:br/>
      </w:r>
      <w:r w:rsidRPr="00781112">
        <w:rPr>
          <w:color w:val="000000" w:themeColor="text1"/>
        </w:rPr>
        <w:br/>
        <w:t>NC State Improvement Project (SIP) - (addressed DATA/FINANCE/QUALITY STANDARDS/PROFESSIONAL DEVELOPMENT/TECHNICAL ASSISTANCE) North Carolina State Improvement Project (NC SIP) is the professional development and technical assistance branch of our systems framework addressing achievement gaps for SWD to promote evidence-based practices in literacy and mathematics instruction. FFY2021 outcomes include launch of Asynchronous Online Course for All Leaders aimed at building district and school administrators capacity to dig deeper using Implementation Science to support improvement of core content instruction and achievement of SWDs; expansion of Institutes of Higher Education partners from seven to ten to include representation of every region across the state; inclusion of representatives from the Office of Academic Standards, English Language Arts consultants, on the Adolescent Literacy Planning team. The outcome of this project is that more SWD have increased access to a teacher trained in the science of reading and foundations of math.</w:t>
      </w:r>
      <w:r w:rsidRPr="00781112">
        <w:rPr>
          <w:color w:val="000000" w:themeColor="text1"/>
        </w:rPr>
        <w:br/>
      </w:r>
      <w:r w:rsidRPr="00781112">
        <w:rPr>
          <w:color w:val="000000" w:themeColor="text1"/>
        </w:rPr>
        <w:br/>
        <w:t>Facilitated Assessment of MTSS-District Level (FAM-D and FAM-S) - (addressed DATA/QUALITY STANDARDS/PROFESSIONAL DEVELOPMENT/TECHNICAL ASSISTANCE) - see FAM-D/S description in previous item for outcomes.</w:t>
      </w:r>
      <w:r w:rsidRPr="00781112">
        <w:rPr>
          <w:color w:val="000000" w:themeColor="text1"/>
        </w:rPr>
        <w:br/>
      </w:r>
      <w:r w:rsidRPr="00781112">
        <w:rPr>
          <w:color w:val="000000" w:themeColor="text1"/>
        </w:rPr>
        <w:br/>
        <w:t>THIS SECTION IS CONTINUED IN ADDITIONAL INFO AT THE BOTTOM OF THE INDICATOR.</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Given the work groups are the main design structures for the SSIP, new improvement strategies are organized by each group’s new output for FY 2021 below:</w:t>
      </w:r>
      <w:r w:rsidRPr="00781112">
        <w:rPr>
          <w:color w:val="000000" w:themeColor="text1"/>
        </w:rPr>
        <w:br/>
        <w:t>-Data Literacy – developed the SiMR Self-Assessment website and associated resources, including multiple interactive data dashboards for PSUs as they conduct the phase I data analysis; completed and delivered to PSUs a school-level subgroup gap analysis for 4th grade reading. The outcome of this effort is that PSUs are engaging in focused data and root cause analysis of SWD opportunity gaps in early elementary reading.</w:t>
      </w:r>
      <w:r w:rsidRPr="00781112">
        <w:rPr>
          <w:color w:val="000000" w:themeColor="text1"/>
        </w:rPr>
        <w:br/>
      </w:r>
      <w:r w:rsidRPr="00781112">
        <w:rPr>
          <w:color w:val="000000" w:themeColor="text1"/>
        </w:rPr>
        <w:br/>
        <w:t>-Stakeholder &amp; Family Engagement - created data sharing templates for PSUs to use with local stakeholders. No outcomes yet due to the early stage of implementation.</w:t>
      </w:r>
      <w:r w:rsidRPr="00781112">
        <w:rPr>
          <w:color w:val="000000" w:themeColor="text1"/>
        </w:rPr>
        <w:br/>
      </w:r>
      <w:r w:rsidRPr="00781112">
        <w:rPr>
          <w:color w:val="000000" w:themeColor="text1"/>
        </w:rPr>
        <w:br/>
        <w:t>-Research-informed Practices – designed and delivered for OEC capacity-building a Systems-Level Coaching Practice Profile which will guide activity and assessment of OEC SiMR Support teams. No outcomes yet due to the early stage of implementation.</w:t>
      </w:r>
      <w:r w:rsidRPr="00781112">
        <w:rPr>
          <w:color w:val="000000" w:themeColor="text1"/>
        </w:rPr>
        <w:br/>
      </w:r>
      <w:r w:rsidRPr="00781112">
        <w:rPr>
          <w:color w:val="000000" w:themeColor="text1"/>
        </w:rPr>
        <w:br/>
        <w:t>-Educational Equity – coordinated monthly statewide equity speaker series webinars. No outcomes yet due to the early stage of implementation.</w:t>
      </w:r>
      <w:r w:rsidRPr="00781112">
        <w:rPr>
          <w:color w:val="000000" w:themeColor="text1"/>
        </w:rPr>
        <w:br/>
      </w:r>
      <w:r w:rsidRPr="00781112">
        <w:rPr>
          <w:color w:val="000000" w:themeColor="text1"/>
        </w:rPr>
        <w:br/>
        <w:t>-Systems Coherence – designed the new SiMR Self-Assessment, replacing the previous PSU Self-Assessment; designed online workspaces and submission portal for SiMR Self-Assessment, Phase I Data Analysis submission. The outcome of this effort is that PSUs are engaging in focused data and root cause analysis of SWD opportunity gaps in early elementary reading.</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Cycle of Local EC Capacity-building Supports – for FY 2022, the OEC will be supporting local capacity to conduct root cause analysis of </w:t>
      </w:r>
      <w:proofErr w:type="gramStart"/>
      <w:r w:rsidRPr="00781112">
        <w:rPr>
          <w:color w:val="000000" w:themeColor="text1"/>
        </w:rPr>
        <w:t>4th</w:t>
      </w:r>
      <w:proofErr w:type="gramEnd"/>
      <w:r w:rsidRPr="00781112">
        <w:rPr>
          <w:color w:val="000000" w:themeColor="text1"/>
        </w:rPr>
        <w:t xml:space="preserve"> grade reading outcomes and opportunity gaps with a major emphasis on stakeholder partnerships. Spring Administrator Institutes will prepare local EC leaders to conduct root cause analysis and respond via relevant/district and school wide improvement planning channels. OEC SiMR Support teams will model and coach local stakeholder data reflection and problem-solving meetings. We will continue to expand/evolve the SiMR Self-Assessment website as we move into subsequent phases of the project. Anticipated outcomes are local district and school improvement planning will be more inclusive of SWD/special education programs and problem-solving will target systemic inequities in opportunities to learn.</w:t>
      </w:r>
      <w:r w:rsidRPr="00781112">
        <w:rPr>
          <w:color w:val="000000" w:themeColor="text1"/>
        </w:rPr>
        <w:br/>
      </w:r>
      <w:r w:rsidRPr="00781112">
        <w:rPr>
          <w:color w:val="000000" w:themeColor="text1"/>
        </w:rPr>
        <w:br/>
        <w:t>EC Regional Data Teams (RDT) – RDTs will review PSU submissions of SiMR data analysis, root cause analysis, and improvement plans; RDT members will provide universal support to PSUs in each region via regional meetings, webinars, and conferences. Anticipated outcomes are the OEC will design and deliver support based on local strengths and needs.</w:t>
      </w:r>
      <w:r w:rsidRPr="00781112">
        <w:rPr>
          <w:color w:val="000000" w:themeColor="text1"/>
        </w:rPr>
        <w:br/>
      </w:r>
      <w:r w:rsidRPr="00781112">
        <w:rPr>
          <w:color w:val="000000" w:themeColor="text1"/>
        </w:rPr>
        <w:br/>
        <w:t xml:space="preserve">SPP Work Groups – Work groups will be developing tools and resources for PSUs, SiMR Support teams, and RDTs as each phase of the SiMR Self-Assessment </w:t>
      </w:r>
      <w:proofErr w:type="gramStart"/>
      <w:r w:rsidRPr="00781112">
        <w:rPr>
          <w:color w:val="000000" w:themeColor="text1"/>
        </w:rPr>
        <w:t>is implemented</w:t>
      </w:r>
      <w:proofErr w:type="gramEnd"/>
      <w:r w:rsidRPr="00781112">
        <w:rPr>
          <w:color w:val="000000" w:themeColor="text1"/>
        </w:rPr>
        <w:t xml:space="preserve">. PSUs will continue to </w:t>
      </w:r>
      <w:proofErr w:type="gramStart"/>
      <w:r w:rsidRPr="00781112">
        <w:rPr>
          <w:color w:val="000000" w:themeColor="text1"/>
        </w:rPr>
        <w:t>be provided</w:t>
      </w:r>
      <w:proofErr w:type="gramEnd"/>
      <w:r w:rsidRPr="00781112">
        <w:rPr>
          <w:color w:val="000000" w:themeColor="text1"/>
        </w:rPr>
        <w:t xml:space="preserve"> tools and resources for completing each phase of the SiMR Self-Assessment via the capacity-building activities described above. Anticipated deliverables for RDTs include review tools for data and root cause analysis, as well as data for formative assessment of progress on SSIP evaluation goals. SiMR Support teams will </w:t>
      </w:r>
      <w:proofErr w:type="gramStart"/>
      <w:r w:rsidRPr="00781112">
        <w:rPr>
          <w:color w:val="000000" w:themeColor="text1"/>
        </w:rPr>
        <w:t>be equipped</w:t>
      </w:r>
      <w:proofErr w:type="gramEnd"/>
      <w:r w:rsidRPr="00781112">
        <w:rPr>
          <w:color w:val="000000" w:themeColor="text1"/>
        </w:rPr>
        <w:t xml:space="preserve"> with coaching logs, implementation planning templates, and reflection tools to use in their work with SiMR Support PSUs. Anticipated outcomes are local district and school improvement planning will be more inclusive of SWD/special education programs and problem-solving will target systemic inequities in opportunities to learn.</w:t>
      </w:r>
      <w:r w:rsidRPr="00781112">
        <w:rPr>
          <w:color w:val="000000" w:themeColor="text1"/>
        </w:rPr>
        <w:br/>
      </w:r>
      <w:r w:rsidRPr="00781112">
        <w:rPr>
          <w:color w:val="000000" w:themeColor="text1"/>
        </w:rPr>
        <w:br/>
        <w:t xml:space="preserve">Every Child Accountability and Tracking System (ECATS) – Our goal is to integrate identified third party vendors screening and progress monitoring data </w:t>
      </w:r>
      <w:r w:rsidRPr="00781112">
        <w:rPr>
          <w:color w:val="000000" w:themeColor="text1"/>
        </w:rPr>
        <w:lastRenderedPageBreak/>
        <w:t xml:space="preserve">to increase the data in the EWS to help districts, charters and state operated programs to inform their core and intervention planning, problem solving and progress monitoring within this system. </w:t>
      </w:r>
      <w:r w:rsidRPr="00781112">
        <w:rPr>
          <w:color w:val="000000" w:themeColor="text1"/>
        </w:rPr>
        <w:br/>
      </w:r>
      <w:r w:rsidRPr="00781112">
        <w:rPr>
          <w:color w:val="000000" w:themeColor="text1"/>
        </w:rPr>
        <w:br/>
        <w:t>NC State Improvement Project (SIP) – Through Priority 3 work, NC SIP staff and PSU partner have identified and invited a high needs school (Low Performing School within a Low Performing District) to participate in a focused support to improve achievement of students with disabilities through a selection of evidence-based professional development</w:t>
      </w:r>
      <w:proofErr w:type="gramStart"/>
      <w:r w:rsidRPr="00781112">
        <w:rPr>
          <w:color w:val="000000" w:themeColor="text1"/>
        </w:rPr>
        <w:t xml:space="preserve">.  </w:t>
      </w:r>
      <w:proofErr w:type="gramEnd"/>
      <w:r w:rsidRPr="00781112">
        <w:rPr>
          <w:color w:val="000000" w:themeColor="text1"/>
        </w:rPr>
        <w:t>After a data analysis, the identified school has chosen to focus their professional development and coaching support around literacy and family engagement. The NC SIP State Team is currently working on improvement and extension of our data collection system to include a student engagement measure for the project and data visualizations of submitted data per PSU</w:t>
      </w:r>
      <w:proofErr w:type="gramStart"/>
      <w:r w:rsidRPr="00781112">
        <w:rPr>
          <w:color w:val="000000" w:themeColor="text1"/>
        </w:rPr>
        <w:t xml:space="preserve">.  </w:t>
      </w:r>
      <w:proofErr w:type="gramEnd"/>
      <w:r w:rsidRPr="00781112">
        <w:rPr>
          <w:color w:val="000000" w:themeColor="text1"/>
        </w:rPr>
        <w:t>These improvements/enhancements will promote improved analysis and data-driven problem solving /improvement planning for literacy and mathematics instruction across partnering PSUs.</w:t>
      </w:r>
      <w:r w:rsidRPr="00781112">
        <w:rPr>
          <w:color w:val="000000" w:themeColor="text1"/>
        </w:rPr>
        <w:br/>
      </w:r>
      <w:r w:rsidRPr="00781112">
        <w:rPr>
          <w:color w:val="000000" w:themeColor="text1"/>
        </w:rPr>
        <w:br/>
        <w:t>Systems-level Coaching Practice Profile – as mentioned above, we will be developing a coaching log and reflection tool for each systems-level coaching session held with OEC and PSUs SiMR Support teams. Given the fundamental ‘intervention’ in our SSIP evaluation strategy is intensive coaching and TA for SiMR Support PSUs, PSUs experience/assessment of OEC support will be one important aspect of determining intervention effectiveness.</w:t>
      </w:r>
      <w:r w:rsidRPr="00781112">
        <w:rPr>
          <w:color w:val="000000" w:themeColor="text1"/>
        </w:rPr>
        <w:br/>
      </w:r>
      <w:r w:rsidRPr="00781112">
        <w:rPr>
          <w:color w:val="000000" w:themeColor="text1"/>
        </w:rPr>
        <w:br/>
        <w:t>Facilitated Assessment of MTSS-District Level (FAM-D and FAM-S) - As in the past, we are using this data and other data to tailor our statewide support.   We are leveraging the strengths demonstrated in teaming structures and core and academic practices to strengthen our areas of opportunities</w:t>
      </w:r>
      <w:proofErr w:type="gramStart"/>
      <w:r w:rsidRPr="00781112">
        <w:rPr>
          <w:color w:val="000000" w:themeColor="text1"/>
        </w:rPr>
        <w:t xml:space="preserve">.  </w:t>
      </w:r>
      <w:proofErr w:type="gramEnd"/>
      <w:r w:rsidRPr="00781112">
        <w:rPr>
          <w:color w:val="000000" w:themeColor="text1"/>
        </w:rPr>
        <w:t xml:space="preserve">Therefore, we are supporting district and school teams with supplemental and intensive academic and behavioral practices and support, creating implementation plans, </w:t>
      </w:r>
      <w:proofErr w:type="gramStart"/>
      <w:r w:rsidRPr="00781112">
        <w:rPr>
          <w:color w:val="000000" w:themeColor="text1"/>
        </w:rPr>
        <w:t>using</w:t>
      </w:r>
      <w:proofErr w:type="gramEnd"/>
      <w:r w:rsidRPr="00781112">
        <w:rPr>
          <w:color w:val="000000" w:themeColor="text1"/>
        </w:rPr>
        <w:t xml:space="preserve"> and analyzing data for problem solving.  This statewide support is happening during Regional, Statewide Networking Sessions and through district and school team and coordinator/stakeholder technical assistance and coaching</w:t>
      </w:r>
      <w:proofErr w:type="gramStart"/>
      <w:r w:rsidRPr="00781112">
        <w:rPr>
          <w:color w:val="000000" w:themeColor="text1"/>
        </w:rPr>
        <w:t xml:space="preserve">.  </w:t>
      </w:r>
      <w:proofErr w:type="gramEnd"/>
      <w:r w:rsidRPr="00781112">
        <w:rPr>
          <w:color w:val="000000" w:themeColor="text1"/>
        </w:rPr>
        <w:t>We anticipate seeing increased implementation of all essential elements and critical components of NC MTSS</w:t>
      </w:r>
      <w:proofErr w:type="gramStart"/>
      <w:r w:rsidRPr="00781112">
        <w:rPr>
          <w:color w:val="000000" w:themeColor="text1"/>
        </w:rPr>
        <w:t xml:space="preserve">.  </w:t>
      </w:r>
      <w:proofErr w:type="gramEnd"/>
      <w:r w:rsidRPr="00781112">
        <w:rPr>
          <w:color w:val="000000" w:themeColor="text1"/>
        </w:rPr>
        <w:t xml:space="preserv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While the OEC will continue to implement </w:t>
      </w:r>
      <w:proofErr w:type="gramStart"/>
      <w:r w:rsidRPr="00781112">
        <w:rPr>
          <w:color w:val="000000" w:themeColor="text1"/>
        </w:rPr>
        <w:t>many</w:t>
      </w:r>
      <w:proofErr w:type="gramEnd"/>
      <w:r w:rsidRPr="00781112">
        <w:rPr>
          <w:color w:val="000000" w:themeColor="text1"/>
        </w:rPr>
        <w:t xml:space="preserve"> of the EBPs associated with/documented in the previous SSIP, we are excited to create more focus and alignment with other NCDPI literacy efforts in this more streamlined array of EBPs for early elementary reading. The relevant EBPs for achieving the new SiMR targets are:</w:t>
      </w:r>
      <w:r w:rsidRPr="00781112">
        <w:rPr>
          <w:color w:val="000000" w:themeColor="text1"/>
        </w:rPr>
        <w:br/>
        <w:t>-Reading Research to Classroom Practice (RRtCP)</w:t>
      </w:r>
      <w:r w:rsidRPr="00781112">
        <w:rPr>
          <w:color w:val="000000" w:themeColor="text1"/>
        </w:rPr>
        <w:br/>
        <w:t>-Language Essentials for Teachers of Reading and Spelling (LETRS)</w:t>
      </w:r>
      <w:r w:rsidRPr="00781112">
        <w:rPr>
          <w:color w:val="000000" w:themeColor="text1"/>
        </w:rPr>
        <w:br/>
        <w:t>-Literacy Instruction Standards</w:t>
      </w:r>
      <w:r w:rsidRPr="00781112">
        <w:rPr>
          <w:color w:val="000000" w:themeColor="text1"/>
        </w:rPr>
        <w:br/>
        <w:t>-Preschool Pyramid Model</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Reading Research to Classroom Practice (RRtCP) - this course provides educators and administrators with foundational knowledge needed to support students with persistent challenges in reading, including dyslexia. Course utilizes evidence-based strategies along with a comprehensive assessment system to guide instructional planning and delivery.</w:t>
      </w:r>
      <w:r w:rsidRPr="00781112">
        <w:rPr>
          <w:color w:val="000000" w:themeColor="text1"/>
        </w:rPr>
        <w:br/>
      </w:r>
      <w:r w:rsidRPr="00781112">
        <w:rPr>
          <w:color w:val="000000" w:themeColor="text1"/>
        </w:rPr>
        <w:br/>
        <w:t>Language Essentials for Teachers of Reading and Spelling (LETRS) addresses four critical outcomes for effective literacy instruction: understanding the science of reading, converting research to practice, enhancing teacher effectiveness, and transforming instruction. By understanding the “why” behind science and evidence-based research, educators can effectively know how to aid students in learning to read.”</w:t>
      </w:r>
      <w:r w:rsidRPr="00781112">
        <w:rPr>
          <w:color w:val="000000" w:themeColor="text1"/>
        </w:rPr>
        <w:br/>
      </w:r>
      <w:r w:rsidRPr="00781112">
        <w:rPr>
          <w:color w:val="000000" w:themeColor="text1"/>
        </w:rPr>
        <w:br/>
        <w:t xml:space="preserve">Literacy Instruction Standards - On October 7, 2021, the North Carolina State Board of Education approved the Literacy Instruction Standards (LIS) as outlined in Section V of SB 387: Excellent Public Schools Act of 2021. The LIS serves as a framework for the development and alignment of curriculum and instruction for all public schools. These standards </w:t>
      </w:r>
      <w:proofErr w:type="gramStart"/>
      <w:r w:rsidRPr="00781112">
        <w:rPr>
          <w:color w:val="000000" w:themeColor="text1"/>
        </w:rPr>
        <w:t>are defined</w:t>
      </w:r>
      <w:proofErr w:type="gramEnd"/>
      <w:r w:rsidRPr="00781112">
        <w:rPr>
          <w:color w:val="000000" w:themeColor="text1"/>
        </w:rPr>
        <w:t xml:space="preserve"> as a level of quality and equity to be used consistently within core literacy instruction statewide. While the NC Standard Course of Study (NCSCOS) sets student expectations, the LIS and their associated instructional practices set expectations for teaching literacy</w:t>
      </w:r>
      <w:proofErr w:type="gramStart"/>
      <w:r w:rsidRPr="00781112">
        <w:rPr>
          <w:color w:val="000000" w:themeColor="text1"/>
        </w:rPr>
        <w:t xml:space="preserve">.  </w:t>
      </w:r>
      <w:proofErr w:type="gramEnd"/>
      <w:r w:rsidRPr="00781112">
        <w:rPr>
          <w:color w:val="000000" w:themeColor="text1"/>
        </w:rPr>
        <w:t>The LIS are organized by grade-band and can be used to ensure that all teachers across North Carolina have a common understanding and delivery of literacy instruction.</w:t>
      </w:r>
      <w:r w:rsidRPr="00781112">
        <w:rPr>
          <w:color w:val="000000" w:themeColor="text1"/>
        </w:rPr>
        <w:br/>
      </w:r>
      <w:r w:rsidRPr="00781112">
        <w:rPr>
          <w:color w:val="000000" w:themeColor="text1"/>
        </w:rPr>
        <w:br/>
        <w:t xml:space="preserve">Preschool Pyramid Model - This project is designed to help improve child outcomes for preschool children with disabilities and to increase opportunities for instruction in the least restrictive environment (LRE). Based on the preschool pyramid model, developed by the Center on the Social and Emotional Foundations for Early Learning, this tiered framework of evidence-based practices promotes healthy social-emotional development for ALL children birth through 5 years of age. The Preschool Pyramid Model (PPM) promotes strategies to help teaching staff build positive relationships with and among children by creating supportive learning environments, teaching children to understand and express their emotions, and use </w:t>
      </w:r>
      <w:proofErr w:type="gramStart"/>
      <w:r w:rsidRPr="00781112">
        <w:rPr>
          <w:color w:val="000000" w:themeColor="text1"/>
        </w:rPr>
        <w:t>problem solving skills</w:t>
      </w:r>
      <w:proofErr w:type="gramEnd"/>
      <w:r w:rsidRPr="00781112">
        <w:rPr>
          <w:color w:val="000000" w:themeColor="text1"/>
        </w:rPr>
        <w:t xml:space="preserve">. The PPM aligns with school-age Positive Behavior Intervention and Supports (PBIS), which </w:t>
      </w:r>
      <w:proofErr w:type="gramStart"/>
      <w:r w:rsidRPr="00781112">
        <w:rPr>
          <w:color w:val="000000" w:themeColor="text1"/>
        </w:rPr>
        <w:t>is integrated</w:t>
      </w:r>
      <w:proofErr w:type="gramEnd"/>
      <w:r w:rsidRPr="00781112">
        <w:rPr>
          <w:color w:val="000000" w:themeColor="text1"/>
        </w:rPr>
        <w:t xml:space="preserve"> in NC’s MTSS framework. The rationale for this EBP as it relates to </w:t>
      </w:r>
      <w:proofErr w:type="gramStart"/>
      <w:r w:rsidRPr="00781112">
        <w:rPr>
          <w:color w:val="000000" w:themeColor="text1"/>
        </w:rPr>
        <w:t>4th</w:t>
      </w:r>
      <w:proofErr w:type="gramEnd"/>
      <w:r w:rsidRPr="00781112">
        <w:rPr>
          <w:color w:val="000000" w:themeColor="text1"/>
        </w:rPr>
        <w:t xml:space="preserve"> grade reading outcomes for SWD is that kindergarten readiness–which the PPM effectively promotes–is a strong predictor of early elementary literacy success.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-Reading Research to Classroom Practice (RRtCP) - improved instructional efficacy in reading leads to greater student engagement and success in early elementary grades, increasing likelihood of SWD scoring at College/Career-Ready level on 4th grade reading state assessment</w:t>
      </w:r>
      <w:r w:rsidRPr="00781112">
        <w:rPr>
          <w:color w:val="000000" w:themeColor="text1"/>
        </w:rPr>
        <w:br/>
      </w:r>
      <w:r w:rsidRPr="00781112">
        <w:rPr>
          <w:color w:val="000000" w:themeColor="text1"/>
        </w:rPr>
        <w:br/>
        <w:t>-LETRS - When general education and EC teachers learn and apply the information contained in LETRS and when a supportive context is in place, such substantive professional development has been shown to have powerful beneficial effects on student learning. Overall achievement levels increase and fewer children experience reading difficulties. Students—and especially students with disabilities—experiencing instruction based on science of reading have increased likelihood of scoring at College/Career-Ready level on 4th grade reading state assessment</w:t>
      </w:r>
      <w:r w:rsidRPr="00781112">
        <w:rPr>
          <w:color w:val="000000" w:themeColor="text1"/>
        </w:rPr>
        <w:br/>
      </w:r>
      <w:r w:rsidRPr="00781112">
        <w:rPr>
          <w:color w:val="000000" w:themeColor="text1"/>
        </w:rPr>
        <w:br/>
        <w:t>-Literacy Instruction Standards – The LIS are a set list of literacy instruction practices that have the potential to positively impact students’ literacy achievement in K-12. New literacy research could modify and/or add to the instructional practices listed.</w:t>
      </w:r>
      <w:r w:rsidRPr="00781112">
        <w:rPr>
          <w:color w:val="000000" w:themeColor="text1"/>
        </w:rPr>
        <w:br/>
      </w:r>
      <w:r w:rsidRPr="00781112">
        <w:rPr>
          <w:color w:val="000000" w:themeColor="text1"/>
        </w:rPr>
        <w:br/>
        <w:t>-Preschool Pyramid Model (PPM) – The Pyramid Model has been tested in multiple research projects and has shown evidence for promoting young children’s social and emotional skills and decreasing child challenging behavior; PPM implementation increases the likelihood of kindergarten readiness for SWD and creates conditions favoring SWD access to structure literacy learning environments.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lastRenderedPageBreak/>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SiMR-aligned literacy EBPs being implemented in NC/listed above include fidelity monitoring as follow:</w:t>
      </w:r>
      <w:r w:rsidRPr="00781112">
        <w:rPr>
          <w:color w:val="000000" w:themeColor="text1"/>
        </w:rPr>
        <w:br/>
        <w:t>-Reading Research to Classroom Practice (RRtCP) - RRtCP Observation/Teacher Reflection Tool used at all NC SIP sites</w:t>
      </w:r>
      <w:r w:rsidRPr="00781112">
        <w:rPr>
          <w:color w:val="000000" w:themeColor="text1"/>
        </w:rPr>
        <w:br/>
      </w:r>
      <w:r w:rsidRPr="00781112">
        <w:rPr>
          <w:color w:val="000000" w:themeColor="text1"/>
        </w:rPr>
        <w:br/>
        <w:t>-LETRS and Literacy Instruction Standards – K-5 Literacy Look-fors Toolkit is designed to support school leaders (e.g. instructional coaches, principals, assistant principals, etc.) conduct productive learning walks and coaching cycles to observe alignment to the NC Literacy Instruction Standards and accompanying research-based practices. The tool includes a pre-walkthrough conversation guide, Look-For indicators, a post-walkthrough reflection guide, and a post-walkthrough conversation guide; going forward, use will be actively supported in the 40 SiMR Support PSUs and universally endorsed for all PSUs</w:t>
      </w:r>
      <w:r w:rsidRPr="00781112">
        <w:rPr>
          <w:color w:val="000000" w:themeColor="text1"/>
        </w:rPr>
        <w:br/>
      </w:r>
      <w:r w:rsidRPr="00781112">
        <w:rPr>
          <w:color w:val="000000" w:themeColor="text1"/>
        </w:rPr>
        <w:br/>
        <w:t xml:space="preserve">-Preschool Pyramid Model - Teaching Pyramid Observation Tool (TPOT) provides practitioner coaches concrete information as to how teachers are implementing Pyramid practices in the classroom; used at all NC PPM sites; NC Early Learning Network (NC-ELN) project staff provided a total of 963 technical assistance (TA) contacts to both PPM and non-PPM PSUs; these TA contacts were requested by 95 PSUs and provided by NC-ELN project staff, with an average of 10 TA contacts provided to each of the PSUs requesting support. The project also developed content for, organized, and presented a total of </w:t>
      </w:r>
      <w:proofErr w:type="gramStart"/>
      <w:r w:rsidRPr="00781112">
        <w:rPr>
          <w:color w:val="000000" w:themeColor="text1"/>
        </w:rPr>
        <w:t>32</w:t>
      </w:r>
      <w:proofErr w:type="gramEnd"/>
      <w:r w:rsidRPr="00781112">
        <w:rPr>
          <w:color w:val="000000" w:themeColor="text1"/>
        </w:rPr>
        <w:t xml:space="preserve"> professional development events that were attended by 769 educators from across the state. ELN staff also participated in a total of 121 project implementation planning and data meetings to support, track and report progress on the contract scope and related work. Of those meetings, </w:t>
      </w:r>
      <w:proofErr w:type="gramStart"/>
      <w:r w:rsidRPr="00781112">
        <w:rPr>
          <w:color w:val="000000" w:themeColor="text1"/>
        </w:rPr>
        <w:t>34</w:t>
      </w:r>
      <w:proofErr w:type="gramEnd"/>
      <w:r w:rsidRPr="00781112">
        <w:rPr>
          <w:color w:val="000000" w:themeColor="text1"/>
        </w:rPr>
        <w:t xml:space="preserve"> included </w:t>
      </w:r>
      <w:proofErr w:type="gramStart"/>
      <w:r w:rsidRPr="00781112">
        <w:rPr>
          <w:color w:val="000000" w:themeColor="text1"/>
        </w:rPr>
        <w:t>the Part</w:t>
      </w:r>
      <w:proofErr w:type="gramEnd"/>
      <w:r w:rsidRPr="00781112">
        <w:rPr>
          <w:color w:val="000000" w:themeColor="text1"/>
        </w:rPr>
        <w:t xml:space="preserve"> B 619 Coordinators.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This is our first year of implementation of this SSIP, so we do not yet have progress monitoring data to use for EBP continuation decisions.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-Reading Research to Classroom Practice (RRtCP) - currently working on improvement and extension of our data collection system to include a student engagement measure and data visualizations of submitted data per PSU. The anticipated outcome is that these enhancements will promote improved analysis and data-driven problem solving /improvement planning for literacy and mathematics instruction across partnering PSUs.</w:t>
      </w:r>
      <w:r w:rsidRPr="00781112">
        <w:rPr>
          <w:color w:val="000000" w:themeColor="text1"/>
        </w:rPr>
        <w:br/>
        <w:t xml:space="preserve">-LETRS – continue statewide 3-cohort training model implementation </w:t>
      </w:r>
      <w:r w:rsidRPr="00781112">
        <w:rPr>
          <w:color w:val="000000" w:themeColor="text1"/>
        </w:rPr>
        <w:br/>
        <w:t>-Literacy Instruction Standards (LIS) – create/disseminate crosswalks with LIS and High-Leverage Practices, explicit instruction, and specially designed instruction principles</w:t>
      </w:r>
      <w:r w:rsidRPr="00781112">
        <w:rPr>
          <w:color w:val="000000" w:themeColor="text1"/>
        </w:rPr>
        <w:br/>
        <w:t>-Preschool Pyramid Model – continue reviewing and updating content and trainer materials to include new research and clarification, as well as a number of facilitated Stakeholder meetings to review and inform the newly developed Foundations for Early Learning and Development/Pyramid Tier III Practices modules.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This is our first year of implementation of this SSIP, so we do not yet have evaluation data to use for continuous improvement.</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In FY2021, the OEC continued to engage stakeholders in the review and revision of the State Systemic Improvement Plan (SSIP), data analysis and target setting around the new State Identified Measurable Result (SiMR). OEC consultants and leadership met with both internal and external stakeholders twice monthly to review progress on all Indicators, with a focus on Indicators 3, 4, 9 and 10 and the new collaborative review process as well as engage in resource gathering, training on data </w:t>
      </w:r>
      <w:proofErr w:type="gramStart"/>
      <w:r w:rsidRPr="00781112">
        <w:rPr>
          <w:color w:val="000000" w:themeColor="text1"/>
        </w:rPr>
        <w:t>analysis</w:t>
      </w:r>
      <w:proofErr w:type="gramEnd"/>
      <w:r w:rsidRPr="00781112">
        <w:rPr>
          <w:color w:val="000000" w:themeColor="text1"/>
        </w:rPr>
        <w:t xml:space="preserve"> and vetting of tools in preparation for the new SiMR Self Assessment. The external SSIP team includes representation from across the agency as well as, The Council on Educational Services for Exceptional Children, PSU EC Directors, </w:t>
      </w:r>
      <w:proofErr w:type="gramStart"/>
      <w:r w:rsidRPr="00781112">
        <w:rPr>
          <w:color w:val="000000" w:themeColor="text1"/>
        </w:rPr>
        <w:t>Coordinators</w:t>
      </w:r>
      <w:proofErr w:type="gramEnd"/>
      <w:r w:rsidRPr="00781112">
        <w:rPr>
          <w:color w:val="000000" w:themeColor="text1"/>
        </w:rPr>
        <w:t xml:space="preserve"> and administrators, OSEP funded technical Assistance Centers and Parent Advocacy groups. Additional external feedback </w:t>
      </w:r>
      <w:proofErr w:type="gramStart"/>
      <w:r w:rsidRPr="00781112">
        <w:rPr>
          <w:color w:val="000000" w:themeColor="text1"/>
        </w:rPr>
        <w:t>is routinely solicited</w:t>
      </w:r>
      <w:proofErr w:type="gramEnd"/>
      <w:r w:rsidRPr="00781112">
        <w:rPr>
          <w:color w:val="000000" w:themeColor="text1"/>
        </w:rPr>
        <w:t xml:space="preserve"> from the EC Directors’ Advisory Council, the NC Council of Administrators of Special Education, national technical assistance centers, and content experts at state institutions of higher education (IHEs).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addition to the stakeholder engagement strategies described in the introduction, SSIP work groups membership includes multiple internal and external stakeholders, including parents of SWD, parent TA center representatives, PSU staff, and advocacy organizations. Along with RDTs, these work groups design and implement SSIP priorities (see description of work group activity in the Infrastructure improvement section above). Notably, one of the work groups is focused on Stakeholder and Family Engagement; this group has conducted surveys with parents and created educational resources (in English and Spanish) re: the IEP process, discipline for SWD, etc. </w:t>
      </w:r>
      <w:r w:rsidRPr="00781112">
        <w:rPr>
          <w:color w:val="000000" w:themeColor="text1"/>
        </w:rPr>
        <w:br/>
      </w:r>
      <w:r w:rsidRPr="00781112">
        <w:rPr>
          <w:color w:val="000000" w:themeColor="text1"/>
        </w:rPr>
        <w:br/>
        <w:t xml:space="preserve">External stakeholders are the intended audience for the NCDPI SPP/APR website, as well, which provides current information about the SSIP and all other indicators. </w:t>
      </w:r>
      <w:r w:rsidRPr="00781112">
        <w:rPr>
          <w:color w:val="000000" w:themeColor="text1"/>
        </w:rPr>
        <w:br/>
      </w:r>
      <w:r w:rsidRPr="00781112">
        <w:rPr>
          <w:color w:val="000000" w:themeColor="text1"/>
        </w:rPr>
        <w:br/>
        <w:t>Ongoing EC Director communications in the form of monthly webinars, weekly emails, Directors Advisory Council, and quarterly regional EC Director meetings keep local EC leaders engaged in SSIP implementation (e.g., PSU Self-assessment process) throughout the year.</w:t>
      </w:r>
      <w:r w:rsidRPr="00781112">
        <w:rPr>
          <w:color w:val="000000" w:themeColor="text1"/>
        </w:rPr>
        <w:br/>
      </w:r>
      <w:r w:rsidRPr="00781112">
        <w:rPr>
          <w:color w:val="000000" w:themeColor="text1"/>
        </w:rPr>
        <w:br/>
        <w:t xml:space="preserve">Council on Educational Services for Exceptional Children - advises the NC State Board of Education on unmet needs of SWD and in development/implementation of policies related to coordination of services for SWD. The Council also advises the SBOE on developing evaluations, reporting on data, and developing corrective action plans to address findings in federal monitoring reports. Currently consists of </w:t>
      </w:r>
      <w:proofErr w:type="gramStart"/>
      <w:r w:rsidRPr="00781112">
        <w:rPr>
          <w:color w:val="000000" w:themeColor="text1"/>
        </w:rPr>
        <w:t>25</w:t>
      </w:r>
      <w:proofErr w:type="gramEnd"/>
      <w:r w:rsidRPr="00781112">
        <w:rPr>
          <w:color w:val="000000" w:themeColor="text1"/>
        </w:rPr>
        <w:t xml:space="preserve"> members - 20 appointees and 5 ex-officio. Members </w:t>
      </w:r>
      <w:proofErr w:type="gramStart"/>
      <w:r w:rsidRPr="00781112">
        <w:rPr>
          <w:color w:val="000000" w:themeColor="text1"/>
        </w:rPr>
        <w:t>are appointed</w:t>
      </w:r>
      <w:proofErr w:type="gramEnd"/>
      <w:r w:rsidRPr="00781112">
        <w:rPr>
          <w:color w:val="000000" w:themeColor="text1"/>
        </w:rPr>
        <w:t xml:space="preserve"> for 4 -year terms by the Governor, President Pro Tem of the Senate, Speaker of the House, and the SBOE. Appointees represent SWD from the ranks of parents, teachers, higher education, public and private schools, business/vocational community, and charter schools. </w:t>
      </w:r>
      <w:proofErr w:type="gramStart"/>
      <w:r w:rsidRPr="00781112">
        <w:rPr>
          <w:color w:val="000000" w:themeColor="text1"/>
        </w:rPr>
        <w:t>A majority of</w:t>
      </w:r>
      <w:proofErr w:type="gramEnd"/>
      <w:r w:rsidRPr="00781112">
        <w:rPr>
          <w:color w:val="000000" w:themeColor="text1"/>
        </w:rPr>
        <w:t xml:space="preserve"> representatives are </w:t>
      </w:r>
      <w:proofErr w:type="gramStart"/>
      <w:r w:rsidRPr="00781112">
        <w:rPr>
          <w:color w:val="000000" w:themeColor="text1"/>
        </w:rPr>
        <w:t>persons</w:t>
      </w:r>
      <w:proofErr w:type="gramEnd"/>
      <w:r w:rsidRPr="00781112">
        <w:rPr>
          <w:color w:val="000000" w:themeColor="text1"/>
        </w:rPr>
        <w:t xml:space="preserve"> with disabilities or parents of children with disabilities. The SPP team brings data analyses, proposals, reports, and resources to the Council (many of which are requested by the Council) for input quarterly.</w:t>
      </w:r>
      <w:r w:rsidRPr="00781112">
        <w:rPr>
          <w:color w:val="000000" w:themeColor="text1"/>
        </w:rPr>
        <w:br/>
      </w:r>
      <w:r w:rsidRPr="00781112">
        <w:rPr>
          <w:color w:val="000000" w:themeColor="text1"/>
        </w:rPr>
        <w:lastRenderedPageBreak/>
        <w:br/>
        <w:t xml:space="preserve">Parent Liaison - employed by EC Division; collaborates with community partners; develops/posts a parent newsletter 2x/mo; shares announcements from partner agencies; hosted Family Engagement webinar series to build local capacity for engaging families, specifically through parent liaison positions and special education advisory councils.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1. Universal and intensive support for PSUs’ completion of SiMR Data Analysis</w:t>
      </w:r>
      <w:r w:rsidRPr="00781112">
        <w:rPr>
          <w:color w:val="000000" w:themeColor="text1"/>
        </w:rPr>
        <w:br/>
      </w:r>
      <w:proofErr w:type="gramStart"/>
      <w:r w:rsidRPr="00781112">
        <w:rPr>
          <w:color w:val="000000" w:themeColor="text1"/>
        </w:rPr>
        <w:t>2</w:t>
      </w:r>
      <w:proofErr w:type="gramEnd"/>
      <w:r w:rsidRPr="00781112">
        <w:rPr>
          <w:color w:val="000000" w:themeColor="text1"/>
        </w:rPr>
        <w:t xml:space="preserve">. OEC Review of </w:t>
      </w:r>
      <w:proofErr w:type="gramStart"/>
      <w:r w:rsidRPr="00781112">
        <w:rPr>
          <w:color w:val="000000" w:themeColor="text1"/>
        </w:rPr>
        <w:t>PSUs’</w:t>
      </w:r>
      <w:proofErr w:type="gramEnd"/>
      <w:r w:rsidRPr="00781112">
        <w:rPr>
          <w:color w:val="000000" w:themeColor="text1"/>
        </w:rPr>
        <w:t xml:space="preserve"> submitted SIMR Data Analysis</w:t>
      </w:r>
      <w:r w:rsidRPr="00781112">
        <w:rPr>
          <w:color w:val="000000" w:themeColor="text1"/>
        </w:rPr>
        <w:br/>
        <w:t>3. Universal and intensive support for PSUs’ completion of SiMR Root Cause Analysis</w:t>
      </w:r>
      <w:r w:rsidRPr="00781112">
        <w:rPr>
          <w:color w:val="000000" w:themeColor="text1"/>
        </w:rPr>
        <w:br/>
      </w:r>
      <w:proofErr w:type="gramStart"/>
      <w:r w:rsidRPr="00781112">
        <w:rPr>
          <w:color w:val="000000" w:themeColor="text1"/>
        </w:rPr>
        <w:t>4</w:t>
      </w:r>
      <w:proofErr w:type="gramEnd"/>
      <w:r w:rsidRPr="00781112">
        <w:rPr>
          <w:color w:val="000000" w:themeColor="text1"/>
        </w:rPr>
        <w:t xml:space="preserve">. OEC Review of </w:t>
      </w:r>
      <w:proofErr w:type="gramStart"/>
      <w:r w:rsidRPr="00781112">
        <w:rPr>
          <w:color w:val="000000" w:themeColor="text1"/>
        </w:rPr>
        <w:t>PSUs’</w:t>
      </w:r>
      <w:proofErr w:type="gramEnd"/>
      <w:r w:rsidRPr="00781112">
        <w:rPr>
          <w:color w:val="000000" w:themeColor="text1"/>
        </w:rPr>
        <w:t xml:space="preserve"> submitted SIMR Root Cause Analysis</w:t>
      </w:r>
      <w:r w:rsidRPr="00781112">
        <w:rPr>
          <w:color w:val="000000" w:themeColor="text1"/>
        </w:rPr>
        <w:br/>
        <w:t xml:space="preserve">5. Universal and intensive support for </w:t>
      </w:r>
      <w:proofErr w:type="gramStart"/>
      <w:r w:rsidRPr="00781112">
        <w:rPr>
          <w:color w:val="000000" w:themeColor="text1"/>
        </w:rPr>
        <w:t>PSUs’</w:t>
      </w:r>
      <w:proofErr w:type="gramEnd"/>
      <w:r w:rsidRPr="00781112">
        <w:rPr>
          <w:color w:val="000000" w:themeColor="text1"/>
        </w:rPr>
        <w:t xml:space="preserve"> aligned early elementary literacy improvement/intervention plan</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1. Universal and intensive support for PSUs’ completion of SiMR Data Analysis – </w:t>
      </w:r>
      <w:proofErr w:type="gramStart"/>
      <w:r w:rsidRPr="00781112">
        <w:rPr>
          <w:color w:val="000000" w:themeColor="text1"/>
        </w:rPr>
        <w:t>Jan,</w:t>
      </w:r>
      <w:proofErr w:type="gramEnd"/>
      <w:r w:rsidRPr="00781112">
        <w:rPr>
          <w:color w:val="000000" w:themeColor="text1"/>
        </w:rPr>
        <w:t xml:space="preserve"> 2023; submissions will be collected via Qualtrics; will inform state and local root cause analysis of opportunity gaps for SWD in early elementary literacy</w:t>
      </w:r>
      <w:r w:rsidRPr="00781112">
        <w:rPr>
          <w:color w:val="000000" w:themeColor="text1"/>
        </w:rPr>
        <w:br/>
        <w:t xml:space="preserve">2. OEC Review of </w:t>
      </w:r>
      <w:proofErr w:type="gramStart"/>
      <w:r w:rsidRPr="00781112">
        <w:rPr>
          <w:color w:val="000000" w:themeColor="text1"/>
        </w:rPr>
        <w:t>PSUs’</w:t>
      </w:r>
      <w:proofErr w:type="gramEnd"/>
      <w:r w:rsidRPr="00781112">
        <w:rPr>
          <w:color w:val="000000" w:themeColor="text1"/>
        </w:rPr>
        <w:t xml:space="preserve"> submitted SIMR Data Analysis – Feb-Mar, 2023; thematic analysis of review data will inform both universal and customized OEC coaching, professional learning, and technical assistance with PSUs re: data literacy and root cause investigation</w:t>
      </w:r>
      <w:r w:rsidRPr="00781112">
        <w:rPr>
          <w:color w:val="000000" w:themeColor="text1"/>
        </w:rPr>
        <w:br/>
        <w:t>3. Universal and intensive support for PSUs’ completion of SiMR Root Cause Analysis Mar-</w:t>
      </w:r>
      <w:proofErr w:type="gramStart"/>
      <w:r w:rsidRPr="00781112">
        <w:rPr>
          <w:color w:val="000000" w:themeColor="text1"/>
        </w:rPr>
        <w:t>June,</w:t>
      </w:r>
      <w:proofErr w:type="gramEnd"/>
      <w:r w:rsidRPr="00781112">
        <w:rPr>
          <w:color w:val="000000" w:themeColor="text1"/>
        </w:rPr>
        <w:t xml:space="preserve"> 2023; submissions will be collected via Qualtrics; will ensure stakeholder participation/perspective in identifying local drivers of inequity in opportunity and outcome for SWD in early elementary literacy</w:t>
      </w:r>
      <w:r w:rsidRPr="00781112">
        <w:rPr>
          <w:color w:val="000000" w:themeColor="text1"/>
        </w:rPr>
        <w:br/>
        <w:t xml:space="preserve">4. OEC Review of </w:t>
      </w:r>
      <w:proofErr w:type="gramStart"/>
      <w:r w:rsidRPr="00781112">
        <w:rPr>
          <w:color w:val="000000" w:themeColor="text1"/>
        </w:rPr>
        <w:t>PSUs’</w:t>
      </w:r>
      <w:proofErr w:type="gramEnd"/>
      <w:r w:rsidRPr="00781112">
        <w:rPr>
          <w:color w:val="000000" w:themeColor="text1"/>
        </w:rPr>
        <w:t xml:space="preserve"> submitted SIMR Root Cause Analysis – July-Aug, 2023; thematic analysis of review data will inform OEC coaching, professional learning, and technical assistance with PSUs re: coherent improvement planning for SWD in early elementary literacy</w:t>
      </w:r>
      <w:r w:rsidRPr="00781112">
        <w:rPr>
          <w:color w:val="000000" w:themeColor="text1"/>
        </w:rPr>
        <w:br/>
        <w:t xml:space="preserve">5. Universal and intensive support for </w:t>
      </w:r>
      <w:proofErr w:type="gramStart"/>
      <w:r w:rsidRPr="00781112">
        <w:rPr>
          <w:color w:val="000000" w:themeColor="text1"/>
        </w:rPr>
        <w:t>PSUs’</w:t>
      </w:r>
      <w:proofErr w:type="gramEnd"/>
      <w:r w:rsidRPr="00781112">
        <w:rPr>
          <w:color w:val="000000" w:themeColor="text1"/>
        </w:rPr>
        <w:t xml:space="preserve"> aligned early elementary literacy improvement/intervention plan, Fall, 2023; data will be collected from revised local Literacy Intervention Plans and will drive state and local collaboration between general and special education programs to ensure SWD access to general education curriculum in early elementary literacy</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None in addition to what we reported in FY 2021 (i.e., EC staffing crisis and impact on </w:t>
      </w:r>
      <w:proofErr w:type="gramStart"/>
      <w:r w:rsidRPr="00781112">
        <w:rPr>
          <w:color w:val="000000" w:themeColor="text1"/>
        </w:rPr>
        <w:t>opportunities to learn</w:t>
      </w:r>
      <w:proofErr w:type="gramEnd"/>
      <w:r w:rsidRPr="00781112">
        <w:rPr>
          <w:color w:val="000000" w:themeColor="text1"/>
        </w:rPr>
        <w:t xml:space="preserve"> for SWD)</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CONTINUED: 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r w:rsidRPr="00781112">
        <w:rPr>
          <w:color w:val="000000" w:themeColor="text1"/>
        </w:rPr>
        <w:br/>
      </w:r>
      <w:r w:rsidRPr="00781112">
        <w:rPr>
          <w:color w:val="000000" w:themeColor="text1"/>
        </w:rPr>
        <w:br/>
        <w:t xml:space="preserve">In addition to the item strengths, IABS also identifies areas for improvement. In 2021-22, </w:t>
      </w:r>
      <w:proofErr w:type="gramStart"/>
      <w:r w:rsidRPr="00781112">
        <w:rPr>
          <w:color w:val="000000" w:themeColor="text1"/>
        </w:rPr>
        <w:t>the following items were rated by 10-13% of schools</w:t>
      </w:r>
      <w:proofErr w:type="gramEnd"/>
      <w:r w:rsidRPr="00781112">
        <w:rPr>
          <w:color w:val="000000" w:themeColor="text1"/>
        </w:rPr>
        <w:t xml:space="preserve"> as not implementing:</w:t>
      </w:r>
      <w:r w:rsidRPr="00781112">
        <w:rPr>
          <w:color w:val="000000" w:themeColor="text1"/>
        </w:rPr>
        <w:br/>
        <w:t xml:space="preserve">10. PD/Coaching is provided to school staff on multiple tiers of instruction and intervention </w:t>
      </w:r>
      <w:r w:rsidRPr="00781112">
        <w:rPr>
          <w:color w:val="000000" w:themeColor="text1"/>
        </w:rPr>
        <w:br/>
      </w:r>
      <w:proofErr w:type="gramStart"/>
      <w:r w:rsidRPr="00781112">
        <w:rPr>
          <w:color w:val="000000" w:themeColor="text1"/>
        </w:rPr>
        <w:t>19</w:t>
      </w:r>
      <w:proofErr w:type="gramEnd"/>
      <w:r w:rsidRPr="00781112">
        <w:rPr>
          <w:color w:val="000000" w:themeColor="text1"/>
        </w:rPr>
        <w:t>. Staff provided data on implementation and outcomes</w:t>
      </w:r>
      <w:r w:rsidRPr="00781112">
        <w:rPr>
          <w:color w:val="000000" w:themeColor="text1"/>
        </w:rPr>
        <w:br/>
      </w:r>
      <w:proofErr w:type="gramStart"/>
      <w:r w:rsidRPr="00781112">
        <w:rPr>
          <w:color w:val="000000" w:themeColor="text1"/>
        </w:rPr>
        <w:t>33</w:t>
      </w:r>
      <w:proofErr w:type="gramEnd"/>
      <w:r w:rsidRPr="00781112">
        <w:rPr>
          <w:color w:val="000000" w:themeColor="text1"/>
        </w:rPr>
        <w:t>. Supplemental behavior and social-emotional practices</w:t>
      </w:r>
      <w:r w:rsidRPr="00781112">
        <w:rPr>
          <w:color w:val="000000" w:themeColor="text1"/>
        </w:rPr>
        <w:br/>
      </w:r>
      <w:proofErr w:type="gramStart"/>
      <w:r w:rsidRPr="00781112">
        <w:rPr>
          <w:color w:val="000000" w:themeColor="text1"/>
        </w:rPr>
        <w:t>34</w:t>
      </w:r>
      <w:proofErr w:type="gramEnd"/>
      <w:r w:rsidRPr="00781112">
        <w:rPr>
          <w:color w:val="000000" w:themeColor="text1"/>
        </w:rPr>
        <w:t>. Intensive academic practices</w:t>
      </w:r>
      <w:r w:rsidRPr="00781112">
        <w:rPr>
          <w:color w:val="000000" w:themeColor="text1"/>
        </w:rPr>
        <w:br/>
      </w:r>
      <w:proofErr w:type="gramStart"/>
      <w:r w:rsidRPr="00781112">
        <w:rPr>
          <w:color w:val="000000" w:themeColor="text1"/>
        </w:rPr>
        <w:t>35</w:t>
      </w:r>
      <w:proofErr w:type="gramEnd"/>
      <w:r w:rsidRPr="00781112">
        <w:rPr>
          <w:color w:val="000000" w:themeColor="text1"/>
        </w:rPr>
        <w:t>. Intensive behavior/social and emotional practices</w:t>
      </w:r>
      <w:r w:rsidRPr="00781112">
        <w:rPr>
          <w:color w:val="000000" w:themeColor="text1"/>
        </w:rPr>
        <w:br/>
      </w:r>
      <w:r w:rsidRPr="00781112">
        <w:rPr>
          <w:color w:val="000000" w:themeColor="text1"/>
        </w:rPr>
        <w:br/>
        <w:t xml:space="preserve">As with the FAM-S, the FAM-D results </w:t>
      </w:r>
      <w:proofErr w:type="gramStart"/>
      <w:r w:rsidRPr="00781112">
        <w:rPr>
          <w:color w:val="000000" w:themeColor="text1"/>
        </w:rPr>
        <w:t>are analyzed</w:t>
      </w:r>
      <w:proofErr w:type="gramEnd"/>
      <w:r w:rsidRPr="00781112">
        <w:rPr>
          <w:color w:val="000000" w:themeColor="text1"/>
        </w:rPr>
        <w:t xml:space="preserve"> to determine areas of strength and opportunity. In 2021-22 the highest rated items on the FAM-D (55-75% or more of district teams rated as either operationalizing (2) or optimizing (3)) included the following items (item content summarized below, full items and rubric are available in the FAM-D:</w:t>
      </w:r>
      <w:r w:rsidRPr="00781112">
        <w:rPr>
          <w:color w:val="000000" w:themeColor="text1"/>
        </w:rPr>
        <w:br/>
      </w:r>
      <w:proofErr w:type="gramStart"/>
      <w:r w:rsidRPr="00781112">
        <w:rPr>
          <w:color w:val="000000" w:themeColor="text1"/>
        </w:rPr>
        <w:t>1</w:t>
      </w:r>
      <w:proofErr w:type="gramEnd"/>
      <w:r w:rsidRPr="00781112">
        <w:rPr>
          <w:color w:val="000000" w:themeColor="text1"/>
        </w:rPr>
        <w:t>. MTSS is evident in district policy</w:t>
      </w:r>
      <w:r w:rsidRPr="00781112">
        <w:rPr>
          <w:color w:val="000000" w:themeColor="text1"/>
        </w:rPr>
        <w:br/>
      </w:r>
      <w:proofErr w:type="gramStart"/>
      <w:r w:rsidRPr="00781112">
        <w:rPr>
          <w:color w:val="000000" w:themeColor="text1"/>
        </w:rPr>
        <w:t>2</w:t>
      </w:r>
      <w:proofErr w:type="gramEnd"/>
      <w:r w:rsidRPr="00781112">
        <w:rPr>
          <w:color w:val="000000" w:themeColor="text1"/>
        </w:rPr>
        <w:t>. There is a district team leading MTSS</w:t>
      </w:r>
      <w:r w:rsidRPr="00781112">
        <w:rPr>
          <w:color w:val="000000" w:themeColor="text1"/>
        </w:rPr>
        <w:br/>
      </w:r>
      <w:proofErr w:type="gramStart"/>
      <w:r w:rsidRPr="00781112">
        <w:rPr>
          <w:color w:val="000000" w:themeColor="text1"/>
        </w:rPr>
        <w:t>5</w:t>
      </w:r>
      <w:proofErr w:type="gramEnd"/>
      <w:r w:rsidRPr="00781112">
        <w:rPr>
          <w:color w:val="000000" w:themeColor="text1"/>
        </w:rPr>
        <w:t>. The essential elements of MTSS are understood by district staff</w:t>
      </w:r>
      <w:r w:rsidRPr="00781112">
        <w:rPr>
          <w:color w:val="000000" w:themeColor="text1"/>
        </w:rPr>
        <w:br/>
      </w:r>
      <w:proofErr w:type="gramStart"/>
      <w:r w:rsidRPr="00781112">
        <w:rPr>
          <w:color w:val="000000" w:themeColor="text1"/>
        </w:rPr>
        <w:t>9</w:t>
      </w:r>
      <w:proofErr w:type="gramEnd"/>
      <w:r w:rsidRPr="00781112">
        <w:rPr>
          <w:color w:val="000000" w:themeColor="text1"/>
        </w:rPr>
        <w:t xml:space="preserve">. The district ensures school schedules provide adequate time for implementation of multiple tiers of instruction and intervention </w:t>
      </w:r>
      <w:r w:rsidRPr="00781112">
        <w:rPr>
          <w:color w:val="000000" w:themeColor="text1"/>
        </w:rPr>
        <w:br/>
      </w:r>
      <w:proofErr w:type="gramStart"/>
      <w:r w:rsidRPr="00781112">
        <w:rPr>
          <w:color w:val="000000" w:themeColor="text1"/>
        </w:rPr>
        <w:t>16</w:t>
      </w:r>
      <w:proofErr w:type="gramEnd"/>
      <w:r w:rsidRPr="00781112">
        <w:rPr>
          <w:color w:val="000000" w:themeColor="text1"/>
        </w:rPr>
        <w:t>. Core Academic practices</w:t>
      </w:r>
      <w:r w:rsidRPr="00781112">
        <w:rPr>
          <w:color w:val="000000" w:themeColor="text1"/>
        </w:rPr>
        <w:br/>
      </w:r>
      <w:proofErr w:type="gramStart"/>
      <w:r w:rsidRPr="00781112">
        <w:rPr>
          <w:color w:val="000000" w:themeColor="text1"/>
        </w:rPr>
        <w:t>22</w:t>
      </w:r>
      <w:proofErr w:type="gramEnd"/>
      <w:r w:rsidRPr="00781112">
        <w:rPr>
          <w:color w:val="000000" w:themeColor="text1"/>
        </w:rPr>
        <w:t>. A comprehensive assessment plan exists</w:t>
      </w:r>
      <w:r w:rsidRPr="00781112">
        <w:rPr>
          <w:color w:val="000000" w:themeColor="text1"/>
        </w:rPr>
        <w:br/>
      </w:r>
      <w:r w:rsidRPr="00781112">
        <w:rPr>
          <w:color w:val="000000" w:themeColor="text1"/>
        </w:rPr>
        <w:br/>
        <w:t>The following items were most frequently rated as “not implementing” by district MTSS teams:</w:t>
      </w:r>
      <w:r w:rsidRPr="00781112">
        <w:rPr>
          <w:color w:val="000000" w:themeColor="text1"/>
        </w:rPr>
        <w:br/>
      </w:r>
      <w:proofErr w:type="gramStart"/>
      <w:r w:rsidRPr="00781112">
        <w:rPr>
          <w:color w:val="000000" w:themeColor="text1"/>
        </w:rPr>
        <w:t>3</w:t>
      </w:r>
      <w:proofErr w:type="gramEnd"/>
      <w:r w:rsidRPr="00781112">
        <w:rPr>
          <w:color w:val="000000" w:themeColor="text1"/>
        </w:rPr>
        <w:t xml:space="preserve">. A </w:t>
      </w:r>
      <w:proofErr w:type="gramStart"/>
      <w:r w:rsidRPr="00781112">
        <w:rPr>
          <w:color w:val="000000" w:themeColor="text1"/>
        </w:rPr>
        <w:t>3-5 year</w:t>
      </w:r>
      <w:proofErr w:type="gramEnd"/>
      <w:r w:rsidRPr="00781112">
        <w:rPr>
          <w:color w:val="000000" w:themeColor="text1"/>
        </w:rPr>
        <w:t xml:space="preserve"> MTSS implementation plan exists</w:t>
      </w:r>
      <w:r w:rsidRPr="00781112">
        <w:rPr>
          <w:color w:val="000000" w:themeColor="text1"/>
        </w:rPr>
        <w:br/>
        <w:t>4. District staff receive professional learning related to MTSS</w:t>
      </w:r>
      <w:r w:rsidRPr="00781112">
        <w:rPr>
          <w:color w:val="000000" w:themeColor="text1"/>
        </w:rPr>
        <w:br/>
      </w:r>
      <w:proofErr w:type="gramStart"/>
      <w:r w:rsidRPr="00781112">
        <w:rPr>
          <w:color w:val="000000" w:themeColor="text1"/>
        </w:rPr>
        <w:t>14</w:t>
      </w:r>
      <w:proofErr w:type="gramEnd"/>
      <w:r w:rsidRPr="00781112">
        <w:rPr>
          <w:color w:val="000000" w:themeColor="text1"/>
        </w:rPr>
        <w:t>. Student outcome data is problem-solved</w:t>
      </w:r>
      <w:r w:rsidRPr="00781112">
        <w:rPr>
          <w:color w:val="000000" w:themeColor="text1"/>
        </w:rPr>
        <w:br/>
      </w:r>
      <w:proofErr w:type="gramStart"/>
      <w:r w:rsidRPr="00781112">
        <w:rPr>
          <w:color w:val="000000" w:themeColor="text1"/>
        </w:rPr>
        <w:t>15</w:t>
      </w:r>
      <w:proofErr w:type="gramEnd"/>
      <w:r w:rsidRPr="00781112">
        <w:rPr>
          <w:color w:val="000000" w:themeColor="text1"/>
        </w:rPr>
        <w:t>. Implementation data is problem-solved</w:t>
      </w:r>
      <w:r w:rsidRPr="00781112">
        <w:rPr>
          <w:color w:val="000000" w:themeColor="text1"/>
        </w:rPr>
        <w:br/>
      </w:r>
      <w:proofErr w:type="gramStart"/>
      <w:r w:rsidRPr="00781112">
        <w:rPr>
          <w:color w:val="000000" w:themeColor="text1"/>
        </w:rPr>
        <w:t>21</w:t>
      </w:r>
      <w:proofErr w:type="gramEnd"/>
      <w:r w:rsidRPr="00781112">
        <w:rPr>
          <w:color w:val="000000" w:themeColor="text1"/>
        </w:rPr>
        <w:t>. Intervention protocols are evident for behavior/social and emotional learning</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 OSEP notes that the FFY 2020 data in the FFY 2021 data table reflects a different data source than the FFY 2021 data.</w:t>
      </w:r>
      <w:r w:rsidRPr="00781112">
        <w:rPr>
          <w:color w:val="000000" w:themeColor="text1"/>
        </w:rPr>
        <w:br/>
      </w:r>
      <w:r w:rsidRPr="00781112">
        <w:rPr>
          <w:color w:val="000000" w:themeColor="text1"/>
        </w:rPr>
        <w:br/>
        <w:t>The State revised its FFY 2021-2025 targets for this indicator, and OSEP accepts those targets.</w:t>
      </w:r>
      <w:r w:rsidRPr="00781112">
        <w:rPr>
          <w:color w:val="000000" w:themeColor="text1"/>
        </w:rPr>
        <w:br/>
      </w:r>
      <w:r w:rsidRPr="00781112">
        <w:rPr>
          <w:color w:val="000000" w:themeColor="text1"/>
        </w:rPr>
        <w:lastRenderedPageBreak/>
        <w:br/>
        <w:t xml:space="preserve">OSEP notes that the State reported "SWD of Color in SiMR Support PSUs Who Scored at Career and College Ready on 2020-21 4th Grade Reading State Assessment" as the numerator, and "SWD of Color in SiMR Support PSUs Who Took the 2020-21 4th Grade Reading State Assessment" as the denominator in its calculation of the SiMR. However, the State reports the SiMR is, "NC will reduce the 6.83% point gap between students of color (SoC) with disabilities (4.19% career and college ready; CCR) and white students with disabilities (11.02% CCR) by 90% in the 40 public school units (PSUs) with &lt;25% all-student proficiency in 4th grade reading that opted-in as SiMR Support partner PSUs." </w:t>
      </w:r>
      <w:proofErr w:type="gramStart"/>
      <w:r w:rsidRPr="00781112">
        <w:rPr>
          <w:color w:val="000000" w:themeColor="text1"/>
        </w:rPr>
        <w:t>Therefore</w:t>
      </w:r>
      <w:proofErr w:type="gramEnd"/>
      <w:r w:rsidRPr="00781112">
        <w:rPr>
          <w:color w:val="000000" w:themeColor="text1"/>
        </w:rPr>
        <w:t xml:space="preserve"> it is unclear whether the State has revised its SiMR.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In the FFY 2022 SPP/APR, the State must ensure that its  SiMR  reflects what is </w:t>
      </w:r>
      <w:proofErr w:type="gramStart"/>
      <w:r w:rsidRPr="00781112">
        <w:rPr>
          <w:color w:val="000000" w:themeColor="text1"/>
        </w:rPr>
        <w:t>being measured</w:t>
      </w:r>
      <w:proofErr w:type="gramEnd"/>
      <w:r w:rsidRPr="00781112">
        <w:rPr>
          <w:color w:val="000000" w:themeColor="text1"/>
        </w:rPr>
        <w:t xml:space="preserve"> in the SPP/APR data table.</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Kelley Blas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IDEA Technical Analyst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kelley.steen@dpi.nc.gov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919-464-4029</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3:00:31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59FF6399" w14:textId="7863E3FF" w:rsidR="006D0325" w:rsidRPr="006D0325" w:rsidRDefault="006D0325" w:rsidP="006D0325">
      <w:pPr>
        <w:rPr>
          <w:b/>
          <w:bCs/>
          <w:sz w:val="20"/>
          <w:szCs w:val="28"/>
        </w:rPr>
      </w:pPr>
      <w:r w:rsidRPr="006D0325">
        <w:rPr>
          <w:b/>
          <w:bCs/>
          <w:sz w:val="20"/>
          <w:szCs w:val="28"/>
        </w:rPr>
        <w:t>North Carolina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68.75%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15</w:t>
            </w:r>
          </w:p>
        </w:tc>
        <w:tc>
          <w:tcPr>
            <w:tcW w:w="1218" w:type="pct"/>
          </w:tcPr>
          <w:p w14:paraId="568903BA" w14:textId="193CF7F1" w:rsidR="00E1330D" w:rsidRPr="00210AC6" w:rsidRDefault="00E1330D" w:rsidP="00E1330D">
            <w:pPr>
              <w:rPr>
                <w:rFonts w:cs="Arial"/>
                <w:szCs w:val="16"/>
              </w:rPr>
            </w:pPr>
            <w:r w:rsidRPr="00210AC6">
              <w:rPr>
                <w:rFonts w:cs="Arial"/>
                <w:szCs w:val="16"/>
              </w:rPr>
              <w:t>75.00%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92%</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89%</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23%</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91%</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24%</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87%</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92%</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89%</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35%</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19%</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93%</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15</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79</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68.03%</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0</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77.71%</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1</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60.40%</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95.24%</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96.00%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7F5C520" w14:textId="77777777" w:rsidR="006D0325" w:rsidRPr="006D0325" w:rsidRDefault="006D0325" w:rsidP="006D0325">
      <w:pPr>
        <w:rPr>
          <w:b/>
          <w:bCs/>
          <w:sz w:val="20"/>
          <w:szCs w:val="28"/>
        </w:rPr>
      </w:pPr>
      <w:r w:rsidRPr="006D0325">
        <w:rPr>
          <w:b/>
          <w:bCs/>
          <w:sz w:val="20"/>
          <w:szCs w:val="28"/>
        </w:rPr>
        <w:t>North Carolina</w:t>
      </w:r>
    </w:p>
    <w:p w14:paraId="458B9C3E" w14:textId="77777777" w:rsidR="006D0325" w:rsidRPr="006D0325" w:rsidRDefault="006D0325" w:rsidP="006D0325"/>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0.9524</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95.24</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3AE0D670" w14:textId="77777777" w:rsidR="006D0325" w:rsidRDefault="006D0325">
      <w:pPr>
        <w:spacing w:before="0" w:after="200" w:line="276" w:lineRule="auto"/>
      </w:pPr>
    </w:p>
    <w:p w14:paraId="10BA59E7" w14:textId="518B4F07" w:rsidR="0058254D" w:rsidRDefault="006D0325">
      <w:pPr>
        <w:spacing w:before="0" w:after="200" w:line="276" w:lineRule="auto"/>
      </w:pPr>
      <w:r>
        <w:object w:dxaOrig="1540" w:dyaOrig="997" w14:anchorId="4B8B0C84">
          <v:shape id="_x0000_i1026" type="#_x0000_t75" alt="NC-B-DR-2021-22" style="width:77.25pt;height:49.5pt" o:ole="">
            <v:imagedata r:id="rId12" o:title=""/>
          </v:shape>
          <o:OLEObject Type="Embed" ProgID="Acrobat.Document.DC" ShapeID="_x0000_i1026" DrawAspect="Icon" ObjectID="_1752315596"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380FBB">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380F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B972F92" w14:textId="000EA845" w:rsidR="006D0325" w:rsidRPr="006D0325" w:rsidRDefault="006D0325" w:rsidP="006D0325">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6C460F10" w14:textId="15D0AF22" w:rsidR="006D0325" w:rsidRPr="006D0325" w:rsidRDefault="006D0325" w:rsidP="006D0325">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380FB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0FBB"/>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7CA"/>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3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27B71"/>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414D7-831D-4CE8-B3B8-18E7885A0022}"/>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openxmlformats.org/package/2006/metadata/core-properties"/>
    <ds:schemaRef ds:uri="4f36bac4-6705-4a36-974b-7c07450fedf2"/>
    <ds:schemaRef ds:uri="http://www.w3.org/XML/1998/namespace"/>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292db1e8-b3d0-4356-8ef3-2a6d7ed77883"/>
    <ds:schemaRef ds:uri="http://purl.org/dc/dcmitype/"/>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5</TotalTime>
  <Pages>87</Pages>
  <Words>48245</Words>
  <Characters>275000</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4</cp:revision>
  <cp:lastPrinted>2014-08-19T16:56:00Z</cp:lastPrinted>
  <dcterms:created xsi:type="dcterms:W3CDTF">2023-06-28T21:20:00Z</dcterms:created>
  <dcterms:modified xsi:type="dcterms:W3CDTF">2023-07-31T18:33:00Z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