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50962E42"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Montana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399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Montana comprehensive system of general supervision includes multiple components:  A review of </w:t>
      </w:r>
      <w:proofErr w:type="gramStart"/>
      <w:r w:rsidRPr="00781112">
        <w:rPr>
          <w:rFonts w:cs="Arial"/>
          <w:color w:val="000000" w:themeColor="text1"/>
          <w:szCs w:val="16"/>
        </w:rPr>
        <w:t>each Individual</w:t>
      </w:r>
      <w:proofErr w:type="gramEnd"/>
      <w:r w:rsidRPr="00781112">
        <w:rPr>
          <w:rFonts w:cs="Arial"/>
          <w:color w:val="000000" w:themeColor="text1"/>
          <w:szCs w:val="16"/>
        </w:rPr>
        <w:t xml:space="preserve"> with Disabilities Education Act (IDEA) Part B applicant’s policies and procedures; the application, allocation, distribution, fiscal risk assessment, and accountability of special education funds; formal complaints, due process hearings, mediation, and an Early Assistance Program.  The special education and legal units track data to ensure required compliance and/or corrections are made</w:t>
      </w:r>
      <w:proofErr w:type="gramStart"/>
      <w:r w:rsidRPr="00781112">
        <w:rPr>
          <w:rFonts w:cs="Arial"/>
          <w:color w:val="000000" w:themeColor="text1"/>
          <w:szCs w:val="16"/>
        </w:rPr>
        <w:t xml:space="preserve">.  </w:t>
      </w:r>
      <w:proofErr w:type="gramEnd"/>
      <w:r w:rsidRPr="00781112">
        <w:rPr>
          <w:rFonts w:cs="Arial"/>
          <w:color w:val="000000" w:themeColor="text1"/>
          <w:szCs w:val="16"/>
        </w:rPr>
        <w:t>Continuous improvement, based on each Local Education Agency’s (LEA) five-year comprehensive plan, is reported by LEAs annually and tracked through the Accreditation Unit.</w:t>
      </w:r>
      <w:r w:rsidRPr="00781112">
        <w:rPr>
          <w:rFonts w:cs="Arial"/>
          <w:color w:val="000000" w:themeColor="text1"/>
          <w:szCs w:val="16"/>
        </w:rPr>
        <w:br/>
      </w:r>
      <w:r w:rsidRPr="00781112">
        <w:rPr>
          <w:rFonts w:cs="Arial"/>
          <w:color w:val="000000" w:themeColor="text1"/>
          <w:szCs w:val="16"/>
        </w:rPr>
        <w:br/>
        <w:t>Compliance Monitoring</w:t>
      </w:r>
      <w:r w:rsidRPr="00781112">
        <w:rPr>
          <w:rFonts w:cs="Arial"/>
          <w:color w:val="000000" w:themeColor="text1"/>
          <w:szCs w:val="16"/>
        </w:rPr>
        <w:br/>
        <w:t>The Office of Public Instruction (OPI) reviews individual student records to verify processes and procedures meet IDEA and Montana requirements</w:t>
      </w:r>
      <w:proofErr w:type="gramStart"/>
      <w:r w:rsidRPr="00781112">
        <w:rPr>
          <w:rFonts w:cs="Arial"/>
          <w:color w:val="000000" w:themeColor="text1"/>
          <w:szCs w:val="16"/>
        </w:rPr>
        <w:t xml:space="preserve">.  </w:t>
      </w:r>
      <w:proofErr w:type="gramEnd"/>
      <w:r w:rsidRPr="00781112">
        <w:rPr>
          <w:rFonts w:cs="Arial"/>
          <w:color w:val="000000" w:themeColor="text1"/>
          <w:szCs w:val="16"/>
        </w:rPr>
        <w:t>Compliance monitoring activities consist of: review of individual student records; review of district policy, practices, and procedures; virtual records review and/or site visits, when appropriate; and communication with teachers and specialists.</w:t>
      </w:r>
      <w:r w:rsidRPr="00781112">
        <w:rPr>
          <w:rFonts w:cs="Arial"/>
          <w:color w:val="000000" w:themeColor="text1"/>
          <w:szCs w:val="16"/>
        </w:rPr>
        <w:br/>
      </w:r>
      <w:r w:rsidRPr="00781112">
        <w:rPr>
          <w:rFonts w:cs="Arial"/>
          <w:color w:val="000000" w:themeColor="text1"/>
          <w:szCs w:val="16"/>
        </w:rPr>
        <w:br/>
        <w:t>All identified noncompliance is recorded, verified, and accounted for through a process of notification of all identified noncompliance; required correction of all identified noncompliance within the 1 year timeline; district submission of up-dated data verifying 100 percent post-monitoring compliance; and review of district practices, and procedures; timely issuance of findings; completion of required technical assistance and professional development activities; and the issuance of a final report to the district upon completion of all required compliance monitoring requirements.</w:t>
      </w:r>
      <w:r w:rsidRPr="00781112">
        <w:rPr>
          <w:rFonts w:cs="Arial"/>
          <w:color w:val="000000" w:themeColor="text1"/>
          <w:szCs w:val="16"/>
        </w:rPr>
        <w:br/>
      </w:r>
      <w:r w:rsidRPr="00781112">
        <w:rPr>
          <w:rFonts w:cs="Arial"/>
          <w:color w:val="000000" w:themeColor="text1"/>
          <w:szCs w:val="16"/>
        </w:rPr>
        <w:br/>
        <w:t xml:space="preserve">Each LEA is monitored on a five-year cycle. State Operated or State Funded programs </w:t>
      </w:r>
      <w:proofErr w:type="gramStart"/>
      <w:r w:rsidRPr="00781112">
        <w:rPr>
          <w:rFonts w:cs="Arial"/>
          <w:color w:val="000000" w:themeColor="text1"/>
          <w:szCs w:val="16"/>
        </w:rPr>
        <w:t>are monitored</w:t>
      </w:r>
      <w:proofErr w:type="gramEnd"/>
      <w:r w:rsidRPr="00781112">
        <w:rPr>
          <w:rFonts w:cs="Arial"/>
          <w:color w:val="000000" w:themeColor="text1"/>
          <w:szCs w:val="16"/>
        </w:rPr>
        <w:t xml:space="preserve"> </w:t>
      </w:r>
      <w:proofErr w:type="gramStart"/>
      <w:r w:rsidRPr="00781112">
        <w:rPr>
          <w:rFonts w:cs="Arial"/>
          <w:color w:val="000000" w:themeColor="text1"/>
          <w:szCs w:val="16"/>
        </w:rPr>
        <w:t>on</w:t>
      </w:r>
      <w:proofErr w:type="gramEnd"/>
      <w:r w:rsidRPr="00781112">
        <w:rPr>
          <w:rFonts w:cs="Arial"/>
          <w:color w:val="000000" w:themeColor="text1"/>
          <w:szCs w:val="16"/>
        </w:rPr>
        <w:t xml:space="preserve"> a three-year cycle. Records for review </w:t>
      </w:r>
      <w:proofErr w:type="gramStart"/>
      <w:r w:rsidRPr="00781112">
        <w:rPr>
          <w:rFonts w:cs="Arial"/>
          <w:color w:val="000000" w:themeColor="text1"/>
          <w:szCs w:val="16"/>
        </w:rPr>
        <w:t>are selected</w:t>
      </w:r>
      <w:proofErr w:type="gramEnd"/>
      <w:r w:rsidRPr="00781112">
        <w:rPr>
          <w:rFonts w:cs="Arial"/>
          <w:color w:val="000000" w:themeColor="text1"/>
          <w:szCs w:val="16"/>
        </w:rPr>
        <w:t xml:space="preserve"> and a standard record review protocol is used. If an LEA completes the correction of each instance of noncompliance and provides the OPI with sufficient additional records to verify ongoing evidence of compliance, no finding is issued. This practice is based on guidance provided by OSEP in the FREQUENTLY ASKED QUESTIONS REGARDING IDENTIFICATION AND CORRECTION OF NONCOMPLIANCE AND REPORTING ON CORRECTION IN THE STATE PERFORMANCE PLAN (SPP)/ANNUAL PERFORMANCE REPORT (APR) document. In the process for determination of findings, the OPI considers the following: (1) if the noncompliance was systemic or found in only a small percentage of files; (2) if the noncompliance showed a denial of a basic right under the IDEA; and (3) if the noncompliance represents an isolated incident or reflects a long-standing failure to meet requirements (systemic). When data indicates evidence of sustained post-monitoring compliance is necessary, the OPI requires the district to obtain additional training and/or submit additional evidence of sustained compliance. The same verification procedures are used for all noncompliance.</w:t>
      </w:r>
      <w:r w:rsidRPr="00781112">
        <w:rPr>
          <w:rFonts w:cs="Arial"/>
          <w:color w:val="000000" w:themeColor="text1"/>
          <w:szCs w:val="16"/>
        </w:rPr>
        <w:br/>
      </w:r>
      <w:r w:rsidRPr="00781112">
        <w:rPr>
          <w:rFonts w:cs="Arial"/>
          <w:color w:val="000000" w:themeColor="text1"/>
          <w:szCs w:val="16"/>
        </w:rPr>
        <w:br/>
        <w:t xml:space="preserve">During the last LEA monitoring cycle, the state identified </w:t>
      </w:r>
      <w:proofErr w:type="gramStart"/>
      <w:r w:rsidRPr="00781112">
        <w:rPr>
          <w:rFonts w:cs="Arial"/>
          <w:color w:val="000000" w:themeColor="text1"/>
          <w:szCs w:val="16"/>
        </w:rPr>
        <w:t>76</w:t>
      </w:r>
      <w:proofErr w:type="gramEnd"/>
      <w:r w:rsidRPr="00781112">
        <w:rPr>
          <w:rFonts w:cs="Arial"/>
          <w:color w:val="000000" w:themeColor="text1"/>
          <w:szCs w:val="16"/>
        </w:rPr>
        <w:t xml:space="preserve"> instances of non-compliance that were not related to any of the SPP/APR indicators.  These instances </w:t>
      </w:r>
      <w:proofErr w:type="gramStart"/>
      <w:r w:rsidRPr="00781112">
        <w:rPr>
          <w:rFonts w:cs="Arial"/>
          <w:color w:val="000000" w:themeColor="text1"/>
          <w:szCs w:val="16"/>
        </w:rPr>
        <w:t>were verified</w:t>
      </w:r>
      <w:proofErr w:type="gramEnd"/>
      <w:r w:rsidRPr="00781112">
        <w:rPr>
          <w:rFonts w:cs="Arial"/>
          <w:color w:val="000000" w:themeColor="text1"/>
          <w:szCs w:val="16"/>
        </w:rPr>
        <w:t xml:space="preserve"> using both prongs of the verification process described in the Office of Special Education Programs (OSEP) 09-02 Memorandum and subsequent OSEP guidance. Of the </w:t>
      </w:r>
      <w:proofErr w:type="gramStart"/>
      <w:r w:rsidRPr="00781112">
        <w:rPr>
          <w:rFonts w:cs="Arial"/>
          <w:color w:val="000000" w:themeColor="text1"/>
          <w:szCs w:val="16"/>
        </w:rPr>
        <w:t>76</w:t>
      </w:r>
      <w:proofErr w:type="gramEnd"/>
      <w:r w:rsidRPr="00781112">
        <w:rPr>
          <w:rFonts w:cs="Arial"/>
          <w:color w:val="000000" w:themeColor="text1"/>
          <w:szCs w:val="16"/>
        </w:rPr>
        <w:t xml:space="preserve"> instances, 37 of them were corrected within the one-year timeline.  </w:t>
      </w:r>
      <w:r w:rsidRPr="00781112">
        <w:rPr>
          <w:rFonts w:cs="Arial"/>
          <w:color w:val="000000" w:themeColor="text1"/>
          <w:szCs w:val="16"/>
        </w:rPr>
        <w:br/>
      </w:r>
      <w:r w:rsidRPr="00781112">
        <w:rPr>
          <w:rFonts w:cs="Arial"/>
          <w:color w:val="000000" w:themeColor="text1"/>
          <w:szCs w:val="16"/>
        </w:rPr>
        <w:br/>
        <w:t xml:space="preserve">Due to the impact of COVID upon SEA staff, it was determined at the onset of the 2021-22 Monitoring </w:t>
      </w:r>
      <w:proofErr w:type="gramStart"/>
      <w:r w:rsidRPr="00781112">
        <w:rPr>
          <w:rFonts w:cs="Arial"/>
          <w:color w:val="000000" w:themeColor="text1"/>
          <w:szCs w:val="16"/>
        </w:rPr>
        <w:t>Cycle</w:t>
      </w:r>
      <w:proofErr w:type="gramEnd"/>
      <w:r w:rsidRPr="00781112">
        <w:rPr>
          <w:rFonts w:cs="Arial"/>
          <w:color w:val="000000" w:themeColor="text1"/>
          <w:szCs w:val="16"/>
        </w:rPr>
        <w:t xml:space="preserve"> the SEA monitoring team consisted of two people expected to </w:t>
      </w:r>
      <w:proofErr w:type="gramStart"/>
      <w:r w:rsidRPr="00781112">
        <w:rPr>
          <w:rFonts w:cs="Arial"/>
          <w:color w:val="000000" w:themeColor="text1"/>
          <w:szCs w:val="16"/>
        </w:rPr>
        <w:t>carry out</w:t>
      </w:r>
      <w:proofErr w:type="gramEnd"/>
      <w:r w:rsidRPr="00781112">
        <w:rPr>
          <w:rFonts w:cs="Arial"/>
          <w:color w:val="000000" w:themeColor="text1"/>
          <w:szCs w:val="16"/>
        </w:rPr>
        <w:t xml:space="preserve"> the traditional monitoring protocol for the entire state. After </w:t>
      </w:r>
      <w:proofErr w:type="gramStart"/>
      <w:r w:rsidRPr="00781112">
        <w:rPr>
          <w:rFonts w:cs="Arial"/>
          <w:color w:val="000000" w:themeColor="text1"/>
          <w:szCs w:val="16"/>
        </w:rPr>
        <w:t>much</w:t>
      </w:r>
      <w:proofErr w:type="gramEnd"/>
      <w:r w:rsidRPr="00781112">
        <w:rPr>
          <w:rFonts w:cs="Arial"/>
          <w:color w:val="000000" w:themeColor="text1"/>
          <w:szCs w:val="16"/>
        </w:rPr>
        <w:t xml:space="preserve"> deliberation, it was determined that for the SEA to maintain its obligation to review districts and to provide adequate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or technical assistance, adjusting the total number of files to review due to staffing restraints was necessary. It was determined the optimum strategy was to reduce the number of files reviewed with the understanding that additional files could </w:t>
      </w:r>
      <w:proofErr w:type="gramStart"/>
      <w:r w:rsidRPr="00781112">
        <w:rPr>
          <w:rFonts w:cs="Arial"/>
          <w:color w:val="000000" w:themeColor="text1"/>
          <w:szCs w:val="16"/>
        </w:rPr>
        <w:t>be reviewed</w:t>
      </w:r>
      <w:proofErr w:type="gramEnd"/>
      <w:r w:rsidRPr="00781112">
        <w:rPr>
          <w:rFonts w:cs="Arial"/>
          <w:color w:val="000000" w:themeColor="text1"/>
          <w:szCs w:val="16"/>
        </w:rPr>
        <w:t xml:space="preserve"> as needed. </w:t>
      </w:r>
      <w:proofErr w:type="gramStart"/>
      <w:r w:rsidRPr="00781112">
        <w:rPr>
          <w:rFonts w:cs="Arial"/>
          <w:color w:val="000000" w:themeColor="text1"/>
          <w:szCs w:val="16"/>
        </w:rPr>
        <w:t>Ultimately the</w:t>
      </w:r>
      <w:proofErr w:type="gramEnd"/>
      <w:r w:rsidRPr="00781112">
        <w:rPr>
          <w:rFonts w:cs="Arial"/>
          <w:color w:val="000000" w:themeColor="text1"/>
          <w:szCs w:val="16"/>
        </w:rPr>
        <w:t xml:space="preserve"> modification to the overall process consisted of reducing files to be reviewed from 2 to 1 file per case manager. In addition, </w:t>
      </w:r>
      <w:proofErr w:type="gramStart"/>
      <w:r w:rsidRPr="00781112">
        <w:rPr>
          <w:rFonts w:cs="Arial"/>
          <w:color w:val="000000" w:themeColor="text1"/>
          <w:szCs w:val="16"/>
        </w:rPr>
        <w:t>12</w:t>
      </w:r>
      <w:proofErr w:type="gramEnd"/>
      <w:r w:rsidRPr="00781112">
        <w:rPr>
          <w:rFonts w:cs="Arial"/>
          <w:color w:val="000000" w:themeColor="text1"/>
          <w:szCs w:val="16"/>
        </w:rPr>
        <w:t xml:space="preserve"> districts were not monitored due to the modifications of the monitoring. This was due to factors beyond the </w:t>
      </w:r>
      <w:proofErr w:type="gramStart"/>
      <w:r w:rsidRPr="00781112">
        <w:rPr>
          <w:rFonts w:cs="Arial"/>
          <w:color w:val="000000" w:themeColor="text1"/>
          <w:szCs w:val="16"/>
        </w:rPr>
        <w:t>agencies</w:t>
      </w:r>
      <w:proofErr w:type="gramEnd"/>
      <w:r w:rsidRPr="00781112">
        <w:rPr>
          <w:rFonts w:cs="Arial"/>
          <w:color w:val="000000" w:themeColor="text1"/>
          <w:szCs w:val="16"/>
        </w:rPr>
        <w:t xml:space="preserve"> control. </w:t>
      </w:r>
      <w:r w:rsidRPr="00781112">
        <w:rPr>
          <w:rFonts w:cs="Arial"/>
          <w:color w:val="000000" w:themeColor="text1"/>
          <w:szCs w:val="16"/>
        </w:rPr>
        <w:br/>
      </w:r>
      <w:r w:rsidRPr="00781112">
        <w:rPr>
          <w:rFonts w:cs="Arial"/>
          <w:color w:val="000000" w:themeColor="text1"/>
          <w:szCs w:val="16"/>
        </w:rPr>
        <w:br/>
        <w:t xml:space="preserve">The primary number of compliance infractions beyond the one-year timeline involved </w:t>
      </w:r>
      <w:proofErr w:type="gramStart"/>
      <w:r w:rsidRPr="00781112">
        <w:rPr>
          <w:rFonts w:cs="Arial"/>
          <w:color w:val="000000" w:themeColor="text1"/>
          <w:szCs w:val="16"/>
        </w:rPr>
        <w:t>a small number of</w:t>
      </w:r>
      <w:proofErr w:type="gramEnd"/>
      <w:r w:rsidRPr="00781112">
        <w:rPr>
          <w:rFonts w:cs="Arial"/>
          <w:color w:val="000000" w:themeColor="text1"/>
          <w:szCs w:val="16"/>
        </w:rPr>
        <w:t xml:space="preserve"> school districts. These districts are all on the Fort Peck Indian Reservation which saw a greater impact from the COVID-19 Pandemic compared to other non-reservation districts</w:t>
      </w:r>
      <w:proofErr w:type="gramStart"/>
      <w:r w:rsidRPr="00781112">
        <w:rPr>
          <w:rFonts w:cs="Arial"/>
          <w:color w:val="000000" w:themeColor="text1"/>
          <w:szCs w:val="16"/>
        </w:rPr>
        <w:t xml:space="preserve">.  </w:t>
      </w:r>
      <w:proofErr w:type="gramEnd"/>
      <w:r w:rsidRPr="00781112">
        <w:rPr>
          <w:rFonts w:cs="Arial"/>
          <w:color w:val="000000" w:themeColor="text1"/>
          <w:szCs w:val="16"/>
        </w:rPr>
        <w:t>As a result of this, these districts were seeing the negative results of the COVID-19 Pandemic impacting their ability to hire and retain staff. The SEA leadership met to discuss and agreed to a 30-day extension for the involved districts. Additionally, the SEA has been hosting monthly meetings in support of the districts providing technical assistance, professional development, and on-going support. This will be implemented for at least a year or until the SEA is satisfied with the district’s overall progress.</w:t>
      </w:r>
      <w:r w:rsidRPr="00781112">
        <w:rPr>
          <w:rFonts w:cs="Arial"/>
          <w:color w:val="000000" w:themeColor="text1"/>
          <w:szCs w:val="16"/>
        </w:rPr>
        <w:br/>
      </w:r>
      <w:r w:rsidRPr="00781112">
        <w:rPr>
          <w:rFonts w:cs="Arial"/>
          <w:color w:val="000000" w:themeColor="text1"/>
          <w:szCs w:val="16"/>
        </w:rPr>
        <w:br/>
        <w:t>IDEA Part B Program - Fiscal</w:t>
      </w:r>
      <w:r w:rsidRPr="00781112">
        <w:rPr>
          <w:rFonts w:cs="Arial"/>
          <w:color w:val="000000" w:themeColor="text1"/>
          <w:szCs w:val="16"/>
        </w:rPr>
        <w:br/>
        <w:t>The special education unit oversees the application, allocation, and distribution of approximately $43 million of federal special education funds, ensures the accountability for the use of those funds, and oversees all related IDEA grant reporting and requirements.  The fiscal manager reviews and approves the applications for the IDEA funds, determines if expenditures are allowable. A district’s eligibility for funds is determined through state and federal fiscal effort maintenance requirements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unit oversees the distribution of IDEA discretionary funds to support programs that are a specific area of need as identified in the APR. </w:t>
      </w:r>
      <w:r w:rsidRPr="00781112">
        <w:rPr>
          <w:rFonts w:cs="Arial"/>
          <w:color w:val="000000" w:themeColor="text1"/>
          <w:szCs w:val="16"/>
        </w:rPr>
        <w:br/>
      </w:r>
      <w:r w:rsidRPr="00781112">
        <w:rPr>
          <w:rFonts w:cs="Arial"/>
          <w:color w:val="000000" w:themeColor="text1"/>
          <w:szCs w:val="16"/>
        </w:rPr>
        <w:br/>
        <w:t>Early Assistance Program</w:t>
      </w:r>
      <w:r w:rsidRPr="00781112">
        <w:rPr>
          <w:rFonts w:cs="Arial"/>
          <w:color w:val="000000" w:themeColor="text1"/>
          <w:szCs w:val="16"/>
        </w:rPr>
        <w:br/>
        <w:t xml:space="preserve">The Early Assistance Program (EAP) provides technical assistance to help parents, adult students, guardians, school district staff, advocates and other </w:t>
      </w:r>
      <w:r w:rsidRPr="00781112">
        <w:rPr>
          <w:rFonts w:cs="Arial"/>
          <w:color w:val="000000" w:themeColor="text1"/>
          <w:szCs w:val="16"/>
        </w:rPr>
        <w:lastRenderedPageBreak/>
        <w:t xml:space="preserve">members of the special education community understand the requirements of IDEA or implementing Montana laws.  The EAP provides informal dispute resolution for special education issues relating to a student’s free and appropriate public education, any violation of Part B of the IDEA or implementing Montana laws. The intention is to resolve special education disagreements amicably, with the lowest level of third-party </w:t>
      </w:r>
      <w:proofErr w:type="gramStart"/>
      <w:r w:rsidRPr="00781112">
        <w:rPr>
          <w:rFonts w:cs="Arial"/>
          <w:color w:val="000000" w:themeColor="text1"/>
          <w:szCs w:val="16"/>
        </w:rPr>
        <w:t>involvement as</w:t>
      </w:r>
      <w:proofErr w:type="gramEnd"/>
      <w:r w:rsidRPr="00781112">
        <w:rPr>
          <w:rFonts w:cs="Arial"/>
          <w:color w:val="000000" w:themeColor="text1"/>
          <w:szCs w:val="16"/>
        </w:rPr>
        <w:t xml:space="preserve"> possible</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to the EAP, there are several other dispute resolution options available under the IDEA, including: Individualized Education Program (IEP) facilitation, mediation, state administrative complaints, due process hearings, and expedited due process hearings</w:t>
      </w:r>
      <w:proofErr w:type="gramStart"/>
      <w:r w:rsidRPr="00781112">
        <w:rPr>
          <w:rFonts w:cs="Arial"/>
          <w:color w:val="000000" w:themeColor="text1"/>
          <w:szCs w:val="16"/>
        </w:rPr>
        <w:t xml:space="preserve">.  </w:t>
      </w:r>
      <w:proofErr w:type="gramEnd"/>
      <w:r w:rsidRPr="00781112">
        <w:rPr>
          <w:rFonts w:cs="Arial"/>
          <w:color w:val="000000" w:themeColor="text1"/>
          <w:szCs w:val="16"/>
        </w:rPr>
        <w:t>These options are administered and overseen by the EAP staff in collaboration with special education staff</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Data and Accountability</w:t>
      </w:r>
      <w:r w:rsidRPr="00781112">
        <w:rPr>
          <w:rFonts w:cs="Arial"/>
          <w:color w:val="000000" w:themeColor="text1"/>
          <w:szCs w:val="16"/>
        </w:rPr>
        <w:br/>
        <w:t xml:space="preserve">The Data and Accountability staff oversee the collection, analysis and reporting of all special education data required for federal and state reporting purposes. The staff provides technical assistance and support to local district staff in the management of student data related to special education. The staff also provide technical assistance to LEAs for the Special Education module of our statewide student information system and works with the system vendor to ensure compliance with state and federal regulations. The SEA has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contractual relationships with technical assistance centers to increase technical support in improving performance.</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Special Education Unit </w:t>
      </w:r>
      <w:proofErr w:type="gramStart"/>
      <w:r w:rsidRPr="00781112">
        <w:rPr>
          <w:rFonts w:cs="Arial"/>
          <w:color w:val="000000" w:themeColor="text1"/>
          <w:szCs w:val="16"/>
        </w:rPr>
        <w:t>is organized</w:t>
      </w:r>
      <w:proofErr w:type="gramEnd"/>
      <w:r w:rsidRPr="00781112">
        <w:rPr>
          <w:rFonts w:cs="Arial"/>
          <w:color w:val="000000" w:themeColor="text1"/>
          <w:szCs w:val="16"/>
        </w:rPr>
        <w:t xml:space="preserve"> into five work units that have specific functions and provide technical assistance related to those functions. These units include School Improvement, Continuing Education and Technical Assistance, Data and Accountability, IDEA Part B, and Early Learning. </w:t>
      </w:r>
      <w:r w:rsidRPr="00781112">
        <w:rPr>
          <w:rFonts w:cs="Arial"/>
          <w:color w:val="000000" w:themeColor="text1"/>
          <w:szCs w:val="16"/>
        </w:rPr>
        <w:br/>
      </w:r>
      <w:r w:rsidRPr="00781112">
        <w:rPr>
          <w:rFonts w:cs="Arial"/>
          <w:color w:val="000000" w:themeColor="text1"/>
          <w:szCs w:val="16"/>
        </w:rPr>
        <w:br/>
        <w:t xml:space="preserve">The School Improvement/compliance monitoring unit provides both broad and specific technical assistance and training related to all aspects of the special education process, proper use and documentation of records, and student specific issues. General technical assistance training </w:t>
      </w:r>
      <w:proofErr w:type="gramStart"/>
      <w:r w:rsidRPr="00781112">
        <w:rPr>
          <w:rFonts w:cs="Arial"/>
          <w:color w:val="000000" w:themeColor="text1"/>
          <w:szCs w:val="16"/>
        </w:rPr>
        <w:t>is regularly scheduled</w:t>
      </w:r>
      <w:proofErr w:type="gramEnd"/>
      <w:r w:rsidRPr="00781112">
        <w:rPr>
          <w:rFonts w:cs="Arial"/>
          <w:color w:val="000000" w:themeColor="text1"/>
          <w:szCs w:val="16"/>
        </w:rPr>
        <w:t xml:space="preserve">, and specific LEA technical assistance is provided whenever requested or required. Annually, trainings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across the state for teachers on compliance and the implementation of IDEA, as well as training on current hot topics. Topics are determined based on monitoring data, frequently asked questions from the field, and anything the state special education director feels is a hot topic (nationally or locally).</w:t>
      </w:r>
      <w:r w:rsidRPr="00781112">
        <w:rPr>
          <w:rFonts w:cs="Arial"/>
          <w:color w:val="000000" w:themeColor="text1"/>
          <w:szCs w:val="16"/>
        </w:rPr>
        <w:br/>
      </w:r>
      <w:r w:rsidRPr="00781112">
        <w:rPr>
          <w:rFonts w:cs="Arial"/>
          <w:color w:val="000000" w:themeColor="text1"/>
          <w:szCs w:val="16"/>
        </w:rPr>
        <w:br/>
        <w:t xml:space="preserve">Technical assistance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to ensure timely correction of all identified noncompliance and training is given related to such non-compliance. </w:t>
      </w:r>
      <w:r w:rsidRPr="00781112">
        <w:rPr>
          <w:rFonts w:cs="Arial"/>
          <w:color w:val="000000" w:themeColor="text1"/>
          <w:szCs w:val="16"/>
        </w:rPr>
        <w:br/>
      </w:r>
      <w:r w:rsidRPr="00781112">
        <w:rPr>
          <w:rFonts w:cs="Arial"/>
          <w:color w:val="000000" w:themeColor="text1"/>
          <w:szCs w:val="16"/>
        </w:rPr>
        <w:br/>
        <w:t xml:space="preserve">The Continuing Education and Technical Assistance (CETA) unit is responsible for implementing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major training initiatives for the OPI that focus on instructional practices and interventions. The CETA unit activities </w:t>
      </w:r>
      <w:proofErr w:type="gramStart"/>
      <w:r w:rsidRPr="00781112">
        <w:rPr>
          <w:rFonts w:cs="Arial"/>
          <w:color w:val="000000" w:themeColor="text1"/>
          <w:szCs w:val="16"/>
        </w:rPr>
        <w:t>are expanded</w:t>
      </w:r>
      <w:proofErr w:type="gramEnd"/>
      <w:r w:rsidRPr="00781112">
        <w:rPr>
          <w:rFonts w:cs="Arial"/>
          <w:color w:val="000000" w:themeColor="text1"/>
          <w:szCs w:val="16"/>
        </w:rPr>
        <w:t xml:space="preserve"> upon in the Professional Development section. </w:t>
      </w:r>
      <w:r w:rsidRPr="00781112">
        <w:rPr>
          <w:rFonts w:cs="Arial"/>
          <w:color w:val="000000" w:themeColor="text1"/>
          <w:szCs w:val="16"/>
        </w:rPr>
        <w:br/>
      </w:r>
      <w:r w:rsidRPr="00781112">
        <w:rPr>
          <w:rFonts w:cs="Arial"/>
          <w:color w:val="000000" w:themeColor="text1"/>
          <w:szCs w:val="16"/>
        </w:rPr>
        <w:br/>
        <w:t xml:space="preserve">The Data and Accountability unit provides LEA’s technical assistance for all data entry and reporting for required state and federal special education reporting purposes. Training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via phone, Zoom, TEAMS and in person for each data collection, depending on the needs of the LEAs. Again, technical assistance training </w:t>
      </w:r>
      <w:proofErr w:type="gramStart"/>
      <w:r w:rsidRPr="00781112">
        <w:rPr>
          <w:rFonts w:cs="Arial"/>
          <w:color w:val="000000" w:themeColor="text1"/>
          <w:szCs w:val="16"/>
        </w:rPr>
        <w:t>is regularly scheduled</w:t>
      </w:r>
      <w:proofErr w:type="gramEnd"/>
      <w:r w:rsidRPr="00781112">
        <w:rPr>
          <w:rFonts w:cs="Arial"/>
          <w:color w:val="000000" w:themeColor="text1"/>
          <w:szCs w:val="16"/>
        </w:rPr>
        <w:t xml:space="preserve">, and specific LEA technical assistance is provided whenever requested. </w:t>
      </w:r>
      <w:r w:rsidRPr="00781112">
        <w:rPr>
          <w:rFonts w:cs="Arial"/>
          <w:color w:val="000000" w:themeColor="text1"/>
          <w:szCs w:val="16"/>
        </w:rPr>
        <w:br/>
      </w:r>
      <w:r w:rsidRPr="00781112">
        <w:rPr>
          <w:rFonts w:cs="Arial"/>
          <w:color w:val="000000" w:themeColor="text1"/>
          <w:szCs w:val="16"/>
        </w:rPr>
        <w:br/>
        <w:t xml:space="preserve">The IDEA Part B Program unit provides technical assistance to LEA’s in applying for, using, and accounting of federal special education funds. Assistance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in developing and implementing program narratives, interlocal agreements, and special education procedures. </w:t>
      </w:r>
      <w:r w:rsidRPr="00781112">
        <w:rPr>
          <w:rFonts w:cs="Arial"/>
          <w:color w:val="000000" w:themeColor="text1"/>
          <w:szCs w:val="16"/>
        </w:rPr>
        <w:br/>
      </w:r>
      <w:r w:rsidRPr="00781112">
        <w:rPr>
          <w:rFonts w:cs="Arial"/>
          <w:color w:val="000000" w:themeColor="text1"/>
          <w:szCs w:val="16"/>
        </w:rPr>
        <w:br/>
        <w:t xml:space="preserve">Technical assistance and updates </w:t>
      </w:r>
      <w:proofErr w:type="gramStart"/>
      <w:r w:rsidRPr="00781112">
        <w:rPr>
          <w:rFonts w:cs="Arial"/>
          <w:color w:val="000000" w:themeColor="text1"/>
          <w:szCs w:val="16"/>
        </w:rPr>
        <w:t>are regularly provided</w:t>
      </w:r>
      <w:proofErr w:type="gramEnd"/>
      <w:r w:rsidRPr="00781112">
        <w:rPr>
          <w:rFonts w:cs="Arial"/>
          <w:color w:val="000000" w:themeColor="text1"/>
          <w:szCs w:val="16"/>
        </w:rPr>
        <w:t xml:space="preserve"> to directors of special education at conferences and regional Montana Council of Administrators of Special Education (MCASE) meetings. In addition, OPI professional staff have areas of professional expertise that </w:t>
      </w:r>
      <w:proofErr w:type="gramStart"/>
      <w:r w:rsidRPr="00781112">
        <w:rPr>
          <w:rFonts w:cs="Arial"/>
          <w:color w:val="000000" w:themeColor="text1"/>
          <w:szCs w:val="16"/>
        </w:rPr>
        <w:t>is</w:t>
      </w:r>
      <w:proofErr w:type="gramEnd"/>
      <w:r w:rsidRPr="00781112">
        <w:rPr>
          <w:rFonts w:cs="Arial"/>
          <w:color w:val="000000" w:themeColor="text1"/>
          <w:szCs w:val="16"/>
        </w:rPr>
        <w:t xml:space="preserve"> available to LEA’s, at request, for technical assistance and/or training. Such expertise includes former special education teachers with knowledge from preschool classrooms, special education classrooms and inclusion, former Speech/Language Pathologists, and former classroom teachers. In addition, the OPI hires local LEA staff as short-term workers to provide training as needed. Starting in the fall of 2020, the special education staff provides monthly special education Community of Practice on </w:t>
      </w:r>
      <w:proofErr w:type="gramStart"/>
      <w:r w:rsidRPr="00781112">
        <w:rPr>
          <w:rFonts w:cs="Arial"/>
          <w:color w:val="000000" w:themeColor="text1"/>
          <w:szCs w:val="16"/>
        </w:rPr>
        <w:t>various topics</w:t>
      </w:r>
      <w:proofErr w:type="gramEnd"/>
      <w:r w:rsidRPr="00781112">
        <w:rPr>
          <w:rFonts w:cs="Arial"/>
          <w:color w:val="000000" w:themeColor="text1"/>
          <w:szCs w:val="16"/>
        </w:rPr>
        <w:t xml:space="preserve"> and hold monthly director calls to discuss current issues in special education &amp; state updates. </w:t>
      </w:r>
      <w:r w:rsidRPr="00781112">
        <w:rPr>
          <w:rFonts w:cs="Arial"/>
          <w:color w:val="000000" w:themeColor="text1"/>
          <w:szCs w:val="16"/>
        </w:rPr>
        <w:br/>
      </w:r>
      <w:r w:rsidRPr="00781112">
        <w:rPr>
          <w:rFonts w:cs="Arial"/>
          <w:color w:val="000000" w:themeColor="text1"/>
          <w:szCs w:val="16"/>
        </w:rPr>
        <w:br/>
        <w:t>Montana currently works with several federal Technical Assistance providers and participates in federal grants which include: National Center for Systemic Improvement (NCSI), the Center on Positive Behavioral Interventions and Supports (PBIS), Early Childhood Technical Assistance (ECTA), the Center for the Integration of IDEA Data (CIID), the Center for IDEA Fiscal Reporting (CIFR), the IDEA Data Center (IDC), and the Center for IDEA Early Childhood Data Systems (DaSy).</w:t>
      </w:r>
      <w:r w:rsidRPr="00781112">
        <w:rPr>
          <w:rFonts w:cs="Arial"/>
          <w:color w:val="000000" w:themeColor="text1"/>
          <w:szCs w:val="16"/>
        </w:rPr>
        <w:br/>
      </w:r>
      <w:r w:rsidRPr="00781112">
        <w:rPr>
          <w:rFonts w:cs="Arial"/>
          <w:color w:val="000000" w:themeColor="text1"/>
          <w:szCs w:val="16"/>
        </w:rPr>
        <w:br/>
        <w:t>Working with staff from the Technical Assistance for Excellence in Special Education (TAESE), the OPI has facilitated the Montana Higher Education Consortium (HEC) for twenty years. The HEC continues to bring together faculty from each of the colleges and universities in Montana with teacher preparation programs to learn, discuss, and stay abreast of special education topics and issues across the state. This group has worked to provide greater standardization of the teacher training programs in Montana and has worked together to improve pre-service training programs. This group is also analyzing dispositions of teacher candidates and how to support them, resulting in better prepared educators.</w:t>
      </w:r>
      <w:r w:rsidRPr="00781112">
        <w:rPr>
          <w:rFonts w:cs="Arial"/>
          <w:color w:val="000000" w:themeColor="text1"/>
          <w:szCs w:val="16"/>
        </w:rPr>
        <w:br/>
      </w:r>
      <w:r w:rsidRPr="00781112">
        <w:rPr>
          <w:rFonts w:cs="Arial"/>
          <w:color w:val="000000" w:themeColor="text1"/>
          <w:szCs w:val="16"/>
        </w:rPr>
        <w:br/>
        <w:t>The TAESE also provides technical assistance to the state through facilitating a large stakeholder meeting, conducting stakeholder input activities, and compiling and analyzing input. In addition, TAESE provides specific orientation training to Montana’s State Special Education Advisory Panel, special education data collection and analysis of Indicator 8, Comprehensive System of Personnel Development (CSPD), TASK12 Educational Interpreters Performance Assessment (EIPA), Dispute Resolution in Special Education (DRSE) workgroups, Northern Plains Law Conference, Jobs Alike Work Groups (monitoring and low incidence disabilities) and other technical assistance as needed.</w:t>
      </w:r>
      <w:r w:rsidRPr="00781112">
        <w:rPr>
          <w:rFonts w:cs="Arial"/>
          <w:color w:val="000000" w:themeColor="text1"/>
          <w:szCs w:val="16"/>
        </w:rPr>
        <w:br/>
      </w:r>
      <w:r w:rsidRPr="00781112">
        <w:rPr>
          <w:rFonts w:cs="Arial"/>
          <w:color w:val="000000" w:themeColor="text1"/>
          <w:szCs w:val="16"/>
        </w:rPr>
        <w:br/>
        <w:t xml:space="preserve">Montana has been a member of the Results-Based Accountability Cross-State Learning Collaborative through NCSI. Based on the state’s general supervision responsibilities, we are evaluating our monitoring process and data to improve our assessment of special education program effectiveness at the LEA level. This, then, will drive not only the focus of our program reviews and monitoring, but also the scope of those activities. The purpose of this work is to better identify and meet the individual unique needs of each Montana LEA as they work to improve the outcomes for students with disabilities. </w:t>
      </w:r>
      <w:r w:rsidRPr="00781112">
        <w:rPr>
          <w:rFonts w:cs="Arial"/>
          <w:color w:val="000000" w:themeColor="text1"/>
          <w:szCs w:val="16"/>
        </w:rPr>
        <w:br/>
      </w:r>
      <w:r w:rsidRPr="00781112">
        <w:rPr>
          <w:rFonts w:cs="Arial"/>
          <w:color w:val="000000" w:themeColor="text1"/>
          <w:szCs w:val="16"/>
        </w:rPr>
        <w:br/>
        <w:t xml:space="preserve">All initiatives across the OPI have </w:t>
      </w:r>
      <w:proofErr w:type="gramStart"/>
      <w:r w:rsidRPr="00781112">
        <w:rPr>
          <w:rFonts w:cs="Arial"/>
          <w:color w:val="000000" w:themeColor="text1"/>
          <w:szCs w:val="16"/>
        </w:rPr>
        <w:t>been developed</w:t>
      </w:r>
      <w:proofErr w:type="gramEnd"/>
      <w:r w:rsidRPr="00781112">
        <w:rPr>
          <w:rFonts w:cs="Arial"/>
          <w:color w:val="000000" w:themeColor="text1"/>
          <w:szCs w:val="16"/>
        </w:rPr>
        <w:t xml:space="preserve"> to include evidence-based practices. Montana’s Multi-Tiered Systems of Supports (MTSS) initiative, for example, is based on the research and program developed by the Center on PBIS, an OSEP Technical Assistance Center. Montana’s model for our State Systemic Improvement Plan (SSIP) implementation </w:t>
      </w:r>
      <w:proofErr w:type="gramStart"/>
      <w:r w:rsidRPr="00781112">
        <w:rPr>
          <w:rFonts w:cs="Arial"/>
          <w:color w:val="000000" w:themeColor="text1"/>
          <w:szCs w:val="16"/>
        </w:rPr>
        <w:t>is premised</w:t>
      </w:r>
      <w:proofErr w:type="gramEnd"/>
      <w:r w:rsidRPr="00781112">
        <w:rPr>
          <w:rFonts w:cs="Arial"/>
          <w:color w:val="000000" w:themeColor="text1"/>
          <w:szCs w:val="16"/>
        </w:rPr>
        <w:t xml:space="preserve"> on the commitment to target and focus on existing supports already in place throughout the State Education Agency (SEA). These major initiatives were all developed under strict planning, research, stakeholder involvement, and based on known evidence-based practices that produce positive results.</w:t>
      </w:r>
      <w:r w:rsidRPr="00781112">
        <w:rPr>
          <w:rFonts w:cs="Arial"/>
          <w:color w:val="000000" w:themeColor="text1"/>
          <w:szCs w:val="16"/>
        </w:rPr>
        <w:br/>
      </w:r>
      <w:r w:rsidRPr="00781112">
        <w:rPr>
          <w:rFonts w:cs="Arial"/>
          <w:color w:val="000000" w:themeColor="text1"/>
          <w:szCs w:val="16"/>
        </w:rPr>
        <w:br/>
        <w:t>The division’s 619 Coordinator worked with the ECTA center. The 619 Coordinator also participates in monthly 619 calls and, along with the Part B Data Manager, in the 619 Data Quality Peer to Peer group run by IDC.</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Part B Data Manager continues working with IDC, DaSy, and CIID. The data manager participates in various Data Quality Peer to Peer groups to continue to increase capacity of understanding of IDEA data and to learn new ways to work with LEAs to better understand and report the data appropriately.</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through multiple areas in the Special Education department. The Continuing Education and Technical Assistance (CETA) and the School Improvement Units have integrated responsibilities.</w:t>
      </w:r>
      <w:r w:rsidRPr="00781112">
        <w:rPr>
          <w:rFonts w:cs="Arial"/>
          <w:color w:val="000000" w:themeColor="text1"/>
          <w:szCs w:val="16"/>
        </w:rPr>
        <w:br/>
      </w:r>
      <w:r w:rsidRPr="00781112">
        <w:rPr>
          <w:rFonts w:cs="Arial"/>
          <w:color w:val="000000" w:themeColor="text1"/>
          <w:szCs w:val="16"/>
        </w:rPr>
        <w:br/>
        <w:t xml:space="preserve">Montana's Statewide Comprehensive System of Personnel Development (CSPD) is comprised of regional professional development offerings (Regional CSPD), the State Personnel Development Grant (SPDG), the Montana Autism Education Project (MAEP), Higher Education Consortium (HEC), courses available through the Montana Teacher Learning Hub (https://opi.mt.gov/Educators/Teaching-Learning/Teacher-Learning-Hub), and additional training at conferences. Training for general education personnel </w:t>
      </w:r>
      <w:proofErr w:type="gramStart"/>
      <w:r w:rsidRPr="00781112">
        <w:rPr>
          <w:rFonts w:cs="Arial"/>
          <w:color w:val="000000" w:themeColor="text1"/>
          <w:szCs w:val="16"/>
        </w:rPr>
        <w:t>is supported</w:t>
      </w:r>
      <w:proofErr w:type="gramEnd"/>
      <w:r w:rsidRPr="00781112">
        <w:rPr>
          <w:rFonts w:cs="Arial"/>
          <w:color w:val="000000" w:themeColor="text1"/>
          <w:szCs w:val="16"/>
        </w:rPr>
        <w:t xml:space="preserve"> by the projects above and IDEA funds to increase skills to respond to the needs of students with disabilities in the regular classroom. Special Education staff have a lead role in the annual OPI Summer Institute and High School Forum. </w:t>
      </w:r>
      <w:r w:rsidRPr="00781112">
        <w:rPr>
          <w:rFonts w:cs="Arial"/>
          <w:color w:val="000000" w:themeColor="text1"/>
          <w:szCs w:val="16"/>
        </w:rPr>
        <w:br/>
      </w:r>
      <w:r w:rsidRPr="00781112">
        <w:rPr>
          <w:rFonts w:cs="Arial"/>
          <w:color w:val="000000" w:themeColor="text1"/>
          <w:szCs w:val="16"/>
        </w:rPr>
        <w:br/>
        <w:t xml:space="preserve">The Regional CSPD structure includes five councils, each led by a regional coordinator, who provide free training for parents, special educators, general educators, and paraprofessionals. The OPI provides reports to the councils that include indicator data, trends in monitoring findings, evaluation data for CSPD and Special Education trainings statewide, and ESSA identifications. The councils analyze the data and align their activities to the APR indicators. This process directs professional development toward improving student outcomes for each indicator. New for 2021-22 was the statewide priority area of “The Science of Reading.” In 2021-22, CSPD regions delivered 110 training events with 2,386 attendees. The regional coordinators meet monthly as part of the statewide CSPD council. </w:t>
      </w:r>
      <w:r w:rsidRPr="00781112">
        <w:rPr>
          <w:rFonts w:cs="Arial"/>
          <w:color w:val="000000" w:themeColor="text1"/>
          <w:szCs w:val="16"/>
        </w:rPr>
        <w:br/>
      </w:r>
      <w:r w:rsidRPr="00781112">
        <w:rPr>
          <w:rFonts w:cs="Arial"/>
          <w:color w:val="000000" w:themeColor="text1"/>
          <w:szCs w:val="16"/>
        </w:rPr>
        <w:br/>
        <w:t xml:space="preserve">The OPI completed the no cost extension year and final reporting in November 2021 for the 2015 SPDG which supported MTSS in schools across our state. MTSS work </w:t>
      </w:r>
      <w:proofErr w:type="gramStart"/>
      <w:r w:rsidRPr="00781112">
        <w:rPr>
          <w:rFonts w:cs="Arial"/>
          <w:color w:val="000000" w:themeColor="text1"/>
          <w:szCs w:val="16"/>
        </w:rPr>
        <w:t>is strongly integrated</w:t>
      </w:r>
      <w:proofErr w:type="gramEnd"/>
      <w:r w:rsidRPr="00781112">
        <w:rPr>
          <w:rFonts w:cs="Arial"/>
          <w:color w:val="000000" w:themeColor="text1"/>
          <w:szCs w:val="16"/>
        </w:rPr>
        <w:t xml:space="preserve"> into multiple areas of the OPI including ESSA, mental health, whole child supports, school climate, and literacy. </w:t>
      </w:r>
      <w:r w:rsidRPr="00781112">
        <w:rPr>
          <w:rFonts w:cs="Arial"/>
          <w:color w:val="000000" w:themeColor="text1"/>
          <w:szCs w:val="16"/>
        </w:rPr>
        <w:br/>
      </w:r>
      <w:r w:rsidRPr="00781112">
        <w:rPr>
          <w:rFonts w:cs="Arial"/>
          <w:color w:val="000000" w:themeColor="text1"/>
          <w:szCs w:val="16"/>
        </w:rPr>
        <w:br/>
        <w:t>In 2020, Montana received a new 5-year SPDG for MTSS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grant provides training and support to districts in building capacity to implement a systems-level problem-solving approach at the district, school, classroom, and individual student level to facilitate the adoption of evidence-based academic and behavioral practices. The grant provides autonomy to districts allowing them select professional development based on their individual needs. The focus for the 2021-22 school year was on developing modules for district teams, training MTSS Systems coaches, and supporting three pilot districts from CSPD Region 1. Materials and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developed are available on a MTSS training site. In Spring 2022, the SPDG accepted seven districts from CSPD Regions 2 &amp; 3 and began initial grant onboarding with coaching support</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Six districts from CSPD regions </w:t>
      </w:r>
      <w:proofErr w:type="gramStart"/>
      <w:r w:rsidRPr="00781112">
        <w:rPr>
          <w:rFonts w:cs="Arial"/>
          <w:color w:val="000000" w:themeColor="text1"/>
          <w:szCs w:val="16"/>
        </w:rPr>
        <w:t>4</w:t>
      </w:r>
      <w:proofErr w:type="gramEnd"/>
      <w:r w:rsidRPr="00781112">
        <w:rPr>
          <w:rFonts w:cs="Arial"/>
          <w:color w:val="000000" w:themeColor="text1"/>
          <w:szCs w:val="16"/>
        </w:rPr>
        <w:t xml:space="preserve"> &amp; 5 will join in 2023-2024. Through the SPDG, our partnership with the MT Empowerment Center (MEC) provided MTSS parent training and resources. </w:t>
      </w:r>
      <w:r w:rsidRPr="00781112">
        <w:rPr>
          <w:rFonts w:cs="Arial"/>
          <w:color w:val="000000" w:themeColor="text1"/>
          <w:szCs w:val="16"/>
        </w:rPr>
        <w:br/>
      </w:r>
      <w:r w:rsidRPr="00781112">
        <w:rPr>
          <w:rFonts w:cs="Arial"/>
          <w:color w:val="000000" w:themeColor="text1"/>
          <w:szCs w:val="16"/>
        </w:rPr>
        <w:br/>
        <w:t xml:space="preserve">The OPI Summer Institute and High School Forum provided professional development to general and special education faculty in 2021-22. A one-day High School Forum was held in November 2021 addressing the use of a MTSS framework around academics, behavior, school safety, and mental health with approximately </w:t>
      </w:r>
      <w:proofErr w:type="gramStart"/>
      <w:r w:rsidRPr="00781112">
        <w:rPr>
          <w:rFonts w:cs="Arial"/>
          <w:color w:val="000000" w:themeColor="text1"/>
          <w:szCs w:val="16"/>
        </w:rPr>
        <w:t>100</w:t>
      </w:r>
      <w:proofErr w:type="gramEnd"/>
      <w:r w:rsidRPr="00781112">
        <w:rPr>
          <w:rFonts w:cs="Arial"/>
          <w:color w:val="000000" w:themeColor="text1"/>
          <w:szCs w:val="16"/>
        </w:rPr>
        <w:t xml:space="preserve"> participants.  The OPI Summer Institute returned to an in-person five-day institute in June 2022 with a focus on MTSS, best practices, positive behavior interventions and supports, mental health, and culturally and linguistically responsive classrooms. With the CETA Unit taking the lead, </w:t>
      </w:r>
      <w:proofErr w:type="gramStart"/>
      <w:r w:rsidRPr="00781112">
        <w:rPr>
          <w:rFonts w:cs="Arial"/>
          <w:color w:val="000000" w:themeColor="text1"/>
          <w:szCs w:val="16"/>
        </w:rPr>
        <w:t>many</w:t>
      </w:r>
      <w:proofErr w:type="gramEnd"/>
      <w:r w:rsidRPr="00781112">
        <w:rPr>
          <w:rFonts w:cs="Arial"/>
          <w:color w:val="000000" w:themeColor="text1"/>
          <w:szCs w:val="16"/>
        </w:rPr>
        <w:t xml:space="preserve"> other OPI Units collaborated to provide sessions at all tiers to meet the needs of all students, including students with disabilities. The 2022 event included over 140 sessions and </w:t>
      </w:r>
      <w:proofErr w:type="gramStart"/>
      <w:r w:rsidRPr="00781112">
        <w:rPr>
          <w:rFonts w:cs="Arial"/>
          <w:color w:val="000000" w:themeColor="text1"/>
          <w:szCs w:val="16"/>
        </w:rPr>
        <w:t>500</w:t>
      </w:r>
      <w:proofErr w:type="gramEnd"/>
      <w:r w:rsidRPr="00781112">
        <w:rPr>
          <w:rFonts w:cs="Arial"/>
          <w:color w:val="000000" w:themeColor="text1"/>
          <w:szCs w:val="16"/>
        </w:rPr>
        <w:t xml:space="preserve"> participants. </w:t>
      </w:r>
      <w:r w:rsidRPr="00781112">
        <w:rPr>
          <w:rFonts w:cs="Arial"/>
          <w:color w:val="000000" w:themeColor="text1"/>
          <w:szCs w:val="16"/>
        </w:rPr>
        <w:br/>
      </w:r>
      <w:r w:rsidRPr="00781112">
        <w:rPr>
          <w:rFonts w:cs="Arial"/>
          <w:color w:val="000000" w:themeColor="text1"/>
          <w:szCs w:val="16"/>
        </w:rPr>
        <w:br/>
        <w:t xml:space="preserve">Special Education staff collaborates regularly with the Indian Education for All (IEFA)Unit , American Indian Student Achievement (AISA) Unit, and Tribal Relations and Resiliency Unit (TRRU) on the development and delivery of professional development to meet the unique needs of Montana’s American Indian students. The IEFA, AISA, and TRRU Unit staffare the primary collaborators on Summer Institute and HS Forum providing relevant sessions to ensure the OPI addresses culturally and linguistically responsive components of MTSS. </w:t>
      </w:r>
      <w:r w:rsidRPr="00781112">
        <w:rPr>
          <w:rFonts w:cs="Arial"/>
          <w:color w:val="000000" w:themeColor="text1"/>
          <w:szCs w:val="16"/>
        </w:rPr>
        <w:br/>
        <w:t xml:space="preserve"> </w:t>
      </w:r>
      <w:r w:rsidRPr="00781112">
        <w:rPr>
          <w:rFonts w:cs="Arial"/>
          <w:color w:val="000000" w:themeColor="text1"/>
          <w:szCs w:val="16"/>
        </w:rPr>
        <w:br/>
        <w:t xml:space="preserve">Educating students with autism requires specific skills and knowledge beyond what </w:t>
      </w:r>
      <w:proofErr w:type="gramStart"/>
      <w:r w:rsidRPr="00781112">
        <w:rPr>
          <w:rFonts w:cs="Arial"/>
          <w:color w:val="000000" w:themeColor="text1"/>
          <w:szCs w:val="16"/>
        </w:rPr>
        <w:t>is acquired</w:t>
      </w:r>
      <w:proofErr w:type="gramEnd"/>
      <w:r w:rsidRPr="00781112">
        <w:rPr>
          <w:rFonts w:cs="Arial"/>
          <w:color w:val="000000" w:themeColor="text1"/>
          <w:szCs w:val="16"/>
        </w:rPr>
        <w:t xml:space="preserve"> through teacher preservice programs. The goals of the OPI Montana Autism Education Project (MAEP) are: </w:t>
      </w:r>
      <w:r w:rsidRPr="00781112">
        <w:rPr>
          <w:rFonts w:cs="Arial"/>
          <w:color w:val="000000" w:themeColor="text1"/>
          <w:szCs w:val="16"/>
        </w:rPr>
        <w:br/>
        <w:t xml:space="preserve">--to increase district-level knowledge of how to educate students with autism through in-person training, interactive video training, on-site technical assistance, and peer-to-peer collaboration; and </w:t>
      </w:r>
      <w:r w:rsidRPr="00781112">
        <w:rPr>
          <w:rFonts w:cs="Arial"/>
          <w:color w:val="000000" w:themeColor="text1"/>
          <w:szCs w:val="16"/>
        </w:rPr>
        <w:br/>
        <w:t xml:space="preserve">--to develop inter-agency collaboration between the OPI, school districts, Part C Agency providers, Department of Public Health and Human Services, the MEC, and Institutes of Higher Education (IHE). </w:t>
      </w:r>
      <w:r w:rsidRPr="00781112">
        <w:rPr>
          <w:rFonts w:cs="Arial"/>
          <w:color w:val="000000" w:themeColor="text1"/>
          <w:szCs w:val="16"/>
        </w:rPr>
        <w:br/>
        <w:t xml:space="preserve"> </w:t>
      </w:r>
      <w:r w:rsidRPr="00781112">
        <w:rPr>
          <w:rFonts w:cs="Arial"/>
          <w:color w:val="000000" w:themeColor="text1"/>
          <w:szCs w:val="16"/>
        </w:rPr>
        <w:br/>
        <w:t xml:space="preserve">The MAEP offers free autism and/or behavior consultations to public school students who qualify under the IDEA. Board Certified Behavior Analysts, Speech-Language Pathologists, and experienced educators are among the part-time consultants at OPI. During the 2021/22 school year, the MAEP provided </w:t>
      </w:r>
      <w:proofErr w:type="gramStart"/>
      <w:r w:rsidRPr="00781112">
        <w:rPr>
          <w:rFonts w:cs="Arial"/>
          <w:color w:val="000000" w:themeColor="text1"/>
          <w:szCs w:val="16"/>
        </w:rPr>
        <w:t>42</w:t>
      </w:r>
      <w:proofErr w:type="gramEnd"/>
      <w:r w:rsidRPr="00781112">
        <w:rPr>
          <w:rFonts w:cs="Arial"/>
          <w:color w:val="000000" w:themeColor="text1"/>
          <w:szCs w:val="16"/>
        </w:rPr>
        <w:t xml:space="preserve"> different </w:t>
      </w:r>
      <w:proofErr w:type="gramStart"/>
      <w:r w:rsidRPr="00781112">
        <w:rPr>
          <w:rFonts w:cs="Arial"/>
          <w:color w:val="000000" w:themeColor="text1"/>
          <w:szCs w:val="16"/>
        </w:rPr>
        <w:t>trainings</w:t>
      </w:r>
      <w:proofErr w:type="gramEnd"/>
      <w:r w:rsidRPr="00781112">
        <w:rPr>
          <w:rFonts w:cs="Arial"/>
          <w:color w:val="000000" w:themeColor="text1"/>
          <w:szCs w:val="16"/>
        </w:rPr>
        <w:t>, for a total of 63 trainings. Over 1,300 Montana educators, parents, and others with an interest in autism and behavior management attended 6,372 hours of training. Training topics included: identifying students with autism, assistive technology, behavior management, brain differences in autism, executive functioning, life skills, self-advocacy, teaching communication and more.</w:t>
      </w:r>
      <w:r w:rsidRPr="00781112">
        <w:rPr>
          <w:rFonts w:cs="Arial"/>
          <w:color w:val="000000" w:themeColor="text1"/>
          <w:szCs w:val="16"/>
        </w:rPr>
        <w:br/>
      </w:r>
      <w:r w:rsidRPr="00781112">
        <w:rPr>
          <w:rFonts w:cs="Arial"/>
          <w:color w:val="000000" w:themeColor="text1"/>
          <w:szCs w:val="16"/>
        </w:rPr>
        <w:br/>
        <w:t>The Montana Teacher Learning Hub is committed to provide active learning, high quality content, and relevant topics through an accessible, free online learning system. This past year the SPED Unit supported four Hub Courses specifically for improving skills for teachers of students with disabilities: The General Education Teacher Role in SPED, A Bit about Braille, Novice SPED Teacher Training, and Practical Strategies for Using Technology to Assist Notetaking with a total of 384 participants for 2021-22</w:t>
      </w:r>
      <w:proofErr w:type="gramStart"/>
      <w:r w:rsidRPr="00781112">
        <w:rPr>
          <w:rFonts w:cs="Arial"/>
          <w:color w:val="000000" w:themeColor="text1"/>
          <w:szCs w:val="16"/>
        </w:rPr>
        <w:t xml:space="preserve">.  </w:t>
      </w:r>
      <w:proofErr w:type="gramEnd"/>
      <w:r w:rsidRPr="00781112">
        <w:rPr>
          <w:rFonts w:cs="Arial"/>
          <w:color w:val="000000" w:themeColor="text1"/>
          <w:szCs w:val="16"/>
        </w:rPr>
        <w:t>The OPI revamped Novice SPED Teacher Training with a self-paced series which will have data in 2022-23</w:t>
      </w:r>
      <w:proofErr w:type="gramStart"/>
      <w:r w:rsidRPr="00781112">
        <w:rPr>
          <w:rFonts w:cs="Arial"/>
          <w:color w:val="000000" w:themeColor="text1"/>
          <w:szCs w:val="16"/>
        </w:rPr>
        <w:t xml:space="preserve">.  </w:t>
      </w:r>
      <w:proofErr w:type="gramEnd"/>
      <w:r w:rsidRPr="00781112">
        <w:rPr>
          <w:rFonts w:cs="Arial"/>
          <w:color w:val="000000" w:themeColor="text1"/>
          <w:szCs w:val="16"/>
        </w:rPr>
        <w:t>Three Courses in the series are: Special Education Overview for All School Staff, Referral, Evaluations, &amp; Eligibility, and Writing Compliant IEPs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Through the Hub, the SPED unit also offered one online, facilitated course for paraeducators in 2021-22: Instructional Teamwork for Paraeducators with </w:t>
      </w:r>
      <w:proofErr w:type="gramStart"/>
      <w:r w:rsidRPr="00781112">
        <w:rPr>
          <w:rFonts w:cs="Arial"/>
          <w:color w:val="000000" w:themeColor="text1"/>
          <w:szCs w:val="16"/>
        </w:rPr>
        <w:t>4</w:t>
      </w:r>
      <w:proofErr w:type="gramEnd"/>
      <w:r w:rsidRPr="00781112">
        <w:rPr>
          <w:rFonts w:cs="Arial"/>
          <w:color w:val="000000" w:themeColor="text1"/>
          <w:szCs w:val="16"/>
        </w:rPr>
        <w:t xml:space="preserve"> participants. Other paraeducator facilitated courses were not available due to staff changes, and all paraeducator courses are being transitioned to self-paced courses to increase participation</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With the assistance of the Center for Technical Assistance for Excellence in Special Education (TAESE) at the Utah State University, the OPI continues to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representatives of all Montana teacher preparation programs to improve preservice instruction through our Higher Education Consortium (HEC). The HEC has met twice a year for the past twenty years, in the spring and fall, to discuss critical issues and share ideas relating to teacher training programs. The focus of the HEC is to create a mechanism to foster greater involvement of the IHEs in important educational initiatives to ensure consistency between the message of the OPI and the IHEs. The meetings have created a strong partnership and collaboration between faculty members of the teacher training programs and the OPI.</w:t>
      </w:r>
      <w:r w:rsidRPr="00781112">
        <w:rPr>
          <w:rFonts w:cs="Arial"/>
          <w:color w:val="000000" w:themeColor="text1"/>
          <w:szCs w:val="16"/>
        </w:rPr>
        <w:br/>
        <w:t>The HEC met twice in 2021-2022, with guided discussions/presentations in the fall on Gifted and Talented, MTSS, the MAEP, and efforts to expand opportunities for Native Educators. The spring meeting included proficiency-based learning, review of teacher preparation program standards, and a presentation on Indian Education for All.</w:t>
      </w:r>
    </w:p>
    <w:p w14:paraId="0D25C7E9" w14:textId="3ADA39B6" w:rsidR="00AF5649" w:rsidRPr="00781112" w:rsidRDefault="00F72E24" w:rsidP="004369B2">
      <w:pPr>
        <w:rPr>
          <w:color w:val="000000" w:themeColor="text1"/>
        </w:rPr>
      </w:pPr>
      <w:r w:rsidRPr="00781112">
        <w:rPr>
          <w:b/>
          <w:color w:val="000000" w:themeColor="text1"/>
        </w:rPr>
        <w:lastRenderedPageBreak/>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7</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State Advisory Panel has a diverse group of participants and parents from across the state of Montana</w:t>
      </w:r>
      <w:proofErr w:type="gramStart"/>
      <w:r w:rsidRPr="00781112">
        <w:rPr>
          <w:color w:val="000000" w:themeColor="text1"/>
          <w:szCs w:val="16"/>
        </w:rPr>
        <w:t xml:space="preserve">.  </w:t>
      </w:r>
      <w:proofErr w:type="gramEnd"/>
      <w:r w:rsidRPr="00781112">
        <w:rPr>
          <w:color w:val="000000" w:themeColor="text1"/>
          <w:szCs w:val="16"/>
        </w:rPr>
        <w:t xml:space="preserve">They meet four times a year, and each meeting includes an opportunity for engagement in setting targets, analyzing data, developing improvement strategies, and evaluating progress. The information presented and discussions can </w:t>
      </w:r>
      <w:proofErr w:type="gramStart"/>
      <w:r w:rsidRPr="00781112">
        <w:rPr>
          <w:color w:val="000000" w:themeColor="text1"/>
          <w:szCs w:val="16"/>
        </w:rPr>
        <w:t>be found</w:t>
      </w:r>
      <w:proofErr w:type="gramEnd"/>
      <w:r w:rsidRPr="00781112">
        <w:rPr>
          <w:color w:val="000000" w:themeColor="text1"/>
          <w:szCs w:val="16"/>
        </w:rPr>
        <w:t xml:space="preserve"> on the Advisory Panel webpage (https://opi.mt.gov/Educators/School-Climate-Student-Wellness/Special-Education/Special-Education-Advisory-Panel) in the Meeting Minutes for the individual meetings, or in the Annual Report which is a compilation of the minutes from each meeting and a description of the action items taken by the panel through the year.</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Throughout the reporting period, the Montana special education advisory panel met four times. The advisory panel consisted of </w:t>
      </w:r>
      <w:proofErr w:type="gramStart"/>
      <w:r w:rsidRPr="00781112">
        <w:rPr>
          <w:color w:val="000000" w:themeColor="text1"/>
          <w:szCs w:val="16"/>
        </w:rPr>
        <w:t>17</w:t>
      </w:r>
      <w:proofErr w:type="gramEnd"/>
      <w:r w:rsidRPr="00781112">
        <w:rPr>
          <w:color w:val="000000" w:themeColor="text1"/>
          <w:szCs w:val="16"/>
        </w:rPr>
        <w:t xml:space="preserve"> members, five of them who have children with varying disabilities.  During the advisory panel meetings, members provided input on targets and feedback on improvement strategies related to each indicator</w:t>
      </w:r>
      <w:proofErr w:type="gramStart"/>
      <w:r w:rsidRPr="00781112">
        <w:rPr>
          <w:color w:val="000000" w:themeColor="text1"/>
          <w:szCs w:val="16"/>
        </w:rPr>
        <w:t xml:space="preserve">.  </w:t>
      </w:r>
      <w:proofErr w:type="gramEnd"/>
      <w:r w:rsidRPr="00781112">
        <w:rPr>
          <w:color w:val="000000" w:themeColor="text1"/>
          <w:szCs w:val="16"/>
        </w:rPr>
        <w:br/>
      </w:r>
      <w:r w:rsidRPr="00781112">
        <w:rPr>
          <w:color w:val="000000" w:themeColor="text1"/>
          <w:szCs w:val="16"/>
        </w:rPr>
        <w:br/>
        <w:t xml:space="preserve">In October 2021, the advisory panel members and a diverse set of stakeholders were asked to complete a survey to provide feedback on the </w:t>
      </w:r>
      <w:proofErr w:type="gramStart"/>
      <w:r w:rsidRPr="00781112">
        <w:rPr>
          <w:color w:val="000000" w:themeColor="text1"/>
          <w:szCs w:val="16"/>
        </w:rPr>
        <w:t>16</w:t>
      </w:r>
      <w:proofErr w:type="gramEnd"/>
      <w:r w:rsidRPr="00781112">
        <w:rPr>
          <w:color w:val="000000" w:themeColor="text1"/>
          <w:szCs w:val="16"/>
        </w:rPr>
        <w:t xml:space="preserve"> indicators. The OPI staff compiled the survey data and reviewed the feedback to inform target determinations.</w:t>
      </w:r>
      <w:r w:rsidRPr="00781112">
        <w:rPr>
          <w:color w:val="000000" w:themeColor="text1"/>
          <w:szCs w:val="16"/>
        </w:rPr>
        <w:br/>
      </w:r>
      <w:r w:rsidRPr="00781112">
        <w:rPr>
          <w:color w:val="000000" w:themeColor="text1"/>
          <w:szCs w:val="16"/>
        </w:rPr>
        <w:br/>
        <w:t xml:space="preserve">In January 2022, the APR, with the adjustments to the indicator targets based on stakeholder feedback, </w:t>
      </w:r>
      <w:proofErr w:type="gramStart"/>
      <w:r w:rsidRPr="00781112">
        <w:rPr>
          <w:color w:val="000000" w:themeColor="text1"/>
          <w:szCs w:val="16"/>
        </w:rPr>
        <w:t>was reviewed</w:t>
      </w:r>
      <w:proofErr w:type="gramEnd"/>
      <w:r w:rsidRPr="00781112">
        <w:rPr>
          <w:color w:val="000000" w:themeColor="text1"/>
          <w:szCs w:val="16"/>
        </w:rPr>
        <w:t xml:space="preserve"> with the panel members. The panel members provided feedback specific to Indicators 6 and 13.  They also prioritized the areas for improvement. </w:t>
      </w:r>
      <w:r w:rsidRPr="00781112">
        <w:rPr>
          <w:color w:val="000000" w:themeColor="text1"/>
          <w:szCs w:val="16"/>
        </w:rPr>
        <w:br/>
        <w:t xml:space="preserve"> </w:t>
      </w:r>
      <w:r w:rsidRPr="00781112">
        <w:rPr>
          <w:color w:val="000000" w:themeColor="text1"/>
          <w:szCs w:val="16"/>
        </w:rPr>
        <w:br/>
        <w:t xml:space="preserve">Based on a poll from the advisory panel in March 2022, secondary education, secondary transitions, and Part C to Part B transitions (Indicators 1, 2, 12, 13 &amp; 14) were among the top three priorities These priorities were set as the focus for the panel in the years to come.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APR was presented to the Advisory Panel in January 2022</w:t>
      </w:r>
      <w:proofErr w:type="gramStart"/>
      <w:r w:rsidRPr="00781112">
        <w:rPr>
          <w:color w:val="000000" w:themeColor="text1"/>
          <w:szCs w:val="16"/>
        </w:rPr>
        <w:t xml:space="preserve">.  </w:t>
      </w:r>
      <w:proofErr w:type="gramEnd"/>
      <w:r w:rsidRPr="00781112">
        <w:rPr>
          <w:color w:val="000000" w:themeColor="text1"/>
          <w:szCs w:val="16"/>
        </w:rPr>
        <w:t>At that meeting, they were asked to provide feedback on the activities currently being conducted by the OPI (what was working, what was not), and to give ideas about other activities the OPI could engage in to improve outcomes for students with disabilities</w:t>
      </w:r>
      <w:proofErr w:type="gramStart"/>
      <w:r w:rsidRPr="00781112">
        <w:rPr>
          <w:color w:val="000000" w:themeColor="text1"/>
          <w:szCs w:val="16"/>
        </w:rPr>
        <w:t xml:space="preserve">.  </w:t>
      </w:r>
      <w:proofErr w:type="gramEnd"/>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lastRenderedPageBreak/>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APR will </w:t>
      </w:r>
      <w:proofErr w:type="gramStart"/>
      <w:r w:rsidRPr="00781112">
        <w:rPr>
          <w:color w:val="000000" w:themeColor="text1"/>
          <w:szCs w:val="16"/>
        </w:rPr>
        <w:t>be posted</w:t>
      </w:r>
      <w:proofErr w:type="gramEnd"/>
      <w:r w:rsidRPr="00781112">
        <w:rPr>
          <w:color w:val="000000" w:themeColor="text1"/>
          <w:szCs w:val="16"/>
        </w:rPr>
        <w:t xml:space="preserve"> to the OPI Website (https://opi.mt.gov/Educators/School-Climate-Student-Wellness/Special-Education/Special-Education-Annual-Performance-Report) as a part of the Annual Performance Report after the OPI receives its determination letter from OSEP.</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February 1, 2023, Montana Annual Performance Report will </w:t>
      </w:r>
      <w:proofErr w:type="gramStart"/>
      <w:r w:rsidRPr="00781112">
        <w:rPr>
          <w:rFonts w:cs="Arial"/>
          <w:color w:val="000000" w:themeColor="text1"/>
          <w:szCs w:val="16"/>
        </w:rPr>
        <w:t>be made</w:t>
      </w:r>
      <w:proofErr w:type="gramEnd"/>
      <w:r w:rsidRPr="00781112">
        <w:rPr>
          <w:rFonts w:cs="Arial"/>
          <w:color w:val="000000" w:themeColor="text1"/>
          <w:szCs w:val="16"/>
        </w:rPr>
        <w:t xml:space="preserve"> available to the public via the OPI Web site (https://opi.mt.gov/Educators/School-Climate-Student-Wellness/Special-Education/Special-Education-Annual-Performance-Report). An electronic announcement of the report with links to the Montana Annual Performance Report will be sent stakeholders through the OPI Compass Monthly Newsletter.</w:t>
      </w:r>
      <w:r w:rsidRPr="00781112">
        <w:rPr>
          <w:rFonts w:cs="Arial"/>
          <w:color w:val="000000" w:themeColor="text1"/>
          <w:szCs w:val="16"/>
        </w:rPr>
        <w:br/>
      </w:r>
      <w:r w:rsidRPr="00781112">
        <w:rPr>
          <w:rFonts w:cs="Arial"/>
          <w:color w:val="000000" w:themeColor="text1"/>
          <w:szCs w:val="16"/>
        </w:rPr>
        <w:br/>
        <w:t>Reporting to the Public on the Performance of each LEA</w:t>
      </w:r>
      <w:r w:rsidRPr="00781112">
        <w:rPr>
          <w:rFonts w:cs="Arial"/>
          <w:color w:val="000000" w:themeColor="text1"/>
          <w:szCs w:val="16"/>
        </w:rPr>
        <w:br/>
      </w:r>
      <w:r w:rsidRPr="00781112">
        <w:rPr>
          <w:rFonts w:cs="Arial"/>
          <w:color w:val="000000" w:themeColor="text1"/>
          <w:szCs w:val="16"/>
        </w:rPr>
        <w:br/>
        <w:t xml:space="preserve">In accordance with section 616(b)(2)(C)(ii)(I) of IDEA, the OPI will report annually to the public on the performance of each local educational agency (LEA) on the targets in the State Performance Plan. The report on performance of LEAs will </w:t>
      </w:r>
      <w:proofErr w:type="gramStart"/>
      <w:r w:rsidRPr="00781112">
        <w:rPr>
          <w:rFonts w:cs="Arial"/>
          <w:color w:val="000000" w:themeColor="text1"/>
          <w:szCs w:val="16"/>
        </w:rPr>
        <w:t>be made</w:t>
      </w:r>
      <w:proofErr w:type="gramEnd"/>
      <w:r w:rsidRPr="00781112">
        <w:rPr>
          <w:rFonts w:cs="Arial"/>
          <w:color w:val="000000" w:themeColor="text1"/>
          <w:szCs w:val="16"/>
        </w:rPr>
        <w:t xml:space="preserve"> available to the public on the OPI Web site (https://gems.opi.mt.gov/school-district-data) no later than June 1, 2023. The OPI will not report information on performance to the public that would result in the disclosure of personally identifiable information about individual children or data that is insufficient to yield statistically reliable information.</w:t>
      </w:r>
      <w:r w:rsidRPr="00781112">
        <w:rPr>
          <w:rFonts w:cs="Arial"/>
          <w:color w:val="000000" w:themeColor="text1"/>
          <w:szCs w:val="16"/>
        </w:rPr>
        <w:br/>
      </w:r>
      <w:r w:rsidRPr="00781112">
        <w:rPr>
          <w:rFonts w:cs="Arial"/>
          <w:color w:val="000000" w:themeColor="text1"/>
          <w:szCs w:val="16"/>
        </w:rPr>
        <w:br/>
        <w:t>To access the reports from the link above:</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Select the District Profile option. </w:t>
      </w:r>
      <w:r w:rsidRPr="00781112">
        <w:rPr>
          <w:rFonts w:cs="Arial"/>
          <w:color w:val="000000" w:themeColor="text1"/>
          <w:szCs w:val="16"/>
        </w:rPr>
        <w:br/>
        <w:t>2. Select a district from the list on the right side.</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xml:space="preserve">. Click on the Program &amp; Course Offerings tab above the district list. </w:t>
      </w:r>
      <w:r w:rsidRPr="00781112">
        <w:rPr>
          <w:rFonts w:cs="Arial"/>
          <w:color w:val="000000" w:themeColor="text1"/>
          <w:szCs w:val="16"/>
        </w:rPr>
        <w:br/>
        <w:t>4. Select the Special Education District Performance Report</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xml:space="preserve">. When you select that button, you will be at the report, looking at the relevant district for the prior FY. </w:t>
      </w:r>
      <w:r w:rsidRPr="00781112">
        <w:rPr>
          <w:rFonts w:cs="Arial"/>
          <w:color w:val="000000" w:themeColor="text1"/>
          <w:szCs w:val="16"/>
        </w:rPr>
        <w:br/>
        <w:t xml:space="preserve">6. To review a different year, select the desired year from the drop down in the upper left of the screen. </w:t>
      </w:r>
      <w:r w:rsidRPr="00781112">
        <w:rPr>
          <w:rFonts w:cs="Arial"/>
          <w:color w:val="000000" w:themeColor="text1"/>
          <w:szCs w:val="16"/>
        </w:rPr>
        <w:br/>
      </w:r>
      <w:r w:rsidRPr="00781112">
        <w:rPr>
          <w:rFonts w:cs="Arial"/>
          <w:color w:val="000000" w:themeColor="text1"/>
          <w:szCs w:val="16"/>
        </w:rPr>
        <w:br/>
        <w:t xml:space="preserve">Please note these reports may take </w:t>
      </w:r>
      <w:proofErr w:type="gramStart"/>
      <w:r w:rsidRPr="00781112">
        <w:rPr>
          <w:rFonts w:cs="Arial"/>
          <w:color w:val="000000" w:themeColor="text1"/>
          <w:szCs w:val="16"/>
        </w:rPr>
        <w:t>a few</w:t>
      </w:r>
      <w:proofErr w:type="gramEnd"/>
      <w:r w:rsidRPr="00781112">
        <w:rPr>
          <w:rFonts w:cs="Arial"/>
          <w:color w:val="000000" w:themeColor="text1"/>
          <w:szCs w:val="16"/>
        </w:rPr>
        <w:t xml:space="preserve"> minutes to load. </w:t>
      </w:r>
      <w:r w:rsidRPr="00781112">
        <w:rPr>
          <w:rFonts w:cs="Arial"/>
          <w:color w:val="000000" w:themeColor="text1"/>
          <w:szCs w:val="16"/>
        </w:rPr>
        <w:br/>
      </w:r>
      <w:r w:rsidRPr="00781112">
        <w:rPr>
          <w:rFonts w:cs="Arial"/>
          <w:color w:val="000000" w:themeColor="text1"/>
          <w:szCs w:val="16"/>
        </w:rPr>
        <w:br/>
        <w:t xml:space="preserve">The GEMS platform </w:t>
      </w:r>
      <w:proofErr w:type="gramStart"/>
      <w:r w:rsidRPr="00781112">
        <w:rPr>
          <w:rFonts w:cs="Arial"/>
          <w:color w:val="000000" w:themeColor="text1"/>
          <w:szCs w:val="16"/>
        </w:rPr>
        <w:t>is built</w:t>
      </w:r>
      <w:proofErr w:type="gramEnd"/>
      <w:r w:rsidRPr="00781112">
        <w:rPr>
          <w:rFonts w:cs="Arial"/>
          <w:color w:val="000000" w:themeColor="text1"/>
          <w:szCs w:val="16"/>
        </w:rPr>
        <w:t xml:space="preserve"> to be used with Safari, Firefox, Chrome, and Edge. It will not work with older versions of Internet Explorer as </w:t>
      </w:r>
      <w:proofErr w:type="gramStart"/>
      <w:r w:rsidRPr="00781112">
        <w:rPr>
          <w:rFonts w:cs="Arial"/>
          <w:color w:val="000000" w:themeColor="text1"/>
          <w:szCs w:val="16"/>
        </w:rPr>
        <w:t>it is no longer supported by Microsoft</w:t>
      </w:r>
      <w:proofErr w:type="gramEnd"/>
      <w:r w:rsidRPr="00781112">
        <w:rPr>
          <w:rFonts w:cs="Arial"/>
          <w:color w:val="000000" w:themeColor="text1"/>
          <w:szCs w:val="16"/>
        </w:rPr>
        <w:t xml:space="preserve">. Occasionally, an error report </w:t>
      </w:r>
      <w:proofErr w:type="gramStart"/>
      <w:r w:rsidRPr="00781112">
        <w:rPr>
          <w:rFonts w:cs="Arial"/>
          <w:color w:val="000000" w:themeColor="text1"/>
          <w:szCs w:val="16"/>
        </w:rPr>
        <w:t>is received</w:t>
      </w:r>
      <w:proofErr w:type="gramEnd"/>
      <w:r w:rsidRPr="00781112">
        <w:rPr>
          <w:rFonts w:cs="Arial"/>
          <w:color w:val="000000" w:themeColor="text1"/>
          <w:szCs w:val="16"/>
        </w:rPr>
        <w:t xml:space="preserve"> that the PowerBI will not load. If that happens, wait a couple </w:t>
      </w:r>
      <w:proofErr w:type="gramStart"/>
      <w:r w:rsidRPr="00781112">
        <w:rPr>
          <w:rFonts w:cs="Arial"/>
          <w:color w:val="000000" w:themeColor="text1"/>
          <w:szCs w:val="16"/>
        </w:rPr>
        <w:t>minutes</w:t>
      </w:r>
      <w:proofErr w:type="gramEnd"/>
      <w:r w:rsidRPr="00781112">
        <w:rPr>
          <w:rFonts w:cs="Arial"/>
          <w:color w:val="000000" w:themeColor="text1"/>
          <w:szCs w:val="16"/>
        </w:rPr>
        <w:t xml:space="preserve"> and refresh the page.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Montana engaged with </w:t>
      </w:r>
      <w:proofErr w:type="gramStart"/>
      <w:r w:rsidRPr="00781112">
        <w:rPr>
          <w:rFonts w:cs="Arial"/>
          <w:color w:val="000000" w:themeColor="text1"/>
          <w:szCs w:val="16"/>
        </w:rPr>
        <w:t>numerous</w:t>
      </w:r>
      <w:proofErr w:type="gramEnd"/>
      <w:r w:rsidRPr="00781112">
        <w:rPr>
          <w:rFonts w:cs="Arial"/>
          <w:color w:val="000000" w:themeColor="text1"/>
          <w:szCs w:val="16"/>
        </w:rPr>
        <w:t xml:space="preserve"> Technical Assistance (TA) centers through the FFY2021 year. Specifically, Montana:</w:t>
      </w:r>
      <w:r w:rsidRPr="00781112">
        <w:rPr>
          <w:rFonts w:cs="Arial"/>
          <w:color w:val="000000" w:themeColor="text1"/>
          <w:szCs w:val="16"/>
        </w:rPr>
        <w:br/>
        <w:t>•</w:t>
      </w:r>
      <w:r w:rsidRPr="00781112">
        <w:rPr>
          <w:rFonts w:cs="Arial"/>
          <w:color w:val="000000" w:themeColor="text1"/>
          <w:szCs w:val="16"/>
        </w:rPr>
        <w:tab/>
        <w:t>Worked with IDC to beta test the Non-Response Bias Tool</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work allowed Montana to better understand, report, and thoroughly explain response rates and non-response bias for indicators 8 and 14.  </w:t>
      </w:r>
      <w:r w:rsidRPr="00781112">
        <w:rPr>
          <w:rFonts w:cs="Arial"/>
          <w:color w:val="000000" w:themeColor="text1"/>
          <w:szCs w:val="16"/>
        </w:rPr>
        <w:br/>
        <w:t>• Participated in the SSIP Data Quality Peer to Peer Group calls facilitated by IDC</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As a result, the SSIP Coordinator </w:t>
      </w:r>
      <w:proofErr w:type="gramStart"/>
      <w:r w:rsidRPr="00781112">
        <w:rPr>
          <w:rFonts w:cs="Arial"/>
          <w:color w:val="000000" w:themeColor="text1"/>
          <w:szCs w:val="16"/>
        </w:rPr>
        <w:t>was better equipped</w:t>
      </w:r>
      <w:proofErr w:type="gramEnd"/>
      <w:r w:rsidRPr="00781112">
        <w:rPr>
          <w:rFonts w:cs="Arial"/>
          <w:color w:val="000000" w:themeColor="text1"/>
          <w:szCs w:val="16"/>
        </w:rPr>
        <w:t xml:space="preserve"> to engage and build the capacity of educators at target schools. The engagement opportunities and technical assistance in -turn provided by the SSIP Coordinator empowered educators to put programs into place that resulted in an increase in high school completion rate of American Indian students with disabilities.</w:t>
      </w:r>
      <w:r w:rsidRPr="00781112">
        <w:rPr>
          <w:rFonts w:cs="Arial"/>
          <w:color w:val="000000" w:themeColor="text1"/>
          <w:szCs w:val="16"/>
        </w:rPr>
        <w:br/>
        <w:t>• Participated in the SPP/APR Data Quality Peer to Peer Group calls facilitated by IDC</w:t>
      </w:r>
      <w:proofErr w:type="gramStart"/>
      <w:r w:rsidRPr="00781112">
        <w:rPr>
          <w:rFonts w:cs="Arial"/>
          <w:color w:val="000000" w:themeColor="text1"/>
          <w:szCs w:val="16"/>
        </w:rPr>
        <w:t xml:space="preserve">.  </w:t>
      </w:r>
      <w:proofErr w:type="gramEnd"/>
      <w:r w:rsidRPr="00781112">
        <w:rPr>
          <w:rFonts w:cs="Arial"/>
          <w:color w:val="000000" w:themeColor="text1"/>
          <w:szCs w:val="16"/>
        </w:rPr>
        <w:t>This TA resulted in the APR Coordinator and Data Manager being able to complete the APR in a more efficient and effective manner.</w:t>
      </w:r>
      <w:r w:rsidRPr="00781112">
        <w:rPr>
          <w:rFonts w:cs="Arial"/>
          <w:color w:val="000000" w:themeColor="text1"/>
          <w:szCs w:val="16"/>
        </w:rPr>
        <w:br/>
        <w:t>•</w:t>
      </w:r>
      <w:r w:rsidRPr="00781112">
        <w:rPr>
          <w:rFonts w:cs="Arial"/>
          <w:color w:val="000000" w:themeColor="text1"/>
          <w:szCs w:val="16"/>
        </w:rPr>
        <w:tab/>
        <w:t>Engaged in Significant Disproportionality Calls, which allowed the Data Manager to develop new business rules for significant disproportionality and work with the system developer to code and make the rules operational</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By automating operational decisions and improving the ability to audit the data for compliance purposes, the quality and use of data is likely to improve These calls also served as supplemental training for the Fiscal and Reporting Manager, which lead to the facilitation of data talks about Significant Disproportionality for various outcome data for children with disabilities. </w:t>
      </w:r>
      <w:r w:rsidRPr="00781112">
        <w:rPr>
          <w:rFonts w:cs="Arial"/>
          <w:color w:val="000000" w:themeColor="text1"/>
          <w:szCs w:val="16"/>
        </w:rPr>
        <w:br/>
        <w:t>• Participated in DMS calls by OSEP, CADRE, NCSI, IDC</w:t>
      </w:r>
      <w:proofErr w:type="gramStart"/>
      <w:r w:rsidRPr="00781112">
        <w:rPr>
          <w:rFonts w:cs="Arial"/>
          <w:color w:val="000000" w:themeColor="text1"/>
          <w:szCs w:val="16"/>
        </w:rPr>
        <w:t xml:space="preserve">.  </w:t>
      </w:r>
      <w:proofErr w:type="gramEnd"/>
      <w:r w:rsidRPr="00781112">
        <w:rPr>
          <w:rFonts w:cs="Arial"/>
          <w:color w:val="000000" w:themeColor="text1"/>
          <w:szCs w:val="16"/>
        </w:rPr>
        <w:t>These calls allowed (and continue to allow) OPI staff to be prepared for their upcoming DMS Visit in June 2023 and immediately improve processes and procedures</w:t>
      </w:r>
      <w:proofErr w:type="gramStart"/>
      <w:r w:rsidRPr="00781112">
        <w:rPr>
          <w:rFonts w:cs="Arial"/>
          <w:color w:val="000000" w:themeColor="text1"/>
          <w:szCs w:val="16"/>
        </w:rPr>
        <w:t xml:space="preserve">.  </w:t>
      </w:r>
      <w:proofErr w:type="gramEnd"/>
      <w:r w:rsidRPr="00781112">
        <w:rPr>
          <w:rFonts w:cs="Arial"/>
          <w:color w:val="000000" w:themeColor="text1"/>
          <w:szCs w:val="16"/>
        </w:rPr>
        <w:t>Actions taken based on these calls included completion of the protocols provided by OSEP, discussions among staff of current processes, and ideas for change to improve and better meet the requirements of general supervision.</w:t>
      </w:r>
      <w:r w:rsidRPr="00781112">
        <w:rPr>
          <w:rFonts w:cs="Arial"/>
          <w:color w:val="000000" w:themeColor="text1"/>
          <w:szCs w:val="16"/>
        </w:rPr>
        <w:br/>
        <w:t>• Engaged in RBAS calls with NCSI</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These calls have allowed the School Improvement Unit manager to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his team to begin developing an RBAS process for differentiated monitoring.</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r w:rsidRPr="00781112">
        <w:rPr>
          <w:rFonts w:cs="Arial"/>
          <w:color w:val="000000" w:themeColor="text1"/>
          <w:szCs w:val="16"/>
        </w:rPr>
        <w:br/>
      </w:r>
      <w:r w:rsidRPr="00781112">
        <w:rPr>
          <w:rFonts w:cs="Arial"/>
          <w:color w:val="000000" w:themeColor="text1"/>
          <w:szCs w:val="16"/>
        </w:rPr>
        <w:br/>
        <w:t xml:space="preserve">The State's determinations for both 2021 and 2022 were Needs Assistance. Pursuant to section 616(e)(1) of the IDEA and 34 C.F.R. § 300.604(a), OSEP's June 24, 2022determination letter informed the State that it must report with its FFY 2021 SPP/APR submission, due February 1, 2023, on: (1) </w:t>
      </w:r>
      <w:r w:rsidRPr="00781112">
        <w:rPr>
          <w:rFonts w:cs="Arial"/>
          <w:color w:val="000000" w:themeColor="text1"/>
          <w:szCs w:val="16"/>
        </w:rPr>
        <w:lastRenderedPageBreak/>
        <w:t>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 has not provided a description of the activities conducted to increase the capacity of diverse groups of parents. In its FFY 2022 SPP/APR, the State must provide the required information.</w:t>
      </w:r>
      <w:r w:rsidRPr="00781112">
        <w:rPr>
          <w:rFonts w:cs="Arial"/>
          <w:color w:val="000000" w:themeColor="text1"/>
          <w:szCs w:val="16"/>
        </w:rPr>
        <w:br/>
      </w:r>
      <w:r w:rsidRPr="00781112">
        <w:rPr>
          <w:rFonts w:cs="Arial"/>
          <w:color w:val="000000" w:themeColor="text1"/>
          <w:szCs w:val="16"/>
        </w:rPr>
        <w:b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0D83924F" w:rsidR="005E59DB" w:rsidRPr="00781112" w:rsidRDefault="005E59DB" w:rsidP="00B65C2C">
      <w:pPr>
        <w:rPr>
          <w:b/>
          <w:color w:val="000000" w:themeColor="text1"/>
        </w:rPr>
      </w:pPr>
      <w:r w:rsidRPr="00781112">
        <w:rPr>
          <w:b/>
          <w:color w:val="000000" w:themeColor="text1"/>
        </w:rPr>
        <w:t>Historical Data</w:t>
      </w:r>
      <w:r w:rsidR="00DF6C13">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78.65%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81.60%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81.80%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82.00%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82.90%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76.00%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77.75%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76.76%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76.53%</w:t>
            </w:r>
          </w:p>
        </w:tc>
        <w:tc>
          <w:tcPr>
            <w:tcW w:w="833" w:type="pct"/>
            <w:tcBorders>
              <w:bottom w:val="single" w:sz="4" w:space="0" w:color="auto"/>
            </w:tcBorders>
            <w:shd w:val="clear" w:color="auto" w:fill="auto"/>
            <w:vAlign w:val="center"/>
          </w:tcPr>
          <w:p w14:paraId="180CBFE9" w14:textId="1BEF3795" w:rsidR="007F24E2" w:rsidRPr="00781112" w:rsidRDefault="002B7490" w:rsidP="00E0321D">
            <w:pPr>
              <w:jc w:val="center"/>
              <w:rPr>
                <w:rFonts w:cs="Arial"/>
                <w:color w:val="000000" w:themeColor="text1"/>
                <w:szCs w:val="16"/>
              </w:rPr>
            </w:pPr>
            <w:r w:rsidRPr="00781112">
              <w:rPr>
                <w:rFonts w:cs="Arial"/>
                <w:color w:val="000000" w:themeColor="text1"/>
                <w:szCs w:val="16"/>
              </w:rPr>
              <w:t>78%</w:t>
            </w:r>
            <w:r w:rsidR="00272240">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78.65%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77.00%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78.00%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79.00%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80.00%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 xml:space="preserve">--The OPI staff is also engaged with the Schools Administrators of Montana (SAM) which include affiliates for Superintendents, Principals, Special </w:t>
      </w:r>
      <w:r w:rsidRPr="00781112">
        <w:rPr>
          <w:rFonts w:cs="Arial"/>
          <w:color w:val="000000" w:themeColor="text1"/>
          <w:szCs w:val="16"/>
        </w:rPr>
        <w:lastRenderedPageBreak/>
        <w:t>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769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57</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215</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769</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1,043</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78.65%</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73.73%</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Montana has a </w:t>
      </w:r>
      <w:proofErr w:type="gramStart"/>
      <w:r w:rsidRPr="00781112">
        <w:rPr>
          <w:rFonts w:cs="Arial"/>
          <w:color w:val="000000" w:themeColor="text1"/>
          <w:szCs w:val="16"/>
        </w:rPr>
        <w:t>relatively small</w:t>
      </w:r>
      <w:proofErr w:type="gramEnd"/>
      <w:r w:rsidRPr="00781112">
        <w:rPr>
          <w:rFonts w:cs="Arial"/>
          <w:color w:val="000000" w:themeColor="text1"/>
          <w:szCs w:val="16"/>
        </w:rPr>
        <w:t xml:space="preserve"> number of exiting students each year, and a small number of graduates reported on the exit report.  Part of that is because of the nature of the collection – students who move during their senior year are counted as moved, rather than graduates</w:t>
      </w:r>
      <w:proofErr w:type="gramStart"/>
      <w:r w:rsidRPr="00781112">
        <w:rPr>
          <w:rFonts w:cs="Arial"/>
          <w:color w:val="000000" w:themeColor="text1"/>
          <w:szCs w:val="16"/>
        </w:rPr>
        <w:t xml:space="preserve">.  </w:t>
      </w:r>
      <w:proofErr w:type="gramEnd"/>
      <w:r w:rsidRPr="00781112">
        <w:rPr>
          <w:rFonts w:cs="Arial"/>
          <w:color w:val="000000" w:themeColor="text1"/>
          <w:szCs w:val="16"/>
        </w:rPr>
        <w:t>This is the cause for differences in the data each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2020-2021 school year was still experiencing the effects of COVID, part of which involved </w:t>
      </w:r>
      <w:proofErr w:type="gramStart"/>
      <w:r w:rsidRPr="00781112">
        <w:rPr>
          <w:rFonts w:cs="Arial"/>
          <w:color w:val="000000" w:themeColor="text1"/>
          <w:szCs w:val="16"/>
        </w:rPr>
        <w:t>a high level</w:t>
      </w:r>
      <w:proofErr w:type="gramEnd"/>
      <w:r w:rsidRPr="00781112">
        <w:rPr>
          <w:rFonts w:cs="Arial"/>
          <w:color w:val="000000" w:themeColor="text1"/>
          <w:szCs w:val="16"/>
        </w:rPr>
        <w:t xml:space="preserve"> of movement in and around our Native American reservations. Those students who did successfully graduate during the exiting reporting year but moved at </w:t>
      </w:r>
      <w:proofErr w:type="gramStart"/>
      <w:r w:rsidRPr="00781112">
        <w:rPr>
          <w:rFonts w:cs="Arial"/>
          <w:color w:val="000000" w:themeColor="text1"/>
          <w:szCs w:val="16"/>
        </w:rPr>
        <w:t>some</w:t>
      </w:r>
      <w:proofErr w:type="gramEnd"/>
      <w:r w:rsidRPr="00781112">
        <w:rPr>
          <w:rFonts w:cs="Arial"/>
          <w:color w:val="000000" w:themeColor="text1"/>
          <w:szCs w:val="16"/>
        </w:rPr>
        <w:t xml:space="preserve"> point, did not count as graduates, accounting for the slippage in our graduation rate.</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Montana Board of Public Education has set the following as the minimum graduation requirements for all Montana students. Each local school board has the option to add additional requirements and most choose to add more rigorous requirements that all students in their district must meet.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cases, this may result in a special education student needing to spend more than 4 years working towards their high school diploma. It also creates a barrier to graduation for students who transfer to or from one Montana High School to another with more rigorous graduation standards.</w:t>
      </w:r>
      <w:r w:rsidRPr="00781112">
        <w:rPr>
          <w:rFonts w:cs="Arial"/>
          <w:color w:val="000000" w:themeColor="text1"/>
          <w:szCs w:val="16"/>
        </w:rPr>
        <w:br/>
      </w:r>
      <w:r w:rsidRPr="00781112">
        <w:rPr>
          <w:rFonts w:cs="Arial"/>
          <w:color w:val="000000" w:themeColor="text1"/>
          <w:szCs w:val="16"/>
        </w:rPr>
        <w:br/>
        <w:t>10.55.905 : GRADUATION REQUIREMENTS - Administrative Rules of the State of Montana</w:t>
      </w:r>
      <w:r w:rsidRPr="00781112">
        <w:rPr>
          <w:rFonts w:cs="Arial"/>
          <w:color w:val="000000" w:themeColor="text1"/>
          <w:szCs w:val="16"/>
        </w:rPr>
        <w:br/>
      </w:r>
      <w:r w:rsidRPr="00781112">
        <w:rPr>
          <w:rFonts w:cs="Arial"/>
          <w:color w:val="000000" w:themeColor="text1"/>
          <w:szCs w:val="16"/>
        </w:rPr>
        <w:br/>
        <w:t>10.55.905 GRADUATION REQUIREMENTS</w:t>
      </w:r>
      <w:r w:rsidRPr="00781112">
        <w:rPr>
          <w:rFonts w:cs="Arial"/>
          <w:color w:val="000000" w:themeColor="text1"/>
          <w:szCs w:val="16"/>
        </w:rPr>
        <w:br/>
      </w:r>
      <w:r w:rsidRPr="00781112">
        <w:rPr>
          <w:rFonts w:cs="Arial"/>
          <w:color w:val="000000" w:themeColor="text1"/>
          <w:szCs w:val="16"/>
        </w:rPr>
        <w:br/>
        <w:t>(1) As a minimum, a school district's requirements for graduation shall include a total of 20 units of study that enable all students to meet the content standards and content-specific grade-level  learning progressions.</w:t>
      </w:r>
      <w:r w:rsidRPr="00781112">
        <w:rPr>
          <w:rFonts w:cs="Arial"/>
          <w:color w:val="000000" w:themeColor="text1"/>
          <w:szCs w:val="16"/>
        </w:rPr>
        <w:br/>
      </w:r>
      <w:r w:rsidRPr="00781112">
        <w:rPr>
          <w:rFonts w:cs="Arial"/>
          <w:color w:val="000000" w:themeColor="text1"/>
          <w:szCs w:val="16"/>
        </w:rPr>
        <w:br/>
        <w:t>(2) In order to meet the content and performance standards, the following 13 units shall be part of the 20 units required for all students to graduate:</w:t>
      </w:r>
      <w:r w:rsidRPr="00781112">
        <w:rPr>
          <w:rFonts w:cs="Arial"/>
          <w:color w:val="000000" w:themeColor="text1"/>
          <w:szCs w:val="16"/>
        </w:rPr>
        <w:br/>
      </w:r>
      <w:r w:rsidRPr="00781112">
        <w:rPr>
          <w:rFonts w:cs="Arial"/>
          <w:color w:val="000000" w:themeColor="text1"/>
          <w:szCs w:val="16"/>
        </w:rPr>
        <w:br/>
        <w:t>(a) 4 units of English language arts;</w:t>
      </w:r>
      <w:r w:rsidRPr="00781112">
        <w:rPr>
          <w:rFonts w:cs="Arial"/>
          <w:color w:val="000000" w:themeColor="text1"/>
          <w:szCs w:val="16"/>
        </w:rPr>
        <w:br/>
      </w:r>
      <w:r w:rsidRPr="00781112">
        <w:rPr>
          <w:rFonts w:cs="Arial"/>
          <w:color w:val="000000" w:themeColor="text1"/>
          <w:szCs w:val="16"/>
        </w:rPr>
        <w:br/>
        <w:t>(b) 2 units of mathematics;</w:t>
      </w:r>
      <w:r w:rsidRPr="00781112">
        <w:rPr>
          <w:rFonts w:cs="Arial"/>
          <w:color w:val="000000" w:themeColor="text1"/>
          <w:szCs w:val="16"/>
        </w:rPr>
        <w:br/>
      </w:r>
      <w:r w:rsidRPr="00781112">
        <w:rPr>
          <w:rFonts w:cs="Arial"/>
          <w:color w:val="000000" w:themeColor="text1"/>
          <w:szCs w:val="16"/>
        </w:rPr>
        <w:br/>
        <w:t>(c) 2 units of social studies;</w:t>
      </w:r>
      <w:r w:rsidRPr="00781112">
        <w:rPr>
          <w:rFonts w:cs="Arial"/>
          <w:color w:val="000000" w:themeColor="text1"/>
          <w:szCs w:val="16"/>
        </w:rPr>
        <w:br/>
      </w:r>
      <w:r w:rsidRPr="00781112">
        <w:rPr>
          <w:rFonts w:cs="Arial"/>
          <w:color w:val="000000" w:themeColor="text1"/>
          <w:szCs w:val="16"/>
        </w:rPr>
        <w:lastRenderedPageBreak/>
        <w:br/>
        <w:t>(d) 2 units of science;</w:t>
      </w:r>
      <w:r w:rsidRPr="00781112">
        <w:rPr>
          <w:rFonts w:cs="Arial"/>
          <w:color w:val="000000" w:themeColor="text1"/>
          <w:szCs w:val="16"/>
        </w:rPr>
        <w:br/>
      </w:r>
      <w:r w:rsidRPr="00781112">
        <w:rPr>
          <w:rFonts w:cs="Arial"/>
          <w:color w:val="000000" w:themeColor="text1"/>
          <w:szCs w:val="16"/>
        </w:rPr>
        <w:br/>
        <w:t>(e) 1 unit of health enhancement, with 1/2 unit each year for two years;</w:t>
      </w:r>
      <w:r w:rsidRPr="00781112">
        <w:rPr>
          <w:rFonts w:cs="Arial"/>
          <w:color w:val="000000" w:themeColor="text1"/>
          <w:szCs w:val="16"/>
        </w:rPr>
        <w:br/>
      </w:r>
      <w:r w:rsidRPr="00781112">
        <w:rPr>
          <w:rFonts w:cs="Arial"/>
          <w:color w:val="000000" w:themeColor="text1"/>
          <w:szCs w:val="16"/>
        </w:rPr>
        <w:br/>
        <w:t>(f) 1 unit of arts; and</w:t>
      </w:r>
      <w:r w:rsidRPr="00781112">
        <w:rPr>
          <w:rFonts w:cs="Arial"/>
          <w:color w:val="000000" w:themeColor="text1"/>
          <w:szCs w:val="16"/>
        </w:rPr>
        <w:br/>
      </w:r>
      <w:r w:rsidRPr="00781112">
        <w:rPr>
          <w:rFonts w:cs="Arial"/>
          <w:color w:val="000000" w:themeColor="text1"/>
          <w:szCs w:val="16"/>
        </w:rPr>
        <w:br/>
        <w:t>(g) 1 unit of career and technical education.</w:t>
      </w:r>
      <w:r w:rsidRPr="00781112">
        <w:rPr>
          <w:rFonts w:cs="Arial"/>
          <w:color w:val="000000" w:themeColor="text1"/>
          <w:szCs w:val="16"/>
        </w:rPr>
        <w:br/>
      </w:r>
      <w:r w:rsidRPr="00781112">
        <w:rPr>
          <w:rFonts w:cs="Arial"/>
          <w:color w:val="000000" w:themeColor="text1"/>
          <w:szCs w:val="16"/>
        </w:rPr>
        <w:br/>
        <w:t>(3) Units of credit earned in any Montana high school accredited by the Board of Public Education shall be accepted by all Montana high schools.</w:t>
      </w:r>
      <w:r w:rsidRPr="00781112">
        <w:rPr>
          <w:rFonts w:cs="Arial"/>
          <w:color w:val="000000" w:themeColor="text1"/>
          <w:szCs w:val="16"/>
        </w:rPr>
        <w:br/>
      </w:r>
      <w:r w:rsidRPr="00781112">
        <w:rPr>
          <w:rFonts w:cs="Arial"/>
          <w:color w:val="000000" w:themeColor="text1"/>
          <w:szCs w:val="16"/>
        </w:rPr>
        <w:br/>
        <w:t>(4) In accordance with the policies of the local board of trustees, students may be graduated from high school with less than four years enrollment.</w:t>
      </w:r>
      <w:r w:rsidRPr="00781112">
        <w:rPr>
          <w:rFonts w:cs="Arial"/>
          <w:color w:val="000000" w:themeColor="text1"/>
          <w:szCs w:val="16"/>
        </w:rPr>
        <w:br/>
      </w:r>
      <w:r w:rsidRPr="00781112">
        <w:rPr>
          <w:rFonts w:cs="Arial"/>
          <w:color w:val="000000" w:themeColor="text1"/>
          <w:szCs w:val="16"/>
        </w:rPr>
        <w:br/>
        <w:t>History: 20-2-114, MCA; IMP, 20-2-121, 20-3-106, 20-7-101, MCA; NEW, 1989 MAR p. 342, Eff. 7/1/89; AMD, 1998 MAR p. 2707, Eff. 10/9/98; AMD, 2000 MAR p. 3340, Eff. 12/8/00; AMD, 2012 MAR p. 2042, Eff. 7/1/13.</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32C38EE1" w:rsidR="00907A35" w:rsidRPr="00781112" w:rsidRDefault="00907A35" w:rsidP="004369B2">
      <w:pPr>
        <w:rPr>
          <w:b/>
          <w:color w:val="000000" w:themeColor="text1"/>
        </w:rPr>
      </w:pPr>
      <w:r w:rsidRPr="00781112">
        <w:rPr>
          <w:b/>
          <w:color w:val="000000" w:themeColor="text1"/>
        </w:rPr>
        <w:t>Historical Data</w:t>
      </w:r>
      <w:r w:rsidR="00DF6C13">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21.26%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3.40%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3.40%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3.40%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21.26%</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3.42%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3.72%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3.16%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3.81%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21.26%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21.16%</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21.06%</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20.96%</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20.86%</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20.76%</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769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57</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215</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215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1,043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21.26%</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21.16%</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20.61%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dropout definition for all students in the state of Montana is: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Dropouts are the count of individuals who:</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were enrolled in school on the date of the previous year October enrollment count or at some time during the previous school year and were not enrolled on the date of the current school year October count,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were not enrolled at the beginning of the previous school year but were expected to enroll and did not re-enroll during the year, “no show”, and were not enrolled on the date of the current school year October count,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and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have not graduated from high school or completed a state or district-approved high school educational program,</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and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have not transferred to another school, been temporarily absent due to a school-recognized illness or suspension, or died.</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YES</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Dropouts for Indicator 2 are counted based on the requirements in the EDFacts File specifications for FS009:</w:t>
      </w:r>
      <w:r w:rsidRPr="00781112">
        <w:rPr>
          <w:rFonts w:cs="Arial"/>
          <w:color w:val="000000" w:themeColor="text1"/>
          <w:szCs w:val="16"/>
          <w:shd w:val="clear" w:color="auto" w:fill="FFFFFF"/>
        </w:rPr>
        <w:br/>
        <w:t xml:space="preserve">Dropped out </w:t>
      </w:r>
      <w:r w:rsidRPr="00781112">
        <w:rPr>
          <w:rFonts w:cs="Arial"/>
          <w:color w:val="000000" w:themeColor="text1"/>
          <w:szCs w:val="16"/>
          <w:shd w:val="clear" w:color="auto" w:fill="FFFFFF"/>
        </w:rPr>
        <w:br/>
        <w:t>These students were enrolled at the start of the reporting period but were not enrolled at the end of the reporting period and did not exit special education through any of the other means</w:t>
      </w:r>
      <w:proofErr w:type="gramStart"/>
      <w:r w:rsidRPr="00781112">
        <w:rPr>
          <w:rFonts w:cs="Arial"/>
          <w:color w:val="000000" w:themeColor="text1"/>
          <w:szCs w:val="16"/>
          <w:shd w:val="clear" w:color="auto" w:fill="FFFFFF"/>
        </w:rPr>
        <w:t xml:space="preserve">.  </w:t>
      </w:r>
      <w:proofErr w:type="gramEnd"/>
      <w:r w:rsidRPr="00781112">
        <w:rPr>
          <w:rFonts w:cs="Arial"/>
          <w:color w:val="000000" w:themeColor="text1"/>
          <w:szCs w:val="16"/>
          <w:shd w:val="clear" w:color="auto" w:fill="FFFFFF"/>
        </w:rPr>
        <w:t xml:space="preserve">This includes dropouts, runaways, GED recipients (in cases where students are required to drop out of the secondary educational program </w:t>
      </w:r>
      <w:proofErr w:type="gramStart"/>
      <w:r w:rsidRPr="00781112">
        <w:rPr>
          <w:rFonts w:cs="Arial"/>
          <w:color w:val="000000" w:themeColor="text1"/>
          <w:szCs w:val="16"/>
          <w:shd w:val="clear" w:color="auto" w:fill="FFFFFF"/>
        </w:rPr>
        <w:t>in order to</w:t>
      </w:r>
      <w:proofErr w:type="gramEnd"/>
      <w:r w:rsidRPr="00781112">
        <w:rPr>
          <w:rFonts w:cs="Arial"/>
          <w:color w:val="000000" w:themeColor="text1"/>
          <w:szCs w:val="16"/>
          <w:shd w:val="clear" w:color="auto" w:fill="FFFFFF"/>
        </w:rPr>
        <w:t xml:space="preserve"> pursue the GED certificate), expulsions, status unknown, students who moved but are not known to be continuing in another educational program, and other exiters from special education.  </w:t>
      </w: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lastRenderedPageBreak/>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Based on the revised measurement table that started with the FFY2020 Annual Performance Report, states are now required to report Indicator 2 data using the Special Education Exiting data rather than graduation/dropout cohort  data</w:t>
      </w:r>
      <w:proofErr w:type="gramStart"/>
      <w:r w:rsidRPr="00781112">
        <w:rPr>
          <w:rFonts w:cs="Arial"/>
          <w:color w:val="000000" w:themeColor="text1"/>
          <w:szCs w:val="16"/>
          <w:shd w:val="clear" w:color="auto" w:fill="FFFFFF"/>
        </w:rPr>
        <w:t xml:space="preserve">.  </w:t>
      </w:r>
      <w:proofErr w:type="gramEnd"/>
      <w:r w:rsidRPr="00781112">
        <w:rPr>
          <w:rFonts w:cs="Arial"/>
          <w:color w:val="000000" w:themeColor="text1"/>
          <w:szCs w:val="16"/>
          <w:shd w:val="clear" w:color="auto" w:fill="FFFFFF"/>
        </w:rPr>
        <w:t>For the FFY2020 APR, Montana chose to set the baseline year for this indicator to the SY2019-2020 data – the data that was reported in the FFY2020 APR due to the required one-year lag for this indicator</w:t>
      </w:r>
      <w:proofErr w:type="gramStart"/>
      <w:r w:rsidRPr="00781112">
        <w:rPr>
          <w:rFonts w:cs="Arial"/>
          <w:color w:val="000000" w:themeColor="text1"/>
          <w:szCs w:val="16"/>
          <w:shd w:val="clear" w:color="auto" w:fill="FFFFFF"/>
        </w:rPr>
        <w:t xml:space="preserve">.  </w:t>
      </w:r>
      <w:proofErr w:type="gramEnd"/>
      <w:r w:rsidRPr="00781112">
        <w:rPr>
          <w:rFonts w:cs="Arial"/>
          <w:color w:val="000000" w:themeColor="text1"/>
          <w:szCs w:val="16"/>
          <w:shd w:val="clear" w:color="auto" w:fill="FFFFFF"/>
        </w:rPr>
        <w:t>This was based on stakeholder feedback</w:t>
      </w:r>
      <w:proofErr w:type="gramStart"/>
      <w:r w:rsidRPr="00781112">
        <w:rPr>
          <w:rFonts w:cs="Arial"/>
          <w:color w:val="000000" w:themeColor="text1"/>
          <w:szCs w:val="16"/>
          <w:shd w:val="clear" w:color="auto" w:fill="FFFFFF"/>
        </w:rPr>
        <w:t xml:space="preserve">.  </w:t>
      </w:r>
      <w:proofErr w:type="gramEnd"/>
      <w:r w:rsidRPr="00781112">
        <w:rPr>
          <w:rFonts w:cs="Arial"/>
          <w:color w:val="000000" w:themeColor="text1"/>
          <w:szCs w:val="16"/>
          <w:shd w:val="clear" w:color="auto" w:fill="FFFFFF"/>
        </w:rPr>
        <w:t xml:space="preserve"> Targets were set to start at the baseline year and decrease in 0.10% increments until the end of this APR cycle, thus showing the required improvement over baseline in FFY2025.</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 xml:space="preserve">The State has revised the baseline using data from FFY 2020, but OSEP cannot accept </w:t>
      </w:r>
      <w:proofErr w:type="gramStart"/>
      <w:r w:rsidRPr="00781112">
        <w:rPr>
          <w:rFonts w:cs="Arial"/>
          <w:color w:val="000000" w:themeColor="text1"/>
          <w:szCs w:val="16"/>
        </w:rPr>
        <w:t>the because</w:t>
      </w:r>
      <w:proofErr w:type="gramEnd"/>
      <w:r w:rsidRPr="00781112">
        <w:rPr>
          <w:rFonts w:cs="Arial"/>
          <w:color w:val="000000" w:themeColor="text1"/>
          <w:szCs w:val="16"/>
        </w:rPr>
        <w:t xml:space="preserve"> there is no explanation for the revision.  With the FFY 2021 SPP/APR, the State must provide an explanation for the baseline revision for this </w:t>
      </w:r>
      <w:proofErr w:type="gramStart"/>
      <w:r w:rsidRPr="00781112">
        <w:rPr>
          <w:rFonts w:cs="Arial"/>
          <w:color w:val="000000" w:themeColor="text1"/>
          <w:szCs w:val="16"/>
        </w:rPr>
        <w:t>indicator, and</w:t>
      </w:r>
      <w:proofErr w:type="gramEnd"/>
      <w:r w:rsidRPr="00781112">
        <w:rPr>
          <w:rFonts w:cs="Arial"/>
          <w:color w:val="000000" w:themeColor="text1"/>
          <w:szCs w:val="16"/>
        </w:rPr>
        <w:t xml:space="preserve"> ensure that its FFY 2025 target reflects improvement over baseline.</w:t>
      </w:r>
    </w:p>
    <w:p w14:paraId="7896DD52" w14:textId="585814D8" w:rsidR="00DD051F" w:rsidRPr="00781112" w:rsidRDefault="00DD051F" w:rsidP="000A2C83">
      <w:pPr>
        <w:rPr>
          <w:rFonts w:cs="Arial"/>
          <w:color w:val="000000" w:themeColor="text1"/>
          <w:szCs w:val="16"/>
        </w:rPr>
      </w:pPr>
    </w:p>
    <w:p w14:paraId="361FB648" w14:textId="65396FDB" w:rsidR="000A2C83" w:rsidRPr="00781112" w:rsidRDefault="007639D7" w:rsidP="004369B2">
      <w:pPr>
        <w:rPr>
          <w:b/>
          <w:color w:val="000000" w:themeColor="text1"/>
        </w:rPr>
      </w:pPr>
      <w:r>
        <w:rPr>
          <w:b/>
          <w:color w:val="000000" w:themeColor="text1"/>
        </w:rPr>
        <w:t xml:space="preserve">Response to actions required in FFY 2020 SPP/APR  </w:t>
      </w:r>
    </w:p>
    <w:p w14:paraId="79A0B7BA" w14:textId="7EBF4280" w:rsidR="000A2C83" w:rsidRPr="00781112" w:rsidRDefault="002B7490" w:rsidP="000A2C83">
      <w:pPr>
        <w:rPr>
          <w:rFonts w:cs="Arial"/>
          <w:color w:val="000000" w:themeColor="text1"/>
          <w:szCs w:val="16"/>
        </w:rPr>
      </w:pPr>
      <w:r w:rsidRPr="00781112">
        <w:rPr>
          <w:rFonts w:cs="Arial"/>
          <w:color w:val="000000" w:themeColor="text1"/>
          <w:szCs w:val="16"/>
        </w:rPr>
        <w:t>Based on the revised measurement table that started with the FFY2020 Annual Performance Report, states are now required to report Indicator 2 data using the Special Education Exiting data rather than graduation/dropout cohort  data</w:t>
      </w:r>
      <w:proofErr w:type="gramStart"/>
      <w:r w:rsidRPr="00781112">
        <w:rPr>
          <w:rFonts w:cs="Arial"/>
          <w:color w:val="000000" w:themeColor="text1"/>
          <w:szCs w:val="16"/>
        </w:rPr>
        <w:t xml:space="preserve">.  </w:t>
      </w:r>
      <w:proofErr w:type="gramEnd"/>
      <w:r w:rsidRPr="00781112">
        <w:rPr>
          <w:rFonts w:cs="Arial"/>
          <w:color w:val="000000" w:themeColor="text1"/>
          <w:szCs w:val="16"/>
        </w:rPr>
        <w:t>For the FFY2020 APR, Montana chose to set the baseline year for this indicator to the SY2019-2020 data – the data that was reported in the FFY2020 APR due to the required one-year lag for this indicator</w:t>
      </w:r>
      <w:proofErr w:type="gramStart"/>
      <w:r w:rsidRPr="00781112">
        <w:rPr>
          <w:rFonts w:cs="Arial"/>
          <w:color w:val="000000" w:themeColor="text1"/>
          <w:szCs w:val="16"/>
        </w:rPr>
        <w:t xml:space="preserve">.  </w:t>
      </w:r>
      <w:proofErr w:type="gramEnd"/>
      <w:r w:rsidRPr="00781112">
        <w:rPr>
          <w:rFonts w:cs="Arial"/>
          <w:color w:val="000000" w:themeColor="text1"/>
          <w:szCs w:val="16"/>
        </w:rPr>
        <w:t>This was based on stakeholder feedback</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Targets were set to start at the baseline year and decrease in 0.10% increments until the end of this APR cycle, thus showing the required improvement over baseline in FFY2025.</w:t>
      </w: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targets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96.71%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93.65%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81.38%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70.53%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92.75%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85.68%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0045E18D" w:rsidR="00480083" w:rsidRPr="00B04D70" w:rsidRDefault="00480083" w:rsidP="00B04D70">
      <w:pPr>
        <w:spacing w:before="0" w:after="200" w:line="276" w:lineRule="auto"/>
        <w:rPr>
          <w:b/>
          <w:color w:val="000000" w:themeColor="text1"/>
        </w:rPr>
      </w:pPr>
      <w:r w:rsidRPr="00781112">
        <w:rPr>
          <w:b/>
          <w:color w:val="000000" w:themeColor="text1"/>
        </w:rPr>
        <w:t xml:space="preserve">Targets: Description of Stakeholder Input </w:t>
      </w:r>
      <w:r w:rsidR="00B04D70">
        <w:rPr>
          <w:b/>
          <w:color w:val="000000" w:themeColor="text1"/>
        </w:rPr>
        <w:br/>
      </w: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2DB4239B" w14:textId="2F83DC57" w:rsidR="00480083" w:rsidRPr="00781112" w:rsidRDefault="00480083" w:rsidP="00480083">
      <w:pPr>
        <w:rPr>
          <w:rFonts w:cs="Arial"/>
          <w:color w:val="000000" w:themeColor="text1"/>
          <w:szCs w:val="16"/>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1,439</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1,396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1,010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719</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681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609</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579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564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114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1,438</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1,394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1,010</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468</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441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658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823</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761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120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84</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1,402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1,439</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96.44%</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97.43%</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1,328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1,396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93.76%</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95.13%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807</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1,010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77.82%</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79.90%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1,395</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1,438</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96.17%</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97.01%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1,282</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1,394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90.98%</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91.97%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862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1,010</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79.57%</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85.35%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Special Education Assessment Participation data can be found at https://opi.mt.gov/Educators/School-Climate-Student-Wellness/Special-Education/IDEA-Data</w:t>
      </w:r>
      <w:proofErr w:type="gramStart"/>
      <w:r w:rsidRPr="00781112">
        <w:rPr>
          <w:rFonts w:cs="Arial"/>
          <w:color w:val="000000" w:themeColor="text1"/>
          <w:szCs w:val="16"/>
        </w:rPr>
        <w:t xml:space="preserve">.  </w:t>
      </w:r>
      <w:proofErr w:type="gramEnd"/>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17.18%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10.50%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5.71%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15.17%</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5.74%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4.76%</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17.30%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17.40%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17.50%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17.60%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17.70%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10.60%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10.70%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10.80%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10.90%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5.80%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5.90%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6.10%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6.20%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15.30%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15.40%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15.50%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15.60%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15.70%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5.80%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5.90%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6.10%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6.20%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4.90%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5.10%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5.20%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5.30%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260472CF" w14:textId="77777777" w:rsidR="00B04D70" w:rsidRPr="00781112" w:rsidRDefault="00B04D70"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1,297</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1,245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723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149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115</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57</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52</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45</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4</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1,290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1,202</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778</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117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41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lastRenderedPageBreak/>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55</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24</w:t>
            </w:r>
          </w:p>
        </w:tc>
        <w:tc>
          <w:tcPr>
            <w:tcW w:w="1292" w:type="pct"/>
            <w:shd w:val="clear" w:color="auto" w:fill="auto"/>
            <w:vAlign w:val="center"/>
          </w:tcPr>
          <w:p w14:paraId="56D05BB3" w14:textId="0A55D7A2" w:rsidR="00EB6900" w:rsidRPr="00781112" w:rsidRDefault="004C476F" w:rsidP="00360DD6">
            <w:pPr>
              <w:jc w:val="center"/>
              <w:rPr>
                <w:rFonts w:cs="Arial"/>
                <w:color w:val="000000" w:themeColor="text1"/>
                <w:szCs w:val="16"/>
              </w:rPr>
            </w:pPr>
            <w:r>
              <w:rPr>
                <w:rFonts w:cs="Arial"/>
                <w:color w:val="000000" w:themeColor="text1"/>
                <w:szCs w:val="16"/>
              </w:rPr>
              <w:t>x</w:t>
            </w:r>
            <w:r w:rsidR="00905D69">
              <w:rPr>
                <w:rStyle w:val="FootnoteReference"/>
                <w:rFonts w:cs="Arial"/>
                <w:color w:val="000000" w:themeColor="text1"/>
                <w:szCs w:val="16"/>
              </w:rPr>
              <w:footnoteReference w:id="5"/>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201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1,297</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18.10%</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17.30%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15.50%</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160</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1,245</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11.73%</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10.60%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12.85%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61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723</w:t>
            </w:r>
          </w:p>
        </w:tc>
        <w:tc>
          <w:tcPr>
            <w:tcW w:w="503" w:type="pct"/>
            <w:shd w:val="clear" w:color="auto" w:fill="auto"/>
            <w:vAlign w:val="center"/>
          </w:tcPr>
          <w:p w14:paraId="039885F2" w14:textId="66AE6D3C" w:rsidR="00AD0E97" w:rsidRPr="00781112" w:rsidRDefault="004C476F" w:rsidP="00AD0E97">
            <w:pPr>
              <w:jc w:val="center"/>
              <w:rPr>
                <w:rFonts w:cs="Arial"/>
                <w:color w:val="000000" w:themeColor="text1"/>
                <w:szCs w:val="16"/>
              </w:rPr>
            </w:pPr>
            <w:r>
              <w:rPr>
                <w:rFonts w:cs="Arial"/>
                <w:color w:val="000000" w:themeColor="text1"/>
                <w:szCs w:val="16"/>
              </w:rPr>
              <w:t>x</w:t>
            </w:r>
            <w:bookmarkStart w:id="16" w:name="_Ref141250691"/>
            <w:r w:rsidR="00905D69">
              <w:rPr>
                <w:rStyle w:val="FootnoteReference"/>
                <w:rFonts w:cs="Arial"/>
                <w:color w:val="000000" w:themeColor="text1"/>
                <w:szCs w:val="16"/>
              </w:rPr>
              <w:footnoteReference w:id="6"/>
            </w:r>
            <w:bookmarkEnd w:id="16"/>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5.80%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8.44%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t>Montana cannot explain slippage directly since the assessments used in FFY2022 were the same shortened versions used in FFY2021</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However, one </w:t>
      </w:r>
      <w:proofErr w:type="gramStart"/>
      <w:r w:rsidRPr="00781112">
        <w:rPr>
          <w:rFonts w:cs="Arial"/>
          <w:color w:val="000000" w:themeColor="text1"/>
          <w:szCs w:val="16"/>
        </w:rPr>
        <w:t>possible explanation</w:t>
      </w:r>
      <w:proofErr w:type="gramEnd"/>
      <w:r w:rsidRPr="00781112">
        <w:rPr>
          <w:rFonts w:cs="Arial"/>
          <w:color w:val="000000" w:themeColor="text1"/>
          <w:szCs w:val="16"/>
        </w:rPr>
        <w:t xml:space="preserve"> of slippage may be due to the grade 4 cohort taking the statewide assessment in the 2021-2022 school year being the cohort of students tested that were most impacted by the COVID 19 pandemic.  On March 15, 2020, the Governor temporarily shut down the state, including all school districts</w:t>
      </w:r>
      <w:proofErr w:type="gramStart"/>
      <w:r w:rsidRPr="00781112">
        <w:rPr>
          <w:rFonts w:cs="Arial"/>
          <w:color w:val="000000" w:themeColor="text1"/>
          <w:szCs w:val="16"/>
        </w:rPr>
        <w:t xml:space="preserve">.  </w:t>
      </w:r>
      <w:proofErr w:type="gramEnd"/>
      <w:r w:rsidRPr="00781112">
        <w:rPr>
          <w:rFonts w:cs="Arial"/>
          <w:color w:val="000000" w:themeColor="text1"/>
          <w:szCs w:val="16"/>
        </w:rPr>
        <w:t>The length of closure of school districts varied due to local control and tribal government</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length of school closures, or remote instruction, a model new to both students and teachers, are one of the key factors in unfinished learning as reflected by the slippage in student achievement. Montana compared the special education data to the data for all students in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 across the state for both the regular assessment, the alternate assessment, and the NAEP in reading, and see similar trends in slippage which leads us to believe that COVID 19 was the leading factor for the special education slippage.</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172</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1,290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13.10%</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15.30%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13.33%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65</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1,202</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4.49%</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5.80%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5.41%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5E11A1AF" w:rsidR="00242D8A" w:rsidRPr="00781112" w:rsidRDefault="00905D69"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_Ref141250691 \f \h </w:instrText>
            </w:r>
            <w:r>
              <w:rPr>
                <w:rFonts w:cs="Arial"/>
                <w:color w:val="000000" w:themeColor="text1"/>
                <w:szCs w:val="16"/>
              </w:rPr>
            </w:r>
            <w:r>
              <w:rPr>
                <w:rFonts w:cs="Arial"/>
                <w:color w:val="000000" w:themeColor="text1"/>
                <w:szCs w:val="16"/>
              </w:rPr>
              <w:fldChar w:fldCharType="separate"/>
            </w:r>
            <w:r w:rsidR="00C165B5" w:rsidRPr="00C165B5">
              <w:rPr>
                <w:rStyle w:val="FootnoteReference"/>
              </w:rPr>
              <w:t>5</w:t>
            </w:r>
            <w:r>
              <w:rPr>
                <w:rFonts w:cs="Arial"/>
                <w:color w:val="000000" w:themeColor="text1"/>
                <w:szCs w:val="16"/>
              </w:rPr>
              <w:fldChar w:fldCharType="end"/>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778</w:t>
            </w:r>
          </w:p>
        </w:tc>
        <w:tc>
          <w:tcPr>
            <w:tcW w:w="500" w:type="pct"/>
            <w:shd w:val="clear" w:color="auto" w:fill="auto"/>
            <w:vAlign w:val="center"/>
          </w:tcPr>
          <w:p w14:paraId="2250005A" w14:textId="432B6BCF" w:rsidR="00242D8A" w:rsidRPr="00781112" w:rsidRDefault="00905D69"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_Ref141250691 \f \h </w:instrText>
            </w:r>
            <w:r>
              <w:rPr>
                <w:rFonts w:cs="Arial"/>
                <w:color w:val="000000" w:themeColor="text1"/>
                <w:szCs w:val="16"/>
              </w:rPr>
            </w:r>
            <w:r>
              <w:rPr>
                <w:rFonts w:cs="Arial"/>
                <w:color w:val="000000" w:themeColor="text1"/>
                <w:szCs w:val="16"/>
              </w:rPr>
              <w:fldChar w:fldCharType="separate"/>
            </w:r>
            <w:r w:rsidR="00C165B5" w:rsidRPr="00C165B5">
              <w:rPr>
                <w:rStyle w:val="FootnoteReference"/>
              </w:rPr>
              <w:t>5</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4.90%</w:t>
            </w:r>
          </w:p>
        </w:tc>
        <w:tc>
          <w:tcPr>
            <w:tcW w:w="500" w:type="pct"/>
            <w:shd w:val="clear" w:color="auto" w:fill="auto"/>
            <w:vAlign w:val="center"/>
          </w:tcPr>
          <w:p w14:paraId="581F32CD" w14:textId="1F0E61B6" w:rsidR="00242D8A" w:rsidRPr="00781112" w:rsidRDefault="00905D69"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_Ref141250691 \f \h </w:instrText>
            </w:r>
            <w:r>
              <w:rPr>
                <w:rFonts w:cs="Arial"/>
                <w:color w:val="000000" w:themeColor="text1"/>
                <w:szCs w:val="16"/>
              </w:rPr>
            </w:r>
            <w:r>
              <w:rPr>
                <w:rFonts w:cs="Arial"/>
                <w:color w:val="000000" w:themeColor="text1"/>
                <w:szCs w:val="16"/>
              </w:rPr>
              <w:fldChar w:fldCharType="separate"/>
            </w:r>
            <w:r w:rsidR="00C165B5" w:rsidRPr="00C165B5">
              <w:rPr>
                <w:rStyle w:val="FootnoteReference"/>
              </w:rPr>
              <w:t>5</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18E61107" w:rsidR="00497DE4" w:rsidRPr="00B04D70" w:rsidRDefault="00497DE4" w:rsidP="00B04D70">
      <w:pPr>
        <w:spacing w:before="0" w:after="200" w:line="276" w:lineRule="auto"/>
        <w:rPr>
          <w:color w:val="000000" w:themeColor="text1"/>
        </w:rPr>
      </w:pPr>
      <w:r w:rsidRPr="00781112">
        <w:rPr>
          <w:b/>
          <w:color w:val="000000" w:themeColor="text1"/>
        </w:rPr>
        <w:t>Regulatory Information</w:t>
      </w:r>
      <w:r w:rsidR="00B04D70">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Montana publicly reports Assessment proficiency data on its GEMS website (https://gems.opi.mt.gov/student-data)</w:t>
      </w:r>
      <w:proofErr w:type="gramStart"/>
      <w:r w:rsidRPr="00781112">
        <w:rPr>
          <w:rFonts w:cs="Arial"/>
          <w:color w:val="000000" w:themeColor="text1"/>
          <w:szCs w:val="16"/>
        </w:rPr>
        <w:t xml:space="preserve">.  </w:t>
      </w:r>
      <w:proofErr w:type="gramEnd"/>
      <w:r w:rsidRPr="00781112">
        <w:rPr>
          <w:rFonts w:cs="Arial"/>
          <w:color w:val="000000" w:themeColor="text1"/>
          <w:szCs w:val="16"/>
        </w:rPr>
        <w:t>This is the public data store and reporting platform used for all data within the OPI</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Instructions to access the data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on the IDEA Data page on the OPI website (https://opi.mt.gov/Portals/182/Page%20Files/Special%20Education/IDEA%20Data/Accessing%20Assessment%20Proficiency%20Data%20in%20GEMS.pdf?ver=2022-09-30-083434-713)  </w:t>
      </w:r>
    </w:p>
    <w:p w14:paraId="2BE473B4" w14:textId="77777777" w:rsidR="00053391" w:rsidRPr="00781112" w:rsidRDefault="00053391" w:rsidP="004369B2">
      <w:pPr>
        <w:rPr>
          <w:b/>
          <w:color w:val="000000" w:themeColor="text1"/>
        </w:rPr>
      </w:pPr>
      <w:bookmarkStart w:id="17" w:name="_Toc382082367"/>
      <w:bookmarkStart w:id="18"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 xml:space="preserve">Upon receipt of the FFY2020 APR Determination Letter, Montana began a review of its public data reporting website to determine why the link provided in the FFY2020 APR did not work for OSEP. It was determined that while the link to the main GEMS site was still good, access to the required data had changed slightly from what </w:t>
      </w:r>
      <w:proofErr w:type="gramStart"/>
      <w:r w:rsidRPr="00781112">
        <w:rPr>
          <w:rFonts w:cs="Arial"/>
          <w:color w:val="000000" w:themeColor="text1"/>
          <w:szCs w:val="16"/>
        </w:rPr>
        <w:t>was provided</w:t>
      </w:r>
      <w:proofErr w:type="gramEnd"/>
      <w:r w:rsidRPr="00781112">
        <w:rPr>
          <w:rFonts w:cs="Arial"/>
          <w:color w:val="000000" w:themeColor="text1"/>
          <w:szCs w:val="16"/>
        </w:rPr>
        <w:t xml:space="preserve"> during clarification. On August 8, 2022, OPI Special Education Leadership and the IDEA Part B Data Manager met with their OSEP State Lead and Associate Division Director (ADD) to apprise OSEP of their findings and determine the best way to move forward and meet the required action from the determination letter. It was determined in that meeting that creating step by step directions for how to find the required data and posting them to the IDEA Data section of the OPI website would be the most appropriate and expedient way to address the required action. That document </w:t>
      </w:r>
      <w:proofErr w:type="gramStart"/>
      <w:r w:rsidRPr="00781112">
        <w:rPr>
          <w:rFonts w:cs="Arial"/>
          <w:color w:val="000000" w:themeColor="text1"/>
          <w:szCs w:val="16"/>
        </w:rPr>
        <w:t>was created</w:t>
      </w:r>
      <w:proofErr w:type="gramEnd"/>
      <w:r w:rsidRPr="00781112">
        <w:rPr>
          <w:rFonts w:cs="Arial"/>
          <w:color w:val="000000" w:themeColor="text1"/>
          <w:szCs w:val="16"/>
        </w:rPr>
        <w:t xml:space="preserve">, reviewed by OPI Leadership, approved, and posted on the OPI website within the required 90 days. The document and link to the website </w:t>
      </w:r>
      <w:proofErr w:type="gramStart"/>
      <w:r w:rsidRPr="00781112">
        <w:rPr>
          <w:rFonts w:cs="Arial"/>
          <w:color w:val="000000" w:themeColor="text1"/>
          <w:szCs w:val="16"/>
        </w:rPr>
        <w:t>were also sent</w:t>
      </w:r>
      <w:proofErr w:type="gramEnd"/>
      <w:r w:rsidRPr="00781112">
        <w:rPr>
          <w:rFonts w:cs="Arial"/>
          <w:color w:val="000000" w:themeColor="text1"/>
          <w:szCs w:val="16"/>
        </w:rPr>
        <w:t xml:space="preserve"> to the OSEP State Lead and ADD.</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7"/>
      <w:bookmarkEnd w:id="18"/>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9" w:name="_Toc384383330"/>
      <w:bookmarkStart w:id="20" w:name="_Toc392159282"/>
      <w:bookmarkStart w:id="21"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48.33%</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41.75%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51.11%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50.85%</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45.63%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43.33%</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48.60%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48.70%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48.80%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48.90%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41.90%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42.10%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42.20%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42.30%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51.30%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51.40%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51.50%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51.60%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51.70%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51.10%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51.20%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51.30%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51.40%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51.50%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45.90%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46.00%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46.10%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46.20%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46.30%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43.60%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43.70%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43.80%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43.90%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44.00%</w:t>
            </w:r>
          </w:p>
        </w:tc>
      </w:tr>
    </w:tbl>
    <w:p w14:paraId="2E113D6B" w14:textId="77777777" w:rsidR="00B04D70" w:rsidRDefault="00B04D70" w:rsidP="00B04D70">
      <w:pPr>
        <w:spacing w:before="0" w:after="200" w:line="276" w:lineRule="auto"/>
        <w:rPr>
          <w:b/>
          <w:color w:val="000000" w:themeColor="text1"/>
        </w:rPr>
      </w:pPr>
    </w:p>
    <w:p w14:paraId="08B1A70A" w14:textId="24F54B9D" w:rsidR="002D145D" w:rsidRPr="00B04D70" w:rsidRDefault="002D145D" w:rsidP="00B04D70">
      <w:pPr>
        <w:spacing w:before="0" w:after="200" w:line="276" w:lineRule="auto"/>
        <w:rPr>
          <w:b/>
          <w:color w:val="000000" w:themeColor="text1"/>
        </w:rPr>
      </w:pPr>
      <w:r w:rsidRPr="00781112">
        <w:rPr>
          <w:b/>
          <w:color w:val="000000" w:themeColor="text1"/>
        </w:rPr>
        <w:t xml:space="preserve">Targets: Description of Stakeholder Input </w:t>
      </w:r>
      <w:r w:rsidR="00B04D70">
        <w:rPr>
          <w:b/>
          <w:color w:val="000000" w:themeColor="text1"/>
        </w:rPr>
        <w:br/>
      </w:r>
      <w:r w:rsidR="002B7490"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002B7490" w:rsidRPr="00781112">
        <w:rPr>
          <w:rFonts w:cs="Arial"/>
          <w:color w:val="000000" w:themeColor="text1"/>
          <w:szCs w:val="16"/>
        </w:rPr>
        <w:t>is fully vested</w:t>
      </w:r>
      <w:proofErr w:type="gramEnd"/>
      <w:r w:rsidR="002B7490" w:rsidRPr="00781112">
        <w:rPr>
          <w:rFonts w:cs="Arial"/>
          <w:color w:val="000000" w:themeColor="text1"/>
          <w:szCs w:val="16"/>
        </w:rPr>
        <w:t xml:space="preserve"> and broadly representative of Montana. Additionally, </w:t>
      </w:r>
      <w:proofErr w:type="gramStart"/>
      <w:r w:rsidR="002B7490" w:rsidRPr="00781112">
        <w:rPr>
          <w:rFonts w:cs="Arial"/>
          <w:color w:val="000000" w:themeColor="text1"/>
          <w:szCs w:val="16"/>
        </w:rPr>
        <w:t>many</w:t>
      </w:r>
      <w:proofErr w:type="gramEnd"/>
      <w:r w:rsidR="002B7490"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002B7490" w:rsidRPr="00781112">
        <w:rPr>
          <w:rFonts w:cs="Arial"/>
          <w:color w:val="000000" w:themeColor="text1"/>
          <w:szCs w:val="16"/>
        </w:rPr>
        <w:br/>
      </w:r>
      <w:r w:rsidR="002B7490" w:rsidRPr="00781112">
        <w:rPr>
          <w:rFonts w:cs="Arial"/>
          <w:color w:val="000000" w:themeColor="text1"/>
          <w:szCs w:val="16"/>
        </w:rPr>
        <w:br/>
        <w:t>Other stakeholder groups we sponsor and/or engage include:</w:t>
      </w:r>
      <w:r w:rsidR="002B7490" w:rsidRPr="00781112">
        <w:rPr>
          <w:rFonts w:cs="Arial"/>
          <w:color w:val="000000" w:themeColor="text1"/>
          <w:szCs w:val="16"/>
        </w:rPr>
        <w:br/>
      </w:r>
      <w:r w:rsidR="002B7490"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002B7490" w:rsidRPr="00781112">
        <w:rPr>
          <w:rFonts w:cs="Arial"/>
          <w:color w:val="000000" w:themeColor="text1"/>
          <w:szCs w:val="16"/>
        </w:rPr>
        <w:br/>
      </w:r>
      <w:r w:rsidR="002B7490" w:rsidRPr="00781112">
        <w:rPr>
          <w:rFonts w:cs="Arial"/>
          <w:color w:val="000000" w:themeColor="text1"/>
          <w:szCs w:val="16"/>
        </w:rPr>
        <w:lastRenderedPageBreak/>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002B7490" w:rsidRPr="00781112">
        <w:rPr>
          <w:rFonts w:cs="Arial"/>
          <w:color w:val="000000" w:themeColor="text1"/>
          <w:szCs w:val="16"/>
        </w:rPr>
        <w:br/>
      </w:r>
      <w:r w:rsidR="002B7490"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002B7490" w:rsidRPr="00781112">
        <w:rPr>
          <w:rFonts w:cs="Arial"/>
          <w:color w:val="000000" w:themeColor="text1"/>
          <w:szCs w:val="16"/>
        </w:rPr>
        <w:br/>
      </w:r>
      <w:r w:rsidR="002B7490"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002B7490" w:rsidRPr="00781112">
        <w:rPr>
          <w:rFonts w:cs="Arial"/>
          <w:color w:val="000000" w:themeColor="text1"/>
          <w:szCs w:val="16"/>
        </w:rPr>
        <w:br/>
      </w:r>
      <w:r w:rsidR="002B7490"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002B7490" w:rsidRPr="00781112">
        <w:rPr>
          <w:rFonts w:cs="Arial"/>
          <w:color w:val="000000" w:themeColor="text1"/>
          <w:szCs w:val="16"/>
        </w:rPr>
        <w:t>80</w:t>
      </w:r>
      <w:proofErr w:type="gramEnd"/>
      <w:r w:rsidR="002B7490"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002B7490" w:rsidRPr="00781112">
        <w:rPr>
          <w:rFonts w:cs="Arial"/>
          <w:color w:val="000000" w:themeColor="text1"/>
          <w:szCs w:val="16"/>
        </w:rPr>
        <w:t>SSIP</w:t>
      </w:r>
      <w:proofErr w:type="gramEnd"/>
      <w:r w:rsidR="002B7490"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45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39</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45</w:t>
            </w:r>
          </w:p>
        </w:tc>
      </w:tr>
    </w:tbl>
    <w:p w14:paraId="6B7D3582" w14:textId="77777777" w:rsidR="00B04D70" w:rsidRDefault="00B04D70" w:rsidP="00286BDF">
      <w:pPr>
        <w:rPr>
          <w:rFonts w:cs="Arial"/>
          <w:b/>
          <w:color w:val="000000" w:themeColor="text1"/>
          <w:szCs w:val="16"/>
        </w:rPr>
      </w:pPr>
    </w:p>
    <w:p w14:paraId="31899BDA" w14:textId="7162845F"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253D4082" w14:textId="77777777" w:rsidR="00B04D70" w:rsidRDefault="00B04D70">
      <w:pPr>
        <w:rPr>
          <w:b/>
          <w:color w:val="000000" w:themeColor="text1"/>
        </w:rPr>
      </w:pPr>
    </w:p>
    <w:p w14:paraId="3365AF3D" w14:textId="3D7AA5F3"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53</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37</w:t>
            </w:r>
          </w:p>
        </w:tc>
      </w:tr>
    </w:tbl>
    <w:p w14:paraId="56C37F05" w14:textId="77777777" w:rsidR="00241BD0" w:rsidRPr="00781112" w:rsidRDefault="00241BD0" w:rsidP="004369B2">
      <w:pPr>
        <w:rPr>
          <w:color w:val="000000" w:themeColor="text1"/>
        </w:rPr>
      </w:pPr>
    </w:p>
    <w:p w14:paraId="744B46CE" w14:textId="77777777" w:rsidR="00B04D70" w:rsidRDefault="00B04D70">
      <w:pPr>
        <w:spacing w:before="0" w:after="200" w:line="276" w:lineRule="auto"/>
        <w:rPr>
          <w:b/>
          <w:color w:val="000000" w:themeColor="text1"/>
        </w:rPr>
      </w:pPr>
      <w:r>
        <w:rPr>
          <w:b/>
          <w:color w:val="000000" w:themeColor="text1"/>
        </w:rPr>
        <w:br w:type="page"/>
      </w:r>
    </w:p>
    <w:p w14:paraId="0E0A129D" w14:textId="39E07DEA" w:rsidR="00BD7229"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45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46.15%</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48.60%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43.27%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39</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40.48%</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41.90%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46.99%</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84</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59.57%</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51.30%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53.57%</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Montana cannot explain slippage directly since the assessments used in FFY2022 were the same shortened versions used in FFY2021</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However, one </w:t>
      </w:r>
      <w:proofErr w:type="gramStart"/>
      <w:r w:rsidRPr="00781112">
        <w:rPr>
          <w:rFonts w:cs="Arial"/>
          <w:color w:val="000000" w:themeColor="text1"/>
          <w:szCs w:val="16"/>
        </w:rPr>
        <w:t>possible explanation</w:t>
      </w:r>
      <w:proofErr w:type="gramEnd"/>
      <w:r w:rsidRPr="00781112">
        <w:rPr>
          <w:rFonts w:cs="Arial"/>
          <w:color w:val="000000" w:themeColor="text1"/>
          <w:szCs w:val="16"/>
        </w:rPr>
        <w:t xml:space="preserve"> of slippage may be due to the grade 4 cohort taking the statewide assessment in the 2021-2022 school year being the cohort of students tested that were most impacted by the COVID 19 pandemic.  On March 15, 2020, the Governor temporarily shut down the state, including all school districts</w:t>
      </w:r>
      <w:proofErr w:type="gramStart"/>
      <w:r w:rsidRPr="00781112">
        <w:rPr>
          <w:rFonts w:cs="Arial"/>
          <w:color w:val="000000" w:themeColor="text1"/>
          <w:szCs w:val="16"/>
        </w:rPr>
        <w:t xml:space="preserve">.  </w:t>
      </w:r>
      <w:proofErr w:type="gramEnd"/>
      <w:r w:rsidRPr="00781112">
        <w:rPr>
          <w:rFonts w:cs="Arial"/>
          <w:color w:val="000000" w:themeColor="text1"/>
          <w:szCs w:val="16"/>
        </w:rPr>
        <w:t>The length of closure of school districts varied due to local control and tribal government</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length of school closures, or remote instruction, a model new to both students and teachers, are one of the key factors in unfinished learning as reflected by the slippage in student achievement. Montana compared the special education data to the data for all students in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 across the state for both the regular assessment, the alternate assessment, and the NAEP in reading, and see similar trends in slippage which leads us to believe that COVID 19 was the leading factor for the special education slippage.</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53</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58.24%</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51.10%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50.96%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43</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46.99%</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45.90%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53.75%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84</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53.85%</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43.60%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44.05%</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Montana cannot explain slippage directly since the assessments used in FFY2022 were the same shortened versions used in FFY2021</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However, one </w:t>
      </w:r>
      <w:proofErr w:type="gramStart"/>
      <w:r w:rsidRPr="00781112">
        <w:rPr>
          <w:rFonts w:cs="Arial"/>
          <w:color w:val="000000" w:themeColor="text1"/>
          <w:szCs w:val="16"/>
        </w:rPr>
        <w:t>possible explanation</w:t>
      </w:r>
      <w:proofErr w:type="gramEnd"/>
      <w:r w:rsidRPr="00781112">
        <w:rPr>
          <w:rFonts w:cs="Arial"/>
          <w:color w:val="000000" w:themeColor="text1"/>
          <w:szCs w:val="16"/>
        </w:rPr>
        <w:t xml:space="preserve"> of slippage may be due to the grade 4 cohort taking the statewide assessment in the 2021-2022 school year being the cohort of students tested that were most impacted by the COVID 19 pandemic.  On March 15, 2020, the Governor temporarily shut down the state, including all school districts</w:t>
      </w:r>
      <w:proofErr w:type="gramStart"/>
      <w:r w:rsidRPr="00781112">
        <w:rPr>
          <w:rFonts w:cs="Arial"/>
          <w:color w:val="000000" w:themeColor="text1"/>
          <w:szCs w:val="16"/>
        </w:rPr>
        <w:t xml:space="preserve">.  </w:t>
      </w:r>
      <w:proofErr w:type="gramEnd"/>
      <w:r w:rsidRPr="00781112">
        <w:rPr>
          <w:rFonts w:cs="Arial"/>
          <w:color w:val="000000" w:themeColor="text1"/>
          <w:szCs w:val="16"/>
        </w:rPr>
        <w:t>The length of closure of school districts varied due to local control and tribal government</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length of school closures, or remote instruction, a model new to both students and teachers, are one of the key factors in unfinished learning as reflected by the slippage in student achievement. Montana compared the special education data to the data for all students in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 across the state for both the regular assessment, the alternate assessment, and the NAEP in math, and see similar trends in slippage which leads us to believe that COVID 19 was the leading factor for the special education slippage.</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Montana publicly reports Assessment proficiency data on its GEMS website (https://gems.opi.mt.gov/student-data)</w:t>
      </w:r>
      <w:proofErr w:type="gramStart"/>
      <w:r w:rsidRPr="00781112">
        <w:rPr>
          <w:rFonts w:cs="Arial"/>
          <w:color w:val="000000" w:themeColor="text1"/>
          <w:szCs w:val="16"/>
          <w:shd w:val="clear" w:color="auto" w:fill="FFFFFF"/>
        </w:rPr>
        <w:t xml:space="preserve">.  </w:t>
      </w:r>
      <w:proofErr w:type="gramEnd"/>
      <w:r w:rsidRPr="00781112">
        <w:rPr>
          <w:rFonts w:cs="Arial"/>
          <w:color w:val="000000" w:themeColor="text1"/>
          <w:szCs w:val="16"/>
          <w:shd w:val="clear" w:color="auto" w:fill="FFFFFF"/>
        </w:rPr>
        <w:t>This is the public data store and reporting platform used for all data within the OPI</w:t>
      </w:r>
      <w:proofErr w:type="gramStart"/>
      <w:r w:rsidRPr="00781112">
        <w:rPr>
          <w:rFonts w:cs="Arial"/>
          <w:color w:val="000000" w:themeColor="text1"/>
          <w:szCs w:val="16"/>
          <w:shd w:val="clear" w:color="auto" w:fill="FFFFFF"/>
        </w:rPr>
        <w:t xml:space="preserve">.  </w:t>
      </w:r>
      <w:proofErr w:type="gramEnd"/>
      <w:r w:rsidRPr="00781112">
        <w:rPr>
          <w:rFonts w:cs="Arial"/>
          <w:color w:val="000000" w:themeColor="text1"/>
          <w:szCs w:val="16"/>
          <w:shd w:val="clear" w:color="auto" w:fill="FFFFFF"/>
        </w:rPr>
        <w:t xml:space="preserve">Instructions to access the data can </w:t>
      </w:r>
      <w:proofErr w:type="gramStart"/>
      <w:r w:rsidRPr="00781112">
        <w:rPr>
          <w:rFonts w:cs="Arial"/>
          <w:color w:val="000000" w:themeColor="text1"/>
          <w:szCs w:val="16"/>
          <w:shd w:val="clear" w:color="auto" w:fill="FFFFFF"/>
        </w:rPr>
        <w:t>be found</w:t>
      </w:r>
      <w:proofErr w:type="gramEnd"/>
      <w:r w:rsidRPr="00781112">
        <w:rPr>
          <w:rFonts w:cs="Arial"/>
          <w:color w:val="000000" w:themeColor="text1"/>
          <w:szCs w:val="16"/>
          <w:shd w:val="clear" w:color="auto" w:fill="FFFFFF"/>
        </w:rPr>
        <w:t xml:space="preserve"> on the IDEA Data page on the OPI website (https://opi.mt.gov/Portals/182/Page%20Files/Special%20Education/IDEA%20Data/Accessing%20Assessment%20Proficiency%20Data%20in%20GEMS.pdf?ver=2022-09-30-083434-713)</w:t>
      </w:r>
    </w:p>
    <w:p w14:paraId="32BCE51B" w14:textId="77777777" w:rsidR="00796DC0" w:rsidRPr="00781112" w:rsidRDefault="00796DC0" w:rsidP="004369B2">
      <w:pPr>
        <w:rPr>
          <w:b/>
          <w:color w:val="000000" w:themeColor="text1"/>
        </w:rPr>
      </w:pPr>
      <w:r w:rsidRPr="00781112">
        <w:rPr>
          <w:b/>
          <w:color w:val="000000" w:themeColor="text1"/>
        </w:rPr>
        <w:lastRenderedPageBreak/>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t>Upon receipt of the FFY2020 APR Determination Letter, Montana began a review of its public data reporting website to determine why the link provided in the FFY2020 APR did not work for OSEP</w:t>
      </w:r>
      <w:proofErr w:type="gramStart"/>
      <w:r w:rsidRPr="00781112">
        <w:rPr>
          <w:rFonts w:cs="Arial"/>
          <w:color w:val="000000" w:themeColor="text1"/>
          <w:szCs w:val="16"/>
        </w:rPr>
        <w:t xml:space="preserve">.  </w:t>
      </w:r>
      <w:proofErr w:type="gramEnd"/>
      <w:r w:rsidRPr="00781112">
        <w:rPr>
          <w:rFonts w:cs="Arial"/>
          <w:color w:val="000000" w:themeColor="text1"/>
          <w:szCs w:val="16"/>
        </w:rPr>
        <w:t>It was determined that while the link to the main GEMS site was still good, access to the required data had changed slightly from what was provided during clarification</w:t>
      </w:r>
      <w:proofErr w:type="gramStart"/>
      <w:r w:rsidRPr="00781112">
        <w:rPr>
          <w:rFonts w:cs="Arial"/>
          <w:color w:val="000000" w:themeColor="text1"/>
          <w:szCs w:val="16"/>
        </w:rPr>
        <w:t xml:space="preserve">.  </w:t>
      </w:r>
      <w:proofErr w:type="gramEnd"/>
      <w:r w:rsidRPr="00781112">
        <w:rPr>
          <w:rFonts w:cs="Arial"/>
          <w:color w:val="000000" w:themeColor="text1"/>
          <w:szCs w:val="16"/>
        </w:rPr>
        <w:t>On August 8, 2022, OPI Special Education Leadership and the IDEA Part B Data Manager met with their OSEP State Lead and Associate Division Director (ADD) to apprise OSEP of their findings and determine the best way to move forward and meet the required action from the determination letter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It was determined in that meeting that creating step by step directors for how to find the required </w:t>
      </w:r>
      <w:proofErr w:type="gramStart"/>
      <w:r w:rsidRPr="00781112">
        <w:rPr>
          <w:rFonts w:cs="Arial"/>
          <w:color w:val="000000" w:themeColor="text1"/>
          <w:szCs w:val="16"/>
        </w:rPr>
        <w:t>data, and</w:t>
      </w:r>
      <w:proofErr w:type="gramEnd"/>
      <w:r w:rsidRPr="00781112">
        <w:rPr>
          <w:rFonts w:cs="Arial"/>
          <w:color w:val="000000" w:themeColor="text1"/>
          <w:szCs w:val="16"/>
        </w:rPr>
        <w:t xml:space="preserve"> posting them to the IDEA Data section of the OPI website would be the most appropriate and expedient way to address the required action.  That document was created, reviewed by OPI Leadership, approved, and posted on the OPI website within the required 90 days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document and link to the website </w:t>
      </w:r>
      <w:proofErr w:type="gramStart"/>
      <w:r w:rsidRPr="00781112">
        <w:rPr>
          <w:rFonts w:cs="Arial"/>
          <w:color w:val="000000" w:themeColor="text1"/>
          <w:szCs w:val="16"/>
        </w:rPr>
        <w:t>were also sent</w:t>
      </w:r>
      <w:proofErr w:type="gramEnd"/>
      <w:r w:rsidRPr="00781112">
        <w:rPr>
          <w:rFonts w:cs="Arial"/>
          <w:color w:val="000000" w:themeColor="text1"/>
          <w:szCs w:val="16"/>
        </w:rPr>
        <w:t xml:space="preserve"> to the OSEP State Lead and ADD.</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30.12</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37.29</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40.54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30.20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30.65</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28.85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30.02</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29.92</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29.82</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29.72</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26.20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37.19</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37.09</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36.99</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36.89</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36.79</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40.44</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40.34</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40.24</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40.14</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40.04</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30.10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29.90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29.80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29.70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30.55</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30.45</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30.35</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30.25</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30.15</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28.75</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28.65</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28.55</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28.45</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28.35</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lastRenderedPageBreak/>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1A8E431E" w14:textId="45368C9A" w:rsidR="00DD5B7A" w:rsidRPr="00781112" w:rsidRDefault="00DD5B7A" w:rsidP="00DD5B7A">
      <w:pPr>
        <w:rPr>
          <w:rFonts w:cs="Arial"/>
          <w:color w:val="000000" w:themeColor="text1"/>
          <w:szCs w:val="16"/>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10,967</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11,531</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9,056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1,297</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1,245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723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4,954</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5,191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3,809</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66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18</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149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115</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57</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52</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45</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10,937</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11,163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9,191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1,290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1,202</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778</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lastRenderedPageBreak/>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4,426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3,321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2,300</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136</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79</w:t>
            </w:r>
          </w:p>
        </w:tc>
        <w:tc>
          <w:tcPr>
            <w:tcW w:w="1084" w:type="pct"/>
            <w:shd w:val="clear" w:color="auto" w:fill="auto"/>
            <w:vAlign w:val="center"/>
          </w:tcPr>
          <w:p w14:paraId="53087BDA" w14:textId="58987115" w:rsidR="0039534D" w:rsidRPr="00781112" w:rsidRDefault="00652EE8" w:rsidP="0039534D">
            <w:pPr>
              <w:jc w:val="center"/>
              <w:rPr>
                <w:rFonts w:cs="Arial"/>
                <w:color w:val="000000" w:themeColor="text1"/>
                <w:szCs w:val="16"/>
              </w:rPr>
            </w:pPr>
            <w:r>
              <w:rPr>
                <w:rFonts w:cs="Arial"/>
                <w:color w:val="000000" w:themeColor="text1"/>
                <w:szCs w:val="16"/>
              </w:rPr>
              <w:t>x</w:t>
            </w:r>
            <w:bookmarkStart w:id="22" w:name="_Ref141165650"/>
            <w:r>
              <w:rPr>
                <w:rStyle w:val="FootnoteReference"/>
                <w:rFonts w:cs="Arial"/>
                <w:color w:val="000000" w:themeColor="text1"/>
                <w:szCs w:val="16"/>
              </w:rPr>
              <w:footnoteReference w:id="7"/>
            </w:r>
            <w:bookmarkEnd w:id="22"/>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117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41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55</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24</w:t>
            </w:r>
          </w:p>
        </w:tc>
        <w:tc>
          <w:tcPr>
            <w:tcW w:w="1084" w:type="pct"/>
            <w:shd w:val="clear" w:color="auto" w:fill="auto"/>
            <w:vAlign w:val="center"/>
          </w:tcPr>
          <w:p w14:paraId="20EB2770" w14:textId="669F73F8" w:rsidR="0039534D" w:rsidRPr="00781112" w:rsidRDefault="00652EE8"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_Ref141165650 \f \h </w:instrText>
            </w:r>
            <w:r>
              <w:rPr>
                <w:rFonts w:cs="Arial"/>
                <w:color w:val="000000" w:themeColor="text1"/>
                <w:szCs w:val="16"/>
              </w:rPr>
            </w:r>
            <w:r>
              <w:rPr>
                <w:rFonts w:cs="Arial"/>
                <w:color w:val="000000" w:themeColor="text1"/>
                <w:szCs w:val="16"/>
              </w:rPr>
              <w:fldChar w:fldCharType="separate"/>
            </w:r>
            <w:r w:rsidR="00C165B5" w:rsidRPr="00C165B5">
              <w:rPr>
                <w:rStyle w:val="FootnoteReference"/>
              </w:rPr>
              <w:t>6</w:t>
            </w:r>
            <w:r>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15.50%</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45.89%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28.05</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30.02</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30.39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12.85%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45.59%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36.18</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37.19</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32.74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8.44%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42.26%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39.03</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40.44</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33.82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006E999D" w14:textId="1EDDAFA8" w:rsidR="00DD5B7A" w:rsidRPr="00B04D70" w:rsidRDefault="00DD5B7A" w:rsidP="00B04D70">
      <w:pPr>
        <w:rPr>
          <w:rFonts w:cs="Arial"/>
          <w:color w:val="000000" w:themeColor="text1"/>
          <w:szCs w:val="16"/>
        </w:rPr>
      </w:pPr>
      <w:r w:rsidRPr="00781112">
        <w:rPr>
          <w:rFonts w:cs="Arial"/>
          <w:color w:val="000000" w:themeColor="text1"/>
          <w:szCs w:val="16"/>
        </w:rPr>
        <w:t>Montana cannot explain slippage directly since the assessments used in FFY2022 were the same shortened versions used in FFY2021</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However, one </w:t>
      </w:r>
      <w:proofErr w:type="gramStart"/>
      <w:r w:rsidRPr="00781112">
        <w:rPr>
          <w:rFonts w:cs="Arial"/>
          <w:color w:val="000000" w:themeColor="text1"/>
          <w:szCs w:val="16"/>
        </w:rPr>
        <w:t>possible explanation</w:t>
      </w:r>
      <w:proofErr w:type="gramEnd"/>
      <w:r w:rsidRPr="00781112">
        <w:rPr>
          <w:rFonts w:cs="Arial"/>
          <w:color w:val="000000" w:themeColor="text1"/>
          <w:szCs w:val="16"/>
        </w:rPr>
        <w:t xml:space="preserve"> of slippage may be due to the grade 4 cohort taking the statewide assessment in the 2021-2022 school year being the cohort of students tested that were most impacted by the COVID 19 pandemic.  On March 15, 2020, the Governor temporarily shut down the state, including all school districts</w:t>
      </w:r>
      <w:proofErr w:type="gramStart"/>
      <w:r w:rsidRPr="00781112">
        <w:rPr>
          <w:rFonts w:cs="Arial"/>
          <w:color w:val="000000" w:themeColor="text1"/>
          <w:szCs w:val="16"/>
        </w:rPr>
        <w:t xml:space="preserve">.  </w:t>
      </w:r>
      <w:proofErr w:type="gramEnd"/>
      <w:r w:rsidRPr="00781112">
        <w:rPr>
          <w:rFonts w:cs="Arial"/>
          <w:color w:val="000000" w:themeColor="text1"/>
          <w:szCs w:val="16"/>
        </w:rPr>
        <w:t>The length of closure of school districts varied due to local control and tribal government</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length of school closures, or remote instruction, a model new to both students and teachers, are one of the key factors in unfinished learning as reflected by the slippage in student achievement. Montana compared the special education data to the data for all students in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 across the state for both the regular assessment, the alternate assessment, and the NAEP in reading, and see similar trends in slippage which leads us to believe that COVID 19 was the leading factor for the special education slippage.</w:t>
      </w:r>
    </w:p>
    <w:p w14:paraId="2E07CCBD" w14:textId="39A87741" w:rsidR="00DD5B7A" w:rsidRPr="00781112" w:rsidRDefault="00B04D70" w:rsidP="00DD5B7A">
      <w:pPr>
        <w:rPr>
          <w:b/>
          <w:color w:val="000000" w:themeColor="text1"/>
        </w:rPr>
      </w:pPr>
      <w:r>
        <w:rPr>
          <w:b/>
          <w:color w:val="000000" w:themeColor="text1"/>
        </w:rPr>
        <w:br/>
      </w:r>
      <w:r w:rsidR="0047313F">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13.33%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41.71%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26.71</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30.10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28.38</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5.41%</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30.46%</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26.82</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30.55</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25.05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05B16D47" w:rsidR="002A19C8" w:rsidRPr="00781112" w:rsidRDefault="00652EE8"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_Ref141165650 \f \h </w:instrText>
            </w:r>
            <w:r>
              <w:rPr>
                <w:rFonts w:cs="Arial"/>
                <w:color w:val="000000" w:themeColor="text1"/>
                <w:szCs w:val="16"/>
              </w:rPr>
            </w:r>
            <w:r>
              <w:rPr>
                <w:rFonts w:cs="Arial"/>
                <w:color w:val="000000" w:themeColor="text1"/>
                <w:szCs w:val="16"/>
              </w:rPr>
              <w:fldChar w:fldCharType="separate"/>
            </w:r>
            <w:r w:rsidR="00C165B5" w:rsidRPr="00C165B5">
              <w:rPr>
                <w:rStyle w:val="FootnoteReference"/>
              </w:rPr>
              <w:t>6</w:t>
            </w:r>
            <w:r>
              <w:rPr>
                <w:rFonts w:cs="Arial"/>
                <w:color w:val="000000" w:themeColor="text1"/>
                <w:szCs w:val="16"/>
              </w:rPr>
              <w:fldChar w:fldCharType="end"/>
            </w:r>
          </w:p>
        </w:tc>
        <w:tc>
          <w:tcPr>
            <w:tcW w:w="834" w:type="pct"/>
            <w:shd w:val="clear" w:color="auto" w:fill="auto"/>
            <w:vAlign w:val="center"/>
          </w:tcPr>
          <w:p w14:paraId="13AB3928" w14:textId="32F2B0DA" w:rsidR="002A19C8" w:rsidRPr="00781112" w:rsidRDefault="00652EE8"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_Ref141165650 \f \h </w:instrText>
            </w:r>
            <w:r>
              <w:rPr>
                <w:rFonts w:cs="Arial"/>
                <w:color w:val="000000" w:themeColor="text1"/>
                <w:szCs w:val="16"/>
              </w:rPr>
            </w:r>
            <w:r>
              <w:rPr>
                <w:rFonts w:cs="Arial"/>
                <w:color w:val="000000" w:themeColor="text1"/>
                <w:szCs w:val="16"/>
              </w:rPr>
              <w:fldChar w:fldCharType="separate"/>
            </w:r>
            <w:r w:rsidR="00C165B5" w:rsidRPr="00C165B5">
              <w:rPr>
                <w:rStyle w:val="FootnoteReference"/>
              </w:rPr>
              <w:t>6</w:t>
            </w:r>
            <w:r>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24.49</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28.75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22.20</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7F23E38E" w14:textId="0EF3CD6F" w:rsidR="00B04D70" w:rsidRPr="00B04D70" w:rsidRDefault="00DD5B7A" w:rsidP="00B04D70">
      <w:pPr>
        <w:rPr>
          <w:b/>
          <w:color w:val="000000" w:themeColor="text1"/>
        </w:rPr>
      </w:pPr>
      <w:r w:rsidRPr="00781112">
        <w:rPr>
          <w:b/>
          <w:color w:val="000000" w:themeColor="text1"/>
        </w:rPr>
        <w:t>Provide additional information about this indicator (optional)</w:t>
      </w: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6F9D8957" w14:textId="3A1CE67A" w:rsidR="00764DDE" w:rsidRPr="00B04D70" w:rsidRDefault="00764DDE" w:rsidP="00B04D70">
      <w:pPr>
        <w:pStyle w:val="Heading2"/>
      </w:pPr>
      <w:r w:rsidRPr="00781112">
        <w:t>3D - OSEP Response</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9"/>
      <w:bookmarkEnd w:id="20"/>
    </w:p>
    <w:p w14:paraId="6B24B370" w14:textId="77777777" w:rsidR="006E5AE4" w:rsidRPr="00781112" w:rsidRDefault="006E5AE4" w:rsidP="00A018D4">
      <w:pPr>
        <w:rPr>
          <w:color w:val="000000" w:themeColor="text1"/>
          <w:szCs w:val="20"/>
        </w:rPr>
      </w:pPr>
      <w:bookmarkStart w:id="23" w:name="_Toc384383331"/>
      <w:bookmarkStart w:id="2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5" w:name="_Toc384383332"/>
      <w:bookmarkStart w:id="26" w:name="_Toc392159284"/>
      <w:bookmarkEnd w:id="23"/>
      <w:bookmarkEnd w:id="2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BB7BC9"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315EDFF" w14:textId="1943A2C3"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6B580E93" w14:textId="6155D799" w:rsidR="00BB7BC9" w:rsidRPr="00781112" w:rsidRDefault="00BB7BC9" w:rsidP="00A018D4">
            <w:pPr>
              <w:jc w:val="center"/>
              <w:rPr>
                <w:rFonts w:cs="Arial"/>
                <w:color w:val="000000" w:themeColor="text1"/>
                <w:szCs w:val="16"/>
              </w:rPr>
            </w:pP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5"/>
    <w:bookmarkEnd w:id="26"/>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400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A862C3" w:rsidP="00A018D4">
            <w:pPr>
              <w:jc w:val="center"/>
              <w:rPr>
                <w:rFonts w:cs="Arial"/>
                <w:color w:val="000000" w:themeColor="text1"/>
                <w:szCs w:val="16"/>
              </w:rPr>
            </w:pP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A LEA is determined to have a significant discrepancy if, given a minimum N of </w:t>
      </w:r>
      <w:proofErr w:type="gramStart"/>
      <w:r w:rsidRPr="00781112">
        <w:rPr>
          <w:rFonts w:cs="Arial"/>
          <w:color w:val="000000" w:themeColor="text1"/>
          <w:szCs w:val="16"/>
        </w:rPr>
        <w:t>10</w:t>
      </w:r>
      <w:proofErr w:type="gramEnd"/>
      <w:r w:rsidRPr="00781112">
        <w:rPr>
          <w:rFonts w:cs="Arial"/>
          <w:color w:val="000000" w:themeColor="text1"/>
          <w:szCs w:val="16"/>
        </w:rPr>
        <w:t xml:space="preserve">, it demonstrates a statistical difference in long-term suspension and expulsion rates for students with disabilities when compared to the long-term suspension and expulsion rates for students without disabilities. The statistical test is a one-tail test at the .01 significance level. Montana uses a Z score of 2.33 to determine a statistical difference. </w:t>
      </w:r>
      <w:r w:rsidRPr="00781112">
        <w:rPr>
          <w:rFonts w:cs="Arial"/>
          <w:color w:val="000000" w:themeColor="text1"/>
          <w:szCs w:val="16"/>
        </w:rPr>
        <w:br/>
      </w:r>
      <w:r w:rsidRPr="00781112">
        <w:rPr>
          <w:rFonts w:cs="Arial"/>
          <w:color w:val="000000" w:themeColor="text1"/>
          <w:szCs w:val="16"/>
        </w:rPr>
        <w:br/>
        <w:t xml:space="preserve">Montana conducted a review of LEA long-term suspension and expulsion rates for students with disabilities to determine if a significant discrepancy occurred within a LEA. This </w:t>
      </w:r>
      <w:proofErr w:type="gramStart"/>
      <w:r w:rsidRPr="00781112">
        <w:rPr>
          <w:rFonts w:cs="Arial"/>
          <w:color w:val="000000" w:themeColor="text1"/>
          <w:szCs w:val="16"/>
        </w:rPr>
        <w:t>is calculated</w:t>
      </w:r>
      <w:proofErr w:type="gramEnd"/>
      <w:r w:rsidRPr="00781112">
        <w:rPr>
          <w:rFonts w:cs="Arial"/>
          <w:color w:val="000000" w:themeColor="text1"/>
          <w:szCs w:val="16"/>
        </w:rPr>
        <w:t xml:space="preserve"> by comparing the rates of long-term suspensions and expulsions of students with disabilities to the rates of long-term suspension and expulsion rates of nondisabled students within each LEA. Montana uses a test of the difference between proportions as the methodology for identifying significant discrepancy. The minimum N of 10 is applied to the numerator of this equation - that is, if an LEA does not have at least 10 students with disabilities who had a long-term suspension or expulsion, the data is not reviewed for that LEA. </w:t>
      </w:r>
      <w:r w:rsidRPr="00781112">
        <w:rPr>
          <w:rFonts w:cs="Arial"/>
          <w:color w:val="000000" w:themeColor="text1"/>
          <w:szCs w:val="16"/>
        </w:rPr>
        <w:br/>
      </w:r>
      <w:r w:rsidRPr="00781112">
        <w:rPr>
          <w:rFonts w:cs="Arial"/>
          <w:color w:val="000000" w:themeColor="text1"/>
          <w:szCs w:val="16"/>
        </w:rPr>
        <w:br/>
        <w:t xml:space="preserve">For any districts that do meet the minimum N of 10 and are determined to have a significant discrepancy, a full Policy, Practice Procedure review is completed. If it is determined that the LEA has inappropriate policies, practices, or procedures that led to the discrepancy, the OPI would issue a finding </w:t>
      </w:r>
      <w:r w:rsidRPr="00781112">
        <w:rPr>
          <w:rFonts w:cs="Arial"/>
          <w:color w:val="000000" w:themeColor="text1"/>
          <w:szCs w:val="16"/>
        </w:rPr>
        <w:lastRenderedPageBreak/>
        <w:t>and work with the LEA to correct the issues, utilizing the OSEP 09-02 memo requirements.</w:t>
      </w:r>
      <w:r w:rsidRPr="00781112">
        <w:rPr>
          <w:rFonts w:cs="Arial"/>
          <w:color w:val="000000" w:themeColor="text1"/>
          <w:szCs w:val="16"/>
        </w:rPr>
        <w:br/>
        <w:t xml:space="preserve"> </w:t>
      </w:r>
      <w:r w:rsidRPr="00781112">
        <w:rPr>
          <w:rFonts w:cs="Arial"/>
          <w:color w:val="000000" w:themeColor="text1"/>
          <w:szCs w:val="16"/>
        </w:rPr>
        <w:br/>
        <w:t>As noted in OSEP’s Part B Indicator Measurement Table, data used in the state’s examination is from the 2020-2021 school year, resulting in a one-year data lag for this indicator.</w:t>
      </w:r>
      <w:r w:rsidRPr="00781112">
        <w:rPr>
          <w:rFonts w:cs="Arial"/>
          <w:color w:val="000000" w:themeColor="text1"/>
          <w:szCs w:val="16"/>
        </w:rPr>
        <w:br/>
      </w:r>
      <w:r w:rsidRPr="00781112">
        <w:rPr>
          <w:rFonts w:cs="Arial"/>
          <w:color w:val="000000" w:themeColor="text1"/>
          <w:szCs w:val="16"/>
        </w:rPr>
        <w:br/>
        <w:t>Montana did not have any districts that met the minimum "n" for this indicator.</w:t>
      </w:r>
    </w:p>
    <w:p w14:paraId="47F07052" w14:textId="77777777" w:rsidR="00BB504D" w:rsidRPr="00781112" w:rsidRDefault="00BB504D" w:rsidP="004369B2">
      <w:pPr>
        <w:rPr>
          <w:b/>
          <w:color w:val="000000" w:themeColor="text1"/>
        </w:rPr>
      </w:pPr>
      <w:bookmarkStart w:id="27" w:name="_Toc384383334"/>
      <w:bookmarkStart w:id="28"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7"/>
    <w:bookmarkEnd w:id="28"/>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D57DA" w:rsidP="00082667">
      <w:pPr>
        <w:rPr>
          <w:rFonts w:cs="Arial"/>
          <w:color w:val="000000" w:themeColor="text1"/>
          <w:szCs w:val="16"/>
        </w:rPr>
      </w:pP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9" w:name="_Toc381956335"/>
      <w:bookmarkStart w:id="30" w:name="_Toc384383336"/>
      <w:bookmarkStart w:id="31"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in the rate of long-term suspensions and expulsions of children with IEPs that falls above the median of thresholds used by similarly situated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and how the State’s threshold for measuring significant discrepancy in the rate of long-term suspensions and expulsions is reasonably designed.</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9"/>
      <w:bookmarkEnd w:id="30"/>
      <w:bookmarkEnd w:id="31"/>
    </w:p>
    <w:p w14:paraId="1BA30D93" w14:textId="77777777" w:rsidR="008637F8" w:rsidRPr="00781112" w:rsidRDefault="008637F8" w:rsidP="00A018D4">
      <w:pPr>
        <w:rPr>
          <w:color w:val="000000" w:themeColor="text1"/>
          <w:szCs w:val="20"/>
        </w:rPr>
      </w:pPr>
      <w:bookmarkStart w:id="32" w:name="_Toc384383338"/>
      <w:bookmarkStart w:id="33"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25FDFA48" w14:textId="77777777" w:rsidR="00B04D70" w:rsidRPr="00781112" w:rsidRDefault="00B04D70"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4FB78EAB" w14:textId="77777777" w:rsidR="00B04D70" w:rsidRPr="00781112" w:rsidRDefault="00B04D70"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BB7BC9"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54826674" w14:textId="13F0F281"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29A1627C" w14:textId="5AC2DD55" w:rsidR="00BB7BC9" w:rsidRPr="00781112" w:rsidRDefault="00BB7BC9" w:rsidP="00A018D4">
            <w:pPr>
              <w:jc w:val="center"/>
              <w:rPr>
                <w:rFonts w:cs="Arial"/>
                <w:color w:val="000000" w:themeColor="text1"/>
                <w:szCs w:val="16"/>
              </w:rPr>
            </w:pP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2"/>
    <w:bookmarkEnd w:id="33"/>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400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DE45AB" w:rsidP="00A018D4">
            <w:pPr>
              <w:jc w:val="center"/>
              <w:rPr>
                <w:rFonts w:cs="Arial"/>
                <w:color w:val="000000" w:themeColor="text1"/>
                <w:szCs w:val="16"/>
              </w:rPr>
            </w:pP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4"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A LEA is determined to have a significant discrepancy, by race or ethnicity, if, given a minimum N of </w:t>
      </w:r>
      <w:proofErr w:type="gramStart"/>
      <w:r w:rsidRPr="00781112">
        <w:rPr>
          <w:rFonts w:cs="Arial"/>
          <w:color w:val="000000" w:themeColor="text1"/>
          <w:szCs w:val="16"/>
        </w:rPr>
        <w:t>10</w:t>
      </w:r>
      <w:proofErr w:type="gramEnd"/>
      <w:r w:rsidRPr="00781112">
        <w:rPr>
          <w:rFonts w:cs="Arial"/>
          <w:color w:val="000000" w:themeColor="text1"/>
          <w:szCs w:val="16"/>
        </w:rPr>
        <w:t>, it demonstrates a statistical difference in long-term suspension and expulsion rates for students with disabilities when compared to the long-term suspension and expulsion rates for students without disabilities. The statistical test is a one-tail test at the .01 significance level</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Montana uses a Z score of 2.33 to determine a statistical difference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analysis </w:t>
      </w:r>
      <w:proofErr w:type="gramStart"/>
      <w:r w:rsidRPr="00781112">
        <w:rPr>
          <w:rFonts w:cs="Arial"/>
          <w:color w:val="000000" w:themeColor="text1"/>
          <w:szCs w:val="16"/>
        </w:rPr>
        <w:t>is completed</w:t>
      </w:r>
      <w:proofErr w:type="gramEnd"/>
      <w:r w:rsidRPr="00781112">
        <w:rPr>
          <w:rFonts w:cs="Arial"/>
          <w:color w:val="000000" w:themeColor="text1"/>
          <w:szCs w:val="16"/>
        </w:rPr>
        <w:t xml:space="preserve"> for all required racial/ethnic categories. </w:t>
      </w:r>
      <w:r w:rsidRPr="00781112">
        <w:rPr>
          <w:rFonts w:cs="Arial"/>
          <w:color w:val="000000" w:themeColor="text1"/>
          <w:szCs w:val="16"/>
        </w:rPr>
        <w:br/>
      </w:r>
      <w:r w:rsidRPr="00781112">
        <w:rPr>
          <w:rFonts w:cs="Arial"/>
          <w:color w:val="000000" w:themeColor="text1"/>
          <w:szCs w:val="16"/>
        </w:rPr>
        <w:br/>
        <w:t xml:space="preserve">Montana conducted a review of LEA long-term suspension and expulsion rates for students with disabilities to determine if a significant discrepancy, by race or ethnicity, occurred within a LEA. To do this, the rates of long-term suspensions and expulsions of students with disabilities </w:t>
      </w:r>
      <w:proofErr w:type="gramStart"/>
      <w:r w:rsidRPr="00781112">
        <w:rPr>
          <w:rFonts w:cs="Arial"/>
          <w:color w:val="000000" w:themeColor="text1"/>
          <w:szCs w:val="16"/>
        </w:rPr>
        <w:t>are compared</w:t>
      </w:r>
      <w:proofErr w:type="gramEnd"/>
      <w:r w:rsidRPr="00781112">
        <w:rPr>
          <w:rFonts w:cs="Arial"/>
          <w:color w:val="000000" w:themeColor="text1"/>
          <w:szCs w:val="16"/>
        </w:rPr>
        <w:t xml:space="preserve"> to the rates of long-term suspension and expulsion rates of nondisabled students within each LEA. Montana uses a test of the difference between proportions as the methodology for identifying significant discrepancy by race or ethnicity. The minimum N of </w:t>
      </w:r>
      <w:proofErr w:type="gramStart"/>
      <w:r w:rsidRPr="00781112">
        <w:rPr>
          <w:rFonts w:cs="Arial"/>
          <w:color w:val="000000" w:themeColor="text1"/>
          <w:szCs w:val="16"/>
        </w:rPr>
        <w:t>10</w:t>
      </w:r>
      <w:proofErr w:type="gramEnd"/>
      <w:r w:rsidRPr="00781112">
        <w:rPr>
          <w:rFonts w:cs="Arial"/>
          <w:color w:val="000000" w:themeColor="text1"/>
          <w:szCs w:val="16"/>
        </w:rPr>
        <w:t xml:space="preserve"> is applied to the numerator of this equation - that is, if an LEA does not have at least 10 students with disabilities who had a long-term suspension or expulsion, the data is not reviewed for that LEA.  For any districts that do meet the minimum N of </w:t>
      </w:r>
      <w:proofErr w:type="gramStart"/>
      <w:r w:rsidRPr="00781112">
        <w:rPr>
          <w:rFonts w:cs="Arial"/>
          <w:color w:val="000000" w:themeColor="text1"/>
          <w:szCs w:val="16"/>
        </w:rPr>
        <w:t>10</w:t>
      </w:r>
      <w:proofErr w:type="gramEnd"/>
      <w:r w:rsidRPr="00781112">
        <w:rPr>
          <w:rFonts w:cs="Arial"/>
          <w:color w:val="000000" w:themeColor="text1"/>
          <w:szCs w:val="16"/>
        </w:rPr>
        <w:t xml:space="preserve"> and are determined to have a significant discrepancy by race or ethnicity, a full Policy, Practice Procedure review </w:t>
      </w:r>
      <w:proofErr w:type="gramStart"/>
      <w:r w:rsidRPr="00781112">
        <w:rPr>
          <w:rFonts w:cs="Arial"/>
          <w:color w:val="000000" w:themeColor="text1"/>
          <w:szCs w:val="16"/>
        </w:rPr>
        <w:t>iscompleted</w:t>
      </w:r>
      <w:proofErr w:type="gramEnd"/>
      <w:r w:rsidRPr="00781112">
        <w:rPr>
          <w:rFonts w:cs="Arial"/>
          <w:color w:val="000000" w:themeColor="text1"/>
          <w:szCs w:val="16"/>
        </w:rPr>
        <w:t>.  If it is determined that the LEA has inappropriate policies, practices, or procedures that led to the discrepancy by race or ethnicity, the OPI would issue a finding and work with the LEA to correct the issues, utilizing the OSEP 09-02 memo requirements.</w:t>
      </w:r>
      <w:r w:rsidRPr="00781112">
        <w:rPr>
          <w:rFonts w:cs="Arial"/>
          <w:color w:val="000000" w:themeColor="text1"/>
          <w:szCs w:val="16"/>
        </w:rPr>
        <w:br/>
        <w:t xml:space="preserve"> </w:t>
      </w:r>
      <w:r w:rsidRPr="00781112">
        <w:rPr>
          <w:rFonts w:cs="Arial"/>
          <w:color w:val="000000" w:themeColor="text1"/>
          <w:szCs w:val="16"/>
        </w:rPr>
        <w:br/>
        <w:t>As noted in OSEP’s Part B Indicator Measurement Table, data used in the state’s examination is from the 2020-2021 school year, resulting in a one-year data lag for this indicator.</w:t>
      </w:r>
      <w:r w:rsidRPr="00781112">
        <w:rPr>
          <w:rFonts w:cs="Arial"/>
          <w:color w:val="000000" w:themeColor="text1"/>
          <w:szCs w:val="16"/>
        </w:rPr>
        <w:br/>
      </w:r>
      <w:r w:rsidRPr="00781112">
        <w:rPr>
          <w:rFonts w:cs="Arial"/>
          <w:color w:val="000000" w:themeColor="text1"/>
          <w:szCs w:val="16"/>
        </w:rPr>
        <w:br/>
        <w:t>Montana did not have any districts that met the minimum "n" for this indicator.</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616510" w:rsidP="009C613A">
      <w:pPr>
        <w:rPr>
          <w:rFonts w:cs="Arial"/>
          <w:color w:val="000000" w:themeColor="text1"/>
          <w:szCs w:val="16"/>
        </w:rPr>
      </w:pP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by race or ethnicity, in the rate of long-term suspensions and expulsions of children with IEPs that falls above the median of thresholds used by similarly situated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LEAs are being examined for significant discrepancy under the State’s chosen methodology; and how the State’s threshold for measuring significant discrepancy, by race or ethnicity, in the rate of long-term suspensions and expulsions is reasonably designed.</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1"/>
      <w:bookmarkEnd w:id="34"/>
    </w:p>
    <w:p w14:paraId="52AD89A1" w14:textId="77777777" w:rsidR="00775845" w:rsidRPr="00781112" w:rsidRDefault="00775845" w:rsidP="00A018D4">
      <w:pPr>
        <w:rPr>
          <w:color w:val="000000" w:themeColor="text1"/>
          <w:szCs w:val="20"/>
        </w:rPr>
      </w:pPr>
      <w:bookmarkStart w:id="35"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5"/>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52.40%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52.50%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47.72%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49.51%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51.08%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54.60%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11.10%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11.10%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11.10%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11.10%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10.67%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12.28%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11.32%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10.67%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10.13%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1.40%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1.36%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52.60%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52.70%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52.80%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52.90%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53.20%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11.00%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10.90%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10.80%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10.70%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10.60%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1.30%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1.20%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1.10%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1.00%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0.90%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lastRenderedPageBreak/>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19,241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10,794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1,897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143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37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10,794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19,241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54.60%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52.60%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56.10%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1,897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19,241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10.13%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9.86%</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lastRenderedPageBreak/>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207</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19,241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1.36%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1.30%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6"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6"/>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45.10%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45.10%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45.10%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43.31%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40.54%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40.53%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29.99%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28.28%</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27.60%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27.50%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27.50%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27.81%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32.23%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34.67%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44.32%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48.05%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lastRenderedPageBreak/>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29.99%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44.32%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45.20%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45.30%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45.50%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45.50%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45.60%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27.40%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27.30%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27.20%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27.10%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27.00%</w:t>
            </w:r>
          </w:p>
        </w:tc>
      </w:tr>
    </w:tbl>
    <w:p w14:paraId="27170CED" w14:textId="772C81FC" w:rsidR="00E428BD" w:rsidRDefault="00E428BD" w:rsidP="004369B2">
      <w:pPr>
        <w:rPr>
          <w:color w:val="000000" w:themeColor="text1"/>
        </w:rPr>
      </w:pPr>
      <w:bookmarkStart w:id="37" w:name="_Toc382082378"/>
      <w:bookmarkStart w:id="38"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p>
        </w:tc>
        <w:tc>
          <w:tcPr>
            <w:tcW w:w="882" w:type="pct"/>
          </w:tcPr>
          <w:p w14:paraId="262E2FD0" w14:textId="77777777" w:rsidR="00B14519" w:rsidRPr="00781112" w:rsidRDefault="00B14519" w:rsidP="00992ACE">
            <w:pPr>
              <w:jc w:val="center"/>
              <w:rPr>
                <w:rFonts w:cs="Arial"/>
                <w:color w:val="000000" w:themeColor="text1"/>
                <w:szCs w:val="16"/>
              </w:rPr>
            </w:pPr>
          </w:p>
        </w:tc>
        <w:tc>
          <w:tcPr>
            <w:tcW w:w="884" w:type="pct"/>
          </w:tcPr>
          <w:p w14:paraId="54ED085E" w14:textId="77777777" w:rsidR="00B14519" w:rsidRPr="00781112" w:rsidRDefault="00B14519" w:rsidP="00992ACE">
            <w:pPr>
              <w:jc w:val="center"/>
              <w:rPr>
                <w:rFonts w:cs="Arial"/>
                <w:color w:val="000000" w:themeColor="text1"/>
                <w:szCs w:val="16"/>
              </w:rPr>
            </w:pPr>
          </w:p>
        </w:tc>
        <w:tc>
          <w:tcPr>
            <w:tcW w:w="883" w:type="pct"/>
          </w:tcPr>
          <w:p w14:paraId="2466D4C4" w14:textId="77777777" w:rsidR="00B14519" w:rsidRPr="00781112" w:rsidRDefault="00B14519" w:rsidP="00992ACE">
            <w:pPr>
              <w:jc w:val="center"/>
              <w:rPr>
                <w:rFonts w:cs="Arial"/>
                <w:color w:val="000000" w:themeColor="text1"/>
                <w:szCs w:val="16"/>
              </w:rPr>
            </w:pPr>
          </w:p>
        </w:tc>
        <w:tc>
          <w:tcPr>
            <w:tcW w:w="883" w:type="pct"/>
          </w:tcPr>
          <w:p w14:paraId="17FD3C25" w14:textId="77777777" w:rsidR="00B14519" w:rsidRPr="00781112" w:rsidRDefault="00B14519" w:rsidP="00992ACE">
            <w:pPr>
              <w:jc w:val="center"/>
              <w:rPr>
                <w:rFonts w:cs="Arial"/>
                <w:color w:val="000000" w:themeColor="text1"/>
                <w:szCs w:val="16"/>
              </w:rPr>
            </w:pP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230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447</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96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773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55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147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232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115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198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33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346</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lastRenderedPageBreak/>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232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773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28.28%</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45.20%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30.01%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377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773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48.05%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27.40%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48.77%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773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0.92%</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0.65%</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children receiving special education and related services in the home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for Indicator 6C until any fiscal year in which ten or more children receive special education and related services in the home.</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7"/>
      <w:bookmarkEnd w:id="38"/>
    </w:p>
    <w:p w14:paraId="1404DCF9" w14:textId="77777777" w:rsidR="00531E54" w:rsidRPr="00781112" w:rsidRDefault="00531E54" w:rsidP="00A018D4">
      <w:pPr>
        <w:rPr>
          <w:color w:val="000000" w:themeColor="text1"/>
          <w:szCs w:val="20"/>
        </w:rPr>
      </w:pPr>
      <w:bookmarkStart w:id="39"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9"/>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76.90%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61.40%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80.65%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84.62%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76.19%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86.59%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75.50%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59.20%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63.49%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64.43%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68.11%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71.64%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80.80%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70.30%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85.23%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84.48%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81.60%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58.40%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58.50%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31.60%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55.83%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50.40%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50.52%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58.38%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55.97%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75.80%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80.95%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82.35%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76.23%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79.46%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84.34%</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75.80%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64.10%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64.43%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70.27%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68.66%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77.10%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77.20%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77.30%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77.40%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77.50%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75.60%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75.70%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75.80%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75.90%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76.00%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81.10%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81.20%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81.30%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81.40%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81.50%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58.60%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58.70%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58.80%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58.90%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59.00%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76.00%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76.10%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76.20%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76.30%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76.40%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76.00%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76.10%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76.20%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76.30%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76.40%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3938F782" w14:textId="77777777" w:rsidR="00B04D70" w:rsidRDefault="00B04D70">
      <w:pPr>
        <w:rPr>
          <w:b/>
          <w:color w:val="000000" w:themeColor="text1"/>
        </w:rPr>
      </w:pPr>
    </w:p>
    <w:p w14:paraId="4D0201C3" w14:textId="4FE90385" w:rsidR="008751D3" w:rsidRPr="00781112" w:rsidRDefault="0047313F">
      <w:pPr>
        <w:rPr>
          <w:b/>
          <w:color w:val="000000" w:themeColor="text1"/>
        </w:rPr>
      </w:pPr>
      <w:r>
        <w:rPr>
          <w:b/>
          <w:color w:val="000000" w:themeColor="text1"/>
        </w:rPr>
        <w:lastRenderedPageBreak/>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113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3.54%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21.24%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30.09%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51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45.13%</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58</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62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86.59%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77.10%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93.55%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85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113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71.64%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75.60%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75.22%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9.73%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32.74%</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53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46.90%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10.62%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90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101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81.60%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81.10%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89.11%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65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55.97%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58.60%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57.52%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1.77%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21.24%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31.86%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51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45.13%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60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62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84.34%</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96.77%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87</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68.66%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76.99%</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0" w:name="_Toc382082381"/>
      <w:bookmarkStart w:id="41"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Montana uses a standardized required editor-based reporting form to collect entering and exiting preschool outcomes data. The form </w:t>
      </w:r>
      <w:proofErr w:type="gramStart"/>
      <w:r w:rsidRPr="00781112">
        <w:rPr>
          <w:rFonts w:cs="Arial"/>
          <w:color w:val="000000" w:themeColor="text1"/>
          <w:szCs w:val="16"/>
        </w:rPr>
        <w:t>is included</w:t>
      </w:r>
      <w:proofErr w:type="gramEnd"/>
      <w:r w:rsidRPr="00781112">
        <w:rPr>
          <w:rFonts w:cs="Arial"/>
          <w:color w:val="000000" w:themeColor="text1"/>
          <w:szCs w:val="16"/>
        </w:rPr>
        <w:t xml:space="preserve"> in our state-wide student data system special education module along with all other special education required forms. The Part B data manager runs a report to collect the data.</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lastRenderedPageBreak/>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0"/>
      <w:bookmarkEnd w:id="41"/>
    </w:p>
    <w:p w14:paraId="66FBCA03" w14:textId="77777777" w:rsidR="00B654C1" w:rsidRPr="00781112" w:rsidRDefault="00B654C1" w:rsidP="00A018D4">
      <w:pPr>
        <w:rPr>
          <w:color w:val="000000" w:themeColor="text1"/>
          <w:szCs w:val="20"/>
        </w:rPr>
      </w:pPr>
      <w:bookmarkStart w:id="42"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3"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3"/>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2"/>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65.50%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70.30%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70.40%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66.96%</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73.88%</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79.05%</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73.35%</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70.60%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70.70%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70.80%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70.90%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71.00%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218</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332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73.35%</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70.60%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65.66%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Montana uses an approved sampling plan for Indicator 8</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results in differences in the data each year </w:t>
      </w:r>
      <w:proofErr w:type="gramStart"/>
      <w:r w:rsidRPr="00781112">
        <w:rPr>
          <w:rFonts w:cs="Arial"/>
          <w:color w:val="000000" w:themeColor="text1"/>
          <w:szCs w:val="16"/>
        </w:rPr>
        <w:t>are based</w:t>
      </w:r>
      <w:proofErr w:type="gramEnd"/>
      <w:r w:rsidRPr="00781112">
        <w:rPr>
          <w:rFonts w:cs="Arial"/>
          <w:color w:val="000000" w:themeColor="text1"/>
          <w:szCs w:val="16"/>
        </w:rPr>
        <w:t xml:space="preserve"> on the LEAs included in the sample. </w:t>
      </w:r>
      <w:r w:rsidRPr="00781112">
        <w:rPr>
          <w:rFonts w:cs="Arial"/>
          <w:color w:val="000000" w:themeColor="text1"/>
          <w:szCs w:val="16"/>
        </w:rPr>
        <w:br/>
      </w:r>
      <w:r w:rsidRPr="00781112">
        <w:rPr>
          <w:rFonts w:cs="Arial"/>
          <w:color w:val="000000" w:themeColor="text1"/>
          <w:szCs w:val="16"/>
        </w:rPr>
        <w:br/>
        <w:t>When reviewing the data for the  districts, it became apparent that the districts with the lowest response rates were our largest school district, and bigger districts on a few of the Indian Reservations</w:t>
      </w:r>
      <w:proofErr w:type="gramStart"/>
      <w:r w:rsidRPr="00781112">
        <w:rPr>
          <w:rFonts w:cs="Arial"/>
          <w:color w:val="000000" w:themeColor="text1"/>
          <w:szCs w:val="16"/>
        </w:rPr>
        <w:t xml:space="preserve">.  </w:t>
      </w:r>
      <w:proofErr w:type="gramEnd"/>
      <w:r w:rsidRPr="00781112">
        <w:rPr>
          <w:rFonts w:cs="Arial"/>
          <w:color w:val="000000" w:themeColor="text1"/>
          <w:szCs w:val="16"/>
        </w:rPr>
        <w:t>The smaller schools in the sample had higher response rates – even those on the Reservations, whereas our larger schools had the smaller response rates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Parents of students with disabilities, including preschool students, </w:t>
      </w:r>
      <w:proofErr w:type="gramStart"/>
      <w:r w:rsidRPr="00781112">
        <w:rPr>
          <w:rFonts w:cs="Arial"/>
          <w:color w:val="000000" w:themeColor="text1"/>
          <w:szCs w:val="16"/>
        </w:rPr>
        <w:t>are given</w:t>
      </w:r>
      <w:proofErr w:type="gramEnd"/>
      <w:r w:rsidRPr="00781112">
        <w:rPr>
          <w:rFonts w:cs="Arial"/>
          <w:color w:val="000000" w:themeColor="text1"/>
          <w:szCs w:val="16"/>
        </w:rPr>
        <w:t xml:space="preserve"> an opportunity to complete the survey. As in previous years, in FFY2020, the survey </w:t>
      </w:r>
      <w:proofErr w:type="gramStart"/>
      <w:r w:rsidRPr="00781112">
        <w:rPr>
          <w:rFonts w:cs="Arial"/>
          <w:color w:val="000000" w:themeColor="text1"/>
          <w:szCs w:val="16"/>
        </w:rPr>
        <w:t>was given</w:t>
      </w:r>
      <w:proofErr w:type="gramEnd"/>
      <w:r w:rsidRPr="00781112">
        <w:rPr>
          <w:rFonts w:cs="Arial"/>
          <w:color w:val="000000" w:themeColor="text1"/>
          <w:szCs w:val="16"/>
        </w:rPr>
        <w:t xml:space="preserve"> to parents at the annual IEP meeting, parent-teacher conferences, and community functions; in many cases it was also sent via mail. This personalized distribution method ensured all parents received the survey; furthermore, school staff personally encouraged the parents to complete the survey. Parents of students at all grade levels, including preschool, received, and were encouraged to respond to the survey</w:t>
      </w:r>
      <w:proofErr w:type="gramStart"/>
      <w:r w:rsidRPr="00781112">
        <w:rPr>
          <w:rFonts w:cs="Arial"/>
          <w:color w:val="000000" w:themeColor="text1"/>
          <w:szCs w:val="16"/>
        </w:rPr>
        <w:t xml:space="preserve">.  </w:t>
      </w:r>
      <w:proofErr w:type="gramEnd"/>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3,532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9.40%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4"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11.50%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9.40%</w:t>
            </w:r>
          </w:p>
        </w:tc>
      </w:tr>
      <w:bookmarkEnd w:id="44"/>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Montana historically has obtained high response rates from parents of children who are white and/or have learning disabilities, while getting low response rates from parents of Hispanic students, American Indian students, and students with lower incidence disabilities</w:t>
      </w:r>
      <w:proofErr w:type="gramStart"/>
      <w:r w:rsidRPr="0061205F">
        <w:rPr>
          <w:rFonts w:cs="Arial"/>
          <w:bCs/>
          <w:color w:val="000000" w:themeColor="text1"/>
          <w:szCs w:val="16"/>
        </w:rPr>
        <w:t xml:space="preserve">.  </w:t>
      </w:r>
      <w:proofErr w:type="gramEnd"/>
      <w:r w:rsidRPr="0061205F">
        <w:rPr>
          <w:rFonts w:cs="Arial"/>
          <w:bCs/>
          <w:color w:val="000000" w:themeColor="text1"/>
          <w:szCs w:val="16"/>
        </w:rPr>
        <w:t xml:space="preserve">To address the low response rates among these groups, the Montana OPI has hired a Family Engagement </w:t>
      </w:r>
      <w:proofErr w:type="gramStart"/>
      <w:r w:rsidRPr="0061205F">
        <w:rPr>
          <w:rFonts w:cs="Arial"/>
          <w:bCs/>
          <w:color w:val="000000" w:themeColor="text1"/>
          <w:szCs w:val="16"/>
        </w:rPr>
        <w:t>Coordinator,</w:t>
      </w:r>
      <w:proofErr w:type="gramEnd"/>
      <w:r w:rsidRPr="0061205F">
        <w:rPr>
          <w:rFonts w:cs="Arial"/>
          <w:bCs/>
          <w:color w:val="000000" w:themeColor="text1"/>
          <w:szCs w:val="16"/>
        </w:rPr>
        <w:t xml:space="preserve"> to work with the special education staff to encourage parents to complete the survey</w:t>
      </w:r>
      <w:proofErr w:type="gramStart"/>
      <w:r w:rsidRPr="0061205F">
        <w:rPr>
          <w:rFonts w:cs="Arial"/>
          <w:bCs/>
          <w:color w:val="000000" w:themeColor="text1"/>
          <w:szCs w:val="16"/>
        </w:rPr>
        <w:t xml:space="preserve">.  </w:t>
      </w:r>
      <w:proofErr w:type="gramEnd"/>
      <w:r w:rsidRPr="0061205F">
        <w:rPr>
          <w:rFonts w:cs="Arial"/>
          <w:bCs/>
          <w:color w:val="000000" w:themeColor="text1"/>
          <w:szCs w:val="16"/>
        </w:rPr>
        <w:t xml:space="preserve">Montana has also started looking into providing the survey in languages other than English to help </w:t>
      </w:r>
      <w:r w:rsidRPr="0061205F">
        <w:rPr>
          <w:rFonts w:cs="Arial"/>
          <w:bCs/>
          <w:color w:val="000000" w:themeColor="text1"/>
          <w:szCs w:val="16"/>
        </w:rPr>
        <w:lastRenderedPageBreak/>
        <w:t>encourage our Spanish and Native speaking parents to complete the survey in their native language</w:t>
      </w:r>
      <w:proofErr w:type="gramStart"/>
      <w:r w:rsidRPr="0061205F">
        <w:rPr>
          <w:rFonts w:cs="Arial"/>
          <w:bCs/>
          <w:color w:val="000000" w:themeColor="text1"/>
          <w:szCs w:val="16"/>
        </w:rPr>
        <w:t xml:space="preserve">.  </w:t>
      </w:r>
      <w:proofErr w:type="gramEnd"/>
      <w:r w:rsidRPr="0061205F">
        <w:rPr>
          <w:rFonts w:cs="Arial"/>
          <w:bCs/>
          <w:color w:val="000000" w:themeColor="text1"/>
          <w:szCs w:val="16"/>
        </w:rPr>
        <w:t>Adding an online option will also help to reach those groups.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5"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5"/>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Nonresponse bias measures the differences in opinions between respondents and non-respondents in meaningful ways, such as the positivity of responses. </w:t>
      </w:r>
      <w:proofErr w:type="gramStart"/>
      <w:r>
        <w:rPr>
          <w:rFonts w:cs="Arial"/>
          <w:szCs w:val="16"/>
        </w:rPr>
        <w:t>A few</w:t>
      </w:r>
      <w:proofErr w:type="gramEnd"/>
      <w:r>
        <w:rPr>
          <w:rFonts w:cs="Arial"/>
          <w:szCs w:val="16"/>
        </w:rPr>
        <w:t xml:space="preserve"> things can be examined to determine nonresponse bias. One is the overall response rate. The higher the response rate, the less likely nonresponse bias will occur. Our response rate is 9.4%, which is lower than we would like. It is possible that those parents who did not respond are different in </w:t>
      </w:r>
      <w:proofErr w:type="gramStart"/>
      <w:r>
        <w:rPr>
          <w:rFonts w:cs="Arial"/>
          <w:szCs w:val="16"/>
        </w:rPr>
        <w:t>some</w:t>
      </w:r>
      <w:proofErr w:type="gramEnd"/>
      <w:r>
        <w:rPr>
          <w:rFonts w:cs="Arial"/>
          <w:szCs w:val="16"/>
        </w:rPr>
        <w:t xml:space="preserve"> meaningful way in their level of positivity from those who did respond. Thus, we proceeded with the next two ways for examining nonresponse bias.</w:t>
      </w:r>
      <w:r>
        <w:rPr>
          <w:rFonts w:cs="Arial"/>
          <w:szCs w:val="16"/>
        </w:rPr>
        <w:br/>
      </w:r>
      <w:r>
        <w:rPr>
          <w:rFonts w:cs="Arial"/>
          <w:szCs w:val="16"/>
        </w:rPr>
        <w:br/>
        <w:t>Second, the representativeness of the responses can be examined</w:t>
      </w:r>
      <w:proofErr w:type="gramStart"/>
      <w:r>
        <w:rPr>
          <w:rFonts w:cs="Arial"/>
          <w:szCs w:val="16"/>
        </w:rPr>
        <w:t xml:space="preserve">.  </w:t>
      </w:r>
      <w:proofErr w:type="gramEnd"/>
      <w:r>
        <w:rPr>
          <w:rFonts w:cs="Arial"/>
          <w:szCs w:val="16"/>
        </w:rPr>
        <w:t>We describe this in the next section where we state: The State used statistical significance testing to determine if one group was over- or under-represented based on their response rate</w:t>
      </w:r>
      <w:proofErr w:type="gramStart"/>
      <w:r>
        <w:rPr>
          <w:rFonts w:cs="Arial"/>
          <w:szCs w:val="16"/>
        </w:rPr>
        <w:t xml:space="preserve">.  </w:t>
      </w:r>
      <w:proofErr w:type="gramEnd"/>
      <w:r>
        <w:rPr>
          <w:rFonts w:cs="Arial"/>
          <w:szCs w:val="16"/>
        </w:rPr>
        <w:t xml:space="preserve">Although significant differences were found in response rates by disability, race/ethnicity, and age of the child, the actual responses of these </w:t>
      </w:r>
      <w:proofErr w:type="gramStart"/>
      <w:r>
        <w:rPr>
          <w:rFonts w:cs="Arial"/>
          <w:szCs w:val="16"/>
        </w:rPr>
        <w:t>different groups</w:t>
      </w:r>
      <w:proofErr w:type="gramEnd"/>
      <w:r>
        <w:rPr>
          <w:rFonts w:cs="Arial"/>
          <w:szCs w:val="16"/>
        </w:rPr>
        <w:t xml:space="preserve"> of parents showed no significant differences in the overall parent involvement percentage. </w:t>
      </w:r>
      <w:r>
        <w:rPr>
          <w:rFonts w:cs="Arial"/>
          <w:szCs w:val="16"/>
        </w:rPr>
        <w:br/>
      </w:r>
      <w:r>
        <w:rPr>
          <w:rFonts w:cs="Arial"/>
          <w:szCs w:val="16"/>
        </w:rPr>
        <w:br/>
        <w:t xml:space="preserve">Third, we can compare the responses of parents who responded early in the process to those who responded later in the process. The idea being that </w:t>
      </w:r>
      <w:proofErr w:type="gramStart"/>
      <w:r>
        <w:rPr>
          <w:rFonts w:cs="Arial"/>
          <w:szCs w:val="16"/>
        </w:rPr>
        <w:t>perhaps those</w:t>
      </w:r>
      <w:proofErr w:type="gramEnd"/>
      <w:r>
        <w:rPr>
          <w:rFonts w:cs="Arial"/>
          <w:szCs w:val="16"/>
        </w:rPr>
        <w:t xml:space="preserve"> who do not immediately respond are different in some meaningful way than those who respond immediately. These results showed no statistically significant differences between parents who responded earlier and parents who responded later</w:t>
      </w:r>
      <w:proofErr w:type="gramStart"/>
      <w:r>
        <w:rPr>
          <w:rFonts w:cs="Arial"/>
          <w:szCs w:val="16"/>
        </w:rPr>
        <w:t xml:space="preserve">.  </w:t>
      </w:r>
      <w:proofErr w:type="gramEnd"/>
      <w:r>
        <w:rPr>
          <w:rFonts w:cs="Arial"/>
          <w:szCs w:val="16"/>
        </w:rPr>
        <w:t xml:space="preserve">Therefore, we conclude that nonresponse bias is not present.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6" w:name="_Hlk112070690"/>
      <w:bookmarkStart w:id="47"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6"/>
    <w:bookmarkEnd w:id="47"/>
    <w:p w14:paraId="513A1FE6" w14:textId="77777777" w:rsidR="00090132" w:rsidRDefault="00090132" w:rsidP="006F6351">
      <w:pPr>
        <w:rPr>
          <w:b/>
          <w:bCs/>
        </w:rPr>
      </w:pPr>
      <w:r w:rsidRPr="000A2B9F">
        <w:rPr>
          <w:bCs/>
          <w:color w:val="000000" w:themeColor="text1"/>
        </w:rPr>
        <w:t>The State used statistical significance testing of response rates to determine if one group was over-or under-represented. Note that our survey sample was such that if all disaggregated groups have the same response rate, then, the disaggregated groups are representative of the population. For example, if all racial/ethnic groups had a 30% response rate, then the population of the respondents would mirror the actual population in terms of its racial/ethnic make-up</w:t>
      </w:r>
      <w:proofErr w:type="gramStart"/>
      <w:r w:rsidRPr="000A2B9F">
        <w:rPr>
          <w:bCs/>
          <w:color w:val="000000" w:themeColor="text1"/>
        </w:rPr>
        <w:t xml:space="preserve">.  </w:t>
      </w:r>
      <w:proofErr w:type="gramEnd"/>
      <w:r w:rsidRPr="000A2B9F">
        <w:rPr>
          <w:bCs/>
          <w:color w:val="000000" w:themeColor="text1"/>
        </w:rPr>
        <w:t>On the other hand, if one racial/ethnic group has a 30% response rate for example and another a 20% response rate, then the population of the respondents would not mirror the actual population in terms of its racial/ethnic make-up</w:t>
      </w:r>
      <w:proofErr w:type="gramStart"/>
      <w:r w:rsidRPr="000A2B9F">
        <w:rPr>
          <w:bCs/>
          <w:color w:val="000000" w:themeColor="text1"/>
        </w:rPr>
        <w:t xml:space="preserve">.  </w:t>
      </w:r>
      <w:proofErr w:type="gramEnd"/>
      <w:r w:rsidRPr="000A2B9F">
        <w:rPr>
          <w:bCs/>
          <w:color w:val="000000" w:themeColor="text1"/>
        </w:rPr>
        <w:t xml:space="preserve"> Significant differences </w:t>
      </w:r>
      <w:proofErr w:type="gramStart"/>
      <w:r w:rsidRPr="000A2B9F">
        <w:rPr>
          <w:bCs/>
          <w:color w:val="000000" w:themeColor="text1"/>
        </w:rPr>
        <w:t>were found</w:t>
      </w:r>
      <w:proofErr w:type="gramEnd"/>
      <w:r w:rsidRPr="000A2B9F">
        <w:rPr>
          <w:bCs/>
          <w:color w:val="000000" w:themeColor="text1"/>
        </w:rPr>
        <w:t xml:space="preserve"> in response rates by disability, and race/ethnicity. In terms of disability, parents of students with a Specific Learning Disability were more likely to respond (response rate=27%) than parents of students with an Emotional Disturbance (response rate=9%). In terms of race/ethnicity, parents of White students were more likely to respond (response rate=79%) than parents of Hispanic students (response rate=5%). Although there are </w:t>
      </w:r>
      <w:proofErr w:type="gramStart"/>
      <w:r w:rsidRPr="000A2B9F">
        <w:rPr>
          <w:bCs/>
          <w:color w:val="000000" w:themeColor="text1"/>
        </w:rPr>
        <w:t>a few</w:t>
      </w:r>
      <w:proofErr w:type="gramEnd"/>
      <w:r w:rsidRPr="000A2B9F">
        <w:rPr>
          <w:bCs/>
          <w:color w:val="000000" w:themeColor="text1"/>
        </w:rPr>
        <w:t xml:space="preserve"> significant differences in response rates between groups of parents by race/ethnicity, primary disability, and age group, there were no significant differences in the parent involvement percentage itself between these groups of parents. For example, parents of white students had a similar parent involvement percentage as parents of Hispanic students. So, we are confident that the overall results are representative of the State despite the differences in response rates. Furthermore, parents from a wide range of districts from across the state responded to the survey. Thus, the results are representative of all racial/ethnic groups and all disability categories and reflect the population of parents in terms of geographic distribution.</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Montana historically has gotten high response rates from parents of children who are white and/or have learning disabilities, while getting low response rates from parents of Hispanic students, American Indian students, and students with lower incidence disabilities</w:t>
      </w:r>
      <w:proofErr w:type="gramStart"/>
      <w:r w:rsidRPr="000A2B9F">
        <w:rPr>
          <w:b w:val="0"/>
          <w:bCs/>
          <w:color w:val="000000" w:themeColor="text1"/>
        </w:rPr>
        <w:t xml:space="preserve">.  </w:t>
      </w:r>
      <w:proofErr w:type="gramEnd"/>
      <w:r w:rsidRPr="000A2B9F">
        <w:rPr>
          <w:b w:val="0"/>
          <w:bCs/>
          <w:color w:val="000000" w:themeColor="text1"/>
        </w:rPr>
        <w:t>The American Indian and Hispanic populations in Montana are the second and third largest racial/ethnic subgroups</w:t>
      </w:r>
      <w:proofErr w:type="gramStart"/>
      <w:r w:rsidRPr="000A2B9F">
        <w:rPr>
          <w:b w:val="0"/>
          <w:bCs/>
          <w:color w:val="000000" w:themeColor="text1"/>
        </w:rPr>
        <w:t xml:space="preserve">.  </w:t>
      </w:r>
      <w:proofErr w:type="gramEnd"/>
      <w:r w:rsidRPr="000A2B9F">
        <w:rPr>
          <w:b w:val="0"/>
          <w:bCs/>
          <w:color w:val="000000" w:themeColor="text1"/>
        </w:rPr>
        <w:t>However, they still account for less than 10% of the total population of students surveyed</w:t>
      </w:r>
      <w:proofErr w:type="gramStart"/>
      <w:r w:rsidRPr="000A2B9F">
        <w:rPr>
          <w:b w:val="0"/>
          <w:bCs/>
          <w:color w:val="000000" w:themeColor="text1"/>
        </w:rPr>
        <w:t xml:space="preserve">.  </w:t>
      </w:r>
      <w:proofErr w:type="gramEnd"/>
      <w:r w:rsidRPr="000A2B9F">
        <w:rPr>
          <w:b w:val="0"/>
          <w:bCs/>
          <w:color w:val="000000" w:themeColor="text1"/>
        </w:rPr>
        <w:t>Given this, even having one or two surveys from that subgroup not returned will lower the representative rate for that group</w:t>
      </w:r>
      <w:proofErr w:type="gramStart"/>
      <w:r w:rsidRPr="000A2B9F">
        <w:rPr>
          <w:b w:val="0"/>
          <w:bCs/>
          <w:color w:val="000000" w:themeColor="text1"/>
        </w:rPr>
        <w:t xml:space="preserve">.  </w:t>
      </w:r>
      <w:proofErr w:type="gramEnd"/>
      <w:r w:rsidRPr="000A2B9F">
        <w:rPr>
          <w:b w:val="0"/>
          <w:bCs/>
          <w:color w:val="000000" w:themeColor="text1"/>
        </w:rPr>
        <w:t>To help increase the representativeness in this indicator, and overall, the participation of these subgroups in the educational process, the Montana OPI has hired a Family Engagement Coordinator. The Family Engagement Coordinator will work with the special education unit to specifically reach out to low response rates groups in districts to encourage parents to complete the survey</w:t>
      </w:r>
      <w:proofErr w:type="gramStart"/>
      <w:r w:rsidRPr="000A2B9F">
        <w:rPr>
          <w:b w:val="0"/>
          <w:bCs/>
          <w:color w:val="000000" w:themeColor="text1"/>
        </w:rPr>
        <w:t xml:space="preserve">.  </w:t>
      </w:r>
      <w:proofErr w:type="gramEnd"/>
      <w:r w:rsidRPr="000A2B9F">
        <w:rPr>
          <w:b w:val="0"/>
          <w:bCs/>
          <w:color w:val="000000" w:themeColor="text1"/>
        </w:rPr>
        <w:t>Montana has also started looking into providing the survey in languages other than English to help encourage our Spanish and Native speaking parents to complete the survey in their native language</w:t>
      </w:r>
      <w:proofErr w:type="gramStart"/>
      <w:r w:rsidRPr="000A2B9F">
        <w:rPr>
          <w:b w:val="0"/>
          <w:bCs/>
          <w:color w:val="000000" w:themeColor="text1"/>
        </w:rPr>
        <w:t xml:space="preserve">.  </w:t>
      </w:r>
      <w:proofErr w:type="gramEnd"/>
      <w:r w:rsidRPr="000A2B9F">
        <w:rPr>
          <w:b w:val="0"/>
          <w:bCs/>
          <w:color w:val="000000" w:themeColor="text1"/>
        </w:rPr>
        <w:t>Adding an online option will also help to reach those groups.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Statistical significance testing of response rate </w:t>
      </w:r>
      <w:proofErr w:type="gramStart"/>
      <w:r w:rsidRPr="000A2B9F">
        <w:rPr>
          <w:b w:val="0"/>
          <w:bCs/>
        </w:rPr>
        <w:t>was used</w:t>
      </w:r>
      <w:proofErr w:type="gramEnd"/>
      <w:r w:rsidRPr="000A2B9F">
        <w:rPr>
          <w:b w:val="0"/>
          <w:bCs/>
        </w:rPr>
        <w:t xml:space="preserve">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The OPI employed a sampling methodology to gather data for this indicator. The sampling process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in accord with the OPI’s five-year compliance monitoring cycle. The cycle annually ensures statewide representation of LEAs through representation of large, small, urban, and rural LEAs and a broad representation of parents of children with disabilities across the spectrum of disabilities. All parents of children with disabilities within the schools identified in the monitoring cycle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in the sample. At the end of the five-year cycle, all parents of children with disabilities will have had an opportunity to respond to the survey instrument. The sampling methodology was reviewed by the Office of Special Education Programs (OSEP) and in an e-mail received from Larry Wexler, Deputy Director of Monitoring and State Improvement Planning on it was stated, "…Thank you for your letter dated March 29, 2006, in which you provided additional information on how Montana plans to collect baseline data for performance indicator eight of your State Performance Plan. Your sampling plan for Indicator eight, as revised, is consistent with the State Performance Plan sampling directions…"</w:t>
      </w:r>
      <w:r w:rsidRPr="00781112">
        <w:rPr>
          <w:rFonts w:cs="Arial"/>
          <w:color w:val="000000" w:themeColor="text1"/>
          <w:szCs w:val="16"/>
        </w:rPr>
        <w:br/>
      </w:r>
      <w:r w:rsidRPr="00781112">
        <w:rPr>
          <w:rFonts w:cs="Arial"/>
          <w:color w:val="000000" w:themeColor="text1"/>
          <w:szCs w:val="16"/>
        </w:rPr>
        <w:br/>
        <w:t>Montana reviewed its sampling plan based on a review of data from the October 2021 Child Count, and Enrollment Count</w:t>
      </w:r>
      <w:proofErr w:type="gramStart"/>
      <w:r w:rsidRPr="00781112">
        <w:rPr>
          <w:rFonts w:cs="Arial"/>
          <w:color w:val="000000" w:themeColor="text1"/>
          <w:szCs w:val="16"/>
        </w:rPr>
        <w:t xml:space="preserve">.  </w:t>
      </w:r>
      <w:proofErr w:type="gramEnd"/>
      <w:r w:rsidRPr="00781112">
        <w:rPr>
          <w:rFonts w:cs="Arial"/>
          <w:color w:val="000000" w:themeColor="text1"/>
          <w:szCs w:val="16"/>
        </w:rPr>
        <w:t>The data showed the following:</w:t>
      </w:r>
      <w:r w:rsidRPr="00781112">
        <w:rPr>
          <w:rFonts w:cs="Arial"/>
          <w:color w:val="000000" w:themeColor="text1"/>
          <w:szCs w:val="16"/>
        </w:rPr>
        <w:br/>
      </w:r>
      <w:r w:rsidRPr="00781112">
        <w:rPr>
          <w:rFonts w:cs="Arial"/>
          <w:color w:val="000000" w:themeColor="text1"/>
          <w:szCs w:val="16"/>
        </w:rPr>
        <w:lastRenderedPageBreak/>
        <w:t xml:space="preserve">• There are 399 operating districts (as of July 1, 2021)  in MT (64 K-12 Districts, 235 Elementary Districts, 98 High School Districts, 2 State      Operated Programs); </w:t>
      </w:r>
      <w:r w:rsidRPr="00781112">
        <w:rPr>
          <w:rFonts w:cs="Arial"/>
          <w:color w:val="000000" w:themeColor="text1"/>
          <w:szCs w:val="16"/>
        </w:rPr>
        <w:br/>
        <w:t>• There are no districts with more than 50,000 enrolled students;</w:t>
      </w:r>
      <w:r w:rsidRPr="00781112">
        <w:rPr>
          <w:rFonts w:cs="Arial"/>
          <w:color w:val="000000" w:themeColor="text1"/>
          <w:szCs w:val="16"/>
        </w:rPr>
        <w:br/>
        <w:t xml:space="preserve">• 216 (based on October 2021 enrollment count) districts have an enrollment of fewer than 200 students; and  </w:t>
      </w:r>
      <w:r w:rsidRPr="00781112">
        <w:rPr>
          <w:rFonts w:cs="Arial"/>
          <w:color w:val="000000" w:themeColor="text1"/>
          <w:szCs w:val="16"/>
        </w:rPr>
        <w:br/>
        <w:t xml:space="preserve">• There are a total of 20,014 special education students ages 3-21 (October 2021 Child Count).  </w:t>
      </w:r>
      <w:r w:rsidRPr="00781112">
        <w:rPr>
          <w:rFonts w:cs="Arial"/>
          <w:color w:val="000000" w:themeColor="text1"/>
          <w:szCs w:val="16"/>
        </w:rPr>
        <w:br/>
        <w:t xml:space="preserve">• Because </w:t>
      </w:r>
      <w:proofErr w:type="gramStart"/>
      <w:r w:rsidRPr="00781112">
        <w:rPr>
          <w:rFonts w:cs="Arial"/>
          <w:color w:val="000000" w:themeColor="text1"/>
          <w:szCs w:val="16"/>
        </w:rPr>
        <w:t>the vast majority of</w:t>
      </w:r>
      <w:proofErr w:type="gramEnd"/>
      <w:r w:rsidRPr="00781112">
        <w:rPr>
          <w:rFonts w:cs="Arial"/>
          <w:color w:val="000000" w:themeColor="text1"/>
          <w:szCs w:val="16"/>
        </w:rPr>
        <w:t xml:space="preserve"> the districts have very small enrollments, 317 of the districts are grouped into one of twenty-one special education cooperatives.  The cooperative structure ensures all districts have access to the full range of instructional and related services to address free appropriate public education (FAPE).</w:t>
      </w:r>
      <w:r w:rsidRPr="00781112">
        <w:rPr>
          <w:rFonts w:cs="Arial"/>
          <w:color w:val="000000" w:themeColor="text1"/>
          <w:szCs w:val="16"/>
        </w:rPr>
        <w:br/>
      </w:r>
      <w:r w:rsidRPr="00781112">
        <w:rPr>
          <w:rFonts w:cs="Arial"/>
          <w:color w:val="000000" w:themeColor="text1"/>
          <w:szCs w:val="16"/>
        </w:rPr>
        <w:br/>
        <w:t>Based on that review, Montana determined that:</w:t>
      </w:r>
      <w:r w:rsidRPr="00781112">
        <w:rPr>
          <w:rFonts w:cs="Arial"/>
          <w:color w:val="000000" w:themeColor="text1"/>
          <w:szCs w:val="16"/>
        </w:rPr>
        <w:br/>
        <w:t xml:space="preserve">• For districts monitored during the 2022-2023 school year, the Part B Parent Involvement Survey will be administered in Spring 2022; </w:t>
      </w:r>
      <w:r w:rsidRPr="00781112">
        <w:rPr>
          <w:rFonts w:cs="Arial"/>
          <w:color w:val="000000" w:themeColor="text1"/>
          <w:szCs w:val="16"/>
        </w:rPr>
        <w:br/>
        <w:t>• For districts monitored in subsequent school years, the Parent Involvement Survey will be administered in the spring prior to their monitoring year.  For example, the Parent Involvement Survey will be administered in spring 2023 for districts monitored during the 2023-2024 school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will allow survey results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during the monitoring process; and</w:t>
      </w:r>
      <w:r w:rsidRPr="00781112">
        <w:rPr>
          <w:rFonts w:cs="Arial"/>
          <w:color w:val="000000" w:themeColor="text1"/>
          <w:szCs w:val="16"/>
        </w:rPr>
        <w:br/>
        <w:t xml:space="preserve">• All parents of children with disabilities in the districts scheduled within each monitoring cycle will be asked to complete a survey. </w:t>
      </w:r>
      <w:r w:rsidRPr="00781112">
        <w:rPr>
          <w:rFonts w:cs="Arial"/>
          <w:color w:val="000000" w:themeColor="text1"/>
          <w:szCs w:val="16"/>
        </w:rPr>
        <w:br/>
      </w:r>
      <w:r w:rsidRPr="00781112">
        <w:rPr>
          <w:rFonts w:cs="Arial"/>
          <w:color w:val="000000" w:themeColor="text1"/>
          <w:szCs w:val="16"/>
        </w:rPr>
        <w:br/>
        <w:t xml:space="preserve">Reasons for tying the Parent Involvement Survey to the monitoring cycle and administering the survey to all parents of children with disabilities: </w:t>
      </w:r>
      <w:r w:rsidRPr="00781112">
        <w:rPr>
          <w:rFonts w:cs="Arial"/>
          <w:color w:val="000000" w:themeColor="text1"/>
          <w:szCs w:val="16"/>
        </w:rPr>
        <w:br/>
        <w:t>• The Division of Special Education determined that the monitoring cycle would be the best way to reach parents of children with disabilities in a systematic manner</w:t>
      </w:r>
      <w:proofErr w:type="gramStart"/>
      <w:r w:rsidRPr="00781112">
        <w:rPr>
          <w:rFonts w:cs="Arial"/>
          <w:color w:val="000000" w:themeColor="text1"/>
          <w:szCs w:val="16"/>
        </w:rPr>
        <w:t xml:space="preserve">.  </w:t>
      </w:r>
      <w:proofErr w:type="gramEnd"/>
      <w:r w:rsidRPr="00781112">
        <w:rPr>
          <w:rFonts w:cs="Arial"/>
          <w:color w:val="000000" w:themeColor="text1"/>
          <w:szCs w:val="16"/>
        </w:rPr>
        <w:t>Aligning the districts to be surveyed with the districts to be monitored will allow for seamless integration of information concerning parent involvement with the compliance monitoring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Furthermore, the results obtained from the survey will have a direct benefit for both parents and districts since they can actively utilize the data obtained from their districts to improve results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Additionally, by linking the distribution of the survey to those districts scheduled for an upcoming monitoring visit, it </w:t>
      </w:r>
      <w:proofErr w:type="gramStart"/>
      <w:r w:rsidRPr="00781112">
        <w:rPr>
          <w:rFonts w:cs="Arial"/>
          <w:color w:val="000000" w:themeColor="text1"/>
          <w:szCs w:val="16"/>
        </w:rPr>
        <w:t>is anticipated</w:t>
      </w:r>
      <w:proofErr w:type="gramEnd"/>
      <w:r w:rsidRPr="00781112">
        <w:rPr>
          <w:rFonts w:cs="Arial"/>
          <w:color w:val="000000" w:themeColor="text1"/>
          <w:szCs w:val="16"/>
        </w:rPr>
        <w:t xml:space="preserve"> that Montana schools will be actively involved in encouraging a high return rate of parent responses; </w:t>
      </w:r>
      <w:r w:rsidRPr="00781112">
        <w:rPr>
          <w:rFonts w:cs="Arial"/>
          <w:color w:val="000000" w:themeColor="text1"/>
          <w:szCs w:val="16"/>
        </w:rPr>
        <w:br/>
        <w:t xml:space="preserve">• The Special Education unit chose not to limit the survey to a sample of parents from each district. This is because of the small numbers of special education students </w:t>
      </w:r>
      <w:proofErr w:type="gramStart"/>
      <w:r w:rsidRPr="00781112">
        <w:rPr>
          <w:rFonts w:cs="Arial"/>
          <w:color w:val="000000" w:themeColor="text1"/>
          <w:szCs w:val="16"/>
        </w:rPr>
        <w:t>at</w:t>
      </w:r>
      <w:proofErr w:type="gramEnd"/>
      <w:r w:rsidRPr="00781112">
        <w:rPr>
          <w:rFonts w:cs="Arial"/>
          <w:color w:val="000000" w:themeColor="text1"/>
          <w:szCs w:val="16"/>
        </w:rPr>
        <w:t xml:space="preserve"> many districts and wanting to give all parents an opportunity to respond</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If </w:t>
      </w:r>
      <w:proofErr w:type="gramStart"/>
      <w:r w:rsidRPr="00781112">
        <w:rPr>
          <w:rFonts w:cs="Arial"/>
          <w:color w:val="000000" w:themeColor="text1"/>
          <w:szCs w:val="16"/>
        </w:rPr>
        <w:t>not</w:t>
      </w:r>
      <w:proofErr w:type="gramEnd"/>
      <w:r w:rsidRPr="00781112">
        <w:rPr>
          <w:rFonts w:cs="Arial"/>
          <w:color w:val="000000" w:themeColor="text1"/>
          <w:szCs w:val="16"/>
        </w:rPr>
        <w:t xml:space="preserve"> all parents had an opportunity to complete the survey, this would degrade the acceptance of results by the districts; and</w:t>
      </w:r>
      <w:r w:rsidRPr="00781112">
        <w:rPr>
          <w:rFonts w:cs="Arial"/>
          <w:color w:val="000000" w:themeColor="text1"/>
          <w:szCs w:val="16"/>
        </w:rPr>
        <w:br/>
        <w:t xml:space="preserve">• The same survey will be used for both Part B parents and Part B 619 parents.   Most of the issues critical to parents of children </w:t>
      </w:r>
      <w:proofErr w:type="gramStart"/>
      <w:r w:rsidRPr="00781112">
        <w:rPr>
          <w:rFonts w:cs="Arial"/>
          <w:color w:val="000000" w:themeColor="text1"/>
          <w:szCs w:val="16"/>
        </w:rPr>
        <w:t>age</w:t>
      </w:r>
      <w:proofErr w:type="gramEnd"/>
      <w:r w:rsidRPr="00781112">
        <w:rPr>
          <w:rFonts w:cs="Arial"/>
          <w:color w:val="000000" w:themeColor="text1"/>
          <w:szCs w:val="16"/>
        </w:rPr>
        <w:t xml:space="preserve"> 6-21 are the same as those that are critical to parents of children age 3-5.  Using the same survey will enable results to </w:t>
      </w:r>
      <w:proofErr w:type="gramStart"/>
      <w:r w:rsidRPr="00781112">
        <w:rPr>
          <w:rFonts w:cs="Arial"/>
          <w:color w:val="000000" w:themeColor="text1"/>
          <w:szCs w:val="16"/>
        </w:rPr>
        <w:t>be compared</w:t>
      </w:r>
      <w:proofErr w:type="gramEnd"/>
      <w:r w:rsidRPr="00781112">
        <w:rPr>
          <w:rFonts w:cs="Arial"/>
          <w:color w:val="000000" w:themeColor="text1"/>
          <w:szCs w:val="16"/>
        </w:rPr>
        <w:t xml:space="preserve"> across the entire Part B age range and will allow for ease and efficiency of the data collection process. </w:t>
      </w:r>
      <w:r w:rsidRPr="00781112">
        <w:rPr>
          <w:rFonts w:cs="Arial"/>
          <w:color w:val="000000" w:themeColor="text1"/>
          <w:szCs w:val="16"/>
        </w:rPr>
        <w:br/>
      </w:r>
      <w:r w:rsidRPr="00781112">
        <w:rPr>
          <w:rFonts w:cs="Arial"/>
          <w:color w:val="000000" w:themeColor="text1"/>
          <w:szCs w:val="16"/>
        </w:rPr>
        <w:br/>
        <w:t xml:space="preserve">Since the approval of this plan in March 2006, the methodology has not changed. The demographics of the districts are reviewed </w:t>
      </w:r>
      <w:proofErr w:type="gramStart"/>
      <w:r w:rsidRPr="00781112">
        <w:rPr>
          <w:rFonts w:cs="Arial"/>
          <w:color w:val="000000" w:themeColor="text1"/>
          <w:szCs w:val="16"/>
        </w:rPr>
        <w:t>approximately every</w:t>
      </w:r>
      <w:proofErr w:type="gramEnd"/>
      <w:r w:rsidRPr="00781112">
        <w:rPr>
          <w:rFonts w:cs="Arial"/>
          <w:color w:val="000000" w:themeColor="text1"/>
          <w:szCs w:val="16"/>
        </w:rPr>
        <w:t xml:space="preserve"> 4 years to determine if changes need to be made to the monitoring cycle to continue to ensure representativeness.  </w:t>
      </w:r>
      <w:proofErr w:type="gramStart"/>
      <w:r w:rsidRPr="00781112">
        <w:rPr>
          <w:rFonts w:cs="Arial"/>
          <w:color w:val="000000" w:themeColor="text1"/>
          <w:szCs w:val="16"/>
        </w:rPr>
        <w:t>Free</w:t>
      </w:r>
      <w:proofErr w:type="gramEnd"/>
      <w:r w:rsidRPr="00781112">
        <w:rPr>
          <w:rFonts w:cs="Arial"/>
          <w:color w:val="000000" w:themeColor="text1"/>
          <w:szCs w:val="16"/>
        </w:rPr>
        <w:t xml:space="preserve"> and Reduced Lunch status is no longer looked at, as it is not used for any other special education data reviews</w:t>
      </w:r>
      <w:proofErr w:type="gramStart"/>
      <w:r w:rsidRPr="00781112">
        <w:rPr>
          <w:rFonts w:cs="Arial"/>
          <w:color w:val="000000" w:themeColor="text1"/>
          <w:szCs w:val="16"/>
        </w:rPr>
        <w:t xml:space="preserve">.  </w:t>
      </w:r>
      <w:proofErr w:type="gramEnd"/>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With the FFY 2021 APR, the State must submit its sampling plan and provide data consistent with the approved sampling plan.</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The OPI employed a sampling methodology to gather data for this indicator. The sampling process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in accord with the OPI’s five-year compliance monitoring cycle. The cycle annually ensures statewide representation of LEAs through representation of large, small, urban, and rural LEAs and a broad representation of parents of children with disabilities across the spectrum of disabilities. All parents of children with disabilities within the schools identified in the monitoring cycle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in the sample. At the end of the five-year cycle, all parents of children with disabilities will have had an opportunity to respond to the survey instrument. The sampling methodology was reviewed by the Office of Special Education Programs (OSEP) and in an e-mail received from Larry Wexler, Deputy Director of Monitoring and State Improvement Planning on it was stated, "…Thank you for your letter dated March 29, 2006, in which you provided additional information on how Montana plans to collect baseline data for performance indicator eight of your State Performance Plan. Your sampling plan for Indicator eight, as revised, is consistent with the State Performance Plan sampling directions…"</w:t>
      </w:r>
      <w:r w:rsidRPr="00781112">
        <w:rPr>
          <w:rFonts w:cs="Arial"/>
          <w:color w:val="000000" w:themeColor="text1"/>
          <w:szCs w:val="16"/>
        </w:rPr>
        <w:br/>
      </w:r>
      <w:r w:rsidRPr="00781112">
        <w:rPr>
          <w:rFonts w:cs="Arial"/>
          <w:color w:val="000000" w:themeColor="text1"/>
          <w:szCs w:val="16"/>
        </w:rPr>
        <w:br/>
        <w:t>Montana reviewed its sampling plan based on a review of data from the October 2021 Child Count, and Enrollment Count</w:t>
      </w:r>
      <w:proofErr w:type="gramStart"/>
      <w:r w:rsidRPr="00781112">
        <w:rPr>
          <w:rFonts w:cs="Arial"/>
          <w:color w:val="000000" w:themeColor="text1"/>
          <w:szCs w:val="16"/>
        </w:rPr>
        <w:t xml:space="preserve">.  </w:t>
      </w:r>
      <w:proofErr w:type="gramEnd"/>
      <w:r w:rsidRPr="00781112">
        <w:rPr>
          <w:rFonts w:cs="Arial"/>
          <w:color w:val="000000" w:themeColor="text1"/>
          <w:szCs w:val="16"/>
        </w:rPr>
        <w:t>The data showed the following:</w:t>
      </w:r>
      <w:r w:rsidRPr="00781112">
        <w:rPr>
          <w:rFonts w:cs="Arial"/>
          <w:color w:val="000000" w:themeColor="text1"/>
          <w:szCs w:val="16"/>
        </w:rPr>
        <w:br/>
        <w:t xml:space="preserve">• There are 399 operating districts (as of July 1, 2021)  in MT (64 K-12 Districts, 235 Elementary Districts, 98 High School Districts, 2 State      Operated Programs); </w:t>
      </w:r>
      <w:r w:rsidRPr="00781112">
        <w:rPr>
          <w:rFonts w:cs="Arial"/>
          <w:color w:val="000000" w:themeColor="text1"/>
          <w:szCs w:val="16"/>
        </w:rPr>
        <w:br/>
        <w:t>• There are no districts with more than 50,000 enrolled students;</w:t>
      </w:r>
      <w:r w:rsidRPr="00781112">
        <w:rPr>
          <w:rFonts w:cs="Arial"/>
          <w:color w:val="000000" w:themeColor="text1"/>
          <w:szCs w:val="16"/>
        </w:rPr>
        <w:br/>
        <w:t xml:space="preserve">• 216 (based on October 2021 enrollment count) districts have an enrollment of fewer than 200 students; and  </w:t>
      </w:r>
      <w:r w:rsidRPr="00781112">
        <w:rPr>
          <w:rFonts w:cs="Arial"/>
          <w:color w:val="000000" w:themeColor="text1"/>
          <w:szCs w:val="16"/>
        </w:rPr>
        <w:br/>
        <w:t xml:space="preserve">• There are a total of 20,014 special education students ages 3-21 (October 2021 Child Count).  </w:t>
      </w:r>
      <w:r w:rsidRPr="00781112">
        <w:rPr>
          <w:rFonts w:cs="Arial"/>
          <w:color w:val="000000" w:themeColor="text1"/>
          <w:szCs w:val="16"/>
        </w:rPr>
        <w:br/>
        <w:t xml:space="preserve">• Because </w:t>
      </w:r>
      <w:proofErr w:type="gramStart"/>
      <w:r w:rsidRPr="00781112">
        <w:rPr>
          <w:rFonts w:cs="Arial"/>
          <w:color w:val="000000" w:themeColor="text1"/>
          <w:szCs w:val="16"/>
        </w:rPr>
        <w:t>the vast majority of</w:t>
      </w:r>
      <w:proofErr w:type="gramEnd"/>
      <w:r w:rsidRPr="00781112">
        <w:rPr>
          <w:rFonts w:cs="Arial"/>
          <w:color w:val="000000" w:themeColor="text1"/>
          <w:szCs w:val="16"/>
        </w:rPr>
        <w:t xml:space="preserve"> the districts have very small enrollments, 317 of the districts are grouped into one of twenty-one special education cooperatives.  The cooperative structure ensures all districts have access to the full range of instructional and related services to address free appropriate public education (FAPE).</w:t>
      </w:r>
      <w:r w:rsidRPr="00781112">
        <w:rPr>
          <w:rFonts w:cs="Arial"/>
          <w:color w:val="000000" w:themeColor="text1"/>
          <w:szCs w:val="16"/>
        </w:rPr>
        <w:br/>
      </w:r>
      <w:r w:rsidRPr="00781112">
        <w:rPr>
          <w:rFonts w:cs="Arial"/>
          <w:color w:val="000000" w:themeColor="text1"/>
          <w:szCs w:val="16"/>
        </w:rPr>
        <w:br/>
        <w:t>Based on that review, Montana determined that:</w:t>
      </w:r>
      <w:r w:rsidRPr="00781112">
        <w:rPr>
          <w:rFonts w:cs="Arial"/>
          <w:color w:val="000000" w:themeColor="text1"/>
          <w:szCs w:val="16"/>
        </w:rPr>
        <w:br/>
        <w:t xml:space="preserve">• For districts monitored during the 2022-2023 school year, the Part B Parent Involvement Survey will be administered in Spring 2022; </w:t>
      </w:r>
      <w:r w:rsidRPr="00781112">
        <w:rPr>
          <w:rFonts w:cs="Arial"/>
          <w:color w:val="000000" w:themeColor="text1"/>
          <w:szCs w:val="16"/>
        </w:rPr>
        <w:br/>
      </w:r>
      <w:r w:rsidRPr="00781112">
        <w:rPr>
          <w:rFonts w:cs="Arial"/>
          <w:color w:val="000000" w:themeColor="text1"/>
          <w:szCs w:val="16"/>
        </w:rPr>
        <w:lastRenderedPageBreak/>
        <w:t>• For districts monitored in subsequent school years, the Parent Involvement Survey will be administered in the spring prior to their monitoring year.  For example, the Parent Involvement Survey will be administered in spring 2023 for districts monitored during the 2023-2024 school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will allow survey results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during the monitoring process; and</w:t>
      </w:r>
      <w:r w:rsidRPr="00781112">
        <w:rPr>
          <w:rFonts w:cs="Arial"/>
          <w:color w:val="000000" w:themeColor="text1"/>
          <w:szCs w:val="16"/>
        </w:rPr>
        <w:br/>
        <w:t xml:space="preserve">• All parents of children with disabilities in the districts scheduled within each monitoring cycle will be asked to complete a survey. </w:t>
      </w:r>
      <w:r w:rsidRPr="00781112">
        <w:rPr>
          <w:rFonts w:cs="Arial"/>
          <w:color w:val="000000" w:themeColor="text1"/>
          <w:szCs w:val="16"/>
        </w:rPr>
        <w:br/>
      </w:r>
      <w:r w:rsidRPr="00781112">
        <w:rPr>
          <w:rFonts w:cs="Arial"/>
          <w:color w:val="000000" w:themeColor="text1"/>
          <w:szCs w:val="16"/>
        </w:rPr>
        <w:br/>
        <w:t xml:space="preserve">Reasons for tying the Parent Involvement Survey to the monitoring cycle and administering the survey to all parents of children with disabilities: </w:t>
      </w:r>
      <w:r w:rsidRPr="00781112">
        <w:rPr>
          <w:rFonts w:cs="Arial"/>
          <w:color w:val="000000" w:themeColor="text1"/>
          <w:szCs w:val="16"/>
        </w:rPr>
        <w:br/>
        <w:t>• The Division of Special Education determined that the monitoring cycle would be the best way to reach parents of children with disabilities in a systematic manner</w:t>
      </w:r>
      <w:proofErr w:type="gramStart"/>
      <w:r w:rsidRPr="00781112">
        <w:rPr>
          <w:rFonts w:cs="Arial"/>
          <w:color w:val="000000" w:themeColor="text1"/>
          <w:szCs w:val="16"/>
        </w:rPr>
        <w:t xml:space="preserve">.  </w:t>
      </w:r>
      <w:proofErr w:type="gramEnd"/>
      <w:r w:rsidRPr="00781112">
        <w:rPr>
          <w:rFonts w:cs="Arial"/>
          <w:color w:val="000000" w:themeColor="text1"/>
          <w:szCs w:val="16"/>
        </w:rPr>
        <w:t>Aligning the districts to be surveyed with the districts to be monitored will allow for seamless integration of information concerning parent involvement with the compliance monitoring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Furthermore, the results obtained from the survey will have a direct benefit for both parents and districts since they can actively utilize the data obtained from their districts to improve results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Additionally, by linking the distribution of the survey to those districts scheduled for an upcoming monitoring visit, it </w:t>
      </w:r>
      <w:proofErr w:type="gramStart"/>
      <w:r w:rsidRPr="00781112">
        <w:rPr>
          <w:rFonts w:cs="Arial"/>
          <w:color w:val="000000" w:themeColor="text1"/>
          <w:szCs w:val="16"/>
        </w:rPr>
        <w:t>is anticipated</w:t>
      </w:r>
      <w:proofErr w:type="gramEnd"/>
      <w:r w:rsidRPr="00781112">
        <w:rPr>
          <w:rFonts w:cs="Arial"/>
          <w:color w:val="000000" w:themeColor="text1"/>
          <w:szCs w:val="16"/>
        </w:rPr>
        <w:t xml:space="preserve"> that Montana schools will be actively involved in encouraging a high return rate of parent responses; </w:t>
      </w:r>
      <w:r w:rsidRPr="00781112">
        <w:rPr>
          <w:rFonts w:cs="Arial"/>
          <w:color w:val="000000" w:themeColor="text1"/>
          <w:szCs w:val="16"/>
        </w:rPr>
        <w:br/>
        <w:t xml:space="preserve">• The Special Education unit chose not to limit the survey to a sample of parents from each district. This is because of the small numbers of special education students </w:t>
      </w:r>
      <w:proofErr w:type="gramStart"/>
      <w:r w:rsidRPr="00781112">
        <w:rPr>
          <w:rFonts w:cs="Arial"/>
          <w:color w:val="000000" w:themeColor="text1"/>
          <w:szCs w:val="16"/>
        </w:rPr>
        <w:t>at</w:t>
      </w:r>
      <w:proofErr w:type="gramEnd"/>
      <w:r w:rsidRPr="00781112">
        <w:rPr>
          <w:rFonts w:cs="Arial"/>
          <w:color w:val="000000" w:themeColor="text1"/>
          <w:szCs w:val="16"/>
        </w:rPr>
        <w:t xml:space="preserve"> many districts and wanting to give all parents an opportunity to respond</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If </w:t>
      </w:r>
      <w:proofErr w:type="gramStart"/>
      <w:r w:rsidRPr="00781112">
        <w:rPr>
          <w:rFonts w:cs="Arial"/>
          <w:color w:val="000000" w:themeColor="text1"/>
          <w:szCs w:val="16"/>
        </w:rPr>
        <w:t>not</w:t>
      </w:r>
      <w:proofErr w:type="gramEnd"/>
      <w:r w:rsidRPr="00781112">
        <w:rPr>
          <w:rFonts w:cs="Arial"/>
          <w:color w:val="000000" w:themeColor="text1"/>
          <w:szCs w:val="16"/>
        </w:rPr>
        <w:t xml:space="preserve"> all parents had an opportunity to complete the survey, this would degrade the acceptance of results by the districts; and</w:t>
      </w:r>
      <w:r w:rsidRPr="00781112">
        <w:rPr>
          <w:rFonts w:cs="Arial"/>
          <w:color w:val="000000" w:themeColor="text1"/>
          <w:szCs w:val="16"/>
        </w:rPr>
        <w:br/>
        <w:t xml:space="preserve">• The same survey will be used for both Part B parents and Part B 619 parents.   Most of the issues critical to parents of children </w:t>
      </w:r>
      <w:proofErr w:type="gramStart"/>
      <w:r w:rsidRPr="00781112">
        <w:rPr>
          <w:rFonts w:cs="Arial"/>
          <w:color w:val="000000" w:themeColor="text1"/>
          <w:szCs w:val="16"/>
        </w:rPr>
        <w:t>age</w:t>
      </w:r>
      <w:proofErr w:type="gramEnd"/>
      <w:r w:rsidRPr="00781112">
        <w:rPr>
          <w:rFonts w:cs="Arial"/>
          <w:color w:val="000000" w:themeColor="text1"/>
          <w:szCs w:val="16"/>
        </w:rPr>
        <w:t xml:space="preserve"> 6-21 are the same as those that are critical to parents of children age 3-5.  Using the same survey will enable results to </w:t>
      </w:r>
      <w:proofErr w:type="gramStart"/>
      <w:r w:rsidRPr="00781112">
        <w:rPr>
          <w:rFonts w:cs="Arial"/>
          <w:color w:val="000000" w:themeColor="text1"/>
          <w:szCs w:val="16"/>
        </w:rPr>
        <w:t>be compared</w:t>
      </w:r>
      <w:proofErr w:type="gramEnd"/>
      <w:r w:rsidRPr="00781112">
        <w:rPr>
          <w:rFonts w:cs="Arial"/>
          <w:color w:val="000000" w:themeColor="text1"/>
          <w:szCs w:val="16"/>
        </w:rPr>
        <w:t xml:space="preserve"> across the entire Part B age range and will allow for ease and efficiency of the data collection process. </w:t>
      </w:r>
      <w:r w:rsidRPr="00781112">
        <w:rPr>
          <w:rFonts w:cs="Arial"/>
          <w:color w:val="000000" w:themeColor="text1"/>
          <w:szCs w:val="16"/>
        </w:rPr>
        <w:br/>
      </w:r>
      <w:r w:rsidRPr="00781112">
        <w:rPr>
          <w:rFonts w:cs="Arial"/>
          <w:color w:val="000000" w:themeColor="text1"/>
          <w:szCs w:val="16"/>
        </w:rPr>
        <w:br/>
        <w:t xml:space="preserve">Since the approval of this plan in March 2006, the methodology has not changed. The demographics of the districts are reviewed </w:t>
      </w:r>
      <w:proofErr w:type="gramStart"/>
      <w:r w:rsidRPr="00781112">
        <w:rPr>
          <w:rFonts w:cs="Arial"/>
          <w:color w:val="000000" w:themeColor="text1"/>
          <w:szCs w:val="16"/>
        </w:rPr>
        <w:t>approximately every</w:t>
      </w:r>
      <w:proofErr w:type="gramEnd"/>
      <w:r w:rsidRPr="00781112">
        <w:rPr>
          <w:rFonts w:cs="Arial"/>
          <w:color w:val="000000" w:themeColor="text1"/>
          <w:szCs w:val="16"/>
        </w:rPr>
        <w:t xml:space="preserve"> 4 years to determine if changes need to be made to the monitoring cycle to continue to ensure representativeness.  </w:t>
      </w:r>
      <w:proofErr w:type="gramStart"/>
      <w:r w:rsidRPr="00781112">
        <w:rPr>
          <w:rFonts w:cs="Arial"/>
          <w:color w:val="000000" w:themeColor="text1"/>
          <w:szCs w:val="16"/>
        </w:rPr>
        <w:t>Free</w:t>
      </w:r>
      <w:proofErr w:type="gramEnd"/>
      <w:r w:rsidRPr="00781112">
        <w:rPr>
          <w:rFonts w:cs="Arial"/>
          <w:color w:val="000000" w:themeColor="text1"/>
          <w:szCs w:val="16"/>
        </w:rPr>
        <w:t xml:space="preserve"> and Reduced Lunch status is no longer looked at, as it is not used for any other special education data reviews</w:t>
      </w:r>
      <w:proofErr w:type="gramStart"/>
      <w:r w:rsidRPr="00781112">
        <w:rPr>
          <w:rFonts w:cs="Arial"/>
          <w:color w:val="000000" w:themeColor="text1"/>
          <w:szCs w:val="16"/>
        </w:rPr>
        <w:t xml:space="preserve">.  </w:t>
      </w:r>
      <w:proofErr w:type="gramEnd"/>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submit a revised sampling plan for this indicator by June 1, 2023. The State has submitted a revised plan and OSEP will respond under separate cover.</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8" w:name="_Toc384383343"/>
      <w:bookmarkStart w:id="49"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0" w:name="_Toc384383344"/>
      <w:bookmarkStart w:id="51" w:name="_Toc392159312"/>
      <w:bookmarkEnd w:id="48"/>
      <w:bookmarkEnd w:id="49"/>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0"/>
      <w:bookmarkEnd w:id="51"/>
    </w:tbl>
    <w:p w14:paraId="0678B9C0" w14:textId="77777777" w:rsidR="00B04D70" w:rsidRDefault="00B04D70">
      <w:pPr>
        <w:rPr>
          <w:b/>
          <w:color w:val="000000" w:themeColor="text1"/>
        </w:rPr>
      </w:pPr>
    </w:p>
    <w:p w14:paraId="5CBD0147" w14:textId="77777777" w:rsidR="00B04D70" w:rsidRDefault="00B04D70">
      <w:pPr>
        <w:rPr>
          <w:b/>
          <w:color w:val="000000" w:themeColor="text1"/>
        </w:rPr>
      </w:pPr>
    </w:p>
    <w:p w14:paraId="77101B89" w14:textId="607AA947"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175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8</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224</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2" w:name="_Hlk494459610"/>
      <w:r w:rsidRPr="00781112">
        <w:rPr>
          <w:rFonts w:cs="Arial"/>
          <w:color w:val="000000" w:themeColor="text1"/>
          <w:szCs w:val="16"/>
        </w:rPr>
        <w:t>A LEA is determined  to  have  disproportionate overrepresentation if, given a minimum N of 10, a LEA demonstrates a statistically significant difference in the proportion of students with disabilities of racial and ethnic groups receiving  special  education  and  related  services compared to the proportion of students with disabilities of all other racial and ethnic groups and receiving special education and related services in that LEA, within a 99 percent confidence interval.</w:t>
      </w:r>
      <w:r w:rsidRPr="00781112">
        <w:rPr>
          <w:rFonts w:cs="Arial"/>
          <w:color w:val="000000" w:themeColor="text1"/>
          <w:szCs w:val="16"/>
        </w:rPr>
        <w:br/>
      </w:r>
      <w:r w:rsidRPr="00781112">
        <w:rPr>
          <w:rFonts w:cs="Arial"/>
          <w:color w:val="000000" w:themeColor="text1"/>
          <w:szCs w:val="16"/>
        </w:rPr>
        <w:br/>
        <w:t xml:space="preserve">Using a minimum N of 10 and a 99 percent confidence interval, a test of difference between proportions  was  used to  measure statistically significant differences between the special education identification rate for students of a specific racial and ethnic group and the special education identification rate for all other students within that LEA. Target  data show that eight of the 399 LEAs demonstrated a statistically significant difference, resulting in determination of disproportionate representation of racial and ethnic groups in special education and related services. The minimum N of 10 is applied to the numerator of this equation - that is, if a LEA does not have at least 10 students with disabilities in a particular racial/ethnic category, the data is not reviewed for that LEA. </w:t>
      </w:r>
      <w:r w:rsidRPr="00781112">
        <w:rPr>
          <w:rFonts w:cs="Arial"/>
          <w:color w:val="000000" w:themeColor="text1"/>
          <w:szCs w:val="16"/>
        </w:rPr>
        <w:br/>
      </w:r>
      <w:r w:rsidRPr="00781112">
        <w:rPr>
          <w:rFonts w:cs="Arial"/>
          <w:color w:val="000000" w:themeColor="text1"/>
          <w:szCs w:val="16"/>
        </w:rPr>
        <w:br/>
        <w:t xml:space="preserve">Of the 399 districts in Montana for the 2021-2022 school year, 224 met the minimum N in at least one of the racial groups and were included in the calculations for that racial group.  There were 175 districts that did not meet the minimum N in any racial category and </w:t>
      </w:r>
      <w:proofErr w:type="gramStart"/>
      <w:r w:rsidRPr="00781112">
        <w:rPr>
          <w:rFonts w:cs="Arial"/>
          <w:color w:val="000000" w:themeColor="text1"/>
          <w:szCs w:val="16"/>
        </w:rPr>
        <w:t>were excluded</w:t>
      </w:r>
      <w:proofErr w:type="gramEnd"/>
      <w:r w:rsidRPr="00781112">
        <w:rPr>
          <w:rFonts w:cs="Arial"/>
          <w:color w:val="000000" w:themeColor="text1"/>
          <w:szCs w:val="16"/>
        </w:rPr>
        <w:t xml:space="preserve"> from all calculations.</w:t>
      </w:r>
    </w:p>
    <w:bookmarkEnd w:id="52"/>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Once an LEA </w:t>
      </w:r>
      <w:proofErr w:type="gramStart"/>
      <w:r w:rsidRPr="00781112">
        <w:rPr>
          <w:rFonts w:cs="Arial"/>
          <w:color w:val="000000" w:themeColor="text1"/>
          <w:szCs w:val="16"/>
        </w:rPr>
        <w:t>is flagged</w:t>
      </w:r>
      <w:proofErr w:type="gramEnd"/>
      <w:r w:rsidRPr="00781112">
        <w:rPr>
          <w:rFonts w:cs="Arial"/>
          <w:color w:val="000000" w:themeColor="text1"/>
          <w:szCs w:val="16"/>
        </w:rPr>
        <w:t xml:space="preserve"> for disproportionate representation, the policies and procedures of that LEA, results of on-site compliance monitoring, and dispute resolution data are reviewed to determine if the disproportionate representation is due to inappropriate identification. The district is informed of the results of the review.</w:t>
      </w:r>
      <w:r w:rsidRPr="00781112">
        <w:rPr>
          <w:rFonts w:cs="Arial"/>
          <w:color w:val="000000" w:themeColor="text1"/>
          <w:szCs w:val="16"/>
        </w:rPr>
        <w:br/>
      </w:r>
      <w:r w:rsidRPr="00781112">
        <w:rPr>
          <w:rFonts w:cs="Arial"/>
          <w:color w:val="000000" w:themeColor="text1"/>
          <w:szCs w:val="16"/>
        </w:rPr>
        <w:br/>
        <w:t>The LEA reviews included:</w:t>
      </w:r>
      <w:r w:rsidRPr="00781112">
        <w:rPr>
          <w:rFonts w:cs="Arial"/>
          <w:color w:val="000000" w:themeColor="text1"/>
          <w:szCs w:val="16"/>
        </w:rPr>
        <w:br/>
        <w:t xml:space="preserve">-- Interviews with Administration; </w:t>
      </w:r>
      <w:r w:rsidRPr="00781112">
        <w:rPr>
          <w:rFonts w:cs="Arial"/>
          <w:color w:val="000000" w:themeColor="text1"/>
          <w:szCs w:val="16"/>
        </w:rPr>
        <w:br/>
        <w:t>-- Reviewed the most current Program Narratives and Policies;</w:t>
      </w:r>
      <w:r w:rsidRPr="00781112">
        <w:rPr>
          <w:rFonts w:cs="Arial"/>
          <w:color w:val="000000" w:themeColor="text1"/>
          <w:szCs w:val="16"/>
        </w:rPr>
        <w:br/>
        <w:t xml:space="preserve">-- Reviewed two SPED files (Evaluation Reports and IEPs) from each district of students that were disproportionately represented; </w:t>
      </w:r>
      <w:r w:rsidRPr="00781112">
        <w:rPr>
          <w:rFonts w:cs="Arial"/>
          <w:color w:val="000000" w:themeColor="text1"/>
          <w:szCs w:val="16"/>
        </w:rPr>
        <w:br/>
        <w:t>-- Reviewed Child Count information; and</w:t>
      </w:r>
      <w:r w:rsidRPr="00781112">
        <w:rPr>
          <w:rFonts w:cs="Arial"/>
          <w:color w:val="000000" w:themeColor="text1"/>
          <w:szCs w:val="16"/>
        </w:rPr>
        <w:br/>
        <w:t>-- Considered most current Monitoring Data</w:t>
      </w:r>
      <w:r w:rsidRPr="00781112">
        <w:rPr>
          <w:rFonts w:cs="Arial"/>
          <w:color w:val="000000" w:themeColor="text1"/>
          <w:szCs w:val="16"/>
        </w:rPr>
        <w:br/>
      </w:r>
      <w:r w:rsidRPr="00781112">
        <w:rPr>
          <w:rFonts w:cs="Arial"/>
          <w:color w:val="000000" w:themeColor="text1"/>
          <w:szCs w:val="16"/>
        </w:rPr>
        <w:br/>
        <w:t xml:space="preserve">Upon SEA’s review of LEAs identified as potential Disproportionate Representation. The SEA has determined that these qualifiers do not suggest inappropriate (over) identification of minority groups as defined in indicators </w:t>
      </w:r>
      <w:proofErr w:type="gramStart"/>
      <w:r w:rsidRPr="00781112">
        <w:rPr>
          <w:rFonts w:cs="Arial"/>
          <w:color w:val="000000" w:themeColor="text1"/>
          <w:szCs w:val="16"/>
        </w:rPr>
        <w:t>9</w:t>
      </w:r>
      <w:proofErr w:type="gramEnd"/>
      <w:r w:rsidRPr="00781112">
        <w:rPr>
          <w:rFonts w:cs="Arial"/>
          <w:color w:val="000000" w:themeColor="text1"/>
          <w:szCs w:val="16"/>
        </w:rPr>
        <w:t>.</w:t>
      </w:r>
    </w:p>
    <w:p w14:paraId="3B71A72A" w14:textId="77777777" w:rsidR="00DF1529" w:rsidRPr="00781112" w:rsidRDefault="00DF1529" w:rsidP="00DF1529">
      <w:pPr>
        <w:rPr>
          <w:rFonts w:cs="Arial"/>
          <w:b/>
          <w:color w:val="000000" w:themeColor="text1"/>
          <w:szCs w:val="16"/>
        </w:rPr>
      </w:pPr>
      <w:bookmarkStart w:id="53" w:name="_Toc381956337"/>
      <w:bookmarkStart w:id="54" w:name="_Toc384383347"/>
      <w:bookmarkStart w:id="55"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08D1455B" w14:textId="77777777" w:rsidR="00B04D70" w:rsidRDefault="00B04D70">
      <w:pPr>
        <w:spacing w:before="0" w:after="200" w:line="276" w:lineRule="auto"/>
        <w:rPr>
          <w:b/>
          <w:color w:val="000000" w:themeColor="text1"/>
        </w:rPr>
      </w:pPr>
      <w:r>
        <w:rPr>
          <w:b/>
          <w:color w:val="000000" w:themeColor="text1"/>
        </w:rPr>
        <w:br w:type="page"/>
      </w:r>
    </w:p>
    <w:p w14:paraId="287CA0E8" w14:textId="59E6DDA1"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3"/>
      <w:bookmarkEnd w:id="54"/>
      <w:bookmarkEnd w:id="55"/>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6" w:name="_Toc384383348"/>
      <w:bookmarkStart w:id="57"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1F098E0" w14:textId="77777777" w:rsidR="00B04D70" w:rsidRPr="00781112" w:rsidRDefault="00B04D70" w:rsidP="00286BDF">
      <w:pPr>
        <w:rPr>
          <w:rFonts w:cs="Arial"/>
          <w:color w:val="000000" w:themeColor="text1"/>
          <w:szCs w:val="16"/>
        </w:rPr>
      </w:pPr>
    </w:p>
    <w:p w14:paraId="307820E6" w14:textId="2418F86F" w:rsidR="00B70FBF" w:rsidRPr="00781112" w:rsidRDefault="009F64D5" w:rsidP="008645AD">
      <w:pPr>
        <w:pStyle w:val="Heading2"/>
      </w:pPr>
      <w:bookmarkStart w:id="58" w:name="_Toc384383349"/>
      <w:bookmarkStart w:id="59" w:name="_Toc392159317"/>
      <w:bookmarkEnd w:id="56"/>
      <w:bookmarkEnd w:id="57"/>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8"/>
      <w:bookmarkEnd w:id="59"/>
    </w:tbl>
    <w:p w14:paraId="1840A66A" w14:textId="77777777" w:rsidR="00BA687C" w:rsidRDefault="00BA687C" w:rsidP="004369B2">
      <w:pPr>
        <w:rPr>
          <w:color w:val="000000" w:themeColor="text1"/>
        </w:rPr>
      </w:pPr>
    </w:p>
    <w:p w14:paraId="74CB1F9E" w14:textId="77777777" w:rsidR="00B04D70" w:rsidRPr="00781112" w:rsidRDefault="00B04D70"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0" w:name="_Hlk20258880"/>
      <w:r w:rsidRPr="00781112">
        <w:rPr>
          <w:rFonts w:cs="Arial"/>
          <w:color w:val="000000" w:themeColor="text1"/>
          <w:szCs w:val="16"/>
        </w:rPr>
        <w:t>YES</w:t>
      </w:r>
    </w:p>
    <w:bookmarkEnd w:id="60"/>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136</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A LEA is determined to have disproportionate overrepresentation if, given a minimum N of 10, an LEA demonstrates a statistically significant difference in the proportion of students with disabilities of racial and ethnic groups within a specific disability category receiving special education and related services compared to the proportion of students with disabilities of all other racial and ethnic groups and in specific other disability categories receiving special education and related services in that LEA, within a 99 percent confidence interval.</w:t>
      </w:r>
      <w:r w:rsidRPr="00781112">
        <w:rPr>
          <w:rFonts w:cs="Arial"/>
          <w:color w:val="000000" w:themeColor="text1"/>
          <w:szCs w:val="16"/>
        </w:rPr>
        <w:br/>
      </w:r>
      <w:r w:rsidRPr="00781112">
        <w:rPr>
          <w:rFonts w:cs="Arial"/>
          <w:color w:val="000000" w:themeColor="text1"/>
          <w:szCs w:val="16"/>
        </w:rPr>
        <w:br/>
        <w:t xml:space="preserve">Using a minimum N of 10 and a 99 percent confidence interval, a test of difference between proportions  was  used to  measure statistically significant differences between the special education identification rate for students of a specific racial and ethnic group and specific disability category, and the special education identification rate for all other students within that LEA. Target  data show that one of the 399 LEAs demonstrated a statistically significant difference, resulting in determination of disproportionate representation of racial and ethnic groups in special education and related services. The minimum N of 10 is applied to the numerator of this equation - that is, if a LEA does not have at least 10 students with disabilities in a particular racial/ethnic category and specific disability category, the data is not reviewed for that LEA. </w:t>
      </w:r>
      <w:r w:rsidRPr="00781112">
        <w:rPr>
          <w:rFonts w:cs="Arial"/>
          <w:color w:val="000000" w:themeColor="text1"/>
          <w:szCs w:val="16"/>
        </w:rPr>
        <w:br/>
      </w:r>
      <w:r w:rsidRPr="00781112">
        <w:rPr>
          <w:rFonts w:cs="Arial"/>
          <w:color w:val="000000" w:themeColor="text1"/>
          <w:szCs w:val="16"/>
        </w:rPr>
        <w:br/>
        <w:t xml:space="preserve">Of the 399 districts in Montana for the 2021-2022 school year, 136 met the minimum N in at least one of the racial groups and were included in the calculations for that racial group. A total of 263 LEAs did not meet the minimum N in any of the racial groups reviewed and </w:t>
      </w:r>
      <w:proofErr w:type="gramStart"/>
      <w:r w:rsidRPr="00781112">
        <w:rPr>
          <w:rFonts w:cs="Arial"/>
          <w:color w:val="000000" w:themeColor="text1"/>
          <w:szCs w:val="16"/>
        </w:rPr>
        <w:t>were excluded</w:t>
      </w:r>
      <w:proofErr w:type="gramEnd"/>
      <w:r w:rsidRPr="00781112">
        <w:rPr>
          <w:rFonts w:cs="Arial"/>
          <w:color w:val="000000" w:themeColor="text1"/>
          <w:szCs w:val="16"/>
        </w:rPr>
        <w:t xml:space="preserve"> from all calculations.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Once a LEA </w:t>
      </w:r>
      <w:proofErr w:type="gramStart"/>
      <w:r w:rsidRPr="00781112">
        <w:rPr>
          <w:rFonts w:cs="Arial"/>
          <w:color w:val="000000" w:themeColor="text1"/>
          <w:szCs w:val="16"/>
        </w:rPr>
        <w:t>is flagged</w:t>
      </w:r>
      <w:proofErr w:type="gramEnd"/>
      <w:r w:rsidRPr="00781112">
        <w:rPr>
          <w:rFonts w:cs="Arial"/>
          <w:color w:val="000000" w:themeColor="text1"/>
          <w:szCs w:val="16"/>
        </w:rPr>
        <w:t xml:space="preserve"> for disproportionate representation, the policies and procedures of that LEA, results of on-site compliance monitoring, and dispute resolution data are reviewed to determine if the disproportionate representation is due to inappropriate identification. The district is informed of the results of the review.</w:t>
      </w:r>
      <w:r w:rsidRPr="00781112">
        <w:rPr>
          <w:rFonts w:cs="Arial"/>
          <w:color w:val="000000" w:themeColor="text1"/>
          <w:szCs w:val="16"/>
        </w:rPr>
        <w:br/>
      </w:r>
      <w:r w:rsidRPr="00781112">
        <w:rPr>
          <w:rFonts w:cs="Arial"/>
          <w:color w:val="000000" w:themeColor="text1"/>
          <w:szCs w:val="16"/>
        </w:rPr>
        <w:br/>
        <w:t>The LEA reviews included:</w:t>
      </w:r>
      <w:r w:rsidRPr="00781112">
        <w:rPr>
          <w:rFonts w:cs="Arial"/>
          <w:color w:val="000000" w:themeColor="text1"/>
          <w:szCs w:val="16"/>
        </w:rPr>
        <w:br/>
        <w:t>-- Interviews with Administration;</w:t>
      </w:r>
      <w:r w:rsidRPr="00781112">
        <w:rPr>
          <w:rFonts w:cs="Arial"/>
          <w:color w:val="000000" w:themeColor="text1"/>
          <w:szCs w:val="16"/>
        </w:rPr>
        <w:br/>
        <w:t>-- Reviewed the most current Program Narratives and Policies;</w:t>
      </w:r>
      <w:r w:rsidRPr="00781112">
        <w:rPr>
          <w:rFonts w:cs="Arial"/>
          <w:color w:val="000000" w:themeColor="text1"/>
          <w:szCs w:val="16"/>
        </w:rPr>
        <w:br/>
        <w:t>-- Reviewed two SPED files (including Evaluation Reports and IEPs) from the district;</w:t>
      </w:r>
      <w:r w:rsidRPr="00781112">
        <w:rPr>
          <w:rFonts w:cs="Arial"/>
          <w:color w:val="000000" w:themeColor="text1"/>
          <w:szCs w:val="16"/>
        </w:rPr>
        <w:br/>
        <w:t xml:space="preserve">-- Reviewed Child Count information; and </w:t>
      </w:r>
      <w:r w:rsidRPr="00781112">
        <w:rPr>
          <w:rFonts w:cs="Arial"/>
          <w:color w:val="000000" w:themeColor="text1"/>
          <w:szCs w:val="16"/>
        </w:rPr>
        <w:br/>
        <w:t>ups under IDEA</w:t>
      </w:r>
      <w:r w:rsidRPr="00781112">
        <w:rPr>
          <w:rFonts w:cs="Arial"/>
          <w:color w:val="000000" w:themeColor="text1"/>
          <w:szCs w:val="16"/>
        </w:rPr>
        <w:br/>
        <w:t>-- Considered most current monitoring data</w:t>
      </w:r>
      <w:r w:rsidRPr="00781112">
        <w:rPr>
          <w:rFonts w:cs="Arial"/>
          <w:color w:val="000000" w:themeColor="text1"/>
          <w:szCs w:val="16"/>
        </w:rPr>
        <w:br/>
      </w:r>
      <w:r w:rsidRPr="00781112">
        <w:rPr>
          <w:rFonts w:cs="Arial"/>
          <w:color w:val="000000" w:themeColor="text1"/>
          <w:szCs w:val="16"/>
        </w:rPr>
        <w:br/>
        <w:t xml:space="preserve">Upon SEA review of LEA’s identified as potential Disproportionate Representation. The SEA has determined that these qualifiers do not suggest inappropriate (over) identification of minority groups as defined in indicator </w:t>
      </w:r>
      <w:proofErr w:type="gramStart"/>
      <w:r w:rsidRPr="00781112">
        <w:rPr>
          <w:rFonts w:cs="Arial"/>
          <w:color w:val="000000" w:themeColor="text1"/>
          <w:szCs w:val="16"/>
        </w:rPr>
        <w:t>10</w:t>
      </w:r>
      <w:proofErr w:type="gramEnd"/>
      <w:r w:rsidRPr="00781112">
        <w:rPr>
          <w:rFonts w:cs="Arial"/>
          <w:color w:val="000000" w:themeColor="text1"/>
          <w:szCs w:val="16"/>
        </w:rPr>
        <w:t>.</w:t>
      </w:r>
    </w:p>
    <w:p w14:paraId="1FCF1BF3" w14:textId="77777777" w:rsidR="00DF1529" w:rsidRPr="00781112" w:rsidRDefault="00DF1529" w:rsidP="00DF1529">
      <w:pPr>
        <w:rPr>
          <w:rFonts w:cs="Arial"/>
          <w:b/>
          <w:color w:val="000000" w:themeColor="text1"/>
          <w:szCs w:val="16"/>
        </w:rPr>
      </w:pPr>
      <w:bookmarkStart w:id="61" w:name="_Toc381956338"/>
      <w:bookmarkStart w:id="62" w:name="_Toc384383352"/>
      <w:bookmarkStart w:id="63"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1"/>
      <w:bookmarkEnd w:id="62"/>
      <w:bookmarkEnd w:id="63"/>
    </w:p>
    <w:p w14:paraId="4F5D642D" w14:textId="77777777" w:rsidR="00E119B0" w:rsidRPr="00781112" w:rsidRDefault="00E119B0" w:rsidP="00A018D4">
      <w:pPr>
        <w:rPr>
          <w:color w:val="000000" w:themeColor="text1"/>
          <w:szCs w:val="20"/>
        </w:rPr>
      </w:pPr>
      <w:bookmarkStart w:id="64" w:name="_Toc384383353"/>
      <w:bookmarkStart w:id="65"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6" w:name="_Toc384383354"/>
      <w:bookmarkStart w:id="67" w:name="_Toc392159322"/>
      <w:bookmarkEnd w:id="64"/>
      <w:bookmarkEnd w:id="65"/>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93.00%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98.62%</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97.91%</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99.44%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95.93%</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6"/>
    <w:bookmarkEnd w:id="67"/>
    <w:p w14:paraId="33F17159" w14:textId="77777777" w:rsidR="00B04D70" w:rsidRDefault="00B04D70">
      <w:pPr>
        <w:spacing w:before="0" w:after="200" w:line="276" w:lineRule="auto"/>
        <w:rPr>
          <w:b/>
          <w:color w:val="000000" w:themeColor="text1"/>
        </w:rPr>
      </w:pPr>
      <w:r>
        <w:rPr>
          <w:b/>
          <w:color w:val="000000" w:themeColor="text1"/>
        </w:rPr>
        <w:br w:type="page"/>
      </w:r>
    </w:p>
    <w:p w14:paraId="3FAEB3AB" w14:textId="1C138567"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95.93%</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604C3A6D" w:rsidR="00227DE4" w:rsidRPr="00781112" w:rsidRDefault="00E70463" w:rsidP="004369B2">
            <w:pPr>
              <w:jc w:val="center"/>
              <w:rPr>
                <w:rFonts w:cs="Arial"/>
                <w:color w:val="000000" w:themeColor="text1"/>
                <w:szCs w:val="16"/>
              </w:rPr>
            </w:pPr>
            <w:r>
              <w:rPr>
                <w:rFonts w:cs="Arial"/>
                <w:color w:val="000000" w:themeColor="text1"/>
                <w:szCs w:val="16"/>
              </w:rPr>
              <w:t>NVR</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0</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w:t>
      </w:r>
      <w:proofErr w:type="gramStart"/>
      <w:r w:rsidRPr="00781112">
        <w:rPr>
          <w:color w:val="000000" w:themeColor="text1"/>
        </w:rPr>
        <w:t>5</w:t>
      </w:r>
      <w:proofErr w:type="gramEnd"/>
      <w:r w:rsidRPr="00781112">
        <w:rPr>
          <w:color w:val="000000" w:themeColor="text1"/>
        </w:rPr>
        <w:t xml:space="preserve"> children included in (a) but not in (b) are from 4 LEAs.  The range of days was from 7 to 191, and all were completed at the time of the monitoring</w:t>
      </w:r>
      <w:proofErr w:type="gramStart"/>
      <w:r w:rsidRPr="00781112">
        <w:rPr>
          <w:color w:val="000000" w:themeColor="text1"/>
        </w:rPr>
        <w:t>.  Reasons</w:t>
      </w:r>
      <w:proofErr w:type="gramEnd"/>
      <w:r w:rsidRPr="00781112">
        <w:rPr>
          <w:color w:val="000000" w:themeColor="text1"/>
        </w:rPr>
        <w:t xml:space="preserve"> for being over the timeline were all COVID related</w:t>
      </w:r>
      <w:proofErr w:type="gramStart"/>
      <w:r w:rsidRPr="00781112">
        <w:rPr>
          <w:color w:val="000000" w:themeColor="text1"/>
        </w:rPr>
        <w:t xml:space="preserve">.  </w:t>
      </w:r>
      <w:proofErr w:type="gramEnd"/>
      <w:r w:rsidRPr="00781112">
        <w:rPr>
          <w:color w:val="000000" w:themeColor="text1"/>
        </w:rPr>
        <w:t xml:space="preserve"> The state of Montana, including school </w:t>
      </w:r>
      <w:proofErr w:type="gramStart"/>
      <w:r w:rsidRPr="00781112">
        <w:rPr>
          <w:color w:val="000000" w:themeColor="text1"/>
        </w:rPr>
        <w:t>districts</w:t>
      </w:r>
      <w:proofErr w:type="gramEnd"/>
      <w:r w:rsidRPr="00781112">
        <w:rPr>
          <w:color w:val="000000" w:themeColor="text1"/>
        </w:rPr>
        <w:t xml:space="preserve"> </w:t>
      </w:r>
      <w:proofErr w:type="gramStart"/>
      <w:r w:rsidRPr="00781112">
        <w:rPr>
          <w:color w:val="000000" w:themeColor="text1"/>
        </w:rPr>
        <w:t>were shut</w:t>
      </w:r>
      <w:proofErr w:type="gramEnd"/>
      <w:r w:rsidRPr="00781112">
        <w:rPr>
          <w:color w:val="000000" w:themeColor="text1"/>
        </w:rPr>
        <w:t xml:space="preserve"> down by the governor on March 16, 2020. These evaluations were in process at the time of the closure</w:t>
      </w:r>
      <w:proofErr w:type="gramStart"/>
      <w:r w:rsidRPr="00781112">
        <w:rPr>
          <w:color w:val="000000" w:themeColor="text1"/>
        </w:rPr>
        <w:t xml:space="preserve">.  </w:t>
      </w:r>
      <w:proofErr w:type="gramEnd"/>
      <w:r w:rsidRPr="00781112">
        <w:rPr>
          <w:color w:val="000000" w:themeColor="text1"/>
        </w:rPr>
        <w:t xml:space="preserve">LEAs documented that they completed what assessments they were able to virtually, but due to the required in person contact for some of them, they had to put them off until fall of 2020 when they were allowed </w:t>
      </w:r>
      <w:proofErr w:type="gramStart"/>
      <w:r w:rsidRPr="00781112">
        <w:rPr>
          <w:color w:val="000000" w:themeColor="text1"/>
        </w:rPr>
        <w:t>to</w:t>
      </w:r>
      <w:proofErr w:type="gramEnd"/>
      <w:r w:rsidRPr="00781112">
        <w:rPr>
          <w:color w:val="000000" w:themeColor="text1"/>
        </w:rPr>
        <w:t xml:space="preserve"> re-open. Some of the LEAs chose to re-open in fall 2020, but not all of them</w:t>
      </w:r>
      <w:proofErr w:type="gramStart"/>
      <w:r w:rsidRPr="00781112">
        <w:rPr>
          <w:color w:val="000000" w:themeColor="text1"/>
        </w:rPr>
        <w:t xml:space="preserve">.  </w:t>
      </w:r>
      <w:proofErr w:type="gramEnd"/>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OPI collected the indicator data as a part of its compliance monitoring procedures during the 2021-2022 school year. Compliance monitors reviewed a sampling of student records for students who </w:t>
      </w:r>
      <w:proofErr w:type="gramStart"/>
      <w:r w:rsidRPr="00781112">
        <w:rPr>
          <w:rFonts w:cs="Arial"/>
          <w:color w:val="000000" w:themeColor="text1"/>
          <w:szCs w:val="16"/>
        </w:rPr>
        <w:t>were initially referred</w:t>
      </w:r>
      <w:proofErr w:type="gramEnd"/>
      <w:r w:rsidRPr="00781112">
        <w:rPr>
          <w:rFonts w:cs="Arial"/>
          <w:color w:val="000000" w:themeColor="text1"/>
          <w:szCs w:val="16"/>
        </w:rPr>
        <w:t xml:space="preserve"> for a special education evaluation. Monitors enter the date consent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date of the last assessment completed for the evaluation and the date of the Evaluation Report meeting into the OPI Monitoring application. The system calculates the number of calendar days between the date consent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and the date the last assessment was completed. If more than </w:t>
      </w:r>
      <w:proofErr w:type="gramStart"/>
      <w:r w:rsidRPr="00781112">
        <w:rPr>
          <w:rFonts w:cs="Arial"/>
          <w:color w:val="000000" w:themeColor="text1"/>
          <w:szCs w:val="16"/>
        </w:rPr>
        <w:t>60</w:t>
      </w:r>
      <w:proofErr w:type="gramEnd"/>
      <w:r w:rsidRPr="00781112">
        <w:rPr>
          <w:rFonts w:cs="Arial"/>
          <w:color w:val="000000" w:themeColor="text1"/>
          <w:szCs w:val="16"/>
        </w:rPr>
        <w:t xml:space="preserve"> calendar days passed, the monitor is prompted to enter the reason.</w:t>
      </w:r>
      <w:r w:rsidRPr="00781112">
        <w:rPr>
          <w:rFonts w:cs="Arial"/>
          <w:color w:val="000000" w:themeColor="text1"/>
          <w:szCs w:val="16"/>
        </w:rPr>
        <w:br/>
      </w:r>
      <w:r w:rsidRPr="00781112">
        <w:rPr>
          <w:rFonts w:cs="Arial"/>
          <w:color w:val="000000" w:themeColor="text1"/>
          <w:szCs w:val="16"/>
        </w:rPr>
        <w:br/>
        <w:t xml:space="preserve">Correction of identified noncompliance related to indicator 11, was verified using both prongs of the verification process described in the OSEP’s 09-02 Memorandum and subsequent guidance from the OSEP. Each LEA in Montana has an on-site or virtual desk monitoring record review which is on a five-year cycle. State operated and state funded facilities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on a three-year cycle. The OPI monitoring staff selects records for review and uses a standard record review protocol to conduct the reviews. During this process, instances of IDEA noncompliance </w:t>
      </w:r>
      <w:proofErr w:type="gramStart"/>
      <w:r w:rsidRPr="00781112">
        <w:rPr>
          <w:rFonts w:cs="Arial"/>
          <w:color w:val="000000" w:themeColor="text1"/>
          <w:szCs w:val="16"/>
        </w:rPr>
        <w:t>are identified</w:t>
      </w:r>
      <w:proofErr w:type="gramEnd"/>
      <w:r w:rsidRPr="00781112">
        <w:rPr>
          <w:rFonts w:cs="Arial"/>
          <w:color w:val="000000" w:themeColor="text1"/>
          <w:szCs w:val="16"/>
        </w:rPr>
        <w:t xml:space="preserve">. Following the on-site review, each LEA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a list, by student, of every instance of noncompliance identified during the review. The LEAs </w:t>
      </w:r>
      <w:proofErr w:type="gramStart"/>
      <w:r w:rsidRPr="00781112">
        <w:rPr>
          <w:rFonts w:cs="Arial"/>
          <w:color w:val="000000" w:themeColor="text1"/>
          <w:szCs w:val="16"/>
        </w:rPr>
        <w:t>are given</w:t>
      </w:r>
      <w:proofErr w:type="gramEnd"/>
      <w:r w:rsidRPr="00781112">
        <w:rPr>
          <w:rFonts w:cs="Arial"/>
          <w:color w:val="000000" w:themeColor="text1"/>
          <w:szCs w:val="16"/>
        </w:rPr>
        <w:t xml:space="preserve"> a specific set of timelines in which to correct every instance of noncompliance. Following the initial verification of correction, the OPI staff review additional records completed </w:t>
      </w:r>
      <w:proofErr w:type="gramStart"/>
      <w:r w:rsidRPr="00781112">
        <w:rPr>
          <w:rFonts w:cs="Arial"/>
          <w:color w:val="000000" w:themeColor="text1"/>
          <w:szCs w:val="16"/>
        </w:rPr>
        <w:t>subsequent to</w:t>
      </w:r>
      <w:proofErr w:type="gramEnd"/>
      <w:r w:rsidRPr="00781112">
        <w:rPr>
          <w:rFonts w:cs="Arial"/>
          <w:color w:val="000000" w:themeColor="text1"/>
          <w:szCs w:val="16"/>
        </w:rPr>
        <w:t xml:space="preserve"> the identification of the noncompliance to verify the LEA is complying with all IDEA regulations. If an LEA completes the correction of each instance of noncompliance, and provides the OPI with sufficient additional records to verify ongoing evidence of compliance, then no finding is issued to the LEA. This practice is based on the guidance provided by the OSEP in the FREQUENTLY ASKED QUESTIONS REGARDING IDENTIFICATION AND CORRECTION OF NONCOMPLIANCE AND REPORTING ON CORRECTION IN THE STATE PERFORMANCE PLAN (SPP)/ANNUAL PERFORMANCE REPORT (APR) document. In the process for determination of findings, the OPI considers a variety of factors including: (1) whether the noncompliance was systemic  or found in only a small percentage of files; (2) whether the noncompliance showed a denial of a basic right under the IDEA (e.g., an extended delay in initial evaluation beyond applicable timelines with a corresponding delay in the child’s receipt of FAPE, or a failure to provide any services in accordance with the IEP); and (3) whether the noncompliance represents an isolated incident, or reflects a long-standing failure to meet IDEA requirements. When data indicates additional evidence of sustained post-monitoring compliance is necessary, the OPI requires the district to obtain additional training and/or submit additional evidence of sustained compliance.</w:t>
      </w:r>
      <w:r w:rsidRPr="00781112">
        <w:rPr>
          <w:rFonts w:cs="Arial"/>
          <w:color w:val="000000" w:themeColor="text1"/>
          <w:szCs w:val="16"/>
        </w:rPr>
        <w:br/>
      </w:r>
      <w:r w:rsidRPr="00781112">
        <w:rPr>
          <w:rFonts w:cs="Arial"/>
          <w:color w:val="000000" w:themeColor="text1"/>
          <w:szCs w:val="16"/>
        </w:rPr>
        <w:br/>
        <w:t xml:space="preserve">Due to the impacts of COVID-19, the SEA did not monitor at least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due to factors beyond the agencies control. Files </w:t>
      </w:r>
      <w:proofErr w:type="gramStart"/>
      <w:r w:rsidRPr="00781112">
        <w:rPr>
          <w:rFonts w:cs="Arial"/>
          <w:color w:val="000000" w:themeColor="text1"/>
          <w:szCs w:val="16"/>
        </w:rPr>
        <w:t>were reduced</w:t>
      </w:r>
      <w:proofErr w:type="gramEnd"/>
      <w:r w:rsidRPr="00781112">
        <w:rPr>
          <w:rFonts w:cs="Arial"/>
          <w:color w:val="000000" w:themeColor="text1"/>
          <w:szCs w:val="16"/>
        </w:rPr>
        <w:t xml:space="preserve"> from two per case manager per district to one file per case manager. If a case manager served multiple districts, there was a chance those files were not reviewed if it was decided the district was not going to be monitored.</w:t>
      </w:r>
      <w:r w:rsidRPr="00781112">
        <w:rPr>
          <w:rFonts w:cs="Arial"/>
          <w:color w:val="000000" w:themeColor="text1"/>
          <w:szCs w:val="16"/>
        </w:rPr>
        <w:br/>
      </w:r>
      <w:r w:rsidRPr="00781112">
        <w:rPr>
          <w:rFonts w:cs="Arial"/>
          <w:color w:val="000000" w:themeColor="text1"/>
          <w:szCs w:val="16"/>
        </w:rPr>
        <w:br/>
        <w:t>The same verification procedures are used for all noncompliance, whether collected through the state’s on-site monitoring system, desk review of records, state complaint or due process hearing decisions, or statewide student data system.</w:t>
      </w:r>
      <w:r w:rsidRPr="00781112">
        <w:rPr>
          <w:rFonts w:cs="Arial"/>
          <w:color w:val="000000" w:themeColor="text1"/>
          <w:szCs w:val="16"/>
        </w:rPr>
        <w:br/>
      </w:r>
      <w:r w:rsidRPr="00781112">
        <w:rPr>
          <w:rFonts w:cs="Arial"/>
          <w:color w:val="000000" w:themeColor="text1"/>
          <w:szCs w:val="16"/>
        </w:rPr>
        <w:br/>
        <w:t>The description of Montana's monitoring process is detailed in the Introduction.</w:t>
      </w:r>
    </w:p>
    <w:p w14:paraId="4F981BFF" w14:textId="77777777" w:rsidR="00C86164" w:rsidRPr="00781112" w:rsidRDefault="00C86164" w:rsidP="00C86164">
      <w:pPr>
        <w:rPr>
          <w:rFonts w:cs="Arial"/>
          <w:b/>
          <w:color w:val="000000" w:themeColor="text1"/>
          <w:szCs w:val="16"/>
        </w:rPr>
      </w:pPr>
      <w:bookmarkStart w:id="68" w:name="_Toc381956339"/>
      <w:bookmarkStart w:id="69" w:name="_Toc384383357"/>
      <w:bookmarkStart w:id="70"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The state has previously reported all initial evaluations that </w:t>
      </w:r>
      <w:proofErr w:type="gramStart"/>
      <w:r w:rsidRPr="00781112">
        <w:rPr>
          <w:rFonts w:cs="Arial"/>
          <w:color w:val="000000" w:themeColor="text1"/>
          <w:szCs w:val="16"/>
        </w:rPr>
        <w:t>were monitored</w:t>
      </w:r>
      <w:proofErr w:type="gramEnd"/>
      <w:r w:rsidRPr="00781112">
        <w:rPr>
          <w:rFonts w:cs="Arial"/>
          <w:color w:val="000000" w:themeColor="text1"/>
          <w:szCs w:val="16"/>
        </w:rPr>
        <w:t xml:space="preserve"> in the federal fiscal year being reported on. Given the comment received from OSEP during clarification, Montana is revising the data for indicator </w:t>
      </w:r>
      <w:proofErr w:type="gramStart"/>
      <w:r w:rsidRPr="00781112">
        <w:rPr>
          <w:rFonts w:cs="Arial"/>
          <w:color w:val="000000" w:themeColor="text1"/>
          <w:szCs w:val="16"/>
        </w:rPr>
        <w:t>11</w:t>
      </w:r>
      <w:proofErr w:type="gramEnd"/>
      <w:r w:rsidRPr="00781112">
        <w:rPr>
          <w:rFonts w:cs="Arial"/>
          <w:color w:val="000000" w:themeColor="text1"/>
          <w:szCs w:val="16"/>
        </w:rPr>
        <w:t xml:space="preserve"> to only reflect the initial evaluations that were conducted and monitored during the federal fiscal year to be reported on. This significantly changed the number but is a more accurate reflection of the practices occurring in the state during FFY2021.</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lastRenderedPageBreak/>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OPI reviewed individual student records to verify LEA’s child find, evaluation/re-evaluation, and Individualized Education Program (IEP) processes and procedures meet the IDEA requirements and Montana’s Administrative Rules. The student record review used during the monitoring process also addresses transfers, aversive treatment plans, manifestation determinations (including suspensions and expulsions), surrogate parents, private schools, high school graduates, exited students, students found not eligible, students who have had an evaluation report, other unique circumstances, IEPs during the current year and students whose parents revoked consent for special education services.  Compliance monitoring activities consisted of:</w:t>
      </w:r>
      <w:r w:rsidRPr="00781112">
        <w:rPr>
          <w:rFonts w:cs="Arial"/>
          <w:color w:val="000000" w:themeColor="text1"/>
          <w:szCs w:val="16"/>
        </w:rPr>
        <w:br/>
      </w:r>
      <w:r w:rsidRPr="00781112">
        <w:rPr>
          <w:rFonts w:cs="Arial"/>
          <w:color w:val="000000" w:themeColor="text1"/>
          <w:szCs w:val="16"/>
        </w:rPr>
        <w:br/>
        <w:t xml:space="preserve">• Review of a sampling of individual student records to examine current practices and documentation; </w:t>
      </w:r>
      <w:r w:rsidRPr="00781112">
        <w:rPr>
          <w:rFonts w:cs="Arial"/>
          <w:color w:val="000000" w:themeColor="text1"/>
          <w:szCs w:val="16"/>
        </w:rPr>
        <w:br/>
        <w:t>• Review of district policy, practices, and procedures;</w:t>
      </w:r>
      <w:r w:rsidRPr="00781112">
        <w:rPr>
          <w:rFonts w:cs="Arial"/>
          <w:color w:val="000000" w:themeColor="text1"/>
          <w:szCs w:val="16"/>
        </w:rPr>
        <w:br/>
        <w:t>• Visit selected schools, when appropriate; and</w:t>
      </w:r>
      <w:r w:rsidRPr="00781112">
        <w:rPr>
          <w:rFonts w:cs="Arial"/>
          <w:color w:val="000000" w:themeColor="text1"/>
          <w:szCs w:val="16"/>
        </w:rPr>
        <w:br/>
        <w:t>• Communication with individual teachers and specialists to discuss records, when appropriate.</w:t>
      </w:r>
      <w:r w:rsidRPr="00781112">
        <w:rPr>
          <w:rFonts w:cs="Arial"/>
          <w:color w:val="000000" w:themeColor="text1"/>
          <w:szCs w:val="16"/>
        </w:rPr>
        <w:br/>
      </w:r>
      <w:r w:rsidRPr="00781112">
        <w:rPr>
          <w:rFonts w:cs="Arial"/>
          <w:color w:val="000000" w:themeColor="text1"/>
          <w:szCs w:val="16"/>
        </w:rPr>
        <w:br/>
        <w:t>All identified noncompliance is recorded, verified, and accounted for through a process of:</w:t>
      </w:r>
      <w:r w:rsidRPr="00781112">
        <w:rPr>
          <w:rFonts w:cs="Arial"/>
          <w:color w:val="000000" w:themeColor="text1"/>
          <w:szCs w:val="16"/>
        </w:rPr>
        <w:br/>
      </w:r>
      <w:r w:rsidRPr="00781112">
        <w:rPr>
          <w:rFonts w:cs="Arial"/>
          <w:color w:val="000000" w:themeColor="text1"/>
          <w:szCs w:val="16"/>
        </w:rPr>
        <w:br/>
        <w:t>• Notification to the district of all identified noncompliance;</w:t>
      </w:r>
      <w:r w:rsidRPr="00781112">
        <w:rPr>
          <w:rFonts w:cs="Arial"/>
          <w:color w:val="000000" w:themeColor="text1"/>
          <w:szCs w:val="16"/>
        </w:rPr>
        <w:br/>
        <w:t>• Required correction of all identified noncompliance as per OSEP's 09-02 memo (Prong 1 of correction);</w:t>
      </w:r>
      <w:r w:rsidRPr="00781112">
        <w:rPr>
          <w:rFonts w:cs="Arial"/>
          <w:color w:val="000000" w:themeColor="text1"/>
          <w:szCs w:val="16"/>
        </w:rPr>
        <w:br/>
        <w:t>• District submission of up-dated data verifying 100 percent post-monitoring compliant policy, practice, and procedure (Prong 2 of correction);</w:t>
      </w:r>
      <w:r w:rsidRPr="00781112">
        <w:rPr>
          <w:rFonts w:cs="Arial"/>
          <w:color w:val="000000" w:themeColor="text1"/>
          <w:szCs w:val="16"/>
        </w:rPr>
        <w:br/>
        <w:t>• Timely issuance of findings, including corrective actions, for uncorrected identified noncompliance. Each finding cites a specific regulation, either federal or state, and describes the nature of the noncompliance;</w:t>
      </w:r>
      <w:r w:rsidRPr="00781112">
        <w:rPr>
          <w:rFonts w:cs="Arial"/>
          <w:color w:val="000000" w:themeColor="text1"/>
          <w:szCs w:val="16"/>
        </w:rPr>
        <w:br/>
        <w:t>• Additional issuance, when appropriate, of  required technical assistance, professional development and/or  district submission of up-dated data verifying 100 percent post-monitoring compliance in policy, practice, and procedure for issues  corrected  but originally identified to a degree that is indicative of systemic concern;</w:t>
      </w:r>
      <w:r w:rsidRPr="00781112">
        <w:rPr>
          <w:rFonts w:cs="Arial"/>
          <w:color w:val="000000" w:themeColor="text1"/>
          <w:szCs w:val="16"/>
        </w:rPr>
        <w:br/>
        <w:t>• Completion of required technical assistance and professional development activities; and</w:t>
      </w:r>
      <w:r w:rsidRPr="00781112">
        <w:rPr>
          <w:rFonts w:cs="Arial"/>
          <w:color w:val="000000" w:themeColor="text1"/>
          <w:szCs w:val="16"/>
        </w:rPr>
        <w:br/>
        <w:t>• The issuance of a final report to the district upon completion of all required compliance monitoring requirements.</w:t>
      </w:r>
      <w:r w:rsidRPr="00781112">
        <w:rPr>
          <w:rFonts w:cs="Arial"/>
          <w:color w:val="000000" w:themeColor="text1"/>
          <w:szCs w:val="16"/>
        </w:rPr>
        <w:br/>
      </w:r>
      <w:r w:rsidRPr="00781112">
        <w:rPr>
          <w:rFonts w:cs="Arial"/>
          <w:color w:val="000000" w:themeColor="text1"/>
          <w:szCs w:val="16"/>
        </w:rPr>
        <w:br/>
        <w:t xml:space="preserve">The OPI maintains tracking systems for compliance monitoring and due process hearings, mediation, state complaints, and other Early Assistance Program activities. The tracking systems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on no less than a monthly basis, to ensure timelines are met and procedures are being followed. Personnel maintaining the tracking systems are responsible for ensuring program specialists </w:t>
      </w:r>
      <w:proofErr w:type="gramStart"/>
      <w:r w:rsidRPr="00781112">
        <w:rPr>
          <w:rFonts w:cs="Arial"/>
          <w:color w:val="000000" w:themeColor="text1"/>
          <w:szCs w:val="16"/>
        </w:rPr>
        <w:t>are kept</w:t>
      </w:r>
      <w:proofErr w:type="gramEnd"/>
      <w:r w:rsidRPr="00781112">
        <w:rPr>
          <w:rFonts w:cs="Arial"/>
          <w:color w:val="000000" w:themeColor="text1"/>
          <w:szCs w:val="16"/>
        </w:rPr>
        <w:t xml:space="preserve"> aware of the timelines. Program specialists follow up with the LEAs, as appropriate, to ensure corrective actions required are </w:t>
      </w:r>
      <w:proofErr w:type="gramStart"/>
      <w:r w:rsidRPr="00781112">
        <w:rPr>
          <w:rFonts w:cs="Arial"/>
          <w:color w:val="000000" w:themeColor="text1"/>
          <w:szCs w:val="16"/>
        </w:rPr>
        <w:t>being completed</w:t>
      </w:r>
      <w:proofErr w:type="gramEnd"/>
      <w:r w:rsidRPr="00781112">
        <w:rPr>
          <w:rFonts w:cs="Arial"/>
          <w:color w:val="000000" w:themeColor="text1"/>
          <w:szCs w:val="16"/>
        </w:rPr>
        <w:t xml:space="preserve"> in accord with the designated times. Using these procedures, OPI has verified that each instance of noncompliance has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and the LEAs identified are now correctly implementing the regulatory requirements.</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OPI lead monitor for the district in which the noncompliance was found worked specifically with that district and teacher to correct the noncompliance within a specified timeline (30, 60, 90 days)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monitor sent a report to the district describing the incident of noncompliance that must be corrected and for which student(s)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meet Prong 1 of the OSEP 09-02 memo. Once it had been corrected for that specific student to satisfy the Prong 1 requirement, the district then submitted evidence of sustained post monitoring compliance to satisfy Prong 2 of the 09-02 memo</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documentation </w:t>
      </w:r>
      <w:proofErr w:type="gramStart"/>
      <w:r w:rsidRPr="00781112">
        <w:rPr>
          <w:rFonts w:cs="Arial"/>
          <w:color w:val="000000" w:themeColor="text1"/>
          <w:szCs w:val="16"/>
        </w:rPr>
        <w:t>is reviewed</w:t>
      </w:r>
      <w:proofErr w:type="gramEnd"/>
      <w:r w:rsidRPr="00781112">
        <w:rPr>
          <w:rFonts w:cs="Arial"/>
          <w:color w:val="000000" w:themeColor="text1"/>
          <w:szCs w:val="16"/>
        </w:rPr>
        <w:t xml:space="preserve"> in the same manner as the initial documentation, and if non-compliance is found, the district must correct it (prong 1), and continue to submit documentation until they can show that Prong 2 has been met. Using these procedures, OPI has verified that each instance of noncompliance has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and the LEAs identified are now correctly implementing the regulatory requirements.</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The description of how the state verified both the source of the noncompliance and the individual instances of noncompliance </w:t>
      </w:r>
      <w:proofErr w:type="gramStart"/>
      <w:r w:rsidRPr="00781112">
        <w:rPr>
          <w:rFonts w:cs="Arial"/>
          <w:color w:val="000000" w:themeColor="text1"/>
          <w:szCs w:val="16"/>
        </w:rPr>
        <w:t>were corrected</w:t>
      </w:r>
      <w:proofErr w:type="gramEnd"/>
      <w:r w:rsidRPr="00781112">
        <w:rPr>
          <w:rFonts w:cs="Arial"/>
          <w:color w:val="000000" w:themeColor="text1"/>
          <w:szCs w:val="16"/>
        </w:rPr>
        <w:t xml:space="preserve"> using Prong 1 and Prong 2 of the 09-02 OSEP Memo can be found in the applicable sections of this indicator.</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 xml:space="preserve">The State did not provide valid and reliable data for this indicator. In its FFY 2021 SPP/APR Data Table, the State reported parental consent to evaluate was received for </w:t>
      </w:r>
      <w:proofErr w:type="gramStart"/>
      <w:r w:rsidRPr="00781112">
        <w:rPr>
          <w:rFonts w:cs="Arial"/>
          <w:color w:val="000000" w:themeColor="text1"/>
          <w:szCs w:val="16"/>
        </w:rPr>
        <w:t>29</w:t>
      </w:r>
      <w:proofErr w:type="gramEnd"/>
      <w:r w:rsidRPr="00781112">
        <w:rPr>
          <w:rFonts w:cs="Arial"/>
          <w:color w:val="000000" w:themeColor="text1"/>
          <w:szCs w:val="16"/>
        </w:rPr>
        <w:t xml:space="preserve"> children (a), and 29 children had evaluations completed within 60 days (b). Therefore, the State's FFY 2021 data were 100%. However, in its narrative, the State reported there were five (5) children included in (a) but not in (b). Further, the State indicated that the range of days beyond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timeline when the five evaluations were completed "was from 7 to 191." Additionally, in its narrative the State referenced FFY 2020, which is outside of the reporting period for FFY 2021 (July 1, 2021- June 30, 2022). Specifically, the State reported, "The state of Montana, including </w:t>
      </w:r>
      <w:r w:rsidRPr="00781112">
        <w:rPr>
          <w:rFonts w:cs="Arial"/>
          <w:color w:val="000000" w:themeColor="text1"/>
          <w:szCs w:val="16"/>
        </w:rPr>
        <w:lastRenderedPageBreak/>
        <w:t>school districts were shut down by the governor on March 16, 2020. These evaluations were in process at the time of the closure." Therefore, OSEP could not determine if the State met its target.</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8"/>
      <w:bookmarkEnd w:id="69"/>
      <w:bookmarkEnd w:id="70"/>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1" w:name="_Toc384383358"/>
      <w:bookmarkStart w:id="72"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3" w:name="_Toc384383359"/>
      <w:bookmarkStart w:id="74" w:name="_Toc392159327"/>
      <w:bookmarkEnd w:id="71"/>
      <w:bookmarkEnd w:id="72"/>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3"/>
          <w:bookmarkEnd w:id="74"/>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97.44%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97.73%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93.67%</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97.62%</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93.94%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93</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49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49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55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93.94%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89.09%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The slippage can be directly attributed to small N sizes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There was a larger number of children referred to part C less than 90 days before their </w:t>
      </w:r>
      <w:proofErr w:type="gramStart"/>
      <w:r w:rsidRPr="00781112">
        <w:rPr>
          <w:rFonts w:cs="Arial"/>
          <w:color w:val="000000" w:themeColor="text1"/>
          <w:szCs w:val="16"/>
        </w:rPr>
        <w:t>3rd</w:t>
      </w:r>
      <w:proofErr w:type="gramEnd"/>
      <w:r w:rsidRPr="00781112">
        <w:rPr>
          <w:rFonts w:cs="Arial"/>
          <w:color w:val="000000" w:themeColor="text1"/>
          <w:szCs w:val="16"/>
        </w:rPr>
        <w:t xml:space="preserve"> birthday than the prior year, which can also be part of the difference, as that decreases the denominator.</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6</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 children included in (a), but not in b, c, d, e, or f are from five different LEAs. The range of days was from 4 to 49. There were no reasons given for </w:t>
      </w:r>
      <w:proofErr w:type="gramStart"/>
      <w:r w:rsidRPr="00781112">
        <w:rPr>
          <w:bCs/>
          <w:color w:val="000000" w:themeColor="text1"/>
        </w:rPr>
        <w:t>5</w:t>
      </w:r>
      <w:proofErr w:type="gramEnd"/>
      <w:r w:rsidRPr="00781112">
        <w:rPr>
          <w:bCs/>
          <w:color w:val="000000" w:themeColor="text1"/>
        </w:rPr>
        <w:t xml:space="preserve"> of them, and summer/winter break was listed as the reason for the 6th. All five LEAs were able to complete the IEPs prior to the data being collected, and to demonstrate compliance with the regulation by having completed eligibility determinations and having IEPs in place by the </w:t>
      </w:r>
      <w:proofErr w:type="gramStart"/>
      <w:r w:rsidRPr="00781112">
        <w:rPr>
          <w:bCs/>
          <w:color w:val="000000" w:themeColor="text1"/>
        </w:rPr>
        <w:t>3rd</w:t>
      </w:r>
      <w:proofErr w:type="gramEnd"/>
      <w:r w:rsidRPr="00781112">
        <w:rPr>
          <w:bCs/>
          <w:color w:val="000000" w:themeColor="text1"/>
        </w:rPr>
        <w:t xml:space="preserve"> birthday for the rest of the children in the fiscal year.</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5" w:name="_Hlk20318414"/>
      <w:bookmarkEnd w:id="75"/>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OPI uses a census-level data collection for this indicator. The Part C Lead Agency submits data regarding all children referred to a school district to the OPI. The OPI collates this data and verifies the referral through the statewide student database system. This system contains documentation of the referral, the eligibility determination and, if appropriate, the student’s IEP</w:t>
      </w:r>
      <w:proofErr w:type="gramStart"/>
      <w:r w:rsidRPr="00781112">
        <w:rPr>
          <w:rFonts w:cs="Arial"/>
          <w:color w:val="000000" w:themeColor="text1"/>
          <w:szCs w:val="16"/>
        </w:rPr>
        <w:t xml:space="preserve">.  </w:t>
      </w:r>
      <w:proofErr w:type="gramEnd"/>
      <w:r w:rsidRPr="00781112">
        <w:rPr>
          <w:rFonts w:cs="Arial"/>
          <w:color w:val="000000" w:themeColor="text1"/>
          <w:szCs w:val="16"/>
        </w:rPr>
        <w:t>This allows the OPI to determine district compliance with the Part C to Part B transition requirements. By using this method, the OPI can account for all children in the state who transition from Part C to Part B.</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For FFY 2020, at the time of data collection, the evaluation process and IEP development had occurred for the children for whom the eligibility determination had not </w:t>
      </w:r>
      <w:proofErr w:type="gramStart"/>
      <w:r w:rsidRPr="00781112">
        <w:rPr>
          <w:rFonts w:cs="Arial"/>
          <w:color w:val="000000" w:themeColor="text1"/>
          <w:szCs w:val="16"/>
        </w:rPr>
        <w:t>been made</w:t>
      </w:r>
      <w:proofErr w:type="gramEnd"/>
      <w:r w:rsidRPr="00781112">
        <w:rPr>
          <w:rFonts w:cs="Arial"/>
          <w:color w:val="000000" w:themeColor="text1"/>
          <w:szCs w:val="16"/>
        </w:rPr>
        <w:t xml:space="preserve"> or an IEP developed by their third birthday. All instances of noncompliance with this requirement </w:t>
      </w:r>
      <w:proofErr w:type="gramStart"/>
      <w:r w:rsidRPr="00781112">
        <w:rPr>
          <w:rFonts w:cs="Arial"/>
          <w:color w:val="000000" w:themeColor="text1"/>
          <w:szCs w:val="16"/>
        </w:rPr>
        <w:t>had</w:t>
      </w:r>
      <w:proofErr w:type="gramEnd"/>
      <w:r w:rsidRPr="00781112">
        <w:rPr>
          <w:rFonts w:cs="Arial"/>
          <w:color w:val="000000" w:themeColor="text1"/>
          <w:szCs w:val="16"/>
        </w:rPr>
        <w:t xml:space="preserve">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in a timely manner. The LEAs that had an identified instance of noncompliance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provide subsequent documentation of 100 percent compliance with the Part C to Part B transition requirements. For each of these LEAs, their FFY2021 data demonstrated that they did understand the requirements of IDEA, and they were able to get all determinations and IEPs written by the </w:t>
      </w:r>
      <w:proofErr w:type="gramStart"/>
      <w:r w:rsidRPr="00781112">
        <w:rPr>
          <w:rFonts w:cs="Arial"/>
          <w:color w:val="000000" w:themeColor="text1"/>
          <w:szCs w:val="16"/>
        </w:rPr>
        <w:t>3rd</w:t>
      </w:r>
      <w:proofErr w:type="gramEnd"/>
      <w:r w:rsidRPr="00781112">
        <w:rPr>
          <w:rFonts w:cs="Arial"/>
          <w:color w:val="000000" w:themeColor="text1"/>
          <w:szCs w:val="16"/>
        </w:rPr>
        <w:t xml:space="preserve"> birthdays for children referred from a Part C Agency.</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lastRenderedPageBreak/>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For FFY 2020, at the time of data collection, the evaluation process and IEP development had occurred for the children for whom the eligibility determination had not </w:t>
      </w:r>
      <w:proofErr w:type="gramStart"/>
      <w:r w:rsidRPr="00781112">
        <w:rPr>
          <w:rFonts w:cs="Arial"/>
          <w:color w:val="000000" w:themeColor="text1"/>
          <w:szCs w:val="16"/>
        </w:rPr>
        <w:t>been made</w:t>
      </w:r>
      <w:proofErr w:type="gramEnd"/>
      <w:r w:rsidRPr="00781112">
        <w:rPr>
          <w:rFonts w:cs="Arial"/>
          <w:color w:val="000000" w:themeColor="text1"/>
          <w:szCs w:val="16"/>
        </w:rPr>
        <w:t xml:space="preserve"> or an IEP developed by their third birthday. All instances of noncompliance with this requirement </w:t>
      </w:r>
      <w:proofErr w:type="gramStart"/>
      <w:r w:rsidRPr="00781112">
        <w:rPr>
          <w:rFonts w:cs="Arial"/>
          <w:color w:val="000000" w:themeColor="text1"/>
          <w:szCs w:val="16"/>
        </w:rPr>
        <w:t>had</w:t>
      </w:r>
      <w:proofErr w:type="gramEnd"/>
      <w:r w:rsidRPr="00781112">
        <w:rPr>
          <w:rFonts w:cs="Arial"/>
          <w:color w:val="000000" w:themeColor="text1"/>
          <w:szCs w:val="16"/>
        </w:rPr>
        <w:t xml:space="preserve">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in a timely manner. This satisfies Prong 1 of the OSEP 09-02 memo</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The LEAs that had an identified instance of noncompliance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provide subsequent documentation of 100 percent compliance with the Part C to Part B transition requirements. They were able to demonstrate compliance in FFY2020</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Their FFY2021 data also demonstrated that they did understand the requirements of IDEA, and they were able to get all determinations and IEPs written by the </w:t>
      </w:r>
      <w:proofErr w:type="gramStart"/>
      <w:r w:rsidRPr="00781112">
        <w:rPr>
          <w:rFonts w:cs="Arial"/>
          <w:color w:val="000000" w:themeColor="text1"/>
          <w:szCs w:val="16"/>
        </w:rPr>
        <w:t>3rd</w:t>
      </w:r>
      <w:proofErr w:type="gramEnd"/>
      <w:r w:rsidRPr="00781112">
        <w:rPr>
          <w:rFonts w:cs="Arial"/>
          <w:color w:val="000000" w:themeColor="text1"/>
          <w:szCs w:val="16"/>
        </w:rPr>
        <w:t xml:space="preserve"> birthdays for children referred from a Part C Agency.  This satisfies Prong 2 of the OSEP 09-02 memo.</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State's FFY 2020 data for this indicator reflected less than 100% compliance. The State reported that it did not identify any findings of noncompliance in FFY 2020 because it corrected the noncompliance before it made any findings. However, OSEP could not determine if the State ensured, consistent with OSEP Memo 09-02, that each LEA is correctly implementing the specific regulatory requirements (i.e., achieved 100% compliance) based on a review of updated data such as data subsequently collected through on-site monitoring or a State data system.</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The State did not report that it identified any findings of noncompliance in FFY 2020, although its FFY 2020 data reflect less than 100% compliance. In the FFY 2022 SPP/APR, the State must report how it verified that each LEA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w:t>
      </w:r>
      <w:r w:rsidRPr="00781112">
        <w:rPr>
          <w:rFonts w:cs="Arial"/>
          <w:color w:val="000000" w:themeColor="text1"/>
          <w:szCs w:val="16"/>
        </w:rPr>
        <w:br/>
      </w:r>
      <w:r w:rsidRPr="00781112">
        <w:rPr>
          <w:rFonts w:cs="Arial"/>
          <w:color w:val="000000" w:themeColor="text1"/>
          <w:szCs w:val="16"/>
        </w:rPr>
        <w:b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r w:rsidRPr="00781112">
        <w:rPr>
          <w:rFonts w:cs="Arial"/>
          <w:color w:val="000000" w:themeColor="text1"/>
          <w:szCs w:val="16"/>
        </w:rPr>
        <w:br/>
        <w:t xml:space="preserve"> </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6" w:name="_Toc384383363"/>
      <w:bookmarkStart w:id="77"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8" w:name="_Toc384383364"/>
      <w:bookmarkStart w:id="79" w:name="_Toc392159332"/>
      <w:bookmarkEnd w:id="76"/>
      <w:bookmarkEnd w:id="77"/>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85.30%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98.70%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98.68%</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69.03%</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73.53%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72.37%</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8"/>
    <w:bookmarkEnd w:id="79"/>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49</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72.37%</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48.98%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Due to the impacts of COVID 19, fewer files were reviewed, thus decreasing the number of potential files for this indicator, creating a small N size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With a smaller N size, having just a few IEPs not meeting the requirements for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caused the percentage to lower significantly.</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OPI collected the indicator data as a part of its compliance monitoring procedures during the 2021-2022 school year. Compliance monitors reviewed a sampling of student records for students, ages 16 and older, to ensure their IEPs include appropriate measurable postsecondary goals that are annually updated and based upon an age-appropriate transition assessments, transition services, including courses of study, that will reasonably enable the student to meet their postsecondary goals, and annual IEP goals related to the student’s transition service needs. There also must be evidence that the student was invited to the IEP team meeting where transition services were to be discussed and evidence that, if appropriate, a representative of any participating agency that is likely to be responsible for providing or paying for transition services, including, if appropriate, pre-employment transition services, was invited to the IEP Team meeting with the prior consent of the parent or student who has reached the age of majority. </w:t>
      </w:r>
      <w:r w:rsidRPr="00781112">
        <w:rPr>
          <w:rFonts w:cs="Arial"/>
          <w:color w:val="000000" w:themeColor="text1"/>
          <w:szCs w:val="16"/>
        </w:rPr>
        <w:br/>
      </w:r>
      <w:r w:rsidRPr="00781112">
        <w:rPr>
          <w:rFonts w:cs="Arial"/>
          <w:color w:val="000000" w:themeColor="text1"/>
          <w:szCs w:val="16"/>
        </w:rPr>
        <w:br/>
        <w:t xml:space="preserve">Correction of identified noncompliance related to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was verified using both prongs of the verification process described in the OSEP’s 09-02 Memorandum and subsequent guidance from the OSEP. Each LEA in Montana has an on-site or virtual desk monitoring record review which is on a five-year cycle. State operated and state funded facilities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on a three-year cycle. The OPI monitoring staff selects records for review and uses a standard record review protocol to conduct the reviews. During this process, instances of IDEA noncompliance </w:t>
      </w:r>
      <w:proofErr w:type="gramStart"/>
      <w:r w:rsidRPr="00781112">
        <w:rPr>
          <w:rFonts w:cs="Arial"/>
          <w:color w:val="000000" w:themeColor="text1"/>
          <w:szCs w:val="16"/>
        </w:rPr>
        <w:t>are identified</w:t>
      </w:r>
      <w:proofErr w:type="gramEnd"/>
      <w:r w:rsidRPr="00781112">
        <w:rPr>
          <w:rFonts w:cs="Arial"/>
          <w:color w:val="000000" w:themeColor="text1"/>
          <w:szCs w:val="16"/>
        </w:rPr>
        <w:t>. Following the on-site review, each LEA is provided a list, by student, of every instance of noncompliance identified during the review</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The LEAs </w:t>
      </w:r>
      <w:proofErr w:type="gramStart"/>
      <w:r w:rsidRPr="00781112">
        <w:rPr>
          <w:rFonts w:cs="Arial"/>
          <w:color w:val="000000" w:themeColor="text1"/>
          <w:szCs w:val="16"/>
        </w:rPr>
        <w:t>are given</w:t>
      </w:r>
      <w:proofErr w:type="gramEnd"/>
      <w:r w:rsidRPr="00781112">
        <w:rPr>
          <w:rFonts w:cs="Arial"/>
          <w:color w:val="000000" w:themeColor="text1"/>
          <w:szCs w:val="16"/>
        </w:rPr>
        <w:t xml:space="preserve"> a specific set of timelines in which to correct every instance of noncompliance. Following the initial verification of correction, the OPI staff review additional records completed </w:t>
      </w:r>
      <w:proofErr w:type="gramStart"/>
      <w:r w:rsidRPr="00781112">
        <w:rPr>
          <w:rFonts w:cs="Arial"/>
          <w:color w:val="000000" w:themeColor="text1"/>
          <w:szCs w:val="16"/>
        </w:rPr>
        <w:t>subsequent to</w:t>
      </w:r>
      <w:proofErr w:type="gramEnd"/>
      <w:r w:rsidRPr="00781112">
        <w:rPr>
          <w:rFonts w:cs="Arial"/>
          <w:color w:val="000000" w:themeColor="text1"/>
          <w:szCs w:val="16"/>
        </w:rPr>
        <w:t xml:space="preserve"> the identification of the noncompliance to verify the LEA is complying with all IDEA regulations. If an LEA completes the correction of each instance of noncompliance, and provides the OPI with sufficient additional records to verify ongoing evidence of compliance, then no finding is issued to the LEA. This practice is based on the guidance provided by OSEP in the FREQUENTLY ASKED QUESTIONS REGARDING IDENTIFICATION AND CORRECTION OF NONCOMPLIANCE AND REPORTING ON CORRECTION IN THE STATE PERFORMANCE PLAN (SPP)/ANNUAL PERFORMANCE REPORT (APR) document. In the process for determination of findings, the OPI considers a variety of factors including: (1) whether the noncompliance was extensive or found in only a small percentage of files; (2) whether the noncompliance showed a denial of a basic right under the IDEA (e.g., an extended delay in initial evaluation beyond applicable timelines with a corresponding delay in the child’s receipt of FAPE, or a  failure to provide any services in accordance with the IEP); and (3) whether the noncompliance represents an isolated incident, or reflects a long-standing failure to meet IDEA requirements. When data indicates additional evidence of sustained post-monitoring compliance is necessary, the OPI requires the district to obtain additional training and/or submit additional evidence of sustained compliance.</w:t>
      </w:r>
      <w:r w:rsidRPr="00781112">
        <w:rPr>
          <w:rFonts w:cs="Arial"/>
          <w:color w:val="000000" w:themeColor="text1"/>
          <w:szCs w:val="16"/>
        </w:rPr>
        <w:br/>
      </w:r>
      <w:r w:rsidRPr="00781112">
        <w:rPr>
          <w:rFonts w:cs="Arial"/>
          <w:color w:val="000000" w:themeColor="text1"/>
          <w:szCs w:val="16"/>
        </w:rPr>
        <w:br/>
        <w:t xml:space="preserve">Due to the impacts of COVID-19, the SEA did not monitor at least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due to factors beyond the agencies control. Files </w:t>
      </w:r>
      <w:proofErr w:type="gramStart"/>
      <w:r w:rsidRPr="00781112">
        <w:rPr>
          <w:rFonts w:cs="Arial"/>
          <w:color w:val="000000" w:themeColor="text1"/>
          <w:szCs w:val="16"/>
        </w:rPr>
        <w:t>were reduced</w:t>
      </w:r>
      <w:proofErr w:type="gramEnd"/>
      <w:r w:rsidRPr="00781112">
        <w:rPr>
          <w:rFonts w:cs="Arial"/>
          <w:color w:val="000000" w:themeColor="text1"/>
          <w:szCs w:val="16"/>
        </w:rPr>
        <w:t xml:space="preserve"> from two per case manager per district to one file per case manager. If a case manager served multiple districts, there was a chance those files were not reviewed if it was decided the district was not going to be monitored</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 xml:space="preserve">The same verification procedures </w:t>
      </w:r>
      <w:proofErr w:type="gramStart"/>
      <w:r w:rsidRPr="00781112">
        <w:rPr>
          <w:rFonts w:cs="Arial"/>
          <w:color w:val="000000" w:themeColor="text1"/>
          <w:szCs w:val="16"/>
        </w:rPr>
        <w:t>are used</w:t>
      </w:r>
      <w:proofErr w:type="gramEnd"/>
      <w:r w:rsidRPr="00781112">
        <w:rPr>
          <w:rFonts w:cs="Arial"/>
          <w:color w:val="000000" w:themeColor="text1"/>
          <w:szCs w:val="16"/>
        </w:rPr>
        <w:t xml:space="preserve"> for all noncompliance, whether collected through the state’s on-site monitoring system, desk review of records, state complaint or due process hearing decisions, or statewide student data system.</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80"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Due to the impacts of COVID-19, the SEA did not monitor at least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due to factors beyond the agencies control. Files </w:t>
      </w:r>
      <w:proofErr w:type="gramStart"/>
      <w:r w:rsidRPr="00781112">
        <w:rPr>
          <w:rFonts w:cs="Arial"/>
          <w:color w:val="000000" w:themeColor="text1"/>
          <w:szCs w:val="16"/>
        </w:rPr>
        <w:t>were reduced</w:t>
      </w:r>
      <w:proofErr w:type="gramEnd"/>
      <w:r w:rsidRPr="00781112">
        <w:rPr>
          <w:rFonts w:cs="Arial"/>
          <w:color w:val="000000" w:themeColor="text1"/>
          <w:szCs w:val="16"/>
        </w:rPr>
        <w:t xml:space="preserve"> from two per case manager per district to one file per case manager. If a case manager served multiple districts, there was a chance those files </w:t>
      </w:r>
      <w:proofErr w:type="gramStart"/>
      <w:r w:rsidRPr="00781112">
        <w:rPr>
          <w:rFonts w:cs="Arial"/>
          <w:color w:val="000000" w:themeColor="text1"/>
          <w:szCs w:val="16"/>
        </w:rPr>
        <w:t>were not reviewed</w:t>
      </w:r>
      <w:proofErr w:type="gramEnd"/>
      <w:r w:rsidRPr="00781112">
        <w:rPr>
          <w:rFonts w:cs="Arial"/>
          <w:color w:val="000000" w:themeColor="text1"/>
          <w:szCs w:val="16"/>
        </w:rPr>
        <w:t xml:space="preserve"> if it was decided the district was not going to be monitored. </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OPI reviewed individual student records to verify that LEA’s Individualized Education Program (IEP) processes and procedures meet IDEA requirements and Montana’s Administrative Rules</w:t>
      </w:r>
      <w:proofErr w:type="gramStart"/>
      <w:r w:rsidRPr="00781112">
        <w:rPr>
          <w:rFonts w:cs="Arial"/>
          <w:color w:val="000000" w:themeColor="text1"/>
          <w:szCs w:val="16"/>
        </w:rPr>
        <w:t xml:space="preserve">.  </w:t>
      </w:r>
      <w:proofErr w:type="gramEnd"/>
      <w:r w:rsidRPr="00781112">
        <w:rPr>
          <w:rFonts w:cs="Arial"/>
          <w:color w:val="000000" w:themeColor="text1"/>
          <w:szCs w:val="16"/>
        </w:rPr>
        <w:t>Compliance monitoring activities consisted of:</w:t>
      </w:r>
      <w:r w:rsidRPr="00781112">
        <w:rPr>
          <w:rFonts w:cs="Arial"/>
          <w:color w:val="000000" w:themeColor="text1"/>
          <w:szCs w:val="16"/>
        </w:rPr>
        <w:br/>
      </w:r>
      <w:r w:rsidRPr="00781112">
        <w:rPr>
          <w:rFonts w:cs="Arial"/>
          <w:color w:val="000000" w:themeColor="text1"/>
          <w:szCs w:val="16"/>
        </w:rPr>
        <w:br/>
        <w:t>--Review of district policy, practices, and procedures;</w:t>
      </w:r>
      <w:r w:rsidRPr="00781112">
        <w:rPr>
          <w:rFonts w:cs="Arial"/>
          <w:color w:val="000000" w:themeColor="text1"/>
          <w:szCs w:val="16"/>
        </w:rPr>
        <w:br/>
        <w:t xml:space="preserve">--Review of a sampling of individual student records to examine current practices and documentation; </w:t>
      </w:r>
      <w:r w:rsidRPr="00781112">
        <w:rPr>
          <w:rFonts w:cs="Arial"/>
          <w:color w:val="000000" w:themeColor="text1"/>
          <w:szCs w:val="16"/>
        </w:rPr>
        <w:br/>
        <w:t>--On-site visit of selected schools, when appropriate; and</w:t>
      </w:r>
      <w:r w:rsidRPr="00781112">
        <w:rPr>
          <w:rFonts w:cs="Arial"/>
          <w:color w:val="000000" w:themeColor="text1"/>
          <w:szCs w:val="16"/>
        </w:rPr>
        <w:br/>
        <w:t>--Communication with individual teachers and specialists to discuss records, when appropriate.</w:t>
      </w:r>
      <w:r w:rsidRPr="00781112">
        <w:rPr>
          <w:rFonts w:cs="Arial"/>
          <w:color w:val="000000" w:themeColor="text1"/>
          <w:szCs w:val="16"/>
        </w:rPr>
        <w:br/>
      </w:r>
      <w:r w:rsidRPr="00781112">
        <w:rPr>
          <w:rFonts w:cs="Arial"/>
          <w:color w:val="000000" w:themeColor="text1"/>
          <w:szCs w:val="16"/>
        </w:rPr>
        <w:br/>
        <w:t>All identified noncompliance is recorded, verified, and accounted for through a process of:</w:t>
      </w:r>
      <w:r w:rsidRPr="00781112">
        <w:rPr>
          <w:rFonts w:cs="Arial"/>
          <w:color w:val="000000" w:themeColor="text1"/>
          <w:szCs w:val="16"/>
        </w:rPr>
        <w:br/>
      </w:r>
      <w:r w:rsidRPr="00781112">
        <w:rPr>
          <w:rFonts w:cs="Arial"/>
          <w:color w:val="000000" w:themeColor="text1"/>
          <w:szCs w:val="16"/>
        </w:rPr>
        <w:br/>
        <w:t>• Notification to the district of all identified noncompliance;</w:t>
      </w:r>
      <w:r w:rsidRPr="00781112">
        <w:rPr>
          <w:rFonts w:cs="Arial"/>
          <w:color w:val="000000" w:themeColor="text1"/>
          <w:szCs w:val="16"/>
        </w:rPr>
        <w:br/>
        <w:t>• Required correction of all identified noncompliance as per OSEP's 09-02 memo (Prong 1 of correction);</w:t>
      </w:r>
      <w:r w:rsidRPr="00781112">
        <w:rPr>
          <w:rFonts w:cs="Arial"/>
          <w:color w:val="000000" w:themeColor="text1"/>
          <w:szCs w:val="16"/>
        </w:rPr>
        <w:br/>
        <w:t>•</w:t>
      </w:r>
      <w:r w:rsidRPr="00781112">
        <w:rPr>
          <w:rFonts w:cs="Arial"/>
          <w:color w:val="000000" w:themeColor="text1"/>
          <w:szCs w:val="16"/>
        </w:rPr>
        <w:tab/>
        <w:t xml:space="preserve">District submission of up-dated data verifying 100 percent post-monitoring compliant policy, practice, and procedure (Prong 2 of correction);  </w:t>
      </w:r>
      <w:r w:rsidRPr="00781112">
        <w:rPr>
          <w:rFonts w:cs="Arial"/>
          <w:color w:val="000000" w:themeColor="text1"/>
          <w:szCs w:val="16"/>
        </w:rPr>
        <w:br/>
        <w:t>• SEA specialists review and verifys all documentation submitted to correct the initial instance of non-compliance (prong 1), and the subsequent documentation submitted showing continued compliance to verify prong 2.</w:t>
      </w:r>
      <w:r w:rsidRPr="00781112">
        <w:rPr>
          <w:rFonts w:cs="Arial"/>
          <w:color w:val="000000" w:themeColor="text1"/>
          <w:szCs w:val="16"/>
        </w:rPr>
        <w:br/>
        <w:t>• Timely issuance of findings, including corrective actions, for uncorrected identified noncompliance. Each finding cites a specific regulation, either federal or state, and describes the nature of the noncompliance;</w:t>
      </w:r>
      <w:r w:rsidRPr="00781112">
        <w:rPr>
          <w:rFonts w:cs="Arial"/>
          <w:color w:val="000000" w:themeColor="text1"/>
          <w:szCs w:val="16"/>
        </w:rPr>
        <w:br/>
        <w:t xml:space="preserve">• Additional issuance, when appropriate, of required technical assistance, professional development and/or district submission of up-dated data verifying </w:t>
      </w:r>
      <w:r w:rsidRPr="00781112">
        <w:rPr>
          <w:rFonts w:cs="Arial"/>
          <w:color w:val="000000" w:themeColor="text1"/>
          <w:szCs w:val="16"/>
        </w:rPr>
        <w:lastRenderedPageBreak/>
        <w:t>100 percent post-monitoring compliance in policy, practice, and procedure for issues corrected but originally identified to a degree that is indicative of systemic concern;</w:t>
      </w:r>
      <w:r w:rsidRPr="00781112">
        <w:rPr>
          <w:rFonts w:cs="Arial"/>
          <w:color w:val="000000" w:themeColor="text1"/>
          <w:szCs w:val="16"/>
        </w:rPr>
        <w:br/>
        <w:t>• Completion of required technical assistance and professional development activities; and</w:t>
      </w:r>
      <w:r w:rsidRPr="00781112">
        <w:rPr>
          <w:rFonts w:cs="Arial"/>
          <w:color w:val="000000" w:themeColor="text1"/>
          <w:szCs w:val="16"/>
        </w:rPr>
        <w:br/>
        <w:t>• The issuance of a final report to the district upon completion of all required compliance monitoring requirements.</w:t>
      </w:r>
      <w:r w:rsidRPr="00781112">
        <w:rPr>
          <w:rFonts w:cs="Arial"/>
          <w:color w:val="000000" w:themeColor="text1"/>
          <w:szCs w:val="16"/>
        </w:rPr>
        <w:br/>
      </w:r>
      <w:r w:rsidRPr="00781112">
        <w:rPr>
          <w:rFonts w:cs="Arial"/>
          <w:color w:val="000000" w:themeColor="text1"/>
          <w:szCs w:val="16"/>
        </w:rPr>
        <w:br/>
        <w:t>The noncompliance cases reported for FFY2020 that were not corrected within one year were in two LEAs.  To address the noncompliance, the OPI met with the LEA Superintendent, Principals, School Board Chair, and Special Education Director to discuss the noncompliance, progress towards completing the noncompliance, and a plan of action moving forward</w:t>
      </w:r>
      <w:proofErr w:type="gramStart"/>
      <w:r w:rsidRPr="00781112">
        <w:rPr>
          <w:rFonts w:cs="Arial"/>
          <w:color w:val="000000" w:themeColor="text1"/>
          <w:szCs w:val="16"/>
        </w:rPr>
        <w:t xml:space="preserve">.  </w:t>
      </w:r>
      <w:proofErr w:type="gramEnd"/>
      <w:r w:rsidRPr="00781112">
        <w:rPr>
          <w:rFonts w:cs="Arial"/>
          <w:color w:val="000000" w:themeColor="text1"/>
          <w:szCs w:val="16"/>
        </w:rPr>
        <w:t>Following this meeting, the lead monitor worked with the Special Education teacher serving both districts to correct every outstanding instance of noncompliance and to show on-going compliance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Throughout the </w:t>
      </w:r>
      <w:proofErr w:type="gramStart"/>
      <w:r w:rsidRPr="00781112">
        <w:rPr>
          <w:rFonts w:cs="Arial"/>
          <w:color w:val="000000" w:themeColor="text1"/>
          <w:szCs w:val="16"/>
        </w:rPr>
        <w:t>timeframe</w:t>
      </w:r>
      <w:proofErr w:type="gramEnd"/>
      <w:r w:rsidRPr="00781112">
        <w:rPr>
          <w:rFonts w:cs="Arial"/>
          <w:color w:val="000000" w:themeColor="text1"/>
          <w:szCs w:val="16"/>
        </w:rPr>
        <w:t>, the district was submitting documentation, and the SEA was reviewing the documentation for correction of initial instance of non-compliance (prong 1), and continued compliance (prong 2).  If the submitted documentation did not correctly address the initial instance of noncompliance, it was not accepted, and was subsequently corrected and resubmitted until it had met prong 1</w:t>
      </w:r>
      <w:proofErr w:type="gramStart"/>
      <w:r w:rsidRPr="00781112">
        <w:rPr>
          <w:rFonts w:cs="Arial"/>
          <w:color w:val="000000" w:themeColor="text1"/>
          <w:szCs w:val="16"/>
        </w:rPr>
        <w:t xml:space="preserve">.  </w:t>
      </w:r>
      <w:proofErr w:type="gramEnd"/>
      <w:r w:rsidRPr="00781112">
        <w:rPr>
          <w:rFonts w:cs="Arial"/>
          <w:color w:val="000000" w:themeColor="text1"/>
          <w:szCs w:val="16"/>
        </w:rPr>
        <w:t>At that time, the district was allowed to begin submitting documentation for review and verification of prong 2</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corrections </w:t>
      </w:r>
      <w:proofErr w:type="gramStart"/>
      <w:r w:rsidRPr="00781112">
        <w:rPr>
          <w:rFonts w:cs="Arial"/>
          <w:color w:val="000000" w:themeColor="text1"/>
          <w:szCs w:val="16"/>
        </w:rPr>
        <w:t>were completed</w:t>
      </w:r>
      <w:proofErr w:type="gramEnd"/>
      <w:r w:rsidRPr="00781112">
        <w:rPr>
          <w:rFonts w:cs="Arial"/>
          <w:color w:val="000000" w:themeColor="text1"/>
          <w:szCs w:val="16"/>
        </w:rPr>
        <w:t xml:space="preserve"> in December 2021, within 30 days of the one-year timeline.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OPI lead monitor for the district in which the noncompliance was found worked specifically with that district and teacher to correct the noncompliance within a specified timeline (30, 60, 90 days)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monitor sent a report to the district describing the incident of noncompliance that must be corrected and for which student(s)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meet Prong 1 of the OSEP 09-02 memo. Once it had been corrected for that specific student to satisfy the Prong 1 requirement, the district then submitted evidence of sustained post monitoring compliance to satisfy Prong 2 of the 09-02 memo</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documentation </w:t>
      </w:r>
      <w:proofErr w:type="gramStart"/>
      <w:r w:rsidRPr="00781112">
        <w:rPr>
          <w:rFonts w:cs="Arial"/>
          <w:color w:val="000000" w:themeColor="text1"/>
          <w:szCs w:val="16"/>
        </w:rPr>
        <w:t>is reviewed</w:t>
      </w:r>
      <w:proofErr w:type="gramEnd"/>
      <w:r w:rsidRPr="00781112">
        <w:rPr>
          <w:rFonts w:cs="Arial"/>
          <w:color w:val="000000" w:themeColor="text1"/>
          <w:szCs w:val="16"/>
        </w:rPr>
        <w:t xml:space="preserve"> in the same manner as the initial documentation, and if non-compliance is found, the district must correct it (prong 1), and continue to submit documentation until they can show that Prong 2 has been met. Using these procedures, OPI has verified that each instance of noncompliance has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and the LEAs identified are now correctly implementing the regulatory requirements.</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The description of how the state verified both the source of the noncompliance and the individual instances of noncompliance </w:t>
      </w:r>
      <w:proofErr w:type="gramStart"/>
      <w:r w:rsidRPr="00781112">
        <w:rPr>
          <w:rFonts w:cs="Arial"/>
          <w:color w:val="000000" w:themeColor="text1"/>
          <w:szCs w:val="16"/>
        </w:rPr>
        <w:t>were corrected</w:t>
      </w:r>
      <w:proofErr w:type="gramEnd"/>
      <w:r w:rsidRPr="00781112">
        <w:rPr>
          <w:rFonts w:cs="Arial"/>
          <w:color w:val="000000" w:themeColor="text1"/>
          <w:szCs w:val="16"/>
        </w:rPr>
        <w:t xml:space="preserve"> using Prong 1 and Prong 2 of the 09-02 OSEP Memo can be found in the applicable sections above.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2020 because it did not report that it verified correction of those findings, consistent with OSEP Memo 09-02. Specifically, the State did not report that that it verified that each LEA with noncompliance identified in FFY 2020 is correctly implementing the specific regulatory requirements (i.e., achieved 100% compliance) based on a review of updated data such as data subsequently collected through on-site monitoring or a State data system.</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w:t>
      </w:r>
      <w:proofErr w:type="gramStart"/>
      <w:r w:rsidRPr="00781112">
        <w:rPr>
          <w:rFonts w:cs="Arial"/>
          <w:color w:val="000000" w:themeColor="text1"/>
          <w:szCs w:val="16"/>
        </w:rPr>
        <w:t>11</w:t>
      </w:r>
      <w:proofErr w:type="gramEnd"/>
      <w:r w:rsidRPr="00781112">
        <w:rPr>
          <w:rFonts w:cs="Arial"/>
          <w:color w:val="000000" w:themeColor="text1"/>
          <w:szCs w:val="16"/>
        </w:rPr>
        <w:t xml:space="preserve"> uncorrected findings of 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0"/>
    </w:p>
    <w:p w14:paraId="22761492" w14:textId="77777777" w:rsidR="005C50DB" w:rsidRPr="00781112" w:rsidRDefault="005C50DB" w:rsidP="00A018D4">
      <w:pPr>
        <w:rPr>
          <w:szCs w:val="20"/>
        </w:rPr>
      </w:pPr>
      <w:bookmarkStart w:id="81"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2"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2"/>
    <w:p w14:paraId="3FE9961A" w14:textId="1EDBA086" w:rsidR="000301BA" w:rsidRPr="00781112" w:rsidRDefault="00172058" w:rsidP="00123D76">
      <w:pPr>
        <w:pStyle w:val="Heading2"/>
      </w:pPr>
      <w:r w:rsidRPr="00781112">
        <w:t>14 - Indicator Data</w:t>
      </w:r>
    </w:p>
    <w:bookmarkEnd w:id="81"/>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26.80%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26.90%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15.75%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15.75%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15.51%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22.14%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22.85%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15.51%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17.30%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12.72%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73.70%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73.80%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60.75%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60.75%</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60.58%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73.86%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60.58%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62.87%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59.36%</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87.20%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87.40%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79.75%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79.75%</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79.57%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86.86%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87.58%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79.57%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78.48%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73.98%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15.85%</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15.95%</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16.05%</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16.15%</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16.25%</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60.85%</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60.95%</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61.05%</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61.15%</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61.25%</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79.85%</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79.95%</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80.05%</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80.15%</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80.25%</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3" w:name="_Toc392159337"/>
    </w:p>
    <w:bookmarkEnd w:id="83"/>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1,090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770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70.64%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98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407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67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98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770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12.72%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15.85%</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12.73%</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505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770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59.36%</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60.85%</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65.58%</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w:t>
            </w:r>
            <w:r w:rsidRPr="00781112">
              <w:rPr>
                <w:rFonts w:cs="Arial"/>
                <w:color w:val="000000" w:themeColor="text1"/>
                <w:szCs w:val="16"/>
              </w:rPr>
              <w:lastRenderedPageBreak/>
              <w:t>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620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770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73.98%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79.85%</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80.52%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68.13%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70.64%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Montana will remove </w:t>
      </w:r>
      <w:proofErr w:type="gramStart"/>
      <w:r w:rsidRPr="00B551F2">
        <w:t>2</w:t>
      </w:r>
      <w:proofErr w:type="gramEnd"/>
      <w:r w:rsidRPr="00B551F2">
        <w:t xml:space="preserve"> questions from the survey that appear to cause responders confusion and result in surveys not being completed. The answers to these </w:t>
      </w:r>
      <w:proofErr w:type="gramStart"/>
      <w:r w:rsidRPr="00B551F2">
        <w:t>2</w:t>
      </w:r>
      <w:proofErr w:type="gramEnd"/>
      <w:r w:rsidRPr="00B551F2">
        <w:t xml:space="preserve"> questions can be inferred from the answers to other questions on the survey, providing valid and reliable data for respondents, and hopefully increasing the response rate overall.</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Montana worked with the IDEA Data Center (IDC) to beta test their non-response bias tool for the analysis of the FFY2021 Indicator 14 data</w:t>
      </w:r>
      <w:proofErr w:type="gramStart"/>
      <w:r w:rsidRPr="00B551F2">
        <w:t xml:space="preserve">.  </w:t>
      </w:r>
      <w:proofErr w:type="gramEnd"/>
      <w:r w:rsidRPr="00B551F2">
        <w:t>In that analysis we reviewed response rates by race/ethnicity (using American Indian, Hispanic, Multi-Racial, White, and grouping the others into one group as there are less than 20 students in each of those categories), disability category (using Autism, Cognitive Disability, Emotional Disturbance, Multiple Disabilities, Other Health Impairments, Specific Learning Disabilities, and grouping all other categories together into one as they all had less than 20 students in the population), gender, and basis of exit.  Analysis of representativeness of response rates indicates that there could be nonresponse bias if underrepresented and overrepresented groups differ on the outcome of interest (</w:t>
      </w:r>
      <w:proofErr w:type="gramStart"/>
      <w:r w:rsidRPr="00B551F2">
        <w:t>e.g.</w:t>
      </w:r>
      <w:proofErr w:type="gramEnd"/>
      <w:r w:rsidRPr="00B551F2">
        <w:t xml:space="preserve"> post-secondary outcomes).  </w:t>
      </w:r>
      <w:r w:rsidRPr="00B551F2">
        <w:br/>
      </w:r>
      <w:r w:rsidRPr="00B551F2">
        <w:br/>
        <w:t xml:space="preserve">As described further below, students who had dropped out </w:t>
      </w:r>
      <w:proofErr w:type="gramStart"/>
      <w:r w:rsidRPr="00B551F2">
        <w:t>were identified</w:t>
      </w:r>
      <w:proofErr w:type="gramEnd"/>
      <w:r w:rsidRPr="00B551F2">
        <w:t xml:space="preserve"> as underrepresented in the survey compared to students who had graduated, based on Montana’s threshold for representativeness (described below). Montana compared outcomes among respondents for these two groups to assess for nonresponse bias. We found </w:t>
      </w:r>
      <w:proofErr w:type="gramStart"/>
      <w:r w:rsidRPr="00B551F2">
        <w:t>large differences</w:t>
      </w:r>
      <w:proofErr w:type="gramEnd"/>
      <w:r w:rsidRPr="00B551F2">
        <w:t xml:space="preserve"> between these two groups in the outcome Measure A (0.83% for students who had dropped out compared to 14.95% for graduates) and for the percent of students not engaged (33.88% compared to 16.80%). Based on this analysis, it appears likely that there was nonresponse bias in our survey estimates for Measure A and for the percent of students not engaged, related to the underrepresentation in the survey of students who had dropped out. No other subgroup analyses indicated underrepresentation based on Montana’s threshold for representativeness.</w:t>
      </w:r>
      <w:r w:rsidRPr="00B551F2">
        <w:br/>
      </w:r>
      <w:r w:rsidRPr="00B551F2">
        <w:br/>
        <w:t xml:space="preserve">The collection of post-school outcomes </w:t>
      </w:r>
      <w:proofErr w:type="gramStart"/>
      <w:r w:rsidRPr="00B551F2">
        <w:t>is completed</w:t>
      </w:r>
      <w:proofErr w:type="gramEnd"/>
      <w:r w:rsidRPr="00B551F2">
        <w:t xml:space="preserve"> by each LEA, not by the SEA or an outside contractor. The Montana Office of Public Instruction has identified the LEAs that </w:t>
      </w:r>
      <w:proofErr w:type="gramStart"/>
      <w:r w:rsidRPr="00B551F2">
        <w:t>appear to be</w:t>
      </w:r>
      <w:proofErr w:type="gramEnd"/>
      <w:r w:rsidRPr="00B551F2">
        <w:t xml:space="preserve"> having the greatest problem with locating dropout and minority youths to survey in prior years.  The OPI continues to work with these specific LEAs on strategies to </w:t>
      </w:r>
      <w:proofErr w:type="gramStart"/>
      <w:r w:rsidRPr="00B551F2">
        <w:t>more effectively find and survey these youth</w:t>
      </w:r>
      <w:proofErr w:type="gramEnd"/>
      <w:r w:rsidRPr="00B551F2">
        <w:t>. Moving forward, Montana will continue to make TA available to all LEAs as they work to contact students and complete the surveys</w:t>
      </w:r>
      <w:proofErr w:type="gramStart"/>
      <w:r w:rsidRPr="00B551F2">
        <w:t xml:space="preserve">.  </w:t>
      </w:r>
      <w:proofErr w:type="gramEnd"/>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To assess the representativeness of the respondents, Montana compared the respondents to the target population of leavers that </w:t>
      </w:r>
      <w:proofErr w:type="gramStart"/>
      <w:r w:rsidRPr="008D51F2">
        <w:t>were sent</w:t>
      </w:r>
      <w:proofErr w:type="gramEnd"/>
      <w:r w:rsidRPr="008D51F2">
        <w:t xml:space="preserve"> the survey as required. The respondents were not representative with respect to the exit reason</w:t>
      </w:r>
      <w:proofErr w:type="gramStart"/>
      <w:r w:rsidRPr="008D51F2">
        <w:t xml:space="preserve">.  </w:t>
      </w:r>
      <w:proofErr w:type="gramEnd"/>
      <w:r w:rsidRPr="008D51F2">
        <w:t xml:space="preserve">Students who dropped out </w:t>
      </w:r>
      <w:proofErr w:type="gramStart"/>
      <w:r w:rsidRPr="008D51F2">
        <w:t>were underrepresented</w:t>
      </w:r>
      <w:proofErr w:type="gramEnd"/>
      <w:r w:rsidRPr="008D51F2">
        <w:t xml:space="preserve">. </w:t>
      </w:r>
      <w:r w:rsidRPr="008D51F2">
        <w:br/>
      </w:r>
      <w:r w:rsidRPr="008D51F2">
        <w:br/>
        <w:t xml:space="preserve">The largest difference between respondents and the population is that students who had dropped out constituted 15.7% of respondents but represented 19.5% of the population (a difference of 3.8 percentage points). The next largest differences are that White students constituted 75.8% of respondents compared to 73.8% of the population (a difference of </w:t>
      </w:r>
      <w:proofErr w:type="gramStart"/>
      <w:r w:rsidRPr="008D51F2">
        <w:t>2</w:t>
      </w:r>
      <w:proofErr w:type="gramEnd"/>
      <w:r w:rsidRPr="008D51F2">
        <w:t xml:space="preserve"> percentage points), and Hispanic students constituted 5.5% of respondents compared to 6.8% of the population (a difference of 1.3 percentage points). Other differences between respondents and the population for other race/ethnicity categories and for gender or disability categories were no larger than one percentage point.</w:t>
      </w:r>
      <w:r w:rsidRPr="008D51F2">
        <w:br/>
      </w:r>
      <w:r w:rsidRPr="008D51F2">
        <w:br/>
        <w:t xml:space="preserve">Response rates </w:t>
      </w:r>
      <w:proofErr w:type="gramStart"/>
      <w:r w:rsidRPr="008D51F2">
        <w:t>were also compared</w:t>
      </w:r>
      <w:proofErr w:type="gramEnd"/>
      <w:r w:rsidRPr="008D51F2">
        <w:t xml:space="preserve"> across groups to identify groups that may be systematically less likely to respond to the survey. Since differences in response rates may be attributable to random, non-systematic factors, a Chi-Squared test of independence </w:t>
      </w:r>
      <w:proofErr w:type="gramStart"/>
      <w:r w:rsidRPr="008D51F2">
        <w:t>was used</w:t>
      </w:r>
      <w:proofErr w:type="gramEnd"/>
      <w:r w:rsidRPr="008D51F2">
        <w:t xml:space="preserve"> to identify statistically significant differences in likelihood of responding to the survey. Our analysis found statistically significant differences in response rates between different race/ethnicity categories (p =0.047). The Hispanic population had a lower response rate (58.5%), compared to white students (72.3%), American Indian or Alaskan Native students (68.4%), multi-racial students (68.0%), and the small population of persons belonging to other race/ethnicity categories (77.3%). The analysis also found a large, statistically significant difference (p &lt; 0.001) in response rates for students who dropped out (63.1%) compared to graduates (72.9%). Our analysis did not identify any statistically significant differences in response rates between male and female students (p=0.551, M=71.4%, F=69.3%) or across disability categories (p=0.367).</w:t>
      </w:r>
      <w:r w:rsidRPr="008D51F2">
        <w:br/>
      </w:r>
      <w:r w:rsidRPr="008D51F2">
        <w:lastRenderedPageBreak/>
        <w:br/>
        <w:t xml:space="preserve">Montana will remove 2 questions from the survey that appear to cause responders confusion and maybe resulting in surveys not being completed, which lowers the response rate.  These answers to these </w:t>
      </w:r>
      <w:proofErr w:type="gramStart"/>
      <w:r w:rsidRPr="008D51F2">
        <w:t>2</w:t>
      </w:r>
      <w:proofErr w:type="gramEnd"/>
      <w:r w:rsidRPr="008D51F2">
        <w:t xml:space="preserve"> questions can be inferred from other questions on the survey, providing valid and reliable data for respondents, and hopefully increasing the response rate overall.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As noted above, Montana will continue to make TA available to all LEAs as they work to contact students and complete the surveys</w:t>
      </w:r>
      <w:proofErr w:type="gramStart"/>
      <w:r w:rsidRPr="008D51F2">
        <w:rPr>
          <w:b w:val="0"/>
        </w:rPr>
        <w:t xml:space="preserve">.  </w:t>
      </w:r>
      <w:proofErr w:type="gramEnd"/>
      <w:r w:rsidRPr="008D51F2">
        <w:rPr>
          <w:b w:val="0"/>
        </w:rPr>
        <w:t xml:space="preserve">This may include changing the data set to be more accurate of the population intended to </w:t>
      </w:r>
      <w:proofErr w:type="gramStart"/>
      <w:r w:rsidRPr="008D51F2">
        <w:rPr>
          <w:b w:val="0"/>
        </w:rPr>
        <w:t>be surveyed</w:t>
      </w:r>
      <w:proofErr w:type="gramEnd"/>
      <w:r w:rsidRPr="008D51F2">
        <w:rPr>
          <w:b w:val="0"/>
        </w:rPr>
        <w:t xml:space="preserve"> or providing the survey to LEAs in a manner that is easier for students/parents to complete themselves, rather than having the district required to make direct contact with the student/parent.</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As noted, to assess the representativeness of the respondents with respect to the population, the distribution of population subgroups among respondents </w:t>
      </w:r>
      <w:proofErr w:type="gramStart"/>
      <w:r w:rsidRPr="008D51F2">
        <w:rPr>
          <w:b w:val="0"/>
        </w:rPr>
        <w:t>was compared</w:t>
      </w:r>
      <w:proofErr w:type="gramEnd"/>
      <w:r w:rsidRPr="008D51F2">
        <w:rPr>
          <w:b w:val="0"/>
        </w:rPr>
        <w:t xml:space="preserve"> to the distribution in the population. Montana’s threshold was +/- 3%. Response rates </w:t>
      </w:r>
      <w:proofErr w:type="gramStart"/>
      <w:r w:rsidRPr="008D51F2">
        <w:rPr>
          <w:b w:val="0"/>
        </w:rPr>
        <w:t>were also compared</w:t>
      </w:r>
      <w:proofErr w:type="gramEnd"/>
      <w:r w:rsidRPr="008D51F2">
        <w:rPr>
          <w:b w:val="0"/>
        </w:rPr>
        <w:t xml:space="preserve"> across groups to identify groups that may be systematically less likely to respond to the survey using a Chi-Squared test of independence to identify statistically significant differences in likelihood of responding to the survey. Montana’s threshold was p &lt; 0.05.</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4" w:name="_Toc382082390"/>
      <w:bookmarkStart w:id="85"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In the FFY 2021 SPP/APR, the State must analyze the response rate to identify potential non-response bias and identify steps taken to reduce any identified bias to promote response from a broad cross section of youth who are no longer in secondary school and had IEPs in effect at the time they left school, as required by the Measurement Table.</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information to satisfy this required action can be found in the “Describe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 section of this indicator.</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In its description of strategies that will be implemented which are expected to increase the response rate year over year, the State did not specifically address strategies to increase the response rate for those groups that are underrepresented, as required by the Measurement Table.</w:t>
      </w:r>
      <w:r w:rsidRPr="00781112">
        <w:rPr>
          <w:rFonts w:cs="Arial"/>
          <w:color w:val="000000" w:themeColor="text1"/>
          <w:szCs w:val="16"/>
        </w:rPr>
        <w:br/>
      </w:r>
      <w:r w:rsidRPr="00781112">
        <w:rPr>
          <w:rFonts w:cs="Arial"/>
          <w:color w:val="000000" w:themeColor="text1"/>
          <w:szCs w:val="16"/>
        </w:rPr>
        <w:br/>
        <w:t xml:space="preserve">The State reported "To assess the representativeness of the respondents, Montana compared the respondents to the target population of leavers that were sent the survey as required." The State also indicated that sampling </w:t>
      </w:r>
      <w:proofErr w:type="gramStart"/>
      <w:r w:rsidRPr="00781112">
        <w:rPr>
          <w:rFonts w:cs="Arial"/>
          <w:color w:val="000000" w:themeColor="text1"/>
          <w:szCs w:val="16"/>
        </w:rPr>
        <w:t>was not used</w:t>
      </w:r>
      <w:proofErr w:type="gramEnd"/>
      <w:r w:rsidRPr="00781112">
        <w:rPr>
          <w:rFonts w:cs="Arial"/>
          <w:color w:val="000000" w:themeColor="text1"/>
          <w:szCs w:val="16"/>
        </w:rPr>
        <w:t>. Therefore, it is unclear whether the response data was representative of the demographics of all youth who are no longer in secondary school and had IEPs in effect at the time they left school.</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In the FFY 2022 SPP/APR, the State must describe strategies which are expected to increase the response rate for those groups that are underrepresented.</w:t>
      </w:r>
      <w:r w:rsidRPr="00781112">
        <w:rPr>
          <w:rFonts w:cs="Arial"/>
          <w:color w:val="000000" w:themeColor="text1"/>
          <w:szCs w:val="16"/>
        </w:rPr>
        <w:br/>
      </w:r>
      <w:r w:rsidRPr="00781112">
        <w:rPr>
          <w:rFonts w:cs="Arial"/>
          <w:color w:val="000000" w:themeColor="text1"/>
          <w:szCs w:val="16"/>
        </w:rPr>
        <w:b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4"/>
      <w:bookmarkEnd w:id="85"/>
    </w:p>
    <w:p w14:paraId="7EA31497" w14:textId="77777777" w:rsidR="005B0B58" w:rsidRPr="00781112" w:rsidRDefault="005B0B58" w:rsidP="00A018D4">
      <w:pPr>
        <w:rPr>
          <w:color w:val="000000" w:themeColor="text1"/>
          <w:szCs w:val="20"/>
        </w:rPr>
      </w:pPr>
      <w:bookmarkStart w:id="86" w:name="_Toc381786822"/>
      <w:bookmarkStart w:id="87" w:name="_Toc382731911"/>
      <w:bookmarkStart w:id="88" w:name="_Toc382731912"/>
      <w:bookmarkStart w:id="89" w:name="_Toc392159340"/>
      <w:bookmarkEnd w:id="86"/>
      <w:bookmarkEnd w:id="87"/>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88"/>
    <w:bookmarkEnd w:id="89"/>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90" w:name="_Toc382731913"/>
      <w:bookmarkStart w:id="91"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w:t>
      </w:r>
      <w:r w:rsidRPr="00781112">
        <w:rPr>
          <w:rFonts w:cs="Arial"/>
          <w:color w:val="000000" w:themeColor="text1"/>
          <w:szCs w:val="16"/>
        </w:rPr>
        <w:lastRenderedPageBreak/>
        <w:t xml:space="preserve">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43B1695A" w14:textId="2970A905" w:rsidR="000A2C83" w:rsidRPr="00781112" w:rsidRDefault="000A2C83" w:rsidP="000A2C83">
      <w:pPr>
        <w:rPr>
          <w:rFonts w:cs="Arial"/>
          <w:color w:val="000000" w:themeColor="text1"/>
          <w:szCs w:val="16"/>
        </w:rPr>
      </w:pPr>
    </w:p>
    <w:bookmarkEnd w:id="90"/>
    <w:bookmarkEnd w:id="91"/>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75.00% - 100.00%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 - 100.00%</w:t>
            </w: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p>
        </w:tc>
        <w:tc>
          <w:tcPr>
            <w:tcW w:w="446" w:type="pct"/>
            <w:vAlign w:val="center"/>
          </w:tcPr>
          <w:p w14:paraId="3F181347" w14:textId="445996E0" w:rsidR="00B14519" w:rsidRPr="00781112" w:rsidRDefault="00B14519" w:rsidP="00643D78">
            <w:pPr>
              <w:jc w:val="center"/>
              <w:rPr>
                <w:rFonts w:cs="Arial"/>
                <w:color w:val="000000" w:themeColor="text1"/>
                <w:szCs w:val="16"/>
              </w:rPr>
            </w:pPr>
          </w:p>
        </w:tc>
        <w:tc>
          <w:tcPr>
            <w:tcW w:w="446" w:type="pct"/>
          </w:tcPr>
          <w:p w14:paraId="19A85918" w14:textId="494A2267" w:rsidR="00B14519" w:rsidRPr="00781112" w:rsidRDefault="00B14519" w:rsidP="00643D78">
            <w:pPr>
              <w:jc w:val="center"/>
              <w:rPr>
                <w:rFonts w:cs="Arial"/>
                <w:color w:val="000000" w:themeColor="text1"/>
                <w:szCs w:val="16"/>
              </w:rPr>
            </w:pPr>
          </w:p>
        </w:tc>
        <w:tc>
          <w:tcPr>
            <w:tcW w:w="446" w:type="pct"/>
          </w:tcPr>
          <w:p w14:paraId="6A6EC070" w14:textId="2D306454" w:rsidR="00B14519" w:rsidRPr="00781112" w:rsidRDefault="00B14519" w:rsidP="00643D78">
            <w:pPr>
              <w:jc w:val="center"/>
              <w:rPr>
                <w:rFonts w:cs="Arial"/>
                <w:color w:val="000000" w:themeColor="text1"/>
                <w:szCs w:val="16"/>
              </w:rPr>
            </w:pPr>
          </w:p>
        </w:tc>
        <w:tc>
          <w:tcPr>
            <w:tcW w:w="446" w:type="pct"/>
          </w:tcPr>
          <w:p w14:paraId="35D976E8" w14:textId="49E9BF03" w:rsidR="00B14519" w:rsidRPr="00781112" w:rsidRDefault="00B14519" w:rsidP="00643D78">
            <w:pPr>
              <w:jc w:val="center"/>
              <w:rPr>
                <w:rFonts w:cs="Arial"/>
                <w:color w:val="000000" w:themeColor="text1"/>
                <w:szCs w:val="16"/>
              </w:rPr>
            </w:pPr>
          </w:p>
        </w:tc>
        <w:tc>
          <w:tcPr>
            <w:tcW w:w="446" w:type="pct"/>
          </w:tcPr>
          <w:p w14:paraId="72B38389" w14:textId="24A25CD2" w:rsidR="00B14519" w:rsidRPr="00781112" w:rsidRDefault="00B14519" w:rsidP="00643D78">
            <w:pPr>
              <w:jc w:val="center"/>
              <w:rPr>
                <w:rFonts w:cs="Arial"/>
                <w:color w:val="000000" w:themeColor="text1"/>
                <w:szCs w:val="16"/>
              </w:rPr>
            </w:pPr>
          </w:p>
        </w:tc>
        <w:tc>
          <w:tcPr>
            <w:tcW w:w="446" w:type="pct"/>
          </w:tcPr>
          <w:p w14:paraId="6BCA1621" w14:textId="2751B939" w:rsidR="00B14519" w:rsidRPr="00781112" w:rsidRDefault="00B14519" w:rsidP="00643D78">
            <w:pPr>
              <w:jc w:val="center"/>
              <w:rPr>
                <w:rFonts w:cs="Arial"/>
                <w:color w:val="000000" w:themeColor="text1"/>
                <w:szCs w:val="16"/>
              </w:rPr>
            </w:pPr>
          </w:p>
        </w:tc>
        <w:tc>
          <w:tcPr>
            <w:tcW w:w="446" w:type="pct"/>
          </w:tcPr>
          <w:p w14:paraId="42BFD777" w14:textId="5B810178" w:rsidR="00B14519" w:rsidRPr="00781112" w:rsidRDefault="00B14519" w:rsidP="00643D78">
            <w:pPr>
              <w:jc w:val="center"/>
              <w:rPr>
                <w:rFonts w:cs="Arial"/>
                <w:color w:val="000000" w:themeColor="text1"/>
                <w:szCs w:val="16"/>
              </w:rPr>
            </w:pPr>
          </w:p>
        </w:tc>
        <w:tc>
          <w:tcPr>
            <w:tcW w:w="446" w:type="pct"/>
          </w:tcPr>
          <w:p w14:paraId="54B9C439" w14:textId="053B7F1A" w:rsidR="00B14519" w:rsidRPr="00781112" w:rsidRDefault="00B14519" w:rsidP="00643D78">
            <w:pPr>
              <w:jc w:val="center"/>
              <w:rPr>
                <w:rFonts w:cs="Arial"/>
                <w:color w:val="000000" w:themeColor="text1"/>
                <w:szCs w:val="16"/>
              </w:rPr>
            </w:pP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04" w:type="pct"/>
            <w:shd w:val="clear" w:color="auto" w:fill="auto"/>
          </w:tcPr>
          <w:p w14:paraId="3D28AE5B" w14:textId="4019A491" w:rsidR="008E31C4" w:rsidRPr="00781112" w:rsidRDefault="008E31C4" w:rsidP="00A018D4">
            <w:pPr>
              <w:jc w:val="center"/>
              <w:rPr>
                <w:rFonts w:cs="Arial"/>
                <w:color w:val="000000" w:themeColor="text1"/>
                <w:szCs w:val="16"/>
              </w:rPr>
            </w:pPr>
          </w:p>
        </w:tc>
        <w:tc>
          <w:tcPr>
            <w:tcW w:w="746" w:type="pct"/>
            <w:shd w:val="clear" w:color="auto" w:fill="auto"/>
          </w:tcPr>
          <w:p w14:paraId="1CF4FBE5" w14:textId="7792CBB8" w:rsidR="008E31C4" w:rsidRPr="00781112" w:rsidRDefault="008E31C4" w:rsidP="00A018D4">
            <w:pPr>
              <w:jc w:val="center"/>
              <w:rPr>
                <w:rFonts w:cs="Arial"/>
                <w:color w:val="000000" w:themeColor="text1"/>
                <w:szCs w:val="16"/>
              </w:rPr>
            </w:pPr>
          </w:p>
        </w:tc>
        <w:tc>
          <w:tcPr>
            <w:tcW w:w="756" w:type="pct"/>
            <w:shd w:val="clear" w:color="auto" w:fill="auto"/>
          </w:tcPr>
          <w:p w14:paraId="5CB5C088" w14:textId="342A9F8C" w:rsidR="008E31C4" w:rsidRPr="00781112" w:rsidRDefault="008E31C4" w:rsidP="00A018D4">
            <w:pPr>
              <w:jc w:val="center"/>
              <w:rPr>
                <w:rFonts w:cs="Arial"/>
                <w:color w:val="000000" w:themeColor="text1"/>
                <w:szCs w:val="16"/>
              </w:rPr>
            </w:pPr>
          </w:p>
        </w:tc>
        <w:tc>
          <w:tcPr>
            <w:tcW w:w="588" w:type="pct"/>
            <w:shd w:val="clear" w:color="auto" w:fill="auto"/>
          </w:tcPr>
          <w:p w14:paraId="43A81BB0" w14:textId="762C21AF" w:rsidR="008E31C4" w:rsidRPr="00781112" w:rsidRDefault="008E31C4" w:rsidP="00A018D4">
            <w:pPr>
              <w:jc w:val="center"/>
              <w:rPr>
                <w:rFonts w:cs="Arial"/>
                <w:color w:val="000000" w:themeColor="text1"/>
                <w:szCs w:val="16"/>
              </w:rPr>
            </w:pP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2" w:name="_Toc382731916"/>
      <w:bookmarkStart w:id="93"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92"/>
    <w:bookmarkEnd w:id="93"/>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rFonts w:cs="Arial"/>
          <w:color w:val="000000" w:themeColor="text1"/>
          <w:szCs w:val="16"/>
        </w:rPr>
        <w:t>is fully vested</w:t>
      </w:r>
      <w:proofErr w:type="gramEnd"/>
      <w:r w:rsidRPr="00781112">
        <w:rPr>
          <w:rFonts w:cs="Arial"/>
          <w:color w:val="000000" w:themeColor="text1"/>
          <w:szCs w:val="16"/>
        </w:rPr>
        <w:t xml:space="preserve"> and broadly representative of Montana.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--Our Comprehensive System of Personnel Development (CSPD) includes both regional and state councils that regularly meet to assess APR data and to evaluate professional development priorities and results.</w:t>
      </w:r>
      <w:r w:rsidRPr="00781112">
        <w:rPr>
          <w:rFonts w:cs="Arial"/>
          <w:color w:val="000000" w:themeColor="text1"/>
          <w:szCs w:val="16"/>
        </w:rPr>
        <w:br/>
      </w:r>
      <w:r w:rsidRPr="00781112">
        <w:rPr>
          <w:rFonts w:cs="Arial"/>
          <w:color w:val="000000" w:themeColor="text1"/>
          <w:szCs w:val="16"/>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r>
      <w:r w:rsidRPr="00781112">
        <w:rPr>
          <w:rFonts w:cs="Arial"/>
          <w:color w:val="000000" w:themeColor="text1"/>
          <w:szCs w:val="16"/>
        </w:rPr>
        <w:br/>
        <w:t>--Working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rFonts w:cs="Arial"/>
          <w:color w:val="000000" w:themeColor="text1"/>
          <w:szCs w:val="16"/>
        </w:rPr>
        <w:br/>
      </w:r>
      <w:r w:rsidRPr="00781112">
        <w:rPr>
          <w:rFonts w:cs="Arial"/>
          <w:color w:val="000000" w:themeColor="text1"/>
          <w:szCs w:val="16"/>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Annually, the State Education Agency (SEA) brings together representatives from these stakeholder groups for a joint meeting facilitated by TAESE. This meeting gathers over </w:t>
      </w:r>
      <w:proofErr w:type="gramStart"/>
      <w:r w:rsidRPr="00781112">
        <w:rPr>
          <w:rFonts w:cs="Arial"/>
          <w:color w:val="000000" w:themeColor="text1"/>
          <w:szCs w:val="16"/>
        </w:rPr>
        <w:t>80</w:t>
      </w:r>
      <w:proofErr w:type="gramEnd"/>
      <w:r w:rsidRPr="00781112">
        <w:rPr>
          <w:rFonts w:cs="Arial"/>
          <w:color w:val="000000" w:themeColor="text1"/>
          <w:szCs w:val="16"/>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rFonts w:cs="Arial"/>
          <w:color w:val="000000" w:themeColor="text1"/>
          <w:szCs w:val="16"/>
        </w:rPr>
        <w:t>SSIP</w:t>
      </w:r>
      <w:proofErr w:type="gramEnd"/>
      <w:r w:rsidRPr="00781112">
        <w:rPr>
          <w:rFonts w:cs="Arial"/>
          <w:color w:val="000000" w:themeColor="text1"/>
          <w:szCs w:val="16"/>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80.00%-100.00%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80.00% - 100.00%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80.00% - 100.00%</w:t>
            </w: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p>
        </w:tc>
        <w:tc>
          <w:tcPr>
            <w:tcW w:w="462" w:type="pct"/>
          </w:tcPr>
          <w:p w14:paraId="649AE909" w14:textId="0F92F564" w:rsidR="00B14519" w:rsidRPr="00781112" w:rsidRDefault="00B14519" w:rsidP="00643D78">
            <w:pPr>
              <w:jc w:val="center"/>
              <w:rPr>
                <w:rFonts w:cs="Arial"/>
                <w:color w:val="000000" w:themeColor="text1"/>
                <w:szCs w:val="16"/>
              </w:rPr>
            </w:pPr>
          </w:p>
        </w:tc>
        <w:tc>
          <w:tcPr>
            <w:tcW w:w="461" w:type="pct"/>
          </w:tcPr>
          <w:p w14:paraId="25EADA49" w14:textId="5D988809" w:rsidR="00B14519" w:rsidRPr="00781112" w:rsidRDefault="00B14519" w:rsidP="00643D78">
            <w:pPr>
              <w:jc w:val="center"/>
              <w:rPr>
                <w:rFonts w:cs="Arial"/>
                <w:color w:val="000000" w:themeColor="text1"/>
                <w:szCs w:val="16"/>
              </w:rPr>
            </w:pPr>
          </w:p>
        </w:tc>
        <w:tc>
          <w:tcPr>
            <w:tcW w:w="462" w:type="pct"/>
          </w:tcPr>
          <w:p w14:paraId="3DC4D818" w14:textId="0C27E24D" w:rsidR="00B14519" w:rsidRPr="00781112" w:rsidRDefault="00B14519" w:rsidP="00643D78">
            <w:pPr>
              <w:jc w:val="center"/>
              <w:rPr>
                <w:rFonts w:cs="Arial"/>
                <w:color w:val="000000" w:themeColor="text1"/>
                <w:szCs w:val="16"/>
              </w:rPr>
            </w:pPr>
          </w:p>
        </w:tc>
        <w:tc>
          <w:tcPr>
            <w:tcW w:w="462" w:type="pct"/>
          </w:tcPr>
          <w:p w14:paraId="43A2E5B0" w14:textId="3FA796D7" w:rsidR="00B14519" w:rsidRPr="00781112" w:rsidRDefault="00B14519" w:rsidP="00643D78">
            <w:pPr>
              <w:jc w:val="center"/>
              <w:rPr>
                <w:rFonts w:cs="Arial"/>
                <w:color w:val="000000" w:themeColor="text1"/>
                <w:szCs w:val="16"/>
              </w:rPr>
            </w:pPr>
          </w:p>
        </w:tc>
        <w:tc>
          <w:tcPr>
            <w:tcW w:w="461" w:type="pct"/>
          </w:tcPr>
          <w:p w14:paraId="5B526A07" w14:textId="0569A055" w:rsidR="00B14519" w:rsidRPr="00781112" w:rsidRDefault="00B14519" w:rsidP="00643D78">
            <w:pPr>
              <w:jc w:val="center"/>
              <w:rPr>
                <w:rFonts w:cs="Arial"/>
                <w:color w:val="000000" w:themeColor="text1"/>
                <w:szCs w:val="16"/>
              </w:rPr>
            </w:pPr>
          </w:p>
        </w:tc>
        <w:tc>
          <w:tcPr>
            <w:tcW w:w="462" w:type="pct"/>
          </w:tcPr>
          <w:p w14:paraId="03BA6743" w14:textId="1B527A38" w:rsidR="00B14519" w:rsidRPr="00781112" w:rsidRDefault="00B14519" w:rsidP="00643D78">
            <w:pPr>
              <w:jc w:val="center"/>
              <w:rPr>
                <w:rFonts w:cs="Arial"/>
                <w:color w:val="000000" w:themeColor="text1"/>
                <w:szCs w:val="16"/>
              </w:rPr>
            </w:pPr>
          </w:p>
        </w:tc>
        <w:tc>
          <w:tcPr>
            <w:tcW w:w="462" w:type="pct"/>
          </w:tcPr>
          <w:p w14:paraId="21182B37" w14:textId="3F967812" w:rsidR="00B14519" w:rsidRPr="00781112" w:rsidRDefault="00B14519" w:rsidP="00643D78">
            <w:pPr>
              <w:jc w:val="center"/>
              <w:rPr>
                <w:rFonts w:cs="Arial"/>
                <w:color w:val="000000" w:themeColor="text1"/>
                <w:szCs w:val="16"/>
              </w:rPr>
            </w:pPr>
          </w:p>
        </w:tc>
        <w:tc>
          <w:tcPr>
            <w:tcW w:w="461" w:type="pct"/>
          </w:tcPr>
          <w:p w14:paraId="373EA776" w14:textId="46276E17" w:rsidR="00B14519" w:rsidRPr="00781112" w:rsidRDefault="00B14519" w:rsidP="00643D78">
            <w:pPr>
              <w:jc w:val="center"/>
              <w:rPr>
                <w:rFonts w:cs="Arial"/>
                <w:color w:val="000000" w:themeColor="text1"/>
                <w:szCs w:val="16"/>
              </w:rPr>
            </w:pP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55" w:type="pct"/>
            <w:shd w:val="clear" w:color="auto" w:fill="auto"/>
          </w:tcPr>
          <w:p w14:paraId="7AFD5514" w14:textId="2BA34E2F" w:rsidR="00ED71A6" w:rsidRPr="00781112" w:rsidRDefault="00ED71A6" w:rsidP="00A018D4">
            <w:pPr>
              <w:jc w:val="center"/>
              <w:rPr>
                <w:rFonts w:cs="Arial"/>
                <w:color w:val="000000" w:themeColor="text1"/>
                <w:szCs w:val="16"/>
              </w:rPr>
            </w:pPr>
          </w:p>
        </w:tc>
        <w:tc>
          <w:tcPr>
            <w:tcW w:w="665" w:type="pct"/>
            <w:shd w:val="clear" w:color="auto" w:fill="auto"/>
          </w:tcPr>
          <w:p w14:paraId="63B5D5FA" w14:textId="35BBEC35" w:rsidR="00ED71A6" w:rsidRPr="00781112" w:rsidRDefault="00ED71A6" w:rsidP="00A018D4">
            <w:pPr>
              <w:jc w:val="center"/>
              <w:rPr>
                <w:rFonts w:cs="Arial"/>
                <w:color w:val="000000" w:themeColor="text1"/>
                <w:szCs w:val="16"/>
              </w:rPr>
            </w:pPr>
          </w:p>
        </w:tc>
        <w:tc>
          <w:tcPr>
            <w:tcW w:w="519" w:type="pct"/>
            <w:shd w:val="clear" w:color="auto" w:fill="auto"/>
          </w:tcPr>
          <w:p w14:paraId="51DEBF72" w14:textId="0469C535" w:rsidR="00ED71A6" w:rsidRPr="00781112" w:rsidRDefault="00ED71A6" w:rsidP="00A018D4">
            <w:pPr>
              <w:jc w:val="center"/>
              <w:rPr>
                <w:rFonts w:cs="Arial"/>
                <w:color w:val="000000" w:themeColor="text1"/>
                <w:szCs w:val="16"/>
              </w:rPr>
            </w:pP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number and percent of American Indian students with disabilities who successfully complete their secondary education will increase.</w:t>
      </w:r>
    </w:p>
    <w:p w14:paraId="43CABCA3" w14:textId="77777777" w:rsidR="00AE1972" w:rsidRPr="00781112" w:rsidRDefault="00AE1972" w:rsidP="00AE1972">
      <w:pPr>
        <w:rPr>
          <w:b/>
          <w:bCs/>
        </w:rPr>
      </w:pPr>
      <w:bookmarkStart w:id="94" w:name="_Hlk85195358"/>
      <w:r w:rsidRPr="00781112">
        <w:rPr>
          <w:b/>
          <w:bCs/>
        </w:rPr>
        <w:t>Has the SiMR changed since the last SSIP submission? (yes/no)</w:t>
      </w:r>
    </w:p>
    <w:p w14:paraId="53B392AE" w14:textId="5D60E4A2" w:rsidR="00AE1972" w:rsidRDefault="00AE1972" w:rsidP="00AE1972">
      <w:r w:rsidRPr="00781112">
        <w:t>NO</w:t>
      </w:r>
    </w:p>
    <w:bookmarkEnd w:id="94"/>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District selection was based on established relationships with the SEA and/or they were already a MT SSIP participating site. Work continued with four LEAs on the Fort Peck Reservation, and one LEA on the Fort Belknap Reservation, as described in the FFY2020 SSIP report. One LEA on the Confederated Salish and Kootenai Reservation </w:t>
      </w:r>
      <w:proofErr w:type="gramStart"/>
      <w:r w:rsidRPr="00781112">
        <w:rPr>
          <w:color w:val="000000" w:themeColor="text1"/>
        </w:rPr>
        <w:t>was added</w:t>
      </w:r>
      <w:proofErr w:type="gramEnd"/>
      <w:r w:rsidRPr="00781112">
        <w:rPr>
          <w:color w:val="000000" w:themeColor="text1"/>
        </w:rPr>
        <w:t xml:space="preserve"> at the beginning of the 2022-2023 school year.</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https://opi.mt.gov/Portals/182/Page Files/Special Education/Annual Performance Report/MT_ToA_ FINAL.pdf?ver=2021-12-02-090633-033</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63.50%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68.60%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68.70%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68.80%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68.90%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69.00%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American Indian Special Education High School Completers</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American Indian Special Education High School Students eligible to complete in 2020-2021</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155</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215</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72.30%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68.60%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72.09%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data for the FFY2021 Data came from the Graduation/Dropout certification taken in Fall 2021</w:t>
      </w:r>
      <w:proofErr w:type="gramStart"/>
      <w:r w:rsidRPr="00781112">
        <w:rPr>
          <w:color w:val="000000" w:themeColor="text1"/>
        </w:rPr>
        <w:t xml:space="preserve">.  </w:t>
      </w:r>
      <w:proofErr w:type="gramEnd"/>
      <w:r w:rsidRPr="00781112">
        <w:rPr>
          <w:color w:val="000000" w:themeColor="text1"/>
        </w:rPr>
        <w:t xml:space="preserve">This certification </w:t>
      </w:r>
      <w:proofErr w:type="gramStart"/>
      <w:r w:rsidRPr="00781112">
        <w:rPr>
          <w:color w:val="000000" w:themeColor="text1"/>
        </w:rPr>
        <w:t>is done</w:t>
      </w:r>
      <w:proofErr w:type="gramEnd"/>
      <w:r w:rsidRPr="00781112">
        <w:rPr>
          <w:color w:val="000000" w:themeColor="text1"/>
        </w:rPr>
        <w:t xml:space="preserve"> within Montana’s statewide student information system.</w:t>
      </w:r>
    </w:p>
    <w:p w14:paraId="17AAB1A6" w14:textId="2D1007DB" w:rsidR="00AE1972" w:rsidRPr="00781112" w:rsidRDefault="00AE1972" w:rsidP="00AE1972">
      <w:r w:rsidRPr="00781112">
        <w:rPr>
          <w:b/>
          <w:bCs/>
        </w:rPr>
        <w:lastRenderedPageBreak/>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Data are collected within the statewide student information system and certified to the OPI through the Graduation/Dropout certification</w:t>
      </w:r>
      <w:proofErr w:type="gramStart"/>
      <w:r w:rsidRPr="00781112">
        <w:rPr>
          <w:color w:val="000000" w:themeColor="text1"/>
        </w:rPr>
        <w:t xml:space="preserve">.  </w:t>
      </w:r>
      <w:proofErr w:type="gramEnd"/>
      <w:r w:rsidRPr="00781112">
        <w:rPr>
          <w:color w:val="000000" w:themeColor="text1"/>
        </w:rPr>
        <w:t xml:space="preserve">Data </w:t>
      </w:r>
      <w:proofErr w:type="gramStart"/>
      <w:r w:rsidRPr="00781112">
        <w:rPr>
          <w:color w:val="000000" w:themeColor="text1"/>
        </w:rPr>
        <w:t>is verified</w:t>
      </w:r>
      <w:proofErr w:type="gramEnd"/>
      <w:r w:rsidRPr="00781112">
        <w:rPr>
          <w:color w:val="000000" w:themeColor="text1"/>
        </w:rPr>
        <w:t xml:space="preserve"> and analyzed by the Data Operations team of OPI.</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https://opi.mt.gov/Portals/182/Page Files/Special Education/Annual Performance Report/Evaluation Questions FINAL 3-26-2020.pdf?ver=2021-12-02-090632-053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As outlined in the Logic Model submitted with the April 2020 SSIP, the Infrastructure Improvement Strategies that Montana has continued to emphasis are to:</w:t>
      </w:r>
      <w:r w:rsidRPr="00781112">
        <w:rPr>
          <w:color w:val="000000" w:themeColor="text1"/>
        </w:rPr>
        <w:br/>
      </w:r>
      <w:r w:rsidRPr="00781112">
        <w:rPr>
          <w:color w:val="000000" w:themeColor="text1"/>
        </w:rPr>
        <w:br/>
        <w:t xml:space="preserve">-Develop and Utilize Interagency Coordination &amp; Communication Model. Coordination efforts include Tribal Consultation and the Critical Friends Network. </w:t>
      </w:r>
      <w:r w:rsidRPr="00781112">
        <w:rPr>
          <w:color w:val="000000" w:themeColor="text1"/>
        </w:rPr>
        <w:br/>
      </w:r>
      <w:r w:rsidRPr="00781112">
        <w:rPr>
          <w:color w:val="000000" w:themeColor="text1"/>
        </w:rPr>
        <w:br/>
        <w:t>Through the Critical Friends Network, educators have focused on implementing evidence-based strategies through a network community. The Critical Friends’ Network (CFN), developed by the SEA, started with the NE Region in March of 2021. The NE Region is comprised of the following schools—Wolf Point, Frazer, Poplar, Brockton (all within the Fort Peck Reservation), and Hays/Lodge Pole (within the Fort Belknap Reservation). In October of 2022, a district in the Western region became a Montana SSIP site, Ronan School District. The Critical Friends’ Network is based on the premise that professional development offered through a Professional Learning Community (PLC</w:t>
      </w:r>
      <w:proofErr w:type="gramStart"/>
      <w:r w:rsidRPr="00781112">
        <w:rPr>
          <w:color w:val="000000" w:themeColor="text1"/>
        </w:rPr>
        <w:t>)</w:t>
      </w:r>
      <w:proofErr w:type="gramEnd"/>
      <w:r w:rsidRPr="00781112">
        <w:rPr>
          <w:color w:val="000000" w:themeColor="text1"/>
        </w:rPr>
        <w:t xml:space="preserve"> or Personalized Learning Network (PLN) provides the reciprocity for educators to share and learn strategies to support their students with special needs. The Critical Friends Network is based on the work of Desimone’s (2009) “five features of effective professional development: content focus (studying subject matter); active learning (observing, reviewing, discussing); coherence (demonstrating consistency with knowledge, beliefs, policies, and reforms); duration (engaging in 20 or more hours of contact time spread over a semester); and collective participation (interacting and conversing with colleagues).” (Rock, 2019)</w:t>
      </w:r>
      <w:r w:rsidRPr="00781112">
        <w:rPr>
          <w:color w:val="000000" w:themeColor="text1"/>
        </w:rPr>
        <w:br/>
        <w:t xml:space="preserve"> Rock, M. (2019). The eCoaching Continuum for Educators: Using Technology to Enrich Professional; Development and Improve Student Outcomes. Alexandria, VA: ASCD.</w:t>
      </w:r>
      <w:r w:rsidRPr="00781112">
        <w:rPr>
          <w:color w:val="000000" w:themeColor="text1"/>
        </w:rPr>
        <w:br/>
      </w:r>
      <w:r w:rsidRPr="00781112">
        <w:rPr>
          <w:color w:val="000000" w:themeColor="text1"/>
        </w:rPr>
        <w:br/>
        <w:t xml:space="preserve">Tribal consultation for district and school leaders has expanded engagement efforts to ensure students, families, communities, and tribal councils </w:t>
      </w:r>
      <w:proofErr w:type="gramStart"/>
      <w:r w:rsidRPr="00781112">
        <w:rPr>
          <w:color w:val="000000" w:themeColor="text1"/>
        </w:rPr>
        <w:t>are invested</w:t>
      </w:r>
      <w:proofErr w:type="gramEnd"/>
      <w:r w:rsidRPr="00781112">
        <w:rPr>
          <w:color w:val="000000" w:themeColor="text1"/>
        </w:rPr>
        <w:t xml:space="preserve"> partners in increasing the completion rates of tribal youth with disabilities. The SSIP/Tribal Consultation partnership continued through this cycle and expanded by establishing the Knowledge Keepers of Indigenous Nations (KKIN) Committee. The KKIN committee represents cultural elders and knowledge keepers from every tribal nation in Montana. The KKIN is providing guidance to build sustainable sources of </w:t>
      </w:r>
      <w:proofErr w:type="gramStart"/>
      <w:r w:rsidRPr="00781112">
        <w:rPr>
          <w:color w:val="000000" w:themeColor="text1"/>
        </w:rPr>
        <w:t>indigenous</w:t>
      </w:r>
      <w:proofErr w:type="gramEnd"/>
      <w:r w:rsidRPr="00781112">
        <w:rPr>
          <w:color w:val="000000" w:themeColor="text1"/>
        </w:rPr>
        <w:t xml:space="preserve"> knowledge that inform our public education system to re-root and revitalize our tribal youth in positive self-identity. Additional tribal consultation events include tribal leaders, tribal education departments, tribal colleges, youth leaders, and tribal knowledge keepers. The purpose of the consultation is to gain a deeper understanding of traditional Indigenous ways and empower staff at our schools on or near our Montana American Indian Reservations to incorporate the local resources of our tribal communities into the work with tribal youth. </w:t>
      </w:r>
      <w:r w:rsidRPr="00781112">
        <w:rPr>
          <w:color w:val="000000" w:themeColor="text1"/>
        </w:rPr>
        <w:br/>
      </w:r>
      <w:r w:rsidRPr="00781112">
        <w:rPr>
          <w:color w:val="000000" w:themeColor="text1"/>
        </w:rPr>
        <w:br/>
        <w:t xml:space="preserve"> -Create American Indian Task Force </w:t>
      </w:r>
      <w:r w:rsidRPr="00781112">
        <w:rPr>
          <w:color w:val="000000" w:themeColor="text1"/>
        </w:rPr>
        <w:br/>
        <w:t xml:space="preserve">The American Indian Task Force meets monthly. This is a long-standing Task Force within the OPI. The SSIP Implementation Specialist is a member of this group. OPI’s American Indian Taskforce purpose is to develop strategic and aligned plans on how all stakeholders within the state of Montana work with American Indian students to promote success and wellbeing in their lives. The AISA taskforce has two goals: </w:t>
      </w:r>
      <w:r w:rsidRPr="00781112">
        <w:rPr>
          <w:color w:val="000000" w:themeColor="text1"/>
        </w:rPr>
        <w:br/>
        <w:t xml:space="preserve">-Develop a Framework that guides districts on how to structure education that fits American Indian learners, one that is focusing on the whole child, and includes building self-identity and building on the strengths and values of the Indigenous people and their culture. </w:t>
      </w:r>
      <w:r w:rsidRPr="00781112">
        <w:rPr>
          <w:color w:val="000000" w:themeColor="text1"/>
        </w:rPr>
        <w:br/>
        <w:t xml:space="preserve">-Develop an agency plan on how we use American Indian student data to monitor that the work we are doing with American Indian students is successful and closes the opportunity gap. </w:t>
      </w:r>
      <w:r w:rsidRPr="00781112">
        <w:rPr>
          <w:color w:val="000000" w:themeColor="text1"/>
        </w:rPr>
        <w:br/>
      </w:r>
      <w:r w:rsidRPr="00781112">
        <w:rPr>
          <w:color w:val="000000" w:themeColor="text1"/>
        </w:rPr>
        <w:br/>
        <w:t>-Utilize Differentiated Monitoring Process</w:t>
      </w:r>
      <w:r w:rsidRPr="00781112">
        <w:rPr>
          <w:color w:val="000000" w:themeColor="text1"/>
        </w:rPr>
        <w:br/>
        <w:t xml:space="preserve">The OPI has participated in the NCSI RBAS Collaborative since its inception as a part of the first NCSI grant. Through this work, the OPI has refined a Differentiated Monitoring Process. </w:t>
      </w:r>
      <w:proofErr w:type="gramStart"/>
      <w:r w:rsidRPr="00781112">
        <w:rPr>
          <w:color w:val="000000" w:themeColor="text1"/>
        </w:rPr>
        <w:t>The process is being completed by Special Education staff</w:t>
      </w:r>
      <w:proofErr w:type="gramEnd"/>
      <w:r w:rsidRPr="00781112">
        <w:rPr>
          <w:color w:val="000000" w:themeColor="text1"/>
        </w:rPr>
        <w:t>.</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The short term and intermediate outcomes that support achievement of the SiMR and sustainability of system improvement efforts are described below.</w:t>
      </w:r>
      <w:r w:rsidRPr="00781112">
        <w:rPr>
          <w:color w:val="000000" w:themeColor="text1"/>
        </w:rPr>
        <w:br/>
      </w:r>
      <w:r w:rsidRPr="00781112">
        <w:rPr>
          <w:color w:val="000000" w:themeColor="text1"/>
        </w:rPr>
        <w:br/>
        <w:t>Short Term Outcomes Achieved:</w:t>
      </w:r>
      <w:r w:rsidRPr="00781112">
        <w:rPr>
          <w:color w:val="000000" w:themeColor="text1"/>
        </w:rPr>
        <w:br/>
      </w:r>
      <w:proofErr w:type="gramStart"/>
      <w:r w:rsidRPr="00781112">
        <w:rPr>
          <w:color w:val="000000" w:themeColor="text1"/>
        </w:rPr>
        <w:lastRenderedPageBreak/>
        <w:t>1</w:t>
      </w:r>
      <w:proofErr w:type="gramEnd"/>
      <w:r w:rsidRPr="00781112">
        <w:rPr>
          <w:color w:val="000000" w:themeColor="text1"/>
        </w:rPr>
        <w:t>. Deeper level understanding of the value and significance of American Indian student voice</w:t>
      </w:r>
      <w:r w:rsidRPr="00781112">
        <w:rPr>
          <w:color w:val="000000" w:themeColor="text1"/>
        </w:rPr>
        <w:br/>
      </w:r>
      <w:proofErr w:type="gramStart"/>
      <w:r w:rsidRPr="00781112">
        <w:rPr>
          <w:color w:val="000000" w:themeColor="text1"/>
        </w:rPr>
        <w:t>2</w:t>
      </w:r>
      <w:proofErr w:type="gramEnd"/>
      <w:r w:rsidRPr="00781112">
        <w:rPr>
          <w:color w:val="000000" w:themeColor="text1"/>
        </w:rPr>
        <w:t>. Professional approaches implemented in educator practices of using evidence-based strategies to sustain and improve curriculum delivery</w:t>
      </w:r>
      <w:r w:rsidRPr="00781112">
        <w:rPr>
          <w:color w:val="000000" w:themeColor="text1"/>
        </w:rPr>
        <w:br/>
      </w:r>
      <w:proofErr w:type="gramStart"/>
      <w:r w:rsidRPr="00781112">
        <w:rPr>
          <w:color w:val="000000" w:themeColor="text1"/>
        </w:rPr>
        <w:t>3</w:t>
      </w:r>
      <w:proofErr w:type="gramEnd"/>
      <w:r w:rsidRPr="00781112">
        <w:rPr>
          <w:color w:val="000000" w:themeColor="text1"/>
        </w:rPr>
        <w:t>.</w:t>
      </w:r>
      <w:r w:rsidRPr="00781112">
        <w:rPr>
          <w:color w:val="000000" w:themeColor="text1"/>
        </w:rPr>
        <w:tab/>
        <w:t xml:space="preserve">Increased opportunities for professional development and technical assistance to support school leaders and educators to implement evidence-based strategies that improve student outcomes, such as high school completion rates. </w:t>
      </w:r>
      <w:r w:rsidRPr="00781112">
        <w:rPr>
          <w:color w:val="000000" w:themeColor="text1"/>
        </w:rPr>
        <w:br/>
        <w:t>4.</w:t>
      </w:r>
      <w:r w:rsidRPr="00781112">
        <w:rPr>
          <w:color w:val="000000" w:themeColor="text1"/>
        </w:rPr>
        <w:tab/>
        <w:t xml:space="preserve">Summer Institute: During the Summer Institute held on June 20-24, 2022, the following sessions </w:t>
      </w:r>
      <w:proofErr w:type="gramStart"/>
      <w:r w:rsidRPr="00781112">
        <w:rPr>
          <w:color w:val="000000" w:themeColor="text1"/>
        </w:rPr>
        <w:t>were offered</w:t>
      </w:r>
      <w:proofErr w:type="gramEnd"/>
      <w:r w:rsidRPr="00781112">
        <w:rPr>
          <w:color w:val="000000" w:themeColor="text1"/>
        </w:rPr>
        <w:t xml:space="preserve">. This is not an inclusive list, just an example of the sessions that support the SSIP Implementation in Montana. The number of participants and feedback on the session content and active learning based on a 5-point rubric (5-strongly agree, 4-agree, 3-Neutral, 2-Disagree, and 1- Strongly Disagree) </w:t>
      </w:r>
      <w:proofErr w:type="gramStart"/>
      <w:r w:rsidRPr="00781112">
        <w:rPr>
          <w:color w:val="000000" w:themeColor="text1"/>
        </w:rPr>
        <w:t>are noted</w:t>
      </w:r>
      <w:proofErr w:type="gramEnd"/>
      <w:r w:rsidRPr="00781112">
        <w:rPr>
          <w:color w:val="000000" w:themeColor="text1"/>
        </w:rPr>
        <w:t xml:space="preserve">. </w:t>
      </w:r>
      <w:r w:rsidRPr="00781112">
        <w:rPr>
          <w:color w:val="000000" w:themeColor="text1"/>
        </w:rPr>
        <w:br/>
        <w:t>a. Tribal Elders and Youth Panel: Youth Like to Run, Our Elders Know the Path (Session Content 4.59, Active Learning 4.19, Participants 249)</w:t>
      </w:r>
      <w:r w:rsidRPr="00781112">
        <w:rPr>
          <w:color w:val="000000" w:themeColor="text1"/>
        </w:rPr>
        <w:br/>
        <w:t>b. Creating a Culture of Connection with Restorative Practices (Session Content 5.0, Active Learning 5.0, Attendance 30)</w:t>
      </w:r>
      <w:r w:rsidRPr="00781112">
        <w:rPr>
          <w:color w:val="000000" w:themeColor="text1"/>
        </w:rPr>
        <w:br/>
        <w:t>c. Data Equipped and Data Informed: The Montana Early Warning System (Session Content 4.86, Active Learning 4.0, Attendance 21)</w:t>
      </w:r>
      <w:r w:rsidRPr="00781112">
        <w:rPr>
          <w:color w:val="000000" w:themeColor="text1"/>
        </w:rPr>
        <w:br/>
        <w:t>d.</w:t>
      </w:r>
      <w:r w:rsidRPr="00781112">
        <w:rPr>
          <w:color w:val="000000" w:themeColor="text1"/>
        </w:rPr>
        <w:tab/>
        <w:t xml:space="preserve">Promoting Progress for Students with Disabilities through Development and Implementation of </w:t>
      </w:r>
      <w:proofErr w:type="gramStart"/>
      <w:r w:rsidRPr="00781112">
        <w:rPr>
          <w:color w:val="000000" w:themeColor="text1"/>
        </w:rPr>
        <w:t>High Quality</w:t>
      </w:r>
      <w:proofErr w:type="gramEnd"/>
      <w:r w:rsidRPr="00781112">
        <w:rPr>
          <w:color w:val="000000" w:themeColor="text1"/>
        </w:rPr>
        <w:t xml:space="preserve"> Educational Programming (Session Content-4.69, Active Learning 4.63, Participants-26). </w:t>
      </w:r>
      <w:r w:rsidRPr="00781112">
        <w:rPr>
          <w:color w:val="000000" w:themeColor="text1"/>
        </w:rPr>
        <w:br/>
        <w:t>e.</w:t>
      </w:r>
      <w:r w:rsidRPr="00781112">
        <w:rPr>
          <w:color w:val="000000" w:themeColor="text1"/>
        </w:rPr>
        <w:tab/>
        <w:t xml:space="preserve">Check and Connect (Session Content-4.91, Active Learning-4.73, Participants-22) </w:t>
      </w:r>
      <w:r w:rsidRPr="00781112">
        <w:rPr>
          <w:color w:val="000000" w:themeColor="text1"/>
        </w:rPr>
        <w:br/>
        <w:t>f.</w:t>
      </w:r>
      <w:r w:rsidRPr="00781112">
        <w:rPr>
          <w:color w:val="000000" w:themeColor="text1"/>
        </w:rPr>
        <w:tab/>
        <w:t xml:space="preserve">Check in Check Out, Check it Out! (Session Content-4.70, Active Learning-4.1, Participants-46) </w:t>
      </w:r>
      <w:r w:rsidRPr="00781112">
        <w:rPr>
          <w:color w:val="000000" w:themeColor="text1"/>
        </w:rPr>
        <w:br/>
        <w:t>g.</w:t>
      </w:r>
      <w:r w:rsidRPr="00781112">
        <w:rPr>
          <w:color w:val="000000" w:themeColor="text1"/>
        </w:rPr>
        <w:tab/>
        <w:t xml:space="preserve">Increase Graduation Rates by Implementing the Montana Early Warning System (Session Content-5.0, Active Learning-5.0, Participants-8) </w:t>
      </w:r>
      <w:r w:rsidRPr="00781112">
        <w:rPr>
          <w:color w:val="000000" w:themeColor="text1"/>
        </w:rPr>
        <w:br/>
        <w:t>h. Engaging Youth Voice – Elementary (Session content – 4.75, Active Learning – 4.75, Participants – 19)</w:t>
      </w:r>
      <w:r w:rsidRPr="00781112">
        <w:rPr>
          <w:color w:val="000000" w:themeColor="text1"/>
        </w:rPr>
        <w:br/>
        <w:t>i. The complete list of sessions can be found on the OPI website at https://opi.mt.gov/Portals/182/Page%20Files/Summer%20Institute/OPI%202022%20Session%20Evaluations%20Final%20ADA.pdf?ver=2022-08-04-085741-587</w:t>
      </w:r>
      <w:r w:rsidRPr="00781112">
        <w:rPr>
          <w:color w:val="000000" w:themeColor="text1"/>
        </w:rPr>
        <w:br/>
      </w:r>
      <w:proofErr w:type="gramStart"/>
      <w:r w:rsidRPr="00781112">
        <w:rPr>
          <w:color w:val="000000" w:themeColor="text1"/>
        </w:rPr>
        <w:t>5</w:t>
      </w:r>
      <w:proofErr w:type="gramEnd"/>
      <w:r w:rsidRPr="00781112">
        <w:rPr>
          <w:color w:val="000000" w:themeColor="text1"/>
        </w:rPr>
        <w:t>.</w:t>
      </w:r>
      <w:r w:rsidRPr="00781112">
        <w:rPr>
          <w:color w:val="000000" w:themeColor="text1"/>
        </w:rPr>
        <w:tab/>
        <w:t xml:space="preserve">High School Forum: Held a one-day forum on November 16, 2021, where sessions </w:t>
      </w:r>
      <w:proofErr w:type="gramStart"/>
      <w:r w:rsidRPr="00781112">
        <w:rPr>
          <w:color w:val="000000" w:themeColor="text1"/>
        </w:rPr>
        <w:t>were held</w:t>
      </w:r>
      <w:proofErr w:type="gramEnd"/>
      <w:r w:rsidRPr="00781112">
        <w:rPr>
          <w:color w:val="000000" w:themeColor="text1"/>
        </w:rPr>
        <w:t xml:space="preserve"> to increase </w:t>
      </w:r>
      <w:proofErr w:type="gramStart"/>
      <w:r w:rsidRPr="00781112">
        <w:rPr>
          <w:color w:val="000000" w:themeColor="text1"/>
        </w:rPr>
        <w:t>capacity</w:t>
      </w:r>
      <w:proofErr w:type="gramEnd"/>
      <w:r w:rsidRPr="00781112">
        <w:rPr>
          <w:color w:val="000000" w:themeColor="text1"/>
        </w:rPr>
        <w:t xml:space="preserve"> of educators to support high school students with disabilities. </w:t>
      </w:r>
      <w:r w:rsidRPr="00781112">
        <w:rPr>
          <w:color w:val="000000" w:themeColor="text1"/>
        </w:rPr>
        <w:br/>
        <w:t>6.</w:t>
      </w:r>
      <w:r w:rsidRPr="00781112">
        <w:rPr>
          <w:color w:val="000000" w:themeColor="text1"/>
        </w:rPr>
        <w:tab/>
        <w:t xml:space="preserve">Teacher Learning Hub: Courses available on the Hub to support increasing the capacity of educators to implement and apply evidence-based approaches. </w:t>
      </w:r>
      <w:r w:rsidRPr="00781112">
        <w:rPr>
          <w:color w:val="000000" w:themeColor="text1"/>
        </w:rPr>
        <w:br/>
        <w:t>a.</w:t>
      </w:r>
      <w:r w:rsidRPr="00781112">
        <w:rPr>
          <w:color w:val="000000" w:themeColor="text1"/>
        </w:rPr>
        <w:tab/>
        <w:t xml:space="preserve">Sped Series: Writing Transition IEPs (4 PDUs) </w:t>
      </w:r>
      <w:r w:rsidRPr="00781112">
        <w:rPr>
          <w:color w:val="000000" w:themeColor="text1"/>
        </w:rPr>
        <w:br/>
        <w:t>b.</w:t>
      </w:r>
      <w:r w:rsidRPr="00781112">
        <w:rPr>
          <w:color w:val="000000" w:themeColor="text1"/>
        </w:rPr>
        <w:tab/>
        <w:t xml:space="preserve">Rural and Tribal Strength Based Approaches Part 1 (2 PDUs) </w:t>
      </w:r>
      <w:r w:rsidRPr="00781112">
        <w:rPr>
          <w:color w:val="000000" w:themeColor="text1"/>
        </w:rPr>
        <w:br/>
        <w:t>c. Rural and Tribal Strength Based Approaches Part 2 (3 PDUs)</w:t>
      </w:r>
      <w:r w:rsidRPr="00781112">
        <w:rPr>
          <w:color w:val="000000" w:themeColor="text1"/>
        </w:rPr>
        <w:br/>
      </w:r>
      <w:r w:rsidRPr="00781112">
        <w:rPr>
          <w:color w:val="000000" w:themeColor="text1"/>
        </w:rPr>
        <w:br/>
      </w:r>
      <w:r w:rsidRPr="00781112">
        <w:rPr>
          <w:color w:val="000000" w:themeColor="text1"/>
        </w:rPr>
        <w:br/>
        <w:t>Intermediate Outcomes Achieved:</w:t>
      </w:r>
      <w:r w:rsidRPr="00781112">
        <w:rPr>
          <w:color w:val="000000" w:themeColor="text1"/>
        </w:rPr>
        <w:br/>
      </w:r>
      <w:proofErr w:type="gramStart"/>
      <w:r w:rsidRPr="00781112">
        <w:rPr>
          <w:color w:val="000000" w:themeColor="text1"/>
        </w:rPr>
        <w:t>1</w:t>
      </w:r>
      <w:proofErr w:type="gramEnd"/>
      <w:r w:rsidRPr="00781112">
        <w:rPr>
          <w:color w:val="000000" w:themeColor="text1"/>
        </w:rPr>
        <w:t>. Affirmation of distinct cultural values within the American Indian community.</w:t>
      </w:r>
      <w:r w:rsidRPr="00781112">
        <w:rPr>
          <w:color w:val="000000" w:themeColor="text1"/>
        </w:rPr>
        <w:br/>
      </w:r>
      <w:proofErr w:type="gramStart"/>
      <w:r w:rsidRPr="00781112">
        <w:rPr>
          <w:color w:val="000000" w:themeColor="text1"/>
        </w:rPr>
        <w:t>2</w:t>
      </w:r>
      <w:proofErr w:type="gramEnd"/>
      <w:r w:rsidRPr="00781112">
        <w:rPr>
          <w:color w:val="000000" w:themeColor="text1"/>
        </w:rPr>
        <w:t>. Development of trusting relationships between LEAs and the SEA.</w:t>
      </w:r>
      <w:r w:rsidRPr="00781112">
        <w:rPr>
          <w:color w:val="000000" w:themeColor="text1"/>
        </w:rPr>
        <w:br/>
      </w:r>
      <w:proofErr w:type="gramStart"/>
      <w:r w:rsidRPr="00781112">
        <w:rPr>
          <w:color w:val="000000" w:themeColor="text1"/>
        </w:rPr>
        <w:t>3</w:t>
      </w:r>
      <w:proofErr w:type="gramEnd"/>
      <w:r w:rsidRPr="00781112">
        <w:rPr>
          <w:color w:val="000000" w:themeColor="text1"/>
        </w:rPr>
        <w:t>. Connections between educators, students &amp; families, and educational preparation program partners.</w:t>
      </w:r>
      <w:r w:rsidRPr="00781112">
        <w:rPr>
          <w:color w:val="000000" w:themeColor="text1"/>
        </w:rPr>
        <w:br/>
      </w:r>
      <w:proofErr w:type="gramStart"/>
      <w:r w:rsidRPr="00781112">
        <w:rPr>
          <w:color w:val="000000" w:themeColor="text1"/>
        </w:rPr>
        <w:t>4</w:t>
      </w:r>
      <w:proofErr w:type="gramEnd"/>
      <w:r w:rsidRPr="00781112">
        <w:rPr>
          <w:color w:val="000000" w:themeColor="text1"/>
        </w:rPr>
        <w:t>.</w:t>
      </w:r>
      <w:r w:rsidRPr="00781112">
        <w:rPr>
          <w:color w:val="000000" w:themeColor="text1"/>
        </w:rPr>
        <w:tab/>
        <w:t xml:space="preserve">Develop understanding of the vast, distinct cultural values of Montana’s American Indian people and communities. </w:t>
      </w:r>
      <w:r w:rsidRPr="00781112">
        <w:rPr>
          <w:color w:val="000000" w:themeColor="text1"/>
        </w:rPr>
        <w:br/>
        <w:t>5. Use of technology and connections to provide opportunities for extended learning in standards-based curriculum and supplemental learning opportunities.</w:t>
      </w:r>
      <w:r w:rsidRPr="00781112">
        <w:rPr>
          <w:color w:val="000000" w:themeColor="text1"/>
        </w:rPr>
        <w:br/>
      </w:r>
      <w:proofErr w:type="gramStart"/>
      <w:r w:rsidRPr="00781112">
        <w:rPr>
          <w:color w:val="000000" w:themeColor="text1"/>
        </w:rPr>
        <w:t>6</w:t>
      </w:r>
      <w:proofErr w:type="gramEnd"/>
      <w:r w:rsidRPr="00781112">
        <w:rPr>
          <w:color w:val="000000" w:themeColor="text1"/>
        </w:rPr>
        <w:t>. Continuance of Tribal Consultation meetings via virtual platforms and in person with tribal nations.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The partnership of the SSIP Implementation Specialist and the Tribal Resiliency and Relations Unit (TRRU) team continues to provide </w:t>
      </w:r>
      <w:proofErr w:type="gramStart"/>
      <w:r w:rsidRPr="00781112">
        <w:rPr>
          <w:color w:val="000000" w:themeColor="text1"/>
        </w:rPr>
        <w:t>supports</w:t>
      </w:r>
      <w:proofErr w:type="gramEnd"/>
      <w:r w:rsidRPr="00781112">
        <w:rPr>
          <w:color w:val="000000" w:themeColor="text1"/>
        </w:rPr>
        <w:t xml:space="preserve"> to key stakeholders. These supports allow the interagency stakeholders to incorporate the local resources of tribal communities into educational programs for students. Supports include: </w:t>
      </w:r>
      <w:r w:rsidRPr="00781112">
        <w:rPr>
          <w:color w:val="000000" w:themeColor="text1"/>
        </w:rPr>
        <w:br/>
      </w:r>
      <w:proofErr w:type="gramStart"/>
      <w:r w:rsidRPr="00781112">
        <w:rPr>
          <w:color w:val="000000" w:themeColor="text1"/>
        </w:rPr>
        <w:t>1</w:t>
      </w:r>
      <w:proofErr w:type="gramEnd"/>
      <w:r w:rsidRPr="00781112">
        <w:rPr>
          <w:color w:val="000000" w:themeColor="text1"/>
        </w:rPr>
        <w:t>.</w:t>
      </w:r>
      <w:r w:rsidRPr="00781112">
        <w:rPr>
          <w:color w:val="000000" w:themeColor="text1"/>
        </w:rPr>
        <w:tab/>
        <w:t xml:space="preserve">Tribal consultation and partnerships provide learning for stakeholders. </w:t>
      </w:r>
      <w:r w:rsidRPr="00781112">
        <w:rPr>
          <w:color w:val="000000" w:themeColor="text1"/>
        </w:rPr>
        <w:br/>
        <w:t>2.</w:t>
      </w:r>
      <w:r w:rsidRPr="00781112">
        <w:rPr>
          <w:color w:val="000000" w:themeColor="text1"/>
        </w:rPr>
        <w:tab/>
        <w:t xml:space="preserve">Increasing the capacity of Montana tribal leaders, knowledge keepers, LEA leadership, and students to understand and use data to make informed decisions for American Indian students with disabilities. </w:t>
      </w:r>
      <w:r w:rsidRPr="00781112">
        <w:rPr>
          <w:color w:val="000000" w:themeColor="text1"/>
        </w:rPr>
        <w:br/>
        <w:t>3.</w:t>
      </w:r>
      <w:r w:rsidRPr="00781112">
        <w:rPr>
          <w:color w:val="000000" w:themeColor="text1"/>
        </w:rPr>
        <w:tab/>
        <w:t xml:space="preserve">Continue to provide training opportunities that develop cultural perspectives of historical Indigenous Restorative Justice practice efforts </w:t>
      </w:r>
      <w:r w:rsidRPr="00781112">
        <w:rPr>
          <w:color w:val="000000" w:themeColor="text1"/>
        </w:rPr>
        <w:br/>
      </w:r>
      <w:proofErr w:type="gramStart"/>
      <w:r w:rsidRPr="00781112">
        <w:rPr>
          <w:color w:val="000000" w:themeColor="text1"/>
        </w:rPr>
        <w:t>4</w:t>
      </w:r>
      <w:proofErr w:type="gramEnd"/>
      <w:r w:rsidRPr="00781112">
        <w:rPr>
          <w:color w:val="000000" w:themeColor="text1"/>
        </w:rPr>
        <w:t>.</w:t>
      </w:r>
      <w:r w:rsidRPr="00781112">
        <w:rPr>
          <w:color w:val="000000" w:themeColor="text1"/>
        </w:rPr>
        <w:tab/>
        <w:t xml:space="preserve">Continued development of Professional Learning Communities (PLC) and Personalized Learning Networks (PLN) that seek to build and strengthen the capacity of special education teachers to meet the needs of students. </w:t>
      </w:r>
      <w:r w:rsidRPr="00781112">
        <w:rPr>
          <w:color w:val="000000" w:themeColor="text1"/>
        </w:rPr>
        <w:br/>
        <w:t>5. Through collaboration and communication infrastructure efforts, build awareness and the need to empower American Indian students to reconnect to their identity as they see themselves reflected in their communities.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Professional Learning Community (PLC) or Personalized Learning Network (PLN)</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Montana utilizes a PLC combined with a PLN approach to their work with the SSIP target schools</w:t>
      </w:r>
      <w:proofErr w:type="gramStart"/>
      <w:r w:rsidRPr="00781112">
        <w:rPr>
          <w:color w:val="000000" w:themeColor="text1"/>
        </w:rPr>
        <w:t xml:space="preserve">.  </w:t>
      </w:r>
      <w:proofErr w:type="gramEnd"/>
      <w:r w:rsidRPr="00781112">
        <w:rPr>
          <w:color w:val="000000" w:themeColor="text1"/>
        </w:rPr>
        <w:t>The identified PLC/PLN was developed by the SEA based on research from Rock in his The eCoaching Continuum for Educators: Using Technology to Enrich Professional Development and Improve Students Outcomes (2019)</w:t>
      </w:r>
      <w:proofErr w:type="gramStart"/>
      <w:r w:rsidRPr="00781112">
        <w:rPr>
          <w:color w:val="000000" w:themeColor="text1"/>
        </w:rPr>
        <w:t xml:space="preserve">.  </w:t>
      </w:r>
      <w:proofErr w:type="gramEnd"/>
      <w:r w:rsidRPr="00781112">
        <w:rPr>
          <w:color w:val="000000" w:themeColor="text1"/>
        </w:rPr>
        <w:t>Montana has called their PLC/PLN the Critical Friends’ Network (CFN). The Critical Friends’ Network is based on the premise that professional development offered through a PLC or PLN provides the reciprocity for educators to share and learn strategies to support their students with special needs.</w:t>
      </w:r>
      <w:r w:rsidRPr="00781112">
        <w:rPr>
          <w:color w:val="000000" w:themeColor="text1"/>
        </w:rPr>
        <w:br/>
      </w:r>
      <w:r w:rsidRPr="00781112">
        <w:rPr>
          <w:color w:val="000000" w:themeColor="text1"/>
        </w:rPr>
        <w:br/>
        <w:t>The CFN started in March of 2021, working with the following LEAs—Wolf Point, Frazer, Poplar, Brockton (all within the Fort Peck Reservation), Hays/Lodge Pole (within the Fort Belknap Reservation). The CFN for the 2021-2022 school year was comprised of the same LEAs</w:t>
      </w:r>
      <w:proofErr w:type="gramStart"/>
      <w:r w:rsidRPr="00781112">
        <w:rPr>
          <w:color w:val="000000" w:themeColor="text1"/>
        </w:rPr>
        <w:t xml:space="preserve">.  </w:t>
      </w:r>
      <w:proofErr w:type="gramEnd"/>
      <w:r w:rsidRPr="00781112">
        <w:rPr>
          <w:color w:val="000000" w:themeColor="text1"/>
        </w:rPr>
        <w:t>For the 2022-2023 school year, one additional LEA (located on the Confederated Salish and Kootenai Reservation) has been added</w:t>
      </w:r>
      <w:proofErr w:type="gramStart"/>
      <w:r w:rsidRPr="00781112">
        <w:rPr>
          <w:color w:val="000000" w:themeColor="text1"/>
        </w:rPr>
        <w:t xml:space="preserve">.  </w:t>
      </w:r>
      <w:proofErr w:type="gramEnd"/>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5"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5"/>
    <w:p w14:paraId="3E043DB7" w14:textId="7C3B2CD4" w:rsidR="00AE1972" w:rsidRPr="00781112" w:rsidRDefault="00AE1972" w:rsidP="00AE1972">
      <w:pPr>
        <w:rPr>
          <w:b/>
          <w:bCs/>
        </w:rPr>
      </w:pPr>
      <w:r w:rsidRPr="00781112">
        <w:rPr>
          <w:color w:val="000000" w:themeColor="text1"/>
        </w:rPr>
        <w:t xml:space="preserve">The CFN will enhance the capacity of educators to utilize high impact strategies, </w:t>
      </w:r>
      <w:proofErr w:type="gramStart"/>
      <w:r w:rsidRPr="00781112">
        <w:rPr>
          <w:color w:val="000000" w:themeColor="text1"/>
        </w:rPr>
        <w:t>practices</w:t>
      </w:r>
      <w:proofErr w:type="gramEnd"/>
      <w:r w:rsidRPr="00781112">
        <w:rPr>
          <w:color w:val="000000" w:themeColor="text1"/>
        </w:rPr>
        <w:t xml:space="preserve"> and interventions. This will increase educator effectiveness to improve teaching and learning strategies. </w:t>
      </w:r>
      <w:r w:rsidRPr="00781112">
        <w:rPr>
          <w:color w:val="000000" w:themeColor="text1"/>
        </w:rPr>
        <w:br/>
      </w:r>
      <w:r w:rsidRPr="00781112">
        <w:rPr>
          <w:color w:val="000000" w:themeColor="text1"/>
        </w:rPr>
        <w:br/>
      </w:r>
      <w:r w:rsidRPr="00781112">
        <w:rPr>
          <w:color w:val="000000" w:themeColor="text1"/>
        </w:rPr>
        <w:lastRenderedPageBreak/>
        <w:t xml:space="preserve">This includes improved intentional planning of culturally relevant curriculum, instructional practices, use of formative and summative data to guide instruction, and building pathways to post-secondary readiness. </w:t>
      </w:r>
      <w:proofErr w:type="gramStart"/>
      <w:r w:rsidRPr="00781112">
        <w:rPr>
          <w:color w:val="000000" w:themeColor="text1"/>
        </w:rPr>
        <w:t>Ultimately, these</w:t>
      </w:r>
      <w:proofErr w:type="gramEnd"/>
      <w:r w:rsidRPr="00781112">
        <w:rPr>
          <w:color w:val="000000" w:themeColor="text1"/>
        </w:rPr>
        <w:t xml:space="preserve"> LEAs will have schoolwide practices, teaching, and learning that are responsive to students needs and culture, leading to increased completion rates of American Indian students with disabilities. </w:t>
      </w:r>
      <w:r w:rsidRPr="00781112">
        <w:rPr>
          <w:color w:val="000000" w:themeColor="text1"/>
        </w:rPr>
        <w:br/>
      </w:r>
      <w:r w:rsidRPr="00781112">
        <w:rPr>
          <w:color w:val="000000" w:themeColor="text1"/>
        </w:rPr>
        <w:br/>
        <w:t>The CFN will also strengthen the capacity of educators to cultivate and maintain positive, inclusive, safe, empowering school environments. It will emphasize the importance of elevating student voice, youth leadership and advocacy, as well as promote the use of MTSS to ensure the school structure addresses the needs of American Indian students with disabilities. This will enable educators to utilize restorative approaches to build strong relationships and learning environments. The CFN will help students have improved attendance rates, participation in school activities</w:t>
      </w:r>
      <w:proofErr w:type="gramStart"/>
      <w:r w:rsidRPr="00781112">
        <w:rPr>
          <w:color w:val="000000" w:themeColor="text1"/>
        </w:rPr>
        <w:t>, reduce</w:t>
      </w:r>
      <w:proofErr w:type="gramEnd"/>
      <w:r w:rsidRPr="00781112">
        <w:rPr>
          <w:color w:val="000000" w:themeColor="text1"/>
        </w:rPr>
        <w:t xml:space="preserve"> discipline rates. </w:t>
      </w:r>
      <w:proofErr w:type="gramStart"/>
      <w:r w:rsidRPr="00781112">
        <w:rPr>
          <w:color w:val="000000" w:themeColor="text1"/>
        </w:rPr>
        <w:t>Ultimately educators</w:t>
      </w:r>
      <w:proofErr w:type="gramEnd"/>
      <w:r w:rsidRPr="00781112">
        <w:rPr>
          <w:color w:val="000000" w:themeColor="text1"/>
        </w:rPr>
        <w:t xml:space="preserve"> will have a systematic approach to identify students at risk of dropping out of school, applying targeted interventions based on student needs and tracking interventions over time to determine if they are working.</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following data sets are </w:t>
      </w:r>
      <w:proofErr w:type="gramStart"/>
      <w:r w:rsidRPr="00781112">
        <w:rPr>
          <w:color w:val="000000" w:themeColor="text1"/>
        </w:rPr>
        <w:t>being utilized</w:t>
      </w:r>
      <w:proofErr w:type="gramEnd"/>
      <w:r w:rsidRPr="00781112">
        <w:rPr>
          <w:color w:val="000000" w:themeColor="text1"/>
        </w:rPr>
        <w:t xml:space="preserve"> to monitor the fidelity of implementation of the CFN:</w:t>
      </w:r>
      <w:r w:rsidRPr="00781112">
        <w:rPr>
          <w:color w:val="000000" w:themeColor="text1"/>
        </w:rPr>
        <w:br/>
      </w:r>
      <w:r w:rsidRPr="00781112">
        <w:rPr>
          <w:color w:val="000000" w:themeColor="text1"/>
        </w:rPr>
        <w:br/>
        <w:t>Rubrics were developed for use with both the Critical Friends’ Network(s) and the Tribal Consultation process (per individual tribal group involved). The rubrics are identical in nature just adjusted to fit the applicable activity. The rubrics are an adaptation from Killion’s (2008) book, Assessing Impact: Evaluating Staff Development (2nd Ed.). Rubric selection is based on the following criteria:</w:t>
      </w:r>
      <w:r w:rsidRPr="00781112">
        <w:rPr>
          <w:color w:val="000000" w:themeColor="text1"/>
        </w:rPr>
        <w:br/>
        <w:t xml:space="preserve"> 1) it is a continuum of growth; 2) doesn’t require administering on a regular basis but at random check points; 3) demonstrates a partnership in the process as well as an opt out; 4) and it is qualitative in nature staying clear of quantifying professional relationships and growing together to better serve students.  This is the second year of implementation of the surveys, however during FFY2021, only </w:t>
      </w:r>
      <w:proofErr w:type="gramStart"/>
      <w:r w:rsidRPr="00781112">
        <w:rPr>
          <w:color w:val="000000" w:themeColor="text1"/>
        </w:rPr>
        <w:t>1</w:t>
      </w:r>
      <w:proofErr w:type="gramEnd"/>
      <w:r w:rsidRPr="00781112">
        <w:rPr>
          <w:color w:val="000000" w:themeColor="text1"/>
        </w:rPr>
        <w:t xml:space="preserve"> survey of 8 distributed was completed and returned.  This does not allow Montana to report any data on the fidelity of implementation of the CFN as the response rate is too low to infer the effectiveness of this practice.</w:t>
      </w:r>
      <w:r w:rsidRPr="00781112">
        <w:rPr>
          <w:color w:val="000000" w:themeColor="text1"/>
        </w:rPr>
        <w:br/>
      </w:r>
      <w:r w:rsidRPr="00781112">
        <w:rPr>
          <w:color w:val="000000" w:themeColor="text1"/>
        </w:rPr>
        <w:br/>
        <w:t>Reference:</w:t>
      </w:r>
      <w:r w:rsidRPr="00781112">
        <w:rPr>
          <w:color w:val="000000" w:themeColor="text1"/>
        </w:rPr>
        <w:br/>
        <w:t xml:space="preserve"> Killion, J. (2008). Assessing Impact: Evaluating Staff Development (2nd Ed.). Thousand Oaks, CA: Corwin Press.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No additional data </w:t>
      </w:r>
      <w:proofErr w:type="gramStart"/>
      <w:r w:rsidRPr="00781112">
        <w:rPr>
          <w:color w:val="000000" w:themeColor="text1"/>
        </w:rPr>
        <w:t>was collected</w:t>
      </w:r>
      <w:proofErr w:type="gramEnd"/>
      <w:r w:rsidRPr="00781112">
        <w:rPr>
          <w:color w:val="000000" w:themeColor="text1"/>
        </w:rPr>
        <w:t>.</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The SEA plans to use the next steps during the next reporting period:</w:t>
      </w:r>
      <w:r w:rsidRPr="00781112">
        <w:rPr>
          <w:color w:val="000000" w:themeColor="text1"/>
        </w:rPr>
        <w:br/>
      </w:r>
      <w:r w:rsidRPr="00781112">
        <w:rPr>
          <w:color w:val="000000" w:themeColor="text1"/>
        </w:rPr>
        <w:br/>
      </w:r>
      <w:proofErr w:type="gramStart"/>
      <w:r w:rsidRPr="00781112">
        <w:rPr>
          <w:color w:val="000000" w:themeColor="text1"/>
        </w:rPr>
        <w:t>1</w:t>
      </w:r>
      <w:proofErr w:type="gramEnd"/>
      <w:r w:rsidRPr="00781112">
        <w:rPr>
          <w:color w:val="000000" w:themeColor="text1"/>
        </w:rPr>
        <w:t>.</w:t>
      </w:r>
      <w:r w:rsidRPr="00781112">
        <w:rPr>
          <w:color w:val="000000" w:themeColor="text1"/>
        </w:rPr>
        <w:tab/>
        <w:t xml:space="preserve">Expand outreach beginning in the fall of 2022 with the addition of a school in our Western region to the CFN. </w:t>
      </w:r>
      <w:r w:rsidRPr="00781112">
        <w:rPr>
          <w:color w:val="000000" w:themeColor="text1"/>
        </w:rPr>
        <w:br/>
        <w:t>2. The focus of the CFN will be realigned to build capacity with the LEAs as described above.</w:t>
      </w:r>
      <w:r w:rsidRPr="00781112">
        <w:rPr>
          <w:color w:val="000000" w:themeColor="text1"/>
        </w:rPr>
        <w:br/>
      </w:r>
      <w:proofErr w:type="gramStart"/>
      <w:r w:rsidRPr="00781112">
        <w:rPr>
          <w:color w:val="000000" w:themeColor="text1"/>
        </w:rPr>
        <w:t>3</w:t>
      </w:r>
      <w:proofErr w:type="gramEnd"/>
      <w:r w:rsidRPr="00781112">
        <w:rPr>
          <w:color w:val="000000" w:themeColor="text1"/>
        </w:rPr>
        <w:t xml:space="preserve">. Will continue to strengthen and utilize Tribal consultations for district and school leaders to expand engagement efforts to ensure students, families, </w:t>
      </w:r>
      <w:proofErr w:type="gramStart"/>
      <w:r w:rsidRPr="00781112">
        <w:rPr>
          <w:color w:val="000000" w:themeColor="text1"/>
        </w:rPr>
        <w:t>communities</w:t>
      </w:r>
      <w:proofErr w:type="gramEnd"/>
      <w:r w:rsidRPr="00781112">
        <w:rPr>
          <w:color w:val="000000" w:themeColor="text1"/>
        </w:rPr>
        <w:t xml:space="preserve"> and tribal councils are invested partners in increasing the completion rates of American Indian students with disabilities. I</w:t>
      </w:r>
      <w:r w:rsidRPr="00781112">
        <w:rPr>
          <w:color w:val="000000" w:themeColor="text1"/>
        </w:rPr>
        <w:br/>
        <w:t>4. Continue to utilize and align the SSIP work with the American Indian Task Force</w:t>
      </w:r>
      <w:r w:rsidRPr="00781112">
        <w:rPr>
          <w:color w:val="000000" w:themeColor="text1"/>
        </w:rPr>
        <w:br/>
      </w:r>
      <w:proofErr w:type="gramStart"/>
      <w:r w:rsidRPr="00781112">
        <w:rPr>
          <w:color w:val="000000" w:themeColor="text1"/>
        </w:rPr>
        <w:t>5</w:t>
      </w:r>
      <w:proofErr w:type="gramEnd"/>
      <w:r w:rsidRPr="00781112">
        <w:rPr>
          <w:color w:val="000000" w:themeColor="text1"/>
        </w:rPr>
        <w:t>. Work towards implementation of the differentiated monitoring process to help the SEA and LEAs use the data from the monitoring process to determine next steps aligned to the SiMR.</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Using the data collected to monitor fidelity of implementation, the SEA has determined to continue implementing the SSIP without modifications</w:t>
      </w:r>
      <w:proofErr w:type="gramStart"/>
      <w:r w:rsidRPr="00781112">
        <w:t xml:space="preserve">.  </w:t>
      </w:r>
      <w:proofErr w:type="gramEnd"/>
      <w:r w:rsidRPr="00781112">
        <w:t>Prior to adjusting the strategies, the SEA must first strengthen the evaluation tools, the dissemination of those tools to increase response rates, and develop opportunities for review of the data to determine if the strategies are working as implemented.</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Discussions and Stakeholder input of the State’s Performance Plan (SPP), Annual Performance Report (APR), State’s Systemic Improvement Plan (SSIP), and Results Driven Accountability (RDA)/Results Based Accountability (RBA) began in 2013 with our State Special Education Advisory Panel. The Panel </w:t>
      </w:r>
      <w:proofErr w:type="gramStart"/>
      <w:r w:rsidRPr="00781112">
        <w:rPr>
          <w:color w:val="000000" w:themeColor="text1"/>
        </w:rPr>
        <w:t>is fully vested</w:t>
      </w:r>
      <w:proofErr w:type="gramEnd"/>
      <w:r w:rsidRPr="00781112">
        <w:rPr>
          <w:color w:val="000000" w:themeColor="text1"/>
        </w:rPr>
        <w:t xml:space="preserve"> and broadly representative of Montana. Additionally, </w:t>
      </w:r>
      <w:proofErr w:type="gramStart"/>
      <w:r w:rsidRPr="00781112">
        <w:rPr>
          <w:color w:val="000000" w:themeColor="text1"/>
        </w:rPr>
        <w:t>many</w:t>
      </w:r>
      <w:proofErr w:type="gramEnd"/>
      <w:r w:rsidRPr="00781112">
        <w:rPr>
          <w:color w:val="000000" w:themeColor="text1"/>
        </w:rPr>
        <w:t xml:space="preserve">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color w:val="000000" w:themeColor="text1"/>
        </w:rPr>
        <w:br/>
      </w:r>
      <w:r w:rsidRPr="00781112">
        <w:rPr>
          <w:color w:val="000000" w:themeColor="text1"/>
        </w:rPr>
        <w:br/>
        <w:t>Other stakeholder groups we sponsor and/or engage include:</w:t>
      </w:r>
      <w:r w:rsidRPr="00781112">
        <w:rPr>
          <w:color w:val="000000" w:themeColor="text1"/>
        </w:rPr>
        <w:br/>
      </w:r>
      <w:r w:rsidRPr="00781112">
        <w:rPr>
          <w:color w:val="000000" w:themeColor="text1"/>
        </w:rPr>
        <w:br/>
        <w:t>--Our Comprehensive System of Personnel Development (CSPD) includes both regional and state councils that regularly meet to assess APR data and to evaluate professional development priorities and results.</w:t>
      </w:r>
      <w:r w:rsidRPr="00781112">
        <w:rPr>
          <w:color w:val="000000" w:themeColor="text1"/>
        </w:rPr>
        <w:br/>
      </w:r>
      <w:r w:rsidRPr="00781112">
        <w:rPr>
          <w:color w:val="000000" w:themeColor="text1"/>
        </w:rPr>
        <w:br/>
        <w:t>--The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color w:val="000000" w:themeColor="text1"/>
        </w:rPr>
        <w:br/>
      </w:r>
      <w:r w:rsidRPr="00781112">
        <w:rPr>
          <w:color w:val="000000" w:themeColor="text1"/>
        </w:rPr>
        <w:br/>
        <w:t xml:space="preserve">--Working with staff from TAESE, the OPI has facilitated the Montana Higher Education Consortium (HEC) for twenty years. The HEC continues to be a part of CSPD and brings together members of faculty from each of the colleges and universities teacher prep programs in Montana. Participation in the </w:t>
      </w:r>
      <w:r w:rsidRPr="00781112">
        <w:rPr>
          <w:color w:val="000000" w:themeColor="text1"/>
        </w:rPr>
        <w:lastRenderedPageBreak/>
        <w:t>consortium is strong and includes faculty members from each of the public and private colleges in Montana. This group has worked to provide greater standardization of the teacher training programs in Montana and has worked together to improve pre-service training programs.</w:t>
      </w:r>
      <w:r w:rsidRPr="00781112">
        <w:rPr>
          <w:color w:val="000000" w:themeColor="text1"/>
        </w:rPr>
        <w:br/>
      </w:r>
      <w:r w:rsidRPr="00781112">
        <w:rPr>
          <w:color w:val="000000" w:themeColor="text1"/>
        </w:rPr>
        <w:br/>
        <w:t>--The OPI staff is also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w:t>
      </w:r>
      <w:r w:rsidRPr="00781112">
        <w:rPr>
          <w:color w:val="000000" w:themeColor="text1"/>
        </w:rPr>
        <w:br/>
      </w:r>
      <w:r w:rsidRPr="00781112">
        <w:rPr>
          <w:color w:val="000000" w:themeColor="text1"/>
        </w:rPr>
        <w:br/>
        <w:t xml:space="preserve">Annually, the State Education Agency (SEA) brings together representatives from these stakeholder groups for a joint meeting facilitated by TAESE. This meeting gathers over </w:t>
      </w:r>
      <w:proofErr w:type="gramStart"/>
      <w:r w:rsidRPr="00781112">
        <w:rPr>
          <w:color w:val="000000" w:themeColor="text1"/>
        </w:rPr>
        <w:t>80</w:t>
      </w:r>
      <w:proofErr w:type="gramEnd"/>
      <w:r w:rsidRPr="00781112">
        <w:rPr>
          <w:color w:val="000000" w:themeColor="text1"/>
        </w:rPr>
        <w:t xml:space="preserve"> front-line stakeholders together to share up-dates of issues and gather input from a comprehensive representation of the Montana disability community, families and parents of children and students with and without disabilities. For the past seven years, the topic has been Montana's </w:t>
      </w:r>
      <w:proofErr w:type="gramStart"/>
      <w:r w:rsidRPr="00781112">
        <w:rPr>
          <w:color w:val="000000" w:themeColor="text1"/>
        </w:rPr>
        <w:t>SSIP</w:t>
      </w:r>
      <w:proofErr w:type="gramEnd"/>
      <w:r w:rsidRPr="00781112">
        <w:rPr>
          <w:color w:val="000000" w:themeColor="text1"/>
        </w:rPr>
        <w:t xml:space="preserve"> and activities have been conducted to solicit both general and specific stakeholder input. During the spring 2022 meeting, the state presented on using data within the state for Local Education Agencies (LEAs) to make decisions. This also included how to interpret the APR data.</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SSIP Implementation Specialist used a Professional Learning Community (PLC) or Personalized Learning Network (PLN) in the form of a Critical Friends Network to engage stakeholders.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6"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Anne Rainey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IDEA 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arainey@mt.gov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4064444430</w:t>
      </w:r>
    </w:p>
    <w:bookmarkEnd w:id="96"/>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3:50:46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24B760BD" w14:textId="4CE79A21" w:rsidR="00DF6C13" w:rsidRPr="00DF6C13" w:rsidRDefault="00DF6C13" w:rsidP="00DF6C13">
      <w:pPr>
        <w:rPr>
          <w:b/>
          <w:bCs/>
          <w:sz w:val="20"/>
          <w:szCs w:val="28"/>
        </w:rPr>
      </w:pPr>
      <w:r w:rsidRPr="00DF6C13">
        <w:rPr>
          <w:b/>
          <w:bCs/>
          <w:sz w:val="20"/>
          <w:szCs w:val="28"/>
        </w:rPr>
        <w:t>Montana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8"/>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73.61%</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18</w:t>
            </w:r>
          </w:p>
        </w:tc>
        <w:tc>
          <w:tcPr>
            <w:tcW w:w="1218" w:type="pct"/>
          </w:tcPr>
          <w:p w14:paraId="0E3866D0" w14:textId="74D5D84B" w:rsidR="00E1330D" w:rsidRPr="00210AC6" w:rsidRDefault="00E1330D" w:rsidP="00E1330D">
            <w:pPr>
              <w:rPr>
                <w:rFonts w:cs="Arial"/>
                <w:szCs w:val="16"/>
              </w:rPr>
            </w:pPr>
            <w:r w:rsidRPr="00210AC6">
              <w:rPr>
                <w:rFonts w:cs="Arial"/>
                <w:szCs w:val="16"/>
              </w:rPr>
              <w:t>75.00%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13</w:t>
            </w:r>
          </w:p>
        </w:tc>
        <w:tc>
          <w:tcPr>
            <w:tcW w:w="1218" w:type="pct"/>
          </w:tcPr>
          <w:p w14:paraId="568903BA" w14:textId="193CF7F1" w:rsidR="00E1330D" w:rsidRPr="00210AC6" w:rsidRDefault="00E1330D" w:rsidP="00E1330D">
            <w:pPr>
              <w:rPr>
                <w:rFonts w:cs="Arial"/>
                <w:szCs w:val="16"/>
              </w:rPr>
            </w:pPr>
            <w:r w:rsidRPr="00210AC6">
              <w:rPr>
                <w:rFonts w:cs="Arial"/>
                <w:szCs w:val="16"/>
              </w:rPr>
              <w:t>72.22%</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90%</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89%</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21%</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91%</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31%</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94%</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90%</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86%</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46%</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93%</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24%</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92%</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21</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74</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9"/>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2D7F3D83" w:rsidR="00AA1152" w:rsidRPr="00210AC6" w:rsidRDefault="00DF6C13" w:rsidP="00AA1152">
            <w:pPr>
              <w:rPr>
                <w:rFonts w:cs="Arial"/>
                <w:szCs w:val="16"/>
              </w:rPr>
            </w:pPr>
            <w:r>
              <w:rPr>
                <w:rFonts w:cs="Arial"/>
                <w:szCs w:val="16"/>
              </w:rPr>
              <w:t xml:space="preserve">Not Valid and </w:t>
            </w:r>
            <w:proofErr w:type="gramStart"/>
            <w:r>
              <w:rPr>
                <w:rFonts w:cs="Arial"/>
                <w:szCs w:val="16"/>
              </w:rPr>
              <w:t>Reliable</w:t>
            </w:r>
            <w:proofErr w:type="gramEnd"/>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0</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89.09%</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1</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48.98%</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95.70%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6E42DFAB" w14:textId="77777777" w:rsidR="00DF6C13" w:rsidRPr="00DF6C13" w:rsidRDefault="00DF6C13" w:rsidP="00DF6C13">
      <w:pPr>
        <w:rPr>
          <w:b/>
          <w:bCs/>
          <w:sz w:val="20"/>
          <w:szCs w:val="28"/>
        </w:rPr>
      </w:pPr>
      <w:r w:rsidRPr="00DF6C13">
        <w:rPr>
          <w:b/>
          <w:bCs/>
          <w:sz w:val="20"/>
          <w:szCs w:val="28"/>
        </w:rPr>
        <w:t>Montana</w:t>
      </w:r>
    </w:p>
    <w:p w14:paraId="47D5C066" w14:textId="77777777" w:rsidR="00DF6C13" w:rsidRPr="00DF6C13" w:rsidRDefault="00DF6C13" w:rsidP="00DF6C13"/>
    <w:p w14:paraId="27E7D5D5" w14:textId="314242AE" w:rsidR="00110BB6" w:rsidRDefault="00110BB6" w:rsidP="00110BB6">
      <w:pPr>
        <w:jc w:val="center"/>
      </w:pPr>
      <w:r>
        <w:t>FFY 2021 APR</w:t>
      </w:r>
      <w:r w:rsidR="00A47134">
        <w:rPr>
          <w:rStyle w:val="FootnoteReference"/>
        </w:rPr>
        <w:footnoteReference w:id="10"/>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20</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25</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1"/>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25</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49.76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0.9570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95.70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09AD0283" w14:textId="77777777" w:rsidR="00DF6C13" w:rsidRDefault="00DF6C13">
      <w:pPr>
        <w:spacing w:before="0" w:after="200" w:line="276" w:lineRule="auto"/>
      </w:pPr>
    </w:p>
    <w:p w14:paraId="10BA59E7" w14:textId="48D7B842" w:rsidR="0058254D" w:rsidRDefault="00DF6C13">
      <w:pPr>
        <w:spacing w:before="0" w:after="200" w:line="276" w:lineRule="auto"/>
      </w:pPr>
      <w:r>
        <w:object w:dxaOrig="1540" w:dyaOrig="997" w14:anchorId="13B33572">
          <v:shape id="_x0000_i1026" type="#_x0000_t75" alt="MT-B-DR-2021-22" style="width:77.25pt;height:51pt" o:ole="">
            <v:imagedata r:id="rId12" o:title=""/>
          </v:shape>
          <o:OLEObject Type="Embed" ProgID="Acrobat.Document.DC" ShapeID="_x0000_i1026" DrawAspect="Icon" ObjectID="_1752315238"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B04D7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7" w:name="Introduction"/>
      <w:bookmarkStart w:id="98" w:name="_Hlk124349373"/>
      <w:bookmarkEnd w:id="3"/>
      <w:bookmarkEnd w:id="97"/>
      <w:bookmarkEnd w:id="98"/>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B04D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0B90A291" w14:textId="269532E4" w:rsidR="00DF6C13" w:rsidRPr="00272240" w:rsidRDefault="00DF6C13" w:rsidP="00DF6C13">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272240">
        <w:rPr>
          <w:rFonts w:cs="Arial"/>
          <w:szCs w:val="16"/>
        </w:rPr>
        <w:t>ent data source to report data under this indicator.</w:t>
      </w:r>
      <w:bookmarkEnd w:id="5"/>
    </w:p>
  </w:footnote>
  <w:footnote w:id="3">
    <w:p w14:paraId="43340408" w14:textId="0DDF4E7B" w:rsidR="00272240" w:rsidRDefault="00272240">
      <w:pPr>
        <w:pStyle w:val="FootnoteText"/>
      </w:pPr>
      <w:r w:rsidRPr="00272240">
        <w:rPr>
          <w:rStyle w:val="FootnoteReference"/>
          <w:sz w:val="16"/>
          <w:szCs w:val="16"/>
        </w:rPr>
        <w:footnoteRef/>
      </w:r>
      <w:r w:rsidRPr="00272240">
        <w:rPr>
          <w:sz w:val="16"/>
          <w:szCs w:val="16"/>
        </w:rPr>
        <w:t xml:space="preserve"> </w:t>
      </w:r>
      <w:r w:rsidRPr="00272240">
        <w:rPr>
          <w:rFonts w:cs="Arial"/>
          <w:sz w:val="16"/>
          <w:szCs w:val="16"/>
        </w:rPr>
        <w:t>Percentage blurred due to privacy protection.</w:t>
      </w:r>
    </w:p>
  </w:footnote>
  <w:footnote w:id="4">
    <w:p w14:paraId="134D2376" w14:textId="27066095" w:rsidR="00DF6C13" w:rsidRPr="00DF6C13" w:rsidRDefault="00DF6C13" w:rsidP="00DF6C13">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1A3E09CA" w14:textId="65985D28" w:rsidR="00905D69" w:rsidRDefault="00905D69">
      <w:pPr>
        <w:pStyle w:val="FootnoteText"/>
      </w:pPr>
      <w:r w:rsidRPr="00905D69">
        <w:rPr>
          <w:rStyle w:val="FootnoteReference"/>
          <w:sz w:val="16"/>
          <w:szCs w:val="16"/>
        </w:rPr>
        <w:footnoteRef/>
      </w:r>
      <w:r w:rsidRPr="00905D69">
        <w:rPr>
          <w:sz w:val="16"/>
          <w:szCs w:val="16"/>
        </w:rPr>
        <w:t xml:space="preserve"> Data suppressed due to small cell size.</w:t>
      </w:r>
    </w:p>
  </w:footnote>
  <w:footnote w:id="6">
    <w:p w14:paraId="4CA18517" w14:textId="329D8FD5" w:rsidR="00905D69" w:rsidRDefault="00905D69">
      <w:pPr>
        <w:pStyle w:val="FootnoteText"/>
      </w:pPr>
      <w:r w:rsidRPr="00905D69">
        <w:rPr>
          <w:rStyle w:val="FootnoteReference"/>
          <w:sz w:val="16"/>
          <w:szCs w:val="16"/>
        </w:rPr>
        <w:footnoteRef/>
      </w:r>
      <w:r w:rsidRPr="00905D69">
        <w:rPr>
          <w:sz w:val="16"/>
          <w:szCs w:val="16"/>
        </w:rPr>
        <w:t xml:space="preserve"> Data suppressed due to small cell size.</w:t>
      </w:r>
    </w:p>
  </w:footnote>
  <w:footnote w:id="7">
    <w:p w14:paraId="6B370E30" w14:textId="28310C89" w:rsidR="00652EE8" w:rsidRDefault="00652EE8">
      <w:pPr>
        <w:pStyle w:val="FootnoteText"/>
      </w:pPr>
      <w:r w:rsidRPr="00652EE8">
        <w:rPr>
          <w:rStyle w:val="FootnoteReference"/>
          <w:sz w:val="16"/>
          <w:szCs w:val="16"/>
        </w:rPr>
        <w:footnoteRef/>
      </w:r>
      <w:r w:rsidRPr="00652EE8">
        <w:rPr>
          <w:sz w:val="16"/>
          <w:szCs w:val="16"/>
        </w:rPr>
        <w:t xml:space="preserve"> Data suppressed due to small cell size.</w:t>
      </w:r>
    </w:p>
  </w:footnote>
  <w:footnote w:id="8">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9">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0">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1">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B04D7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2240"/>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6F"/>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A1E"/>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2EE8"/>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5D69"/>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4D70"/>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231"/>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65B5"/>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C13"/>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463"/>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4f36bac4-6705-4a36-974b-7c07450fedf2"/>
    <ds:schemaRef ds:uri="http://schemas.microsoft.com/office/2006/documentManagement/types"/>
    <ds:schemaRef ds:uri="292db1e8-b3d0-4356-8ef3-2a6d7ed77883"/>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71411BA7-B1F2-4E98-B440-494BF17DA658}"/>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20</TotalTime>
  <Pages>90</Pages>
  <Words>50616</Words>
  <Characters>288512</Characters>
  <Application>Microsoft Office Word</Application>
  <DocSecurity>0</DocSecurity>
  <Lines>2404</Lines>
  <Paragraphs>676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10</cp:revision>
  <cp:lastPrinted>2014-08-19T16:56:00Z</cp:lastPrinted>
  <dcterms:created xsi:type="dcterms:W3CDTF">2023-06-28T20:42:00Z</dcterms:created>
  <dcterms:modified xsi:type="dcterms:W3CDTF">2023-07-31T18:27:00Z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