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Montana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400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Montana comprehensive system of general supervision includes multiple components:  A review of each Individual with Disabilities Education Act (IDEA) Part B applicant’s policies and procedures; the application, allocation, distribution, fiscal risk assessment, and accountability of special education funds; and formal complaints, due process hearings, mediation, and an Early Assistance Program.  The special education and legal units track data to ensure required compliance and/or corrections are made.  Continuous improvement, based on each Local Education Agency’s (LEA) five-year comprehensive plan, is reported by LEAs annually and tracked through the Accreditation Unit.</w:t>
      </w:r>
      <w:r w:rsidRPr="00781112">
        <w:rPr>
          <w:rFonts w:cs="Arial"/>
          <w:color w:val="000000" w:themeColor="text1"/>
          <w:szCs w:val="16"/>
        </w:rPr>
        <w:br/>
      </w:r>
      <w:r w:rsidRPr="00781112">
        <w:rPr>
          <w:rFonts w:cs="Arial"/>
          <w:color w:val="000000" w:themeColor="text1"/>
          <w:szCs w:val="16"/>
        </w:rPr>
        <w:br/>
        <w:t>Compliance Monitoring</w:t>
      </w:r>
      <w:r w:rsidRPr="00781112">
        <w:rPr>
          <w:rFonts w:cs="Arial"/>
          <w:color w:val="000000" w:themeColor="text1"/>
          <w:szCs w:val="16"/>
        </w:rPr>
        <w:br/>
        <w:t>The Office of Public Instruction (OPI) reviews individual student records to verify processes and procedures meet IDEA  and Montana requirements.  Compliance monitoring activities consist of: review of individual student records; review of district policy, practices, and procedures; virtual records review and/or site visits, when appropriate; and communication with teachers and specialists.</w:t>
      </w:r>
      <w:r w:rsidRPr="00781112">
        <w:rPr>
          <w:rFonts w:cs="Arial"/>
          <w:color w:val="000000" w:themeColor="text1"/>
          <w:szCs w:val="16"/>
        </w:rPr>
        <w:br/>
      </w:r>
      <w:r w:rsidRPr="00781112">
        <w:rPr>
          <w:rFonts w:cs="Arial"/>
          <w:color w:val="000000" w:themeColor="text1"/>
          <w:szCs w:val="16"/>
        </w:rPr>
        <w:br/>
        <w:t>All identified noncompliance is recorded, verified, and accounted for through a process of notification of all identified noncompliance; required correction of all identified noncompliance within the 1 year timeline; district submission of up-dated data verifying 100 percent post-monitoring compliant policy, practice, and procedure; timely issuance of findings; completion of required technical assistance and professional development activities; and the issuance of a final report to the district upon completion of all required compliance monitoring requirements.</w:t>
      </w:r>
      <w:r w:rsidRPr="00781112">
        <w:rPr>
          <w:rFonts w:cs="Arial"/>
          <w:color w:val="000000" w:themeColor="text1"/>
          <w:szCs w:val="16"/>
        </w:rPr>
        <w:br/>
      </w:r>
      <w:r w:rsidRPr="00781112">
        <w:rPr>
          <w:rFonts w:cs="Arial"/>
          <w:color w:val="000000" w:themeColor="text1"/>
          <w:szCs w:val="16"/>
        </w:rPr>
        <w:br/>
        <w:t>Each LEA is monitored on a five-year cycle. State Operated or State Funded programs are monitored on a three-year cycle. Records for review are selected and a standard record review protocol is used. If an LEA completes the correction of each instance of noncompliance and provides the OPI with sufficient additional records to verify ongoing evidence of compliance, no finding is issued. This practice is based on guidance provided by OSEP in the FREQUENTLY ASKED QUESTIONS REGARDING IDENTIFICATION AND CORRECTION OF NONCOMPLIANCE AND REPORTING ON CORRECTION IN THE STATE PERFORMANCE PLAN (SPP)/ANNUAL PERFORMANCE REPORT (APR) document. In the process for determination of findings, the OPI considers the following: (1) if the noncompliance was extensive or found in only a small percentage of files; (2) if the noncompliance showed a denial of a basic right under the IDEA; and (3) if the noncompliance represents an isolated incident or reflects a long-standing failure to meet requirements. When data indicates evidence of sustained post-monitoring compliance is necessary, the OPI requires the district to obtain additional training and/or submit additional evidence of sustained compliance. The same verification procedures are used for all noncompliance.</w:t>
      </w:r>
      <w:r w:rsidRPr="00781112">
        <w:rPr>
          <w:rFonts w:cs="Arial"/>
          <w:color w:val="000000" w:themeColor="text1"/>
          <w:szCs w:val="16"/>
        </w:rPr>
        <w:br/>
      </w:r>
      <w:r w:rsidRPr="00781112">
        <w:rPr>
          <w:rFonts w:cs="Arial"/>
          <w:color w:val="000000" w:themeColor="text1"/>
          <w:szCs w:val="16"/>
        </w:rPr>
        <w:br/>
        <w:t xml:space="preserve">During the last LEA monitoring cycle, the state identified 18 instances of non-compliance that were not related to any of the SPP/APR indicators.  These instances were verified using both prongs of the verification process described in the Office of Special Education Programs’s (OSEP) 09-02 Memorandum and subsequent OSEP guidance. Of the 18 instances, all of them were corrected within the one-year timeline.  </w:t>
      </w:r>
      <w:r w:rsidRPr="00781112">
        <w:rPr>
          <w:rFonts w:cs="Arial"/>
          <w:color w:val="000000" w:themeColor="text1"/>
          <w:szCs w:val="16"/>
        </w:rPr>
        <w:br/>
      </w:r>
      <w:r w:rsidRPr="00781112">
        <w:rPr>
          <w:rFonts w:cs="Arial"/>
          <w:color w:val="000000" w:themeColor="text1"/>
          <w:szCs w:val="16"/>
        </w:rPr>
        <w:br/>
        <w:t>IDEA Part B Program - Fiscal</w:t>
      </w:r>
      <w:r w:rsidRPr="00781112">
        <w:rPr>
          <w:rFonts w:cs="Arial"/>
          <w:color w:val="000000" w:themeColor="text1"/>
          <w:szCs w:val="16"/>
        </w:rPr>
        <w:br/>
        <w:t xml:space="preserve">The special education unit oversees the application, allocation and distribution of approximately $80 million of state and federal special education funds, ensures the accountability for the use of those funds, and oversees all related IDEA grant reporting and requirements.  The fiscal manager reviews and approves the applications for the IDEA funds, determines if expenditures are allowable, and collaborates to set the special education rates for state appropriations. District eligibility for funds is determined through state and federal fiscal effort maintenance requirements.  This unit oversees the distribution of IDEA discretionary funds to support programs that are a specific need area as identified in the APR and is responsible for submitting the IDEA Annual Application for Funds and all related grant reporting and fiscal requirements.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Early Assistance Program</w:t>
      </w:r>
      <w:r w:rsidRPr="00781112">
        <w:rPr>
          <w:rFonts w:cs="Arial"/>
          <w:color w:val="000000" w:themeColor="text1"/>
          <w:szCs w:val="16"/>
        </w:rPr>
        <w:br/>
        <w:t xml:space="preserve">The Early Assistance Program (EAP) provides technical assistance to help parents, adult students, guardians, school district staff, advocates and other members of the special education community understand the requirements of IDEA, or implementing Montana laws.  The EAP provides informal dispute resolution for special education issues relating to a student’s free and appropriate public education,  any violation of Part B of the IDEA or implementing Montana laws.   The intention is to resolve special education disagreements amicably, with the lowest level of third-party involvement as possible.  In addition to the EAP, there are several other dispute resolution options available under the IDEA, including: Individualized Education Program (IEP) facilitation, mediation, state administrative complaints, due process hearings, and expedited due process hearings.  These options are administered and overseen by the EAP staff in collaboration with special education staff.  </w:t>
      </w:r>
      <w:r w:rsidRPr="00781112">
        <w:rPr>
          <w:rFonts w:cs="Arial"/>
          <w:color w:val="000000" w:themeColor="text1"/>
          <w:szCs w:val="16"/>
        </w:rPr>
        <w:br/>
      </w:r>
      <w:r w:rsidRPr="00781112">
        <w:rPr>
          <w:rFonts w:cs="Arial"/>
          <w:color w:val="000000" w:themeColor="text1"/>
          <w:szCs w:val="16"/>
        </w:rPr>
        <w:br/>
        <w:t>Data and Accountability</w:t>
      </w:r>
      <w:r w:rsidRPr="00781112">
        <w:rPr>
          <w:rFonts w:cs="Arial"/>
          <w:color w:val="000000" w:themeColor="text1"/>
          <w:szCs w:val="16"/>
        </w:rPr>
        <w:br/>
        <w:t xml:space="preserve">The Data and Accountability staff oversee the collection, analysis and reporting of all special education data required for federal and state reporting purposes. The staff provides technical assistance and support to local district staff in the management of student data related to special education. The staff also provide technical assistance to LEAs for the Special Education module of our statewide student information system and works with the system vendor to ensure compliance with state and federal regulations. The state has entered into contractual relationships with technical assistance centers to increase technical support in improving performance.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Federal Differentiating Monitoring Report</w:t>
      </w:r>
      <w:r w:rsidRPr="00781112">
        <w:rPr>
          <w:rFonts w:cs="Arial"/>
          <w:color w:val="000000" w:themeColor="text1"/>
          <w:szCs w:val="16"/>
        </w:rPr>
        <w:br/>
        <w:t xml:space="preserve">In Montana’s Differentiated Monitoring Report for FFY2019, Montana was found to need a universal level of support for the Results, Compliance, and Fiscal areas, and intensive support for the State Systemic Improvement Plan (SSIP) area. Factors leading to the Intensive level of engagement for the SSIP included failure to report specific stakeholder involvement and evidence-based practices. Staffing was altered to allow one position to assume specific improvement activities with targeted schools in coordination with agency-wide efforts for improvement under the State’s Every Student Succeeds Act (ESSA) plan and accreditation standards. This position is responsible for working with targeted districts and OPI divisions to coordinate program participation in various initiatives throughout the office, work with the target districts on infrastructure analysis and data analysis of their systems, assist the districts in identifying evidence based practices and improvement activities to support the State identified Measureable Results (SiMR) goal. More details on this are included in the SSIP section.  The spring 2020 stakeholder meeting was canceled due to COVID-19.  However, Special Education staff worked with NCSI staff to update the Theory of Action, Evaluation questions, and narrative of the SSIP to include the missing information for the April 2020 submission.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Special Education Unit is organized into five work units that have specific functions and provide technical assistance related to those functions.  These units include: School Improvement, Continuing Education and Technical Assistance, Data and Accountability, IDEA Part B, and Early Learning.  </w:t>
      </w:r>
      <w:r w:rsidRPr="00781112">
        <w:rPr>
          <w:rFonts w:cs="Arial"/>
          <w:color w:val="000000" w:themeColor="text1"/>
          <w:szCs w:val="16"/>
        </w:rPr>
        <w:br/>
      </w:r>
      <w:r w:rsidRPr="00781112">
        <w:rPr>
          <w:rFonts w:cs="Arial"/>
          <w:color w:val="000000" w:themeColor="text1"/>
          <w:szCs w:val="16"/>
        </w:rPr>
        <w:br/>
        <w:t>The School Improvement/compliance monitoring unit provides both broad and specific technical assistance and training related to all aspects of the special education process, proper use and documentation of records, and student specific issues. General technical assistance training is regularly scheduled, and specific LEA technical assistance is provided whenever requested or required. Annually, trainings are provided across the state for novice teachers on compliance and the implementation of IDEA, and for more experienced teachers, training on current hot topics are provided. Topics are determined based on monitoring data, frequently asked questions from the field, and anything the state special education director feels is a hot topic (nationally or locally).</w:t>
      </w:r>
      <w:r w:rsidRPr="00781112">
        <w:rPr>
          <w:rFonts w:cs="Arial"/>
          <w:color w:val="000000" w:themeColor="text1"/>
          <w:szCs w:val="16"/>
        </w:rPr>
        <w:br/>
      </w:r>
      <w:r w:rsidRPr="00781112">
        <w:rPr>
          <w:rFonts w:cs="Arial"/>
          <w:color w:val="000000" w:themeColor="text1"/>
          <w:szCs w:val="16"/>
        </w:rPr>
        <w:br/>
        <w:t xml:space="preserve">Technical assistance is also provided to ensure timely correction of all identified noncompliance and training is given related to such non-compliance. </w:t>
      </w:r>
      <w:r w:rsidRPr="00781112">
        <w:rPr>
          <w:rFonts w:cs="Arial"/>
          <w:color w:val="000000" w:themeColor="text1"/>
          <w:szCs w:val="16"/>
        </w:rPr>
        <w:br/>
        <w:t xml:space="preserve">The Continuing Education and Technical Assistance (CETA) unit is responsible for implementing several major training initiatives for the OPI that focus on instructional practices and interventions. The CETA unit activities are expanded upon in the Professional Development section. </w:t>
      </w:r>
      <w:r w:rsidRPr="00781112">
        <w:rPr>
          <w:rFonts w:cs="Arial"/>
          <w:color w:val="000000" w:themeColor="text1"/>
          <w:szCs w:val="16"/>
        </w:rPr>
        <w:br/>
      </w:r>
      <w:r w:rsidRPr="00781112">
        <w:rPr>
          <w:rFonts w:cs="Arial"/>
          <w:color w:val="000000" w:themeColor="text1"/>
          <w:szCs w:val="16"/>
        </w:rPr>
        <w:br/>
        <w:t xml:space="preserve">The Data and Accountability unit provides LEA’s technical assistance for all data entry and reporting for required state and federal special education reporting purposes. Training is conducted via phone, Zoom, TEAMS and in person for each data collection, depending on the needs of the LEAs.   Again, technical assistance training is regularly scheduled, and specific LEA technical assistance is provided whenever requested. </w:t>
      </w:r>
      <w:r w:rsidRPr="00781112">
        <w:rPr>
          <w:rFonts w:cs="Arial"/>
          <w:color w:val="000000" w:themeColor="text1"/>
          <w:szCs w:val="16"/>
        </w:rPr>
        <w:br/>
      </w:r>
      <w:r w:rsidRPr="00781112">
        <w:rPr>
          <w:rFonts w:cs="Arial"/>
          <w:color w:val="000000" w:themeColor="text1"/>
          <w:szCs w:val="16"/>
        </w:rPr>
        <w:br/>
        <w:t>The IDEA Part B Program unit provides technical assistance to LEA’s in applying for, using, and accounting of state and federal special education funds. Assistance is also provided in developing and implementing program narratives, interlocal agreements, and special education procedures. This unit also completes the state's annual application for IDEA funds.</w:t>
      </w:r>
      <w:r w:rsidRPr="00781112">
        <w:rPr>
          <w:rFonts w:cs="Arial"/>
          <w:color w:val="000000" w:themeColor="text1"/>
          <w:szCs w:val="16"/>
        </w:rPr>
        <w:br/>
      </w:r>
      <w:r w:rsidRPr="00781112">
        <w:rPr>
          <w:rFonts w:cs="Arial"/>
          <w:color w:val="000000" w:themeColor="text1"/>
          <w:szCs w:val="16"/>
        </w:rPr>
        <w:br/>
        <w:t xml:space="preserve">Technical assistance and updates are regularly provided to directors of special education at conferences and regional Montana Council of Administrators of Special Education (MCASE) meetings.  In addition, OPI professional staff have areas of professional expertise that is available to LEA’s, at request, for technical assistance and/or training. Such expertise includes former special education teachers with knowledge from preschool classrooms, special education classrooms and inclusion; former Speech/Language Pathologists, Mandt trainers, and former classroom teachers. In addition, the OPI hires local LEA staff as short term workers to provide training as needed. Starting in the fall of 2020 the special education staff provided monthly special education Community of Practice on various topics and hold monthly director calls to discuss current issues in special education &amp; state updates. </w:t>
      </w:r>
      <w:r w:rsidRPr="00781112">
        <w:rPr>
          <w:rFonts w:cs="Arial"/>
          <w:color w:val="000000" w:themeColor="text1"/>
          <w:szCs w:val="16"/>
        </w:rPr>
        <w:br/>
      </w:r>
      <w:r w:rsidRPr="00781112">
        <w:rPr>
          <w:rFonts w:cs="Arial"/>
          <w:color w:val="000000" w:themeColor="text1"/>
          <w:szCs w:val="16"/>
        </w:rPr>
        <w:br/>
        <w:t>Montana currently works with several federal Technical Assistance Providers and participates in federal grants which include: National Center for Systemic Improvement (NCSI), the Center on Positive Behavioral Interventions and Supports (PBIS), Early Childhood Technical Assistance (ECTA), Center for the Integration of IDEA Data (CIID),  and the IDEA Data Center (IDC).</w:t>
      </w:r>
      <w:r w:rsidRPr="00781112">
        <w:rPr>
          <w:rFonts w:cs="Arial"/>
          <w:color w:val="000000" w:themeColor="text1"/>
          <w:szCs w:val="16"/>
        </w:rPr>
        <w:br/>
      </w:r>
      <w:r w:rsidRPr="00781112">
        <w:rPr>
          <w:rFonts w:cs="Arial"/>
          <w:color w:val="000000" w:themeColor="text1"/>
          <w:szCs w:val="16"/>
        </w:rPr>
        <w:br/>
        <w:t>Working with staff from the  Technical Assistance for Excellence in Special Education (TAESE), the OPI has facilitated the Montana Higher Education Consortium (HEC) for nineteen years. The HEC continues to bring together faculty from each of the colleges and universities in Montana with teacher preparation programs to learn, discuss, and stay abreast of special education topics and issues across the state. This group has worked to provide greater standardization of the teacher training programs in Montana and has worked together to improve pre-service training programs. This group is also analyzing dispositions of teacher candidates and how to support them, resulting in better prepared educators.</w:t>
      </w:r>
      <w:r w:rsidRPr="00781112">
        <w:rPr>
          <w:rFonts w:cs="Arial"/>
          <w:color w:val="000000" w:themeColor="text1"/>
          <w:szCs w:val="16"/>
        </w:rPr>
        <w:br/>
      </w:r>
      <w:r w:rsidRPr="00781112">
        <w:rPr>
          <w:rFonts w:cs="Arial"/>
          <w:color w:val="000000" w:themeColor="text1"/>
          <w:szCs w:val="16"/>
        </w:rPr>
        <w:br/>
        <w:t>TAESE also provides technical assistance to the state through facilitating a large stakeholder meetings, conducting stakeholder input activities, and compiling and analyzing input. In addition, TAESE provides specific orientation training to Montana’s State Special Education Advisory Panel, special education data collection and analysis of Indicator 8, Comprehensive System of Personnel Development (CSPD), TASK12 Educational Interpreters Performance Assessment (EIPA), Dispute Resolution in Special Education (DRSE) workgroups, Northern Plains Law Conference and other technical assistance as needed.</w:t>
      </w:r>
      <w:r w:rsidRPr="00781112">
        <w:rPr>
          <w:rFonts w:cs="Arial"/>
          <w:color w:val="000000" w:themeColor="text1"/>
          <w:szCs w:val="16"/>
        </w:rPr>
        <w:br/>
      </w:r>
      <w:r w:rsidRPr="00781112">
        <w:rPr>
          <w:rFonts w:cs="Arial"/>
          <w:color w:val="000000" w:themeColor="text1"/>
          <w:szCs w:val="16"/>
        </w:rPr>
        <w:br/>
        <w:t xml:space="preserve">Montana has been a member of the Results-Based Accountability Cross-State Learning Collaborative through NCSI. Based on the state’s general supervision responsibilities, we are evaluating our monitoring process and data to improve our assessment of special education program effectiveness at the LEA level. This, then, will drive not only the focus of our program reviews and monitoring, but also the scope of those activities.  The purpose of this work is to better identify and meet the individual unique needs of each Montana LEA as they work to improve the outcomes for students with disabilities.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All initiatives across the OPI have been developed to include evidence-based practices. Montana’s Multi-Tiered Systems of Supports (MTSS) initiative, for example, is based on the research and program developed by the Center on PBIS , an OSEP Technical Assistance Center. Montana’s model for our State Systemic Improvement Plan (SSIP) implementation is premised on the commitment to target and focus on existing supports already in place throughout the State Education Agency (SEA). These major initiatives were all developed under strict planning, research, stakeholder involvement, and based on known evidence-based practices that produce positive results.</w:t>
      </w:r>
      <w:r w:rsidRPr="00781112">
        <w:rPr>
          <w:rFonts w:cs="Arial"/>
          <w:color w:val="000000" w:themeColor="text1"/>
          <w:szCs w:val="16"/>
        </w:rPr>
        <w:br/>
      </w:r>
      <w:r w:rsidRPr="00781112">
        <w:rPr>
          <w:rFonts w:cs="Arial"/>
          <w:color w:val="000000" w:themeColor="text1"/>
          <w:szCs w:val="16"/>
        </w:rPr>
        <w:br/>
        <w:t>The division’s 619 Coordinator worked with the ECTA center to improve Indicator 6, Preschool Least Restrictive Environment (LRE), Indicator 7, Preschool Outcomes, and Indicator 12, Early Childhood Transition. The 619 Coordinator participates in calls regarding how inclusion looks in rural states and participates in inclusion webinars presented by ECTA and OSEP.</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Early Learning Unit Manager worked with Waterford to support the UPSTART program in Montana. This is a free online program for four-year-old children who are unserved or underserved. We currently have 370 families of four-year-old children registered. UPSTART focuses on reading, math and science with some focus on social and emotional as well. </w:t>
      </w:r>
      <w:r w:rsidRPr="00781112">
        <w:rPr>
          <w:rFonts w:cs="Arial"/>
          <w:color w:val="000000" w:themeColor="text1"/>
          <w:szCs w:val="16"/>
        </w:rPr>
        <w:br/>
      </w:r>
      <w:r w:rsidRPr="00781112">
        <w:rPr>
          <w:rFonts w:cs="Arial"/>
          <w:color w:val="000000" w:themeColor="text1"/>
          <w:szCs w:val="16"/>
        </w:rPr>
        <w:br/>
        <w:t>The Part B Data Manager continues working with the Center for the Integration of IDEA Data (CIID), and other OPI staff to utilize the Generate system for EdFacts reporting as well as participated in, and presented on, various webinars presented by both CIID and the IDEA Data Center (IDC). After attending various IDC webinars, the Data Manager worked with LEAs to ensure that they clearly understood the requirements for reporting Exiting data.  The secondary transition specialist also attended webinars designed to help increase compliance with the Indicator 13 requirements, and updated the Secondary Transition technical assistance (TA) information available on the OPI website.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is provided through multiple areas in the special education department. The Continuing Education and Technical Assistance (CETA) and the School Improvement unit’s leadership and staff have integrated responsibilities.</w:t>
      </w:r>
      <w:r w:rsidRPr="00781112">
        <w:rPr>
          <w:rFonts w:cs="Arial"/>
          <w:color w:val="000000" w:themeColor="text1"/>
          <w:szCs w:val="16"/>
        </w:rPr>
        <w:br/>
      </w:r>
      <w:r w:rsidRPr="00781112">
        <w:rPr>
          <w:rFonts w:cs="Arial"/>
          <w:color w:val="000000" w:themeColor="text1"/>
          <w:szCs w:val="16"/>
        </w:rPr>
        <w:br/>
        <w:t xml:space="preserve">Montana's CSPD is comprised of regional professional development offerings, the State Personnel Development Grant (SPDG), MTSS, the Montana Autism Education Project (MAEP), and the HEC. The CSPD Regions are providers of “just in time” professional development. The current structure consists of five (5) regional councils that analyze the alignment between the data in the APR and the professional development activities offered in each region. The CSPD regions provide trainings for parents, special educators, general educators, and paraprofessionals to ensure access to the general education curriculum. The OPI provides reports to the CSPD councils that include data on the State Performance Plan (SPP)/Annual Performance Report (APR) indicators, trends in monitoring findings, results of the statewide CSPD Training Needs Survey and ESSA identifications. Based on analysis of the data for a given region, the regional council identifies training needs for the region and provides the OPI with a description of which indicator(s) each professional development activity addresses. This process focuses the professional development activities offered throughout Montana on improving the results for students related to each SPP/APR indicator. The number of professional development opportunities provided by the CSPD regions was 109, with 2,752 attendees. </w:t>
      </w:r>
      <w:r w:rsidRPr="00781112">
        <w:rPr>
          <w:rFonts w:cs="Arial"/>
          <w:color w:val="000000" w:themeColor="text1"/>
          <w:szCs w:val="16"/>
        </w:rPr>
        <w:br/>
      </w:r>
      <w:r w:rsidRPr="00781112">
        <w:rPr>
          <w:rFonts w:cs="Arial"/>
          <w:color w:val="000000" w:themeColor="text1"/>
          <w:szCs w:val="16"/>
        </w:rPr>
        <w:br/>
        <w:t xml:space="preserve">Through the SPDG, Montana has long supported tiered systems approaches through MTSS initiatives. Montana was awarded another 5-year grant starting in November of 2020. This grant will allow Montana to continue to improve the MTSS system and implementation across the state. This new grant’s focus is to improve and expand professional development and coaching support focused on data-analytic problem solving at the systems level and improve the management structured at the state, regional, district and building levels. The grant will allow professional development autonomy to districts allowing them access to professional development based on their individual needs. During this first year of the grant, the focus has been on training, coaching, developing materials, and working on online courses (Teacher Learning Hub). Beginning in the fall of 2021 training and supports will be piloted in Regions 1 and will move into Region 2 and 3 beginning in the fall of 2022 and expanding to other regions in subsequent years.. During the five years of the grant, additional courses will be added to the Teacher Learning Hub, the MTSS Webpage will continue to be improved, and professional development opportunities will be provided through the CSPD regions. </w:t>
      </w:r>
      <w:r w:rsidRPr="00781112">
        <w:rPr>
          <w:rFonts w:cs="Arial"/>
          <w:color w:val="000000" w:themeColor="text1"/>
          <w:szCs w:val="16"/>
        </w:rPr>
        <w:br/>
      </w:r>
      <w:r w:rsidRPr="00781112">
        <w:rPr>
          <w:rFonts w:cs="Arial"/>
          <w:color w:val="000000" w:themeColor="text1"/>
          <w:szCs w:val="16"/>
        </w:rPr>
        <w:br/>
        <w:t>In 2019-2020 the work focused on the development of a MTSS Webpage to include links to online courses, resources, and materials. These tools serve to support schools in implementing MTSS and are supplemented with face-to-face trainings and direct consultation. In response to the needs of secondary schools, an annual High School Forum was held addressing the use of a multi-tiered framework around academics, behavior, and mental health, drop-out prevention, attendance, student engagement, the Early Warning System and Family Engagement. In 2019-20, twenty high schools participated with 91 participants.</w:t>
      </w:r>
      <w:r w:rsidRPr="00781112">
        <w:rPr>
          <w:rFonts w:cs="Arial"/>
          <w:color w:val="000000" w:themeColor="text1"/>
          <w:szCs w:val="16"/>
        </w:rPr>
        <w:br/>
      </w:r>
      <w:r w:rsidRPr="00781112">
        <w:rPr>
          <w:rFonts w:cs="Arial"/>
          <w:color w:val="000000" w:themeColor="text1"/>
          <w:szCs w:val="16"/>
        </w:rPr>
        <w:br/>
        <w:t>The Special Education Unit staff collaborated with the Division of Indian Education and other OPI staff on the development and delivery of professional development related to the unique needs of Montana’s American Indian students. Through the Substance Abuse and Mental Health Services Administration (SAMHSA) Grant, training on Restorative Practice was provided face-to-face in the fall of 2019. Follow-up training in a Train-the-Trainer model was provided in the fall of 2020. Agency staff continue to provide TA to schools involved in implementing Restorative Practice within their buildings and/or districts. As with all students, data on American Indian students with disabilities who have dropped out of school is analyzed and shared with the Division of Indian Education and the Board of Public Education. Special Education staff analyzed data on American Indian students with disabilities for the Indian Education staff to facilitate in designing activities to decrease the dropout rates of American Indian students.</w:t>
      </w:r>
      <w:r w:rsidRPr="00781112">
        <w:rPr>
          <w:rFonts w:cs="Arial"/>
          <w:color w:val="000000" w:themeColor="text1"/>
          <w:szCs w:val="16"/>
        </w:rPr>
        <w:br/>
      </w:r>
      <w:r w:rsidRPr="00781112">
        <w:rPr>
          <w:rFonts w:cs="Arial"/>
          <w:color w:val="000000" w:themeColor="text1"/>
          <w:szCs w:val="16"/>
        </w:rPr>
        <w:br/>
        <w:t xml:space="preserve">Training activities for general education personnel continue to be supported by the regional CSPDs, SPDG, and IDEA funds to provide them with skill sets to respond to the needs of students with disabilities in the regular education classroom. A significant professional development activity that was canceled in 2020 was the annual Summer Institute due to the COVID pandemic. The Summer Institute has been extremely successful in providing general education personnel the skills necessary to implement positive supports in the regular education setting.The Summer Institute planning committee is fully engaged in planning for a 2022 in person institute. </w:t>
      </w:r>
      <w:r w:rsidRPr="00781112">
        <w:rPr>
          <w:rFonts w:cs="Arial"/>
          <w:color w:val="000000" w:themeColor="text1"/>
          <w:szCs w:val="16"/>
        </w:rPr>
        <w:br/>
      </w:r>
      <w:r w:rsidRPr="00781112">
        <w:rPr>
          <w:rFonts w:cs="Arial"/>
          <w:color w:val="000000" w:themeColor="text1"/>
          <w:szCs w:val="16"/>
        </w:rPr>
        <w:br/>
        <w:t>The MAEP has continued to provide on-site and virtual consultations regarding individual children as well as broader training opportunities at the LEA, regional, and state-wide levels to improve the LEA’s ability to respond to the challenging behaviors and other instructional needs of children with autism and other low-incidence disabilities.</w:t>
      </w:r>
      <w:r w:rsidRPr="00781112">
        <w:rPr>
          <w:rFonts w:cs="Arial"/>
          <w:color w:val="000000" w:themeColor="text1"/>
          <w:szCs w:val="16"/>
        </w:rPr>
        <w:br/>
      </w:r>
      <w:r w:rsidRPr="00781112">
        <w:rPr>
          <w:rFonts w:cs="Arial"/>
          <w:color w:val="000000" w:themeColor="text1"/>
          <w:szCs w:val="16"/>
        </w:rPr>
        <w:br/>
        <w:t xml:space="preserve">Student-specific technical assistance activities include observations of students and discussion with current staff; review of student Individualized Education Plans (IEPs) with technical assistance on developing comprehensive autism services; and consultations on the development of behavioral intervention and communication strategies. Professional development activities include providing training in communication strategies; Tier 2/3 behavior intervention strategies; providing training on effective components of programs for students with autism; and the identification of students with autism. Through the use of in-person and virtual trainings, the MAEP has expanded the number and variety of the trainings it offers to Montana special education teachers, paraeducators, speech-language providers and general education staff.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The Montana HEC is a unique community of practice that has brought together general and special education faculty members from all teacher training programs in the state of Montana. Very few SEAs in the country engage and involve their Institutions of Higher Education (IHEs) with improvement efforts. In Montana, there is a direct connection with the IHE,the CSPDs, and the special education advisory panel. In the past three years, the IHEs have been involved in a larger stakeholder group of around 100 participants that have provided feedback to the OPI on the Montana SSIP. The HEC has become involved with, and assisted Montana with their large-scale initiatives and systems change efforts. The HEC has met twice a year for the past nineteen years, in the spring and fall, to discuss critical issues and share ideas relating to teacher training programs. The meetings have created a strong partnership and collaboration between faculty members at the teacher training programs. The universities and colleges in Montana benefit from the information they receive from the OPI.</w:t>
      </w:r>
    </w:p>
    <w:p w14:paraId="0D25C7E9" w14:textId="3ADA39B6" w:rsidR="00AF5649" w:rsidRPr="00781112" w:rsidRDefault="00F72E24" w:rsidP="004369B2">
      <w:pPr>
        <w:rPr>
          <w:color w:val="000000" w:themeColor="text1"/>
        </w:rPr>
      </w:pPr>
      <w:r w:rsidRPr="00781112">
        <w:rPr>
          <w:b/>
          <w:color w:val="000000" w:themeColor="text1"/>
        </w:rPr>
        <w:lastRenderedPageBreak/>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OPI has a strong relationship with the MEC.  Montana utilized that relationship to reach out to parents across the state to participate in the stakeholder feedback survey.  There was also representation from the MEC at numerous State Advisory Panel meetings through the 2020-2021 school year and at the Joint Stakeholder meeting held in May 2021.</w:t>
      </w:r>
      <w:r w:rsidRPr="00781112">
        <w:rPr>
          <w:color w:val="000000" w:themeColor="text1"/>
          <w:szCs w:val="16"/>
        </w:rPr>
        <w:br/>
      </w:r>
      <w:r w:rsidRPr="00781112">
        <w:rPr>
          <w:color w:val="000000" w:themeColor="text1"/>
          <w:szCs w:val="16"/>
        </w:rPr>
        <w:br/>
        <w:t>The State Advisory Panel has a diverse group of participants and parents from across the state of Montana.  They meet four times a year, and each meeting includes an opportunity for feedback on the various information that is presented to them at the meeting.  The information presented and discussions can be found on the Advisory Panel webpage (https://opi.mt.gov/Educators/School-Climate-Student-Wellness/Special-Education/Special-Education-Advisory-Panel) in the Meeting Minutes for the individual meetings, or in the Annual Report which is a compilation of the minutes from each meeting and a description of the action items taken by the panel through the year.</w:t>
      </w:r>
      <w:r w:rsidRPr="00781112">
        <w:rPr>
          <w:color w:val="000000" w:themeColor="text1"/>
          <w:szCs w:val="16"/>
        </w:rPr>
        <w:br/>
      </w:r>
      <w:r w:rsidRPr="00781112">
        <w:rPr>
          <w:color w:val="000000" w:themeColor="text1"/>
          <w:szCs w:val="16"/>
        </w:rPr>
        <w:br/>
        <w:t xml:space="preserve">Montana created a survey to gather stakeholder input on the indicator targets and improvement activities.  This survey was distributed to stakeholders via list serves at the OPI, the MEC, and DRM.  It was provided to the Advisory Panel and Special Education Directors as well.  The first few questions on the survey were designed to gather demographic date of the taker – role (parent, teacher, director, public, etc), were they the parent of a student with a </w:t>
      </w:r>
      <w:r w:rsidRPr="00781112">
        <w:rPr>
          <w:color w:val="000000" w:themeColor="text1"/>
          <w:szCs w:val="16"/>
        </w:rPr>
        <w:lastRenderedPageBreak/>
        <w:t xml:space="preserve">disability, and race/ethnicity.  The survey presented current and trend data for each indicator that needed to have baseline and/or targets set.  There was a description of what the indicator was measuring, and options for the stakeholder to choose for baseline/target setting.  The survey also asked for information on what activities were currently happening that were having a positive impact on the indicator, and which were having a negative impact.  Lastly, the stakeholder was asked to provide ideas on new activities the OPI could engage in if the stakeholder had any to provide.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OPI has a strong relationship with the MEC.  Montana utilized that relationship to reach out to parents across the state to participate in the stakeholder feedback survey.  There was also representation from the MEC at numerous State Advisory Panel meetings through the 2020-2021 school year and at the Joint Stakeholder meeting held in May 2021.</w:t>
      </w:r>
      <w:r w:rsidRPr="00781112">
        <w:rPr>
          <w:color w:val="000000" w:themeColor="text1"/>
          <w:szCs w:val="16"/>
        </w:rPr>
        <w:br/>
      </w:r>
      <w:r w:rsidRPr="00781112">
        <w:rPr>
          <w:color w:val="000000" w:themeColor="text1"/>
          <w:szCs w:val="16"/>
        </w:rPr>
        <w:br/>
        <w:t>The State Advisory Panel has a diverse group of participants and parents from across the state of Montana.  They meet four times a year, and each meeting includes an opportunity for feedback on the various information that is presented to them at the meeting.  The information presented and discussions can be found on the Advisory Panel webpage (https://opi.mt.gov/Educators/School-Climate-Student-Wellness/Special-Education/Special-Education-Advisory-Panel) in the Meeting Minutes for the individual meetings, or in the Annual Report which is a compilation of the minutes from each meeting and a description of the action items taken by the panel through the year.</w:t>
      </w:r>
      <w:r w:rsidRPr="00781112">
        <w:rPr>
          <w:color w:val="000000" w:themeColor="text1"/>
          <w:szCs w:val="16"/>
        </w:rPr>
        <w:br/>
      </w:r>
      <w:r w:rsidRPr="00781112">
        <w:rPr>
          <w:color w:val="000000" w:themeColor="text1"/>
          <w:szCs w:val="16"/>
        </w:rPr>
        <w:br/>
        <w:t xml:space="preserve">Montana created a survey to gather stakeholder input on the indicator targets and improvement activities.  This survey was distributed to stakeholders via list serves at the OPI, the MEC, and DRM.  It was provided to the Advisory Panel and Special Education Directors as well.  The first few questions on the survey were designed to gather demographic data of the taker – role (parent, teacher, director, public, etc), were they the parent of a student with a disability, and race/ethnicity.  The survey presented current and trend data for each indicator that needed to have baseline and/or targets set.  There was a description of what the indicator was measuring, and options for the stakeholder to choose for baseline/target setting.  The survey also asked for information on what activities were currently happening that were having a positive impact on the indicator, and which were having a negative impact.  Lastly, the stakeholder was asked to provide ideas on new activities the OPI could engage in if the stakeholder had any to provide.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revised SPP/APR was initially presented to the Joint Stakeholder meeting in May 2021.  At that meeting, small groups were asked to discuss various indicators and give feedback on the activities currently being done by OPI (what was working, what was not), and to give ideas about other activities the OPI could engage in to improve outcomes for students with disabilities.  In fall 2021, the OPI launched a survey giving information on each of the indicators that needed to have baseline and/or targets set.  The survey asked the respondents to give feedback on a variety of options for baseline and/or targets for those indicators.  They were also given the opportunity to tell the OPI what activities were positively impacting each indicator, and which were negatively impacting each indicator.  The survey was distributed to the State Advisory Panel, the mailing list for the MEC, the mailing list for DRM, the School Administrators of Montana (SAM), local Special Education Directors, special education teachers, general education teachers, and was posted on the OPI website. The survey is no longer available for the FFY2020 APR.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results of the target setting, data analysis, and development of the improvement activities were presented to the Special Education Advisory Panel at its January 2022 meeting.  They will be posted to the OPI Website (https://opi.mt.gov/Educators/School-Climate-Student-Wellness/Special-Education/Special-Education-Annual-Performance-Report) as a part of the Annual Performance Report posting by June 1, 2022.</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February 1, 2022, Montana Annual Performance Report and revised State Performance Plan (including the State Systemic Improvement Plan) will be made available to the public via the OPI Web site (https://opi.mt.gov/Educators/School-Climate-Student-Wellness/Special-Education/Special-Education-Annual-Performance-Report) by no later than June 1, 2022. An electronic announcement of the report with links to the Montana Annual Performance Report will be sent to the authorized representatives of the LEAs, directors of special education, the parent training and information center, Disability Rights Montana, and to state and regional CSPD Council members. </w:t>
      </w:r>
      <w:r w:rsidRPr="00781112">
        <w:rPr>
          <w:rFonts w:cs="Arial"/>
          <w:color w:val="000000" w:themeColor="text1"/>
          <w:szCs w:val="16"/>
        </w:rPr>
        <w:br/>
      </w:r>
      <w:r w:rsidRPr="00781112">
        <w:rPr>
          <w:rFonts w:cs="Arial"/>
          <w:color w:val="000000" w:themeColor="text1"/>
          <w:szCs w:val="16"/>
        </w:rPr>
        <w:br/>
        <w:t>Reporting to the Public on the Performance of each LEA</w:t>
      </w:r>
      <w:r w:rsidRPr="00781112">
        <w:rPr>
          <w:rFonts w:cs="Arial"/>
          <w:color w:val="000000" w:themeColor="text1"/>
          <w:szCs w:val="16"/>
        </w:rPr>
        <w:br/>
      </w:r>
      <w:r w:rsidRPr="00781112">
        <w:rPr>
          <w:rFonts w:cs="Arial"/>
          <w:color w:val="000000" w:themeColor="text1"/>
          <w:szCs w:val="16"/>
        </w:rPr>
        <w:br/>
        <w:t>In accordance with section 616(b)(2)(C)(ii)(I) of IDEA, the OPI will report annually to the public on the performance of each local educational agency (LEA) on the targets in the State Performance Plan. The report on performance of LEAs will be made available to the public on the OPI Web site (https://gems.opi.mt.gov/school-district-data) no later than June 1, 2022. The OPI will not report information on performance to the public that would result in the disclosure of personally identifiable information about individual children or data that is insufficient to yield statistically reliable information.</w:t>
      </w:r>
      <w:r w:rsidRPr="00781112">
        <w:rPr>
          <w:rFonts w:cs="Arial"/>
          <w:color w:val="000000" w:themeColor="text1"/>
          <w:szCs w:val="16"/>
        </w:rPr>
        <w:br/>
      </w:r>
      <w:r w:rsidRPr="00781112">
        <w:rPr>
          <w:rFonts w:cs="Arial"/>
          <w:color w:val="000000" w:themeColor="text1"/>
          <w:szCs w:val="16"/>
        </w:rPr>
        <w:br/>
        <w:t>To access the reports from the link above:</w:t>
      </w:r>
      <w:r w:rsidRPr="00781112">
        <w:rPr>
          <w:rFonts w:cs="Arial"/>
          <w:color w:val="000000" w:themeColor="text1"/>
          <w:szCs w:val="16"/>
        </w:rPr>
        <w:br/>
        <w:t xml:space="preserve">1. select the District Profile option. </w:t>
      </w:r>
      <w:r w:rsidRPr="00781112">
        <w:rPr>
          <w:rFonts w:cs="Arial"/>
          <w:color w:val="000000" w:themeColor="text1"/>
          <w:szCs w:val="16"/>
        </w:rPr>
        <w:br/>
        <w:t>2. Select a district from the list on the right side.</w:t>
      </w:r>
      <w:r w:rsidRPr="00781112">
        <w:rPr>
          <w:rFonts w:cs="Arial"/>
          <w:color w:val="000000" w:themeColor="text1"/>
          <w:szCs w:val="16"/>
        </w:rPr>
        <w:br/>
        <w:t xml:space="preserve">3. Click on the Program &amp; Course Offerings tab above the district list.  </w:t>
      </w:r>
      <w:r w:rsidRPr="00781112">
        <w:rPr>
          <w:rFonts w:cs="Arial"/>
          <w:color w:val="000000" w:themeColor="text1"/>
          <w:szCs w:val="16"/>
        </w:rPr>
        <w:br/>
        <w:t>4. Select the Special Education District Performance Report</w:t>
      </w:r>
      <w:r w:rsidRPr="00781112">
        <w:rPr>
          <w:rFonts w:cs="Arial"/>
          <w:color w:val="000000" w:themeColor="text1"/>
          <w:szCs w:val="16"/>
        </w:rPr>
        <w:br/>
        <w:t xml:space="preserve">5. When you select that button, you will be at the report, looking at the relevant district for the prior FY.  </w:t>
      </w:r>
      <w:r w:rsidRPr="00781112">
        <w:rPr>
          <w:rFonts w:cs="Arial"/>
          <w:color w:val="000000" w:themeColor="text1"/>
          <w:szCs w:val="16"/>
        </w:rPr>
        <w:br/>
        <w:t xml:space="preserve">6. To review a different year, select the desired year from the drop down in the upper left of the screen.  </w:t>
      </w:r>
      <w:r w:rsidRPr="00781112">
        <w:rPr>
          <w:rFonts w:cs="Arial"/>
          <w:color w:val="000000" w:themeColor="text1"/>
          <w:szCs w:val="16"/>
        </w:rPr>
        <w:br/>
      </w:r>
      <w:r w:rsidRPr="00781112">
        <w:rPr>
          <w:rFonts w:cs="Arial"/>
          <w:color w:val="000000" w:themeColor="text1"/>
          <w:szCs w:val="16"/>
        </w:rPr>
        <w:br/>
        <w:t xml:space="preserve">Please note these reports may take a few minutes to load.  </w:t>
      </w:r>
      <w:r w:rsidRPr="00781112">
        <w:rPr>
          <w:rFonts w:cs="Arial"/>
          <w:color w:val="000000" w:themeColor="text1"/>
          <w:szCs w:val="16"/>
        </w:rPr>
        <w:br/>
      </w:r>
      <w:r w:rsidRPr="00781112">
        <w:rPr>
          <w:rFonts w:cs="Arial"/>
          <w:color w:val="000000" w:themeColor="text1"/>
          <w:szCs w:val="16"/>
        </w:rPr>
        <w:br/>
        <w:t xml:space="preserve">The GEMS platform is built to be used with Safari, Firefox, Chrome, and Edge.  It will not work with older versions of Internet Explorer as it is no longer supported by Microsoft.  Occasionally, an error report is received that the PowerBI will not load.  If that happens, wait a couple minutes and refresh the page.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 has not publicly reported on the FFY 2018 (July 1, 2018-June 30, 2019)  and FFY 2017 (July 1, 2017-June 30, 2018) performance of each LEA located in the State on the targets in the State's performance plan as required by section 616(b)(2)(C)(ii)(I) of IDEA. With its FFY 2020 SPP/APR, the State must provide a Web link demonstrating that the State reported to the public on the performance of each LEA located in the State on the targets in the SPP/APR for FFY 2018 and FFY 2017.  In addition, the State must report with its FFY 2020 SPP/APR, how and where the State reported to the public on the FFY 2019 performance of LEA located in the State on the targets in the SPP/APR.  </w:t>
      </w:r>
      <w:r w:rsidRPr="00781112">
        <w:rPr>
          <w:rFonts w:cs="Arial"/>
          <w:color w:val="000000" w:themeColor="text1"/>
          <w:szCs w:val="16"/>
        </w:rPr>
        <w:br/>
      </w:r>
      <w:r w:rsidRPr="00781112">
        <w:rPr>
          <w:rFonts w:cs="Arial"/>
          <w:color w:val="000000" w:themeColor="text1"/>
          <w:szCs w:val="16"/>
        </w:rPr>
        <w:b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The OPI has been working to update and move its Statewide Longitudinal Data System (SLDS) to a new platform for the last 3 years.  As a part of that, links that were provided to OSEP in prior APRs were broken.  That has now been corrected and the data can be found at: https://gems.opi.mt.gov/school-district-data . </w:t>
      </w:r>
      <w:r w:rsidRPr="00781112">
        <w:rPr>
          <w:rFonts w:cs="Arial"/>
          <w:color w:val="000000" w:themeColor="text1"/>
          <w:szCs w:val="16"/>
        </w:rPr>
        <w:br/>
      </w:r>
      <w:r w:rsidRPr="00781112">
        <w:rPr>
          <w:rFonts w:cs="Arial"/>
          <w:color w:val="000000" w:themeColor="text1"/>
          <w:szCs w:val="16"/>
        </w:rPr>
        <w:br/>
        <w:t>To access the reports from the link above, select the District Profile option. Select a district from the list on the right side, and then click on the Program &amp; Course Offerings tab above the district list.  Select the Special Education button, the bottom button will then say “Special Education District Performance Report”, and when you select that button, you will be at the report, looking at the relevant district for the prior FY.  Please note these reports may take a few minutes to load.</w:t>
      </w:r>
      <w:r w:rsidRPr="00781112">
        <w:rPr>
          <w:rFonts w:cs="Arial"/>
          <w:color w:val="000000" w:themeColor="text1"/>
          <w:szCs w:val="16"/>
        </w:rPr>
        <w:br/>
      </w:r>
      <w:r w:rsidRPr="00781112">
        <w:rPr>
          <w:rFonts w:cs="Arial"/>
          <w:color w:val="000000" w:themeColor="text1"/>
          <w:szCs w:val="16"/>
        </w:rPr>
        <w:br/>
        <w:t>The technical assistance that was accessed and utilized is discussed in the TA section of the Introduction.</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05CFD414" w:rsidR="005E59DB" w:rsidRPr="00781112" w:rsidRDefault="005E59DB" w:rsidP="00B65C2C">
      <w:pPr>
        <w:rPr>
          <w:b/>
          <w:color w:val="000000" w:themeColor="text1"/>
        </w:rPr>
      </w:pPr>
      <w:r w:rsidRPr="00781112">
        <w:rPr>
          <w:b/>
          <w:color w:val="000000" w:themeColor="text1"/>
        </w:rPr>
        <w:t>Historical Data</w:t>
      </w:r>
      <w:r w:rsidR="008A5186">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78.65%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81.40%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81.60%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81.80%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82.00%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82.90%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75.23%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77.75%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76.76%</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76.53%</w:t>
            </w:r>
          </w:p>
        </w:tc>
        <w:tc>
          <w:tcPr>
            <w:tcW w:w="834" w:type="pct"/>
            <w:tcBorders>
              <w:bottom w:val="single" w:sz="4" w:space="0" w:color="auto"/>
            </w:tcBorders>
            <w:shd w:val="clear" w:color="auto" w:fill="auto"/>
            <w:vAlign w:val="center"/>
          </w:tcPr>
          <w:p w14:paraId="3C2AFA14" w14:textId="7D1EEDAA" w:rsidR="007F24E2" w:rsidRPr="00781112" w:rsidRDefault="002B7490" w:rsidP="00E0321D">
            <w:pPr>
              <w:jc w:val="center"/>
              <w:rPr>
                <w:rFonts w:cs="Arial"/>
                <w:color w:val="000000" w:themeColor="text1"/>
                <w:szCs w:val="16"/>
              </w:rPr>
            </w:pPr>
            <w:r w:rsidRPr="00781112">
              <w:rPr>
                <w:rFonts w:cs="Arial"/>
                <w:color w:val="000000" w:themeColor="text1"/>
                <w:szCs w:val="16"/>
              </w:rPr>
              <w:t>78%</w:t>
            </w:r>
            <w:r w:rsidR="00285354">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76.00%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77.00%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78.00%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79.00%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80.00%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w:t>
      </w:r>
      <w:r w:rsidRPr="00781112">
        <w:rPr>
          <w:rFonts w:cs="Arial"/>
          <w:color w:val="000000" w:themeColor="text1"/>
          <w:szCs w:val="16"/>
        </w:rPr>
        <w:lastRenderedPageBreak/>
        <w:t xml:space="preserve">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851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230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851</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1,082</w:t>
            </w:r>
          </w:p>
        </w:tc>
        <w:tc>
          <w:tcPr>
            <w:tcW w:w="541" w:type="pct"/>
            <w:shd w:val="clear" w:color="auto" w:fill="auto"/>
          </w:tcPr>
          <w:p w14:paraId="02406DF0" w14:textId="59552127" w:rsidR="0098478C" w:rsidRPr="00781112" w:rsidRDefault="00285354" w:rsidP="00A018D4">
            <w:pPr>
              <w:jc w:val="center"/>
              <w:rPr>
                <w:rFonts w:cs="Arial"/>
                <w:color w:val="000000" w:themeColor="text1"/>
                <w:szCs w:val="16"/>
              </w:rPr>
            </w:pPr>
            <w:r w:rsidRPr="00781112">
              <w:rPr>
                <w:rFonts w:cs="Arial"/>
                <w:color w:val="000000" w:themeColor="text1"/>
                <w:szCs w:val="16"/>
              </w:rPr>
              <w:t>78%</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78.65%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Montana Board of Public Education has set the following as the minimum graduation requirements for all Montana students. Each local school board has the option to add additional requirements and most choose to add more rigorous requirements that all students in their district must meet. In some cases, this may result in a special education student needing to spend more than 4 years working towards their high school diploma. It also creates a barrier to graduation for students who transfer to or from one Montana High School to another with more rigorous graduation standards.</w:t>
      </w:r>
      <w:r w:rsidRPr="00781112">
        <w:rPr>
          <w:rFonts w:cs="Arial"/>
          <w:color w:val="000000" w:themeColor="text1"/>
          <w:szCs w:val="16"/>
        </w:rPr>
        <w:br/>
      </w:r>
      <w:r w:rsidRPr="00781112">
        <w:rPr>
          <w:rFonts w:cs="Arial"/>
          <w:color w:val="000000" w:themeColor="text1"/>
          <w:szCs w:val="16"/>
        </w:rPr>
        <w:br/>
        <w:t>10.55.905 : GRADUATION REQUIREMENTS - Administrative Rules of the State of Montana</w:t>
      </w:r>
      <w:r w:rsidRPr="00781112">
        <w:rPr>
          <w:rFonts w:cs="Arial"/>
          <w:color w:val="000000" w:themeColor="text1"/>
          <w:szCs w:val="16"/>
        </w:rPr>
        <w:br/>
      </w:r>
      <w:r w:rsidRPr="00781112">
        <w:rPr>
          <w:rFonts w:cs="Arial"/>
          <w:color w:val="000000" w:themeColor="text1"/>
          <w:szCs w:val="16"/>
        </w:rPr>
        <w:br/>
        <w:t>10.55.905 GRADUATION REQUIREMENTS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(1) As a minimum, a school district's requirements for graduation shall include a total of 20 units of study that enable all students to meet the content standards and content-specific grade-level  learning progressions.</w:t>
      </w:r>
      <w:r w:rsidRPr="00781112">
        <w:rPr>
          <w:rFonts w:cs="Arial"/>
          <w:color w:val="000000" w:themeColor="text1"/>
          <w:szCs w:val="16"/>
        </w:rPr>
        <w:br/>
      </w:r>
      <w:r w:rsidRPr="00781112">
        <w:rPr>
          <w:rFonts w:cs="Arial"/>
          <w:color w:val="000000" w:themeColor="text1"/>
          <w:szCs w:val="16"/>
        </w:rPr>
        <w:br/>
        <w:t>(2) In order to meet the content and performance standards, the following 13 units shall be part of the 20 units required for all students to graduate:</w:t>
      </w:r>
      <w:r w:rsidRPr="00781112">
        <w:rPr>
          <w:rFonts w:cs="Arial"/>
          <w:color w:val="000000" w:themeColor="text1"/>
          <w:szCs w:val="16"/>
        </w:rPr>
        <w:br/>
      </w:r>
      <w:r w:rsidRPr="00781112">
        <w:rPr>
          <w:rFonts w:cs="Arial"/>
          <w:color w:val="000000" w:themeColor="text1"/>
          <w:szCs w:val="16"/>
        </w:rPr>
        <w:br/>
        <w:t>(a) 4 units of English language arts;</w:t>
      </w:r>
      <w:r w:rsidRPr="00781112">
        <w:rPr>
          <w:rFonts w:cs="Arial"/>
          <w:color w:val="000000" w:themeColor="text1"/>
          <w:szCs w:val="16"/>
        </w:rPr>
        <w:br/>
      </w:r>
      <w:r w:rsidRPr="00781112">
        <w:rPr>
          <w:rFonts w:cs="Arial"/>
          <w:color w:val="000000" w:themeColor="text1"/>
          <w:szCs w:val="16"/>
        </w:rPr>
        <w:br/>
        <w:t>(b) 2 units of mathematics;</w:t>
      </w:r>
      <w:r w:rsidRPr="00781112">
        <w:rPr>
          <w:rFonts w:cs="Arial"/>
          <w:color w:val="000000" w:themeColor="text1"/>
          <w:szCs w:val="16"/>
        </w:rPr>
        <w:br/>
      </w:r>
      <w:r w:rsidRPr="00781112">
        <w:rPr>
          <w:rFonts w:cs="Arial"/>
          <w:color w:val="000000" w:themeColor="text1"/>
          <w:szCs w:val="16"/>
        </w:rPr>
        <w:br/>
        <w:t>(c) 2 units of social studies;</w:t>
      </w:r>
      <w:r w:rsidRPr="00781112">
        <w:rPr>
          <w:rFonts w:cs="Arial"/>
          <w:color w:val="000000" w:themeColor="text1"/>
          <w:szCs w:val="16"/>
        </w:rPr>
        <w:br/>
      </w:r>
      <w:r w:rsidRPr="00781112">
        <w:rPr>
          <w:rFonts w:cs="Arial"/>
          <w:color w:val="000000" w:themeColor="text1"/>
          <w:szCs w:val="16"/>
        </w:rPr>
        <w:br/>
        <w:t>(d) 2 units of science;</w:t>
      </w:r>
      <w:r w:rsidRPr="00781112">
        <w:rPr>
          <w:rFonts w:cs="Arial"/>
          <w:color w:val="000000" w:themeColor="text1"/>
          <w:szCs w:val="16"/>
        </w:rPr>
        <w:br/>
      </w:r>
      <w:r w:rsidRPr="00781112">
        <w:rPr>
          <w:rFonts w:cs="Arial"/>
          <w:color w:val="000000" w:themeColor="text1"/>
          <w:szCs w:val="16"/>
        </w:rPr>
        <w:br/>
        <w:t>(e) 1 unit of health enhancement, with 1/2 unit each year for two years;</w:t>
      </w:r>
      <w:r w:rsidRPr="00781112">
        <w:rPr>
          <w:rFonts w:cs="Arial"/>
          <w:color w:val="000000" w:themeColor="text1"/>
          <w:szCs w:val="16"/>
        </w:rPr>
        <w:br/>
      </w:r>
      <w:r w:rsidRPr="00781112">
        <w:rPr>
          <w:rFonts w:cs="Arial"/>
          <w:color w:val="000000" w:themeColor="text1"/>
          <w:szCs w:val="16"/>
        </w:rPr>
        <w:br/>
        <w:t>(f) 1 unit of arts; and</w:t>
      </w:r>
      <w:r w:rsidRPr="00781112">
        <w:rPr>
          <w:rFonts w:cs="Arial"/>
          <w:color w:val="000000" w:themeColor="text1"/>
          <w:szCs w:val="16"/>
        </w:rPr>
        <w:br/>
      </w:r>
      <w:r w:rsidRPr="00781112">
        <w:rPr>
          <w:rFonts w:cs="Arial"/>
          <w:color w:val="000000" w:themeColor="text1"/>
          <w:szCs w:val="16"/>
        </w:rPr>
        <w:br/>
        <w:t>(g) 1 unit of career and technical education.</w:t>
      </w:r>
      <w:r w:rsidRPr="00781112">
        <w:rPr>
          <w:rFonts w:cs="Arial"/>
          <w:color w:val="000000" w:themeColor="text1"/>
          <w:szCs w:val="16"/>
        </w:rPr>
        <w:br/>
      </w:r>
      <w:r w:rsidRPr="00781112">
        <w:rPr>
          <w:rFonts w:cs="Arial"/>
          <w:color w:val="000000" w:themeColor="text1"/>
          <w:szCs w:val="16"/>
        </w:rPr>
        <w:br/>
        <w:t>(3) Units of credit earned in any Montana high school accredited by the Board of Public Education shall be accepted by all Montana high schools.</w:t>
      </w:r>
      <w:r w:rsidRPr="00781112">
        <w:rPr>
          <w:rFonts w:cs="Arial"/>
          <w:color w:val="000000" w:themeColor="text1"/>
          <w:szCs w:val="16"/>
        </w:rPr>
        <w:br/>
      </w:r>
      <w:r w:rsidRPr="00781112">
        <w:rPr>
          <w:rFonts w:cs="Arial"/>
          <w:color w:val="000000" w:themeColor="text1"/>
          <w:szCs w:val="16"/>
        </w:rPr>
        <w:br/>
        <w:t>(4) In accordance with the policies of the local board of trustees, students may be graduated from high school with less than four years enrollment.</w:t>
      </w:r>
      <w:r w:rsidRPr="00781112">
        <w:rPr>
          <w:rFonts w:cs="Arial"/>
          <w:color w:val="000000" w:themeColor="text1"/>
          <w:szCs w:val="16"/>
        </w:rPr>
        <w:br/>
      </w:r>
      <w:r w:rsidRPr="00781112">
        <w:rPr>
          <w:rFonts w:cs="Arial"/>
          <w:color w:val="000000" w:themeColor="text1"/>
          <w:szCs w:val="16"/>
        </w:rPr>
        <w:br/>
        <w:t>History: 20-2-114, MCA; IMP, 20-2-121, 20-3-106, 20-7-101, MCA; NEW, 1989 MAR p. 342, Eff. 7/1/89; AMD, 1998 MAR p. 2707, Eff. 10/9/98; AMD, 2000 MAR p. 3340, Eff. 12/8/00; AMD, 2012 MAR p. 2042, Eff. 7/1/13.</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Montana has chosen to set the baseline year for this indicator to the SY2019-2020 data – the data that should be reported in the FFY2020 APR due to the required one year lag for this indicator.  This was based on stakeholder feedback. </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1C67E83" w:rsidR="00907A35" w:rsidRPr="00781112" w:rsidRDefault="00907A35" w:rsidP="004369B2">
      <w:pPr>
        <w:rPr>
          <w:b/>
          <w:color w:val="000000" w:themeColor="text1"/>
        </w:rPr>
      </w:pPr>
      <w:r w:rsidRPr="00781112">
        <w:rPr>
          <w:b/>
          <w:color w:val="000000" w:themeColor="text1"/>
        </w:rPr>
        <w:t>Historical Data</w:t>
      </w:r>
      <w:r w:rsidR="009D4E60">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21.26%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3.63%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3.42%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3.72%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3.16%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3.81%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21.26%</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21.16%</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21.06%</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20.96%</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20.86%</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20.76%</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t>
      </w:r>
      <w:r w:rsidRPr="00781112">
        <w:rPr>
          <w:rFonts w:cs="Arial"/>
          <w:color w:val="000000" w:themeColor="text1"/>
          <w:szCs w:val="16"/>
        </w:rPr>
        <w:lastRenderedPageBreak/>
        <w:t xml:space="preserve">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851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230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1,082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3.81%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21.26%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21.26%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Dropouts are the count of individuals who:</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were enrolled in school on the date of the previous year October enrollment count or at some time during the previous school year     and were not enrolled on the date of the current school year October count,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were not enrolled at the beginning of the previous school year but were expected to enroll and did not re-enroll during the year, “no show”, and were not enrolled on the date of the current school year October count,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and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have not graduated from high school or completed a state or district-approved high school educational program,</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and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have not transferred to another school, been temporarily absent due to a school-recognized illness or suspension, or died.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Montana has chosen to set the baseline year for this indicator to the SY2019-2020 data – the data that should be reported in the FFY2020 APR due to the required one year lag for this indicator.  This was based on stakeholder feedback.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but OSEP cannot accept that revision because the State did not provide an explanation for the revision as required by the measurement table.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 for FFY 2025 reflects improvement over the State’s baseline data, given that the State's revised baseline cannot be accepted, as noted above. The State must ensure its FFY 2025 target reflects improvement.</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using data from FFY 2020, but OSEP cannot accept the because there is no explanation for the revision.  With the FFY 2021 SPP/APR, the State must provide an explanation for the baseline revision for this indicator, and ensure that its FFY 2025 target reflects improvement over baseline.</w:t>
      </w: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96.71%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93.65%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81.38%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70.53%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92.75%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85.68%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1,515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1,363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1,082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756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691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748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614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503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91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94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1,515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1,363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1,082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585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462</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770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781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695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91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91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1,461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1,515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96.44%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1,278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1,363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93.76%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842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1,082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77.82%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1,457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1,515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96.17%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1,240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1,363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90.98%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861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1,082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79.57%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Special Education Assessment Participation data can be found at https://opi.mt.gov/Educators/School-Climate-Student-Wellness/Special-Education/IDEA-Data.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Montana has chosen to set baseline for this indicator as FFY2018.  Stakeholders were presented with the option of choosing either FFY2018 or FFY2020 as the baseline year, and overwhelmingly chose the FFY2018 data.  Stakeholders felt that the FFY2018 data was more representative of the </w:t>
      </w:r>
      <w:r w:rsidRPr="00781112">
        <w:rPr>
          <w:rFonts w:cs="Arial"/>
          <w:color w:val="000000" w:themeColor="text1"/>
          <w:szCs w:val="16"/>
        </w:rPr>
        <w:lastRenderedPageBreak/>
        <w:t>actual assessment data when it is not being affected by COVID.  COVID has impacted our FFY2020 data because fewer students are enrolled – both overall and in special education, which lowers the numbers of students participating in our assessments.  The long term effect of COVID on participation rates cannot be determined at this time.</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17.18%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10.50%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5.71%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15.17%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5.74%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4.76%</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17.20%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17.30%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17.40%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17.60%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17.70%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10.50%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10.60%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10.70%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10.80%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10.90%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5.70%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5.80%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5.90%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6.10%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6.20%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15.20%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15.30%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15.40%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15.50%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15.60%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15.70%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5.70%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5.80%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5.90%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6.10%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6.20%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4.80%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4.90%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5.10%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5.20%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5.30%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xml:space="preserve">• The OPI School Mental Health coordinator worked collaboratively with the Children’s Mental Health Bureau at the Department of Public Health and </w:t>
      </w:r>
      <w:r w:rsidRPr="00781112">
        <w:rPr>
          <w:rFonts w:cs="Arial"/>
          <w:color w:val="000000" w:themeColor="text1"/>
          <w:szCs w:val="16"/>
        </w:rPr>
        <w:lastRenderedPageBreak/>
        <w:t>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1,370</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1,194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748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167</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98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46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81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59F768C9" w14:textId="6515616D" w:rsidR="003B0C91" w:rsidRPr="00781112" w:rsidRDefault="00C0254B" w:rsidP="00C0254B">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1,366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1,157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770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121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12</w:t>
            </w:r>
          </w:p>
        </w:tc>
        <w:tc>
          <w:tcPr>
            <w:tcW w:w="1292" w:type="pct"/>
            <w:shd w:val="clear" w:color="auto" w:fill="auto"/>
            <w:vAlign w:val="center"/>
          </w:tcPr>
          <w:p w14:paraId="56D05BB3" w14:textId="5C49B2C6" w:rsidR="00EB6900"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248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1,370</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17.20%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18.10%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1,194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10.50%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11.73%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3C691C78" w:rsidR="00AD0E97" w:rsidRPr="00781112" w:rsidRDefault="00C0254B" w:rsidP="00C0254B">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748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5.70%</w:t>
            </w:r>
          </w:p>
        </w:tc>
        <w:tc>
          <w:tcPr>
            <w:tcW w:w="503" w:type="pct"/>
            <w:shd w:val="clear" w:color="auto" w:fill="auto"/>
            <w:vAlign w:val="center"/>
          </w:tcPr>
          <w:p w14:paraId="68757684" w14:textId="1EC3E996" w:rsidR="00AD0E97"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179</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1,366</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15.20%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13.10%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1,157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5.70%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4.49%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750D18A9" w:rsidR="00242D8A"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770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4.80%</w:t>
            </w:r>
          </w:p>
        </w:tc>
        <w:tc>
          <w:tcPr>
            <w:tcW w:w="500" w:type="pct"/>
            <w:shd w:val="clear" w:color="auto" w:fill="auto"/>
            <w:vAlign w:val="center"/>
          </w:tcPr>
          <w:p w14:paraId="581F32CD" w14:textId="75E59C8C" w:rsidR="00242D8A"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Montana publicly reports Assessment proficiency data on its GEMS website (https://gems.opi.mt.gov/student-data).  This is the public data store and reporting platform used for all data within the OPI.  Once on this page:</w:t>
      </w:r>
      <w:r w:rsidRPr="00781112">
        <w:rPr>
          <w:rFonts w:cs="Arial"/>
          <w:color w:val="000000" w:themeColor="text1"/>
          <w:szCs w:val="16"/>
        </w:rPr>
        <w:br/>
        <w:t>1. Select desired group to review: Math, ELA, and Science Assessments Dashboard (Grade High School) or Math, ELA, and Science Assessments Dashboard (Grades 3-8)</w:t>
      </w:r>
      <w:r w:rsidRPr="00781112">
        <w:rPr>
          <w:rFonts w:cs="Arial"/>
          <w:color w:val="000000" w:themeColor="text1"/>
          <w:szCs w:val="16"/>
        </w:rPr>
        <w:br/>
        <w:t>2. Click the down arrow to select special education status to view proficiency levels for children with disabilities</w:t>
      </w:r>
      <w:r w:rsidRPr="00781112">
        <w:rPr>
          <w:rFonts w:cs="Arial"/>
          <w:color w:val="000000" w:themeColor="text1"/>
          <w:szCs w:val="16"/>
        </w:rPr>
        <w:br/>
        <w:t>3. Click the labeled buttons to see student proficiency and participation</w:t>
      </w:r>
      <w:r w:rsidRPr="00781112">
        <w:rPr>
          <w:rFonts w:cs="Arial"/>
          <w:color w:val="000000" w:themeColor="text1"/>
          <w:szCs w:val="16"/>
        </w:rPr>
        <w:br/>
        <w:t>4.</w:t>
      </w:r>
      <w:r w:rsidRPr="00781112">
        <w:rPr>
          <w:rFonts w:cs="Arial"/>
          <w:color w:val="000000" w:themeColor="text1"/>
          <w:szCs w:val="16"/>
        </w:rPr>
        <w:tab/>
        <w:t xml:space="preserve">Use the dropdown menus to select a school year, county/district/school, subject area, assessment taken, and grade level </w:t>
      </w:r>
      <w:r w:rsidRPr="00781112">
        <w:rPr>
          <w:rFonts w:cs="Arial"/>
          <w:color w:val="000000" w:themeColor="text1"/>
          <w:szCs w:val="16"/>
        </w:rPr>
        <w:br/>
        <w:t xml:space="preserve">Currently, there is not a way to review this data at the school level, but that is being developed.  The GEMS system is undergoing a complete re-design to meet the requirements of the most recent Statewide Longitudinal Data Systems grant received by the state of Montana.  While Montana works to complete the requirements for the re-design to ensure compliance with 34 CFR 300.160(f), Montana is redirecting the public to review data on the OSEP IDEA Section 618 State Level Data Files Part B Assessment page (https://data.ed.gov/dataset/idea-section-618-state-level-data-files-part-b-assessment/resources).  </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Montana has chosen to set baseline for this indicator as FFY2018. Stakeholders were presented with the option of choosing either FFY2018 or FFY2020 as the baseline year, and overwhelmingly chose the FFY2018 data. Stakeholders felt that the FFY2018 data was more representative of the actual assessment data when it is not being affected by COVID. For the FFY2019 school year, all Montana students were virtual learners from March to the end of the school year. Many of those students continued in a virtual learning environment for at least a part of the FFY2020 school year.  The virtual environment made it more difficult for students to participate in the assessment, which then also impacts the proficiency rates.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48.33%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41.75%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51.11%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50.85%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45.63%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43.33%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48.50%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48.60%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48.70%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48.80%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48.90%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41.80%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41.90%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42.10%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42.20%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42.30%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51.20%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51.30%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51.40%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51.50%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51.60%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51.70%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51.10%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51.20%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51.30%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51.40%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51.50%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45.80%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45.90%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46.00%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46.10%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46.20%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46.30%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43.50%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43.60%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43.70%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43.80%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43.90%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91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94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56</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lastRenderedPageBreak/>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91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91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53</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39</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49</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91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48.50%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46.15%</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34</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41.80%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40.48%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56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94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51.20%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59.57%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53</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91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51.00%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58.24%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39</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45.80%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46.99%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49</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91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43.50%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53.85%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Montana publicly reports Assessment proficiency data on its GEMS website (https://gems.opi.mt.gov/student-data).  This is the public data store and reporting platform used for all data within the OPI.  Once on this page:</w:t>
      </w:r>
      <w:r w:rsidRPr="00781112">
        <w:rPr>
          <w:rFonts w:cs="Arial"/>
          <w:color w:val="000000" w:themeColor="text1"/>
          <w:szCs w:val="16"/>
          <w:shd w:val="clear" w:color="auto" w:fill="FFFFFF"/>
        </w:rPr>
        <w:br/>
        <w:t>1. Select desired group to review: Math, ELA, and Science Assessments Dashboard (Grade High School) or Math, ELA, and Science Assessments Dashboard (Grades 3-8)</w:t>
      </w:r>
      <w:r w:rsidRPr="00781112">
        <w:rPr>
          <w:rFonts w:cs="Arial"/>
          <w:color w:val="000000" w:themeColor="text1"/>
          <w:szCs w:val="16"/>
          <w:shd w:val="clear" w:color="auto" w:fill="FFFFFF"/>
        </w:rPr>
        <w:br/>
        <w:t>2. Click the down arrow to select special education status to view proficiency levels for children with disabilities</w:t>
      </w:r>
      <w:r w:rsidRPr="00781112">
        <w:rPr>
          <w:rFonts w:cs="Arial"/>
          <w:color w:val="000000" w:themeColor="text1"/>
          <w:szCs w:val="16"/>
          <w:shd w:val="clear" w:color="auto" w:fill="FFFFFF"/>
        </w:rPr>
        <w:br/>
        <w:t>3. Click the labeled buttons to see student proficiency and participation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4.</w:t>
      </w:r>
      <w:r w:rsidRPr="00781112">
        <w:rPr>
          <w:rFonts w:cs="Arial"/>
          <w:color w:val="000000" w:themeColor="text1"/>
          <w:szCs w:val="16"/>
          <w:shd w:val="clear" w:color="auto" w:fill="FFFFFF"/>
        </w:rPr>
        <w:tab/>
        <w:t xml:space="preserve">Use the dropdown menus to select a school year, county/district/school, subject area, assessment taken, and grade level </w:t>
      </w:r>
      <w:r w:rsidRPr="00781112">
        <w:rPr>
          <w:rFonts w:cs="Arial"/>
          <w:color w:val="000000" w:themeColor="text1"/>
          <w:szCs w:val="16"/>
          <w:shd w:val="clear" w:color="auto" w:fill="FFFFFF"/>
        </w:rPr>
        <w:br/>
        <w:t xml:space="preserve">Currently, there is not a way to review this data at the school level, but that is being developed.  The GEMS system is undergoing a complete re-design to meet the requirements of the most recent Statewide Longitudinal Data Systems grant received by the state of Montana.  While Montana works to complete the requirements for the re-design to ensure compliance with 34 CFR 300.160(f), Montana is redirecting the public to review data on the OSEP IDEA Section 618 State Level Data Files Part B Assessment page (https://data.ed.gov/dataset/idea-section-618-state-level-data-files-part-b-assessment/resources).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Montana has chosen to set baseline for this indicator as FFY2018. Stakeholders were presented with the option of choosing either FFY2018 or FFY2020 as the baseline year, and overwhelmingly chose the FFY2018 data. Stakeholders felt that the FFY2018 data was more representative of the actual assessment data when it is not being affected by COVID. For the FFY2019 school year, all Montana students were virtual learners from March to the end of the school year. Many of those students continued in a virtual learning environment for at least a part of the FFY2020 school year. The virtual environment made it more difficult for students to participate in the assessment, which then also impacts the proficiency rates.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30.12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37.29</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40.54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30.20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30.65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28.85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30.12</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30.02</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29.92</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29.82</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29.72</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26.20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37.29</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37.19</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37.09</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36.99</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36.89</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36.79</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40.54</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40.44</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40.34</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40.24</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40.14</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40.04</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30.20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30.10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29.90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29.80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29.70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30.65</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30.55</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30.45</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30.35</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30.25</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30.15</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28.85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28.75</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28.65</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28.55</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28.45</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28.35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lastRenderedPageBreak/>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10,354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10,279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8,683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1,370</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1,194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748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4,683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4,869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3,923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55</w:t>
            </w:r>
          </w:p>
        </w:tc>
        <w:tc>
          <w:tcPr>
            <w:tcW w:w="1084" w:type="pct"/>
            <w:shd w:val="clear" w:color="auto" w:fill="auto"/>
            <w:vAlign w:val="center"/>
          </w:tcPr>
          <w:p w14:paraId="5BB68E9F" w14:textId="07A9042F" w:rsidR="002D3EE6" w:rsidRPr="00781112" w:rsidRDefault="00C0254B" w:rsidP="00C0254B">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167</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98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46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81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42</w:t>
            </w:r>
          </w:p>
        </w:tc>
        <w:tc>
          <w:tcPr>
            <w:tcW w:w="1084" w:type="pct"/>
            <w:shd w:val="clear" w:color="auto" w:fill="auto"/>
            <w:vAlign w:val="center"/>
          </w:tcPr>
          <w:p w14:paraId="740F6FA5" w14:textId="582089E0" w:rsidR="002D3EE6" w:rsidRPr="00781112" w:rsidRDefault="00C0254B" w:rsidP="00C0254B">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10,319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10,028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8,760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1,366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1,157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770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3,998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3,115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2,373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110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25</w:t>
            </w:r>
          </w:p>
        </w:tc>
        <w:tc>
          <w:tcPr>
            <w:tcW w:w="1084" w:type="pct"/>
            <w:shd w:val="clear" w:color="auto" w:fill="auto"/>
            <w:vAlign w:val="center"/>
          </w:tcPr>
          <w:p w14:paraId="53087BDA" w14:textId="20FA6149" w:rsidR="0039534D"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4"/>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121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12</w:t>
            </w:r>
          </w:p>
        </w:tc>
        <w:tc>
          <w:tcPr>
            <w:tcW w:w="1084" w:type="pct"/>
            <w:shd w:val="clear" w:color="auto" w:fill="auto"/>
            <w:vAlign w:val="center"/>
          </w:tcPr>
          <w:p w14:paraId="20EB2770" w14:textId="19F7C667" w:rsidR="0039534D"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18.10%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46.16%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30.12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28.05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11.73%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47.90%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37.29</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36.18</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5AF34710" w:rsidR="00E22739"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c>
          <w:tcPr>
            <w:tcW w:w="812" w:type="pct"/>
            <w:shd w:val="clear" w:color="auto" w:fill="auto"/>
            <w:vAlign w:val="center"/>
          </w:tcPr>
          <w:p w14:paraId="1276E93C" w14:textId="0DD6177E" w:rsidR="00E22739"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40.54</w:t>
            </w:r>
          </w:p>
        </w:tc>
        <w:tc>
          <w:tcPr>
            <w:tcW w:w="517" w:type="pct"/>
            <w:shd w:val="clear" w:color="auto" w:fill="auto"/>
            <w:vAlign w:val="center"/>
          </w:tcPr>
          <w:p w14:paraId="6CEACE1B" w14:textId="174AA052" w:rsidR="00E22739" w:rsidRPr="00781112" w:rsidRDefault="00B52C30" w:rsidP="00E22739">
            <w:pPr>
              <w:jc w:val="center"/>
              <w:rPr>
                <w:rFonts w:cs="Arial"/>
                <w:color w:val="000000" w:themeColor="text1"/>
                <w:szCs w:val="16"/>
              </w:rPr>
            </w:pPr>
            <w:r w:rsidRPr="00781112">
              <w:rPr>
                <w:rFonts w:cs="Arial"/>
                <w:color w:val="000000" w:themeColor="text1"/>
                <w:szCs w:val="16"/>
              </w:rPr>
              <w:t>40.54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13.10%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39.81%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30.20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26.71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4.49%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31.31%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30.65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26.82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596DF6B6" w:rsidR="002A19C8" w:rsidRPr="00781112" w:rsidRDefault="00C0254B" w:rsidP="00C0254B">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834" w:type="pct"/>
            <w:shd w:val="clear" w:color="auto" w:fill="auto"/>
            <w:vAlign w:val="center"/>
          </w:tcPr>
          <w:p w14:paraId="13AB3928" w14:textId="124F55AE" w:rsidR="002A19C8" w:rsidRPr="00C0254B" w:rsidRDefault="00C0254B" w:rsidP="00C0254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28.85</w:t>
            </w:r>
          </w:p>
        </w:tc>
        <w:tc>
          <w:tcPr>
            <w:tcW w:w="508" w:type="pct"/>
            <w:shd w:val="clear" w:color="auto" w:fill="auto"/>
            <w:vAlign w:val="center"/>
          </w:tcPr>
          <w:p w14:paraId="69CE5BC3" w14:textId="6CF22ABB" w:rsidR="002A19C8" w:rsidRPr="00781112" w:rsidRDefault="00B52C30" w:rsidP="002A19C8">
            <w:pPr>
              <w:jc w:val="center"/>
              <w:rPr>
                <w:rFonts w:cs="Arial"/>
                <w:color w:val="000000" w:themeColor="text1"/>
                <w:szCs w:val="16"/>
              </w:rPr>
            </w:pPr>
            <w:r w:rsidRPr="00781112">
              <w:rPr>
                <w:rFonts w:cs="Arial"/>
                <w:color w:val="000000" w:themeColor="text1"/>
                <w:szCs w:val="16"/>
              </w:rPr>
              <w:t>28.85</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The Montana OPI, based the review of data and stakeholder input, is establishing the baseline using data from the 2018-2019, FFY2018, statewide testing.  The 2018-2019 school year represents the most recent data that was not impacted by the COVID-19 health crisis.  The OPI and stakeholders considered and rejected the use of the FFY2020 data as the baseline due to the impacts of COVID-19 on the data and that it is not a true representation of the proficiency gap between special education and general education students. </w:t>
      </w:r>
      <w:r w:rsidRPr="00781112">
        <w:rPr>
          <w:rFonts w:cs="Arial"/>
          <w:color w:val="000000" w:themeColor="text1"/>
          <w:szCs w:val="16"/>
        </w:rPr>
        <w:br/>
      </w:r>
      <w:r w:rsidRPr="00781112">
        <w:rPr>
          <w:rFonts w:cs="Arial"/>
          <w:color w:val="000000" w:themeColor="text1"/>
          <w:szCs w:val="16"/>
        </w:rPr>
        <w:br/>
        <w:t>The data used for the calculation was taken directly from the EDFacts files FS175 (Math Proficiency) and FS178 (Reading Proficiency) that were submitted to USED by the OPI in December 2019.  The calculation was done in the following manner:</w:t>
      </w:r>
      <w:r w:rsidRPr="00781112">
        <w:rPr>
          <w:rFonts w:cs="Arial"/>
          <w:color w:val="000000" w:themeColor="text1"/>
          <w:szCs w:val="16"/>
        </w:rPr>
        <w:br/>
      </w:r>
      <w:r w:rsidRPr="00781112">
        <w:rPr>
          <w:rFonts w:cs="Arial"/>
          <w:color w:val="000000" w:themeColor="text1"/>
          <w:szCs w:val="16"/>
        </w:rPr>
        <w:br/>
        <w:t>Calculation 1:</w:t>
      </w:r>
      <w:r w:rsidRPr="00781112">
        <w:rPr>
          <w:rFonts w:cs="Arial"/>
          <w:color w:val="000000" w:themeColor="text1"/>
          <w:szCs w:val="16"/>
        </w:rPr>
        <w:br/>
        <w:t>All students percent proficient = [(all students in regular assessment with no accommodations scored at or above proficient against grade level + all students in regular assessment with accommodations scored at or above proficient against grade level)/All students who received a valid score and a proficiency was assigned for the regular assessment]*100.</w:t>
      </w:r>
      <w:r w:rsidRPr="00781112">
        <w:rPr>
          <w:rFonts w:cs="Arial"/>
          <w:color w:val="000000" w:themeColor="text1"/>
          <w:szCs w:val="16"/>
        </w:rPr>
        <w:br/>
      </w:r>
      <w:r w:rsidRPr="00781112">
        <w:rPr>
          <w:rFonts w:cs="Arial"/>
          <w:color w:val="000000" w:themeColor="text1"/>
          <w:szCs w:val="16"/>
        </w:rPr>
        <w:br/>
        <w:t>Calculation 2:</w:t>
      </w:r>
      <w:r w:rsidRPr="00781112">
        <w:rPr>
          <w:rFonts w:cs="Arial"/>
          <w:color w:val="000000" w:themeColor="text1"/>
          <w:szCs w:val="16"/>
        </w:rPr>
        <w:br/>
        <w:t>Special Education Students percent proficient: [(Children with IEPs in regular assessment with no accommodations scored at or above proficient against grade level + Children with IEPs in regular assessment with accommodations scored at or above proficient against grade level)/Children with IEPs who received a valid score and a proficiency was assigned for the regular assessment]*100.</w:t>
      </w:r>
      <w:r w:rsidRPr="00781112">
        <w:rPr>
          <w:rFonts w:cs="Arial"/>
          <w:color w:val="000000" w:themeColor="text1"/>
          <w:szCs w:val="16"/>
        </w:rPr>
        <w:br/>
      </w:r>
      <w:r w:rsidRPr="00781112">
        <w:rPr>
          <w:rFonts w:cs="Arial"/>
          <w:color w:val="000000" w:themeColor="text1"/>
          <w:szCs w:val="16"/>
        </w:rPr>
        <w:br/>
        <w:t>Calculation 3:</w:t>
      </w:r>
      <w:r w:rsidRPr="00781112">
        <w:rPr>
          <w:rFonts w:cs="Arial"/>
          <w:color w:val="000000" w:themeColor="text1"/>
          <w:szCs w:val="16"/>
        </w:rPr>
        <w:br/>
        <w:t>All students percent proficient – Special Education students percent proficient</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2018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6B580E93" w14:textId="6155D799" w:rsidR="00BB7BC9" w:rsidRPr="00781112" w:rsidRDefault="00BB7BC9" w:rsidP="00A018D4">
            <w:pPr>
              <w:jc w:val="center"/>
              <w:rPr>
                <w:rFonts w:cs="Arial"/>
                <w:color w:val="000000" w:themeColor="text1"/>
                <w:szCs w:val="16"/>
              </w:rPr>
            </w:pP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402</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A862C3" w:rsidP="00A018D4">
            <w:pPr>
              <w:jc w:val="center"/>
              <w:rPr>
                <w:rFonts w:cs="Arial"/>
                <w:color w:val="000000" w:themeColor="text1"/>
                <w:szCs w:val="16"/>
              </w:rPr>
            </w:pP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lastRenderedPageBreak/>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State Definition of Significant Discrepancy</w:t>
      </w:r>
      <w:r w:rsidRPr="00781112">
        <w:rPr>
          <w:rFonts w:cs="Arial"/>
          <w:color w:val="000000" w:themeColor="text1"/>
          <w:szCs w:val="16"/>
        </w:rPr>
        <w:br/>
      </w:r>
      <w:r w:rsidRPr="00781112">
        <w:rPr>
          <w:rFonts w:cs="Arial"/>
          <w:color w:val="000000" w:themeColor="text1"/>
          <w:szCs w:val="16"/>
        </w:rPr>
        <w:br/>
        <w:t>An LEA is determined to have a significant discrepancy if, given a minimum N of 10, an LEA demonstrates a statistical difference in long-term suspension and expulsion rates for students with disabilities when compared to the long-term suspension and expulsion rates for students without disabilities, within a 99 percent confidence interval.</w:t>
      </w:r>
      <w:r w:rsidRPr="00781112">
        <w:rPr>
          <w:rFonts w:cs="Arial"/>
          <w:color w:val="000000" w:themeColor="text1"/>
          <w:szCs w:val="16"/>
        </w:rPr>
        <w:br/>
      </w:r>
      <w:r w:rsidRPr="00781112">
        <w:rPr>
          <w:rFonts w:cs="Arial"/>
          <w:color w:val="000000" w:themeColor="text1"/>
          <w:szCs w:val="16"/>
        </w:rPr>
        <w:br/>
        <w:t>Montana conducted a review of LEA long-term suspension and expulsion rates for students with disabilities to determine if a significant discrepancy occurred within an LEA. To do this, the rates of long-term suspensions and expulsions of students with disabilities are compared to the rates of long-term suspension and expulsion rates of nondisabled students within each LEA. Using a test of the difference between proportions as the methodology for identifying significant discrepancy, an LEA is determined to have a significant discrepancy if, given a minimum N of 10, an LEA demonstrates a statistical difference in long-term suspension and expulsion rates for students with disabilities when compared to the long-term suspension and expulsion rates for students without disabilities, within a 99 percent confidence interval. The minimum N of 10 is applied to the numerator of this equation - that is, if an LEA does not have at least 10 students with disabilities who had a long-term suspension or expulsion, the data is not reviewed for that LEA.</w:t>
      </w:r>
      <w:r w:rsidRPr="00781112">
        <w:rPr>
          <w:rFonts w:cs="Arial"/>
          <w:color w:val="000000" w:themeColor="text1"/>
          <w:szCs w:val="16"/>
        </w:rPr>
        <w:br/>
      </w:r>
      <w:r w:rsidRPr="00781112">
        <w:rPr>
          <w:rFonts w:cs="Arial"/>
          <w:color w:val="000000" w:themeColor="text1"/>
          <w:szCs w:val="16"/>
        </w:rPr>
        <w:br/>
        <w:t>As noted in OSEP’s Part B Indicator Measurement Table, data used in the state’s examination is from the 2019-2020 school year, resulting in a one-year data lag for this indicator.</w:t>
      </w:r>
      <w:r w:rsidRPr="00781112">
        <w:rPr>
          <w:rFonts w:cs="Arial"/>
          <w:color w:val="000000" w:themeColor="text1"/>
          <w:szCs w:val="16"/>
        </w:rPr>
        <w:br/>
      </w:r>
      <w:r w:rsidRPr="00781112">
        <w:rPr>
          <w:rFonts w:cs="Arial"/>
          <w:color w:val="000000" w:themeColor="text1"/>
          <w:szCs w:val="16"/>
        </w:rPr>
        <w:br/>
        <w:t xml:space="preserve">Montana did not have any districts that met the minimum "n" for this indicator.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29A1627C" w14:textId="5AC2DD55" w:rsidR="00BB7BC9" w:rsidRPr="00781112" w:rsidRDefault="00BB7BC9" w:rsidP="00A018D4">
            <w:pPr>
              <w:jc w:val="center"/>
              <w:rPr>
                <w:rFonts w:cs="Arial"/>
                <w:color w:val="000000" w:themeColor="text1"/>
                <w:szCs w:val="16"/>
              </w:rPr>
            </w:pP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402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DE45AB" w:rsidP="00A018D4">
            <w:pPr>
              <w:jc w:val="center"/>
              <w:rPr>
                <w:rFonts w:cs="Arial"/>
                <w:color w:val="000000" w:themeColor="text1"/>
                <w:szCs w:val="16"/>
              </w:rPr>
            </w:pP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An LEA is determined to have a significant discrepancy if, given a minimum N of 10, an LEA demonstrates a statistical difference in long-term (greater than 10 days) suspension and expulsion rates, by race or ethnicity, for students with disabilities when compared to the long-term suspension and expulsion rates for all students without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Montana conducted a review of LEA long-term suspension and expulsion rates for students with disabilities to determine if a significant discrepancy occurred within an LEA. To do this, the rates of long-term suspensions and expulsions of students with disabilities are compared to the rates of long-term suspension and expulsion rates of non-disabled students within each LEA. Using a test of the difference between proportions as the methodology for identifying significant discrepancy, an LEA is determined to have a significant discrepancy if, given a minimum N of 10, an LEA demonstrates a statistical difference in long-term suspension and expulsion rates for students with disabilities when compared to the long-term suspension and expulsion rates for students without disabilities, within a 99 percent confidence interval. The minimum N of 10 is applied to the numerator of this equation - that is, if an LEA does not have at least 10 students with disabilities who had a long-term suspension or expulsion in a particular racial/ethnic category, the data is not reviewed for that LEA.</w:t>
      </w:r>
      <w:r w:rsidRPr="00781112">
        <w:rPr>
          <w:rFonts w:cs="Arial"/>
          <w:color w:val="000000" w:themeColor="text1"/>
          <w:szCs w:val="16"/>
        </w:rPr>
        <w:br/>
      </w:r>
      <w:r w:rsidRPr="00781112">
        <w:rPr>
          <w:rFonts w:cs="Arial"/>
          <w:color w:val="000000" w:themeColor="text1"/>
          <w:szCs w:val="16"/>
        </w:rPr>
        <w:br/>
        <w:t>As noted in OSEP’s Part B Indicator Measurement Table, data used in the state’s examination is from the 2019-2020 school year, resulting in a one-year data lag for this indicator.</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No significant discrepancies were found, so no review of policies, procedures, and practices occurred</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52.40%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BB7BC9">
            <w:pPr>
              <w:jc w:val="center"/>
              <w:rPr>
                <w:rFonts w:cs="Arial"/>
                <w:color w:val="000000" w:themeColor="text1"/>
                <w:szCs w:val="16"/>
              </w:rPr>
            </w:pP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46.96%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47.72%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49.51%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51.08%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53.10%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BB7BC9">
            <w:pPr>
              <w:jc w:val="center"/>
              <w:rPr>
                <w:rFonts w:cs="Arial"/>
                <w:color w:val="000000" w:themeColor="text1"/>
                <w:szCs w:val="16"/>
              </w:rPr>
            </w:pP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12.02%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12.28%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11.32%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10.67%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BB7BC9">
            <w:pPr>
              <w:jc w:val="center"/>
              <w:rPr>
                <w:rFonts w:cs="Arial"/>
                <w:color w:val="000000" w:themeColor="text1"/>
                <w:szCs w:val="16"/>
              </w:rPr>
            </w:pP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1.54%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52.50%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52.60%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52.70%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52.80%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52.90%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53.20%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11.10%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11.00%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10.90%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10.80%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10.70%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10.60%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1.40%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1.30%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1.20%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1.10%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1.00%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0.90%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xml:space="preserve">•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w:t>
      </w:r>
      <w:r w:rsidRPr="00781112">
        <w:rPr>
          <w:rFonts w:cs="Arial"/>
          <w:color w:val="000000" w:themeColor="text1"/>
          <w:szCs w:val="16"/>
        </w:rPr>
        <w:lastRenderedPageBreak/>
        <w:t>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18,286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9,984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1,853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171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lastRenderedPageBreak/>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9,984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18,286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53.10%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52.50%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54.60%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1,853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18,286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10.67%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11.10%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10.13%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248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18,286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43.72%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43.31%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40.54%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40.53%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29.99%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27.60%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27.60%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26.76%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27.81%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32.23%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34.67%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44.32%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xml:space="preserve">•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t>
      </w:r>
      <w:r w:rsidRPr="00781112">
        <w:rPr>
          <w:rFonts w:cs="Arial"/>
          <w:color w:val="000000" w:themeColor="text1"/>
          <w:szCs w:val="16"/>
        </w:rPr>
        <w:lastRenderedPageBreak/>
        <w:t>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29.99%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44.32%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45.10%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45.20%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45.30%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45.50%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45.50%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45.60%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27.50%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27.40%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27.30%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27.20%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27.10%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27.00%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p>
        </w:tc>
        <w:tc>
          <w:tcPr>
            <w:tcW w:w="750" w:type="pct"/>
          </w:tcPr>
          <w:p w14:paraId="262E2FD0" w14:textId="77777777" w:rsidR="0040181B" w:rsidRPr="00781112" w:rsidRDefault="0040181B" w:rsidP="00992ACE">
            <w:pPr>
              <w:jc w:val="center"/>
              <w:rPr>
                <w:rFonts w:cs="Arial"/>
                <w:color w:val="000000" w:themeColor="text1"/>
                <w:szCs w:val="16"/>
              </w:rPr>
            </w:pPr>
          </w:p>
        </w:tc>
        <w:tc>
          <w:tcPr>
            <w:tcW w:w="751" w:type="pct"/>
          </w:tcPr>
          <w:p w14:paraId="54ED085E" w14:textId="77777777" w:rsidR="0040181B" w:rsidRPr="00781112" w:rsidRDefault="0040181B" w:rsidP="00992ACE">
            <w:pPr>
              <w:jc w:val="center"/>
              <w:rPr>
                <w:rFonts w:cs="Arial"/>
                <w:color w:val="000000" w:themeColor="text1"/>
                <w:szCs w:val="16"/>
              </w:rPr>
            </w:pPr>
          </w:p>
        </w:tc>
        <w:tc>
          <w:tcPr>
            <w:tcW w:w="750" w:type="pct"/>
          </w:tcPr>
          <w:p w14:paraId="2466D4C4" w14:textId="77777777" w:rsidR="0040181B" w:rsidRPr="00781112" w:rsidRDefault="0040181B" w:rsidP="00992ACE">
            <w:pPr>
              <w:jc w:val="center"/>
              <w:rPr>
                <w:rFonts w:cs="Arial"/>
                <w:color w:val="000000" w:themeColor="text1"/>
                <w:szCs w:val="16"/>
              </w:rPr>
            </w:pPr>
          </w:p>
        </w:tc>
        <w:tc>
          <w:tcPr>
            <w:tcW w:w="750" w:type="pct"/>
          </w:tcPr>
          <w:p w14:paraId="17FD3C25" w14:textId="77777777" w:rsidR="0040181B" w:rsidRPr="00781112" w:rsidRDefault="0040181B" w:rsidP="00992ACE">
            <w:pPr>
              <w:jc w:val="center"/>
              <w:rPr>
                <w:rFonts w:cs="Arial"/>
                <w:color w:val="000000" w:themeColor="text1"/>
                <w:szCs w:val="16"/>
              </w:rPr>
            </w:pPr>
          </w:p>
        </w:tc>
        <w:tc>
          <w:tcPr>
            <w:tcW w:w="751" w:type="pct"/>
          </w:tcPr>
          <w:p w14:paraId="68F92238" w14:textId="77777777" w:rsidR="0040181B" w:rsidRPr="00781112" w:rsidRDefault="0040181B"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lastRenderedPageBreak/>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233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535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870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169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246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131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240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404</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246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870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29.99%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45.10%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28.28%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418</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870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44.32%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27.50%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48.05%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870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0.92%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Montana has a small population of children ages 3 through 5 and not enrolled in Kindergarten.  For FFY2019, there were only 1,047 children, and for FFY2020 that number dropped to 870.  Likewise, the number of children attending a regular early childhood program and receiving their special education and related services in that classroom dropped from 314 to 246. The COVID 19 pandemic caused closures of private preschools, daycares, and other early childhood programs – some temporarily, some permanently.  The change to work locations for parents (being able to work from home) also resulted in children not being enrolled in regular early childhood programs.  For some of those children that did continue in a regular early childhood program, the delivery of services changed – they no longer received services in that classroom. Many parents also opted to forego services during the pandemic.</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Montana has a small population of children ages 3 through 5 and not enrolled in Kindergarten.  For FFY2019, there were only 1,047 children, and for FFY2020 that number dropped to 870.  Likewise, the number of children being served in a separate special education class, a separate school, or a residential facility dropped from 464 to 414. The COVID 19 pandemic caused closures of many school districts, which meant that their special education preschools were also closed.  When the LEAs reopened, many parents chose not to send their children back.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Indicators 6A and 6B and OSEP accepts those targets.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State reported fewer than ten children receiving special education and related services in the home in FFY 2020. The State is not required to provide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61.40%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79.20%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80.65%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75.50%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71.04%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64.43%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68.11%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70.30%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85.23%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84.48%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58.50%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31.60%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53.85%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55.83%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50.52%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58.38%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75.80%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76.34%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79.46%</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64.10%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69.06%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64.43%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70.27%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77.00%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77.10%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77.20%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77.30%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77.40%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77.50%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75.50%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75.60%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75.70%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75.80%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75.90%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76.00%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81.00%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81.10%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81.20%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81.30%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81.40%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81.50%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58.50%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58.60%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58.70%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58.80%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58.90%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59.00%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75.90%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76.00%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76.10%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76.20%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76.30%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76.40%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75.90%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76.00%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76.10%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76.20%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76.30%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76.40%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 xml:space="preserve">The SEA internal stakeholder work continues particularly through the ESEA comprehensive and targeted schools taskforces. These taskforces were </w:t>
      </w:r>
      <w:r w:rsidRPr="00781112">
        <w:rPr>
          <w:rFonts w:cs="Arial"/>
          <w:color w:val="000000" w:themeColor="text1"/>
          <w:szCs w:val="16"/>
        </w:rPr>
        <w:lastRenderedPageBreak/>
        <w:t>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134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8.21%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20.15%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32.84%</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38.81%</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71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82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77.00%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86.59%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96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134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68.11%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75.50%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71.64%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17.16%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26.87%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49.25%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6.72%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lastRenderedPageBreak/>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102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125</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84.48%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58.38%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55.97%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9.70%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21.64%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30.60%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38.06%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70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79.46%</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84.34%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70.27%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68.66%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Montana has a very small n size for this indicator.  A change of just one or two children will cause a decrease in the overall percentage.  For FFY2019, there were 108 out 185 students who were functioning within age expectations by the time they turned 6 years of age or exited the program.  For FFY2020, that number was 75 out of 134.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Montana has a very small n size for this indicator.  A change of just one or two children will cause a decrease in the overall percentage.  For FFY2019, there were 130 out 185 students who were functioning within age expectations by the time they turned 6 years of age or exited the program.  For FFY2020, that number was 92 out of 134.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Montana uses a standardized required editor-based reporting form to collect entering and exiting preschool outcomes data. The form is included in our state-wide student data system special education module along with all other special education required forms. The Part B data manager runs a report to collect the data.</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w:t>
      </w:r>
      <w:r w:rsidRPr="00781112">
        <w:rPr>
          <w:rFonts w:cs="Arial"/>
          <w:color w:val="000000" w:themeColor="text1"/>
          <w:szCs w:val="16"/>
        </w:rPr>
        <w:lastRenderedPageBreak/>
        <w:t xml:space="preserve">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65.50%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70.20%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70.30%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70.40%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71.09%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66.96%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73.88%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79.05%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70.50%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70.60%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70.70%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70.80%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70.90%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71.00%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256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79.05%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73.35%</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Parents of students with disabilities, including preschool students, are given an opportunity to complete the survey. As in previous years, in FFY2020, the survey was given to parents at the annual IEP meeting, parent-teacher conferences, and community functions; in many cases it was also sent via mail. This personalized distribution method ensured all parents received the survey; furthermore, school staff personally encouraged the parents to complete the survey. Parents of students at all grade levels, including preschool, received and were encouraged to respond to the survey.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3,036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lastRenderedPageBreak/>
        <w:t>11.50%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15.83%</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11.50%</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Montana has partnered with the Montana Empowerment Center (MEC), the OSEP funded PTI Center for Montana, to send out the surveys.  Montana will be working with the MEC to reach out to districts and parents to encourage completion of the survey.  The SSIP Coordinator will work with the SSIP Target Schools that are scheduled to be surveyed to ensure they understand the requirements and to help them reach out to their parents to encourage completion of the survey.  Montana is also looking into the possibility of creating an online survey option in future years.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nonresponse bias will occur. Our response rate is 12%, which is the lower than we would like. It is possible that those parents who did not respond are different in some meaningful way in their level of positivity from those who did respond. Thus, we proceeded with the next two ways for examining nonresponse bias.</w:t>
      </w:r>
      <w:r>
        <w:rPr>
          <w:rFonts w:cs="Arial"/>
          <w:szCs w:val="16"/>
        </w:rPr>
        <w:br/>
      </w:r>
      <w:r>
        <w:rPr>
          <w:rFonts w:cs="Arial"/>
          <w:szCs w:val="16"/>
        </w:rPr>
        <w:br/>
        <w:t xml:space="preserve">Second, the representativeness of the responses can be examined.  We describe this in the next section where we state: The State used statistical significance testing to determine if one group was over- or under-represented based on their response rate.  Although significant differences were found in response rates by disability, race/ethnicity, and age of the child, the actual responses of these different groups of parents showed no significant differences in the overall parent involvement percentage. </w:t>
      </w:r>
      <w:r>
        <w:rPr>
          <w:rFonts w:cs="Arial"/>
          <w:szCs w:val="16"/>
        </w:rPr>
        <w:br/>
      </w:r>
      <w:r>
        <w:rPr>
          <w:rFonts w:cs="Arial"/>
          <w:szCs w:val="16"/>
        </w:rPr>
        <w:br/>
        <w:t xml:space="preserve">Third, we can compare the responses of parents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parents who responded earlier and parents who responded later.  Therefore, we conclude that nonresponse bias is not present.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State used statistical significance testing of response rated to determine if one group was over-or under-represented. Note that our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Significant differences were found in response rates by disability, race/ethnicity, and age of the child. In terms of disability, parents of students with Autism were more likely to respond (response rate=22%) than parents of students with a Specific Learning Disability (response rate=12%). In terms of race/ethnicity, parents of White students were more likely to respond (response rate=13%) than parents of Hispanic students (response rate=8%) and parents of American Indian students (response rate=6%). In terms of age, parents of students Age 3-5 were more likely to respond (response rate=17%) than parents of students Age 15-18 (response rate=8%).</w:t>
      </w:r>
      <w:r w:rsidRPr="000A2B9F">
        <w:rPr>
          <w:b w:val="0"/>
          <w:bCs/>
          <w:color w:val="000000" w:themeColor="text1"/>
        </w:rPr>
        <w:br/>
        <w:t xml:space="preserve">Although there are a few significant differences in response rates between groups of parents by race/ethnicity, primary disability, and age group, there were no significant differences in the parent involvement percentage itself between these groups of parents. For example, parents of white students had a similar parent involvement percentage as parents of Hispanic students. So, we are confident that the overall results are representative of the State despite the differences in response rates. Furthermore, parents from a wide range of districts from across the state responded to the survey. Thus, the results are representative of all racial/ethnic groups and all disability categories and reflect the population of parents in terms of geographic distribution.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Montana has partnered with the Montana Empowerment Center (MEC), the OSEP funded PTI Center for Montana, to send out the surveys.  Montana will be working with the MEC to reach out to districts and parents to encourage completion of the survey.  The SSIP Coordinator will work with the SSIP Target Schools that are scheduled to be surveyed to ensure they understand the requirements and to help them reach out to their parents to encourage completion of the survey.  </w:t>
      </w:r>
      <w:r w:rsidRPr="000A2B9F">
        <w:rPr>
          <w:b w:val="0"/>
          <w:bCs/>
          <w:color w:val="000000" w:themeColor="text1"/>
        </w:rPr>
        <w:br/>
      </w:r>
      <w:r w:rsidRPr="000A2B9F">
        <w:rPr>
          <w:b w:val="0"/>
          <w:bCs/>
          <w:color w:val="000000" w:themeColor="text1"/>
        </w:rPr>
        <w:br/>
        <w:t>Additional strategies Montana will use include:</w:t>
      </w:r>
      <w:r w:rsidRPr="000A2B9F">
        <w:rPr>
          <w:b w:val="0"/>
          <w:bCs/>
          <w:color w:val="000000" w:themeColor="text1"/>
        </w:rPr>
        <w:br/>
        <w:t>• Extend the survey end date</w:t>
      </w:r>
      <w:r w:rsidRPr="000A2B9F">
        <w:rPr>
          <w:b w:val="0"/>
          <w:bCs/>
          <w:color w:val="000000" w:themeColor="text1"/>
        </w:rPr>
        <w:br/>
        <w:t>•</w:t>
      </w:r>
      <w:r w:rsidRPr="000A2B9F">
        <w:rPr>
          <w:b w:val="0"/>
          <w:bCs/>
          <w:color w:val="000000" w:themeColor="text1"/>
        </w:rPr>
        <w:tab/>
        <w:t xml:space="preserve">Create an online survey </w:t>
      </w:r>
      <w:r w:rsidRPr="000A2B9F">
        <w:rPr>
          <w:b w:val="0"/>
          <w:bCs/>
          <w:color w:val="000000" w:themeColor="text1"/>
        </w:rPr>
        <w:br/>
        <w:t>•</w:t>
      </w:r>
      <w:r w:rsidRPr="000A2B9F">
        <w:rPr>
          <w:b w:val="0"/>
          <w:bCs/>
          <w:color w:val="000000" w:themeColor="text1"/>
        </w:rPr>
        <w:tab/>
        <w:t xml:space="preserve">Send the survey via email or text message </w:t>
      </w:r>
      <w:r w:rsidRPr="000A2B9F">
        <w:rPr>
          <w:b w:val="0"/>
          <w:bCs/>
          <w:color w:val="000000" w:themeColor="text1"/>
        </w:rPr>
        <w:br/>
        <w:t>• Ask districts with a high response rate what they are doing that works</w:t>
      </w:r>
      <w:r w:rsidRPr="000A2B9F">
        <w:rPr>
          <w:b w:val="0"/>
          <w:bCs/>
          <w:color w:val="000000" w:themeColor="text1"/>
        </w:rPr>
        <w:br/>
        <w:t>• See if the survey design can be updated (add an online link, add a QR code, send a brochure, send a postcard with a link)</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The OPI employed a sampling methodology to gather data for this indicator. The sampling process was conducted in accord with the OPI’s five-year compliance monitoring cycle. The cycle annually ensures statewide representation of LEAs through representation of large, small, urban, and rural LEAs and a broad representation of parents of children with disabilities across the spectrum of disabilities. All parents of children with disabilities within the schools identified in the monitoring cycle are included in the sample. At the end of the five-year cycle, all parents of children with disabilities will have had an opportunity to respond to the survey instrument. The sampling methodology was reviewed by the Office of Special Education Programs (OSEP) and in an e-mail received from Larry Wexler, Deputy Director of Monitoring and State Improvement Planning on it was stated, "…Thank you for your letter dated March 29, 2006, in which you provided additional information on how Montana plans to collect baseline data for performance indicator eight of your State Performance Plan. Your sampling plan for Indicator eight, as revised, is consistent with the State Performance Plan sampling directions…"</w:t>
      </w:r>
      <w:r w:rsidRPr="00781112">
        <w:rPr>
          <w:rFonts w:cs="Arial"/>
          <w:color w:val="000000" w:themeColor="text1"/>
          <w:szCs w:val="16"/>
        </w:rPr>
        <w:br/>
      </w:r>
      <w:r w:rsidRPr="00781112">
        <w:rPr>
          <w:rFonts w:cs="Arial"/>
          <w:color w:val="000000" w:themeColor="text1"/>
          <w:szCs w:val="16"/>
        </w:rPr>
        <w:br/>
        <w:t>Montana developed its sampling plan based on a review of data from the December 2005 Child Count, and the October 2005 Enrollment Count.  The data showed the following:</w:t>
      </w:r>
      <w:r w:rsidRPr="00781112">
        <w:rPr>
          <w:rFonts w:cs="Arial"/>
          <w:color w:val="000000" w:themeColor="text1"/>
          <w:szCs w:val="16"/>
        </w:rPr>
        <w:br/>
        <w:t>• There are 430 operating districts (as of June 7, 2006) districts in MT.  (52 K-12 Districts, 269 Elementary Districts, 109 High School Districts)</w:t>
      </w:r>
      <w:r w:rsidRPr="00781112">
        <w:rPr>
          <w:rFonts w:cs="Arial"/>
          <w:color w:val="000000" w:themeColor="text1"/>
          <w:szCs w:val="16"/>
        </w:rPr>
        <w:br/>
        <w:t>• There are no districts with more than 50,000 enrolled students.</w:t>
      </w:r>
      <w:r w:rsidRPr="00781112">
        <w:rPr>
          <w:rFonts w:cs="Arial"/>
          <w:color w:val="000000" w:themeColor="text1"/>
          <w:szCs w:val="16"/>
        </w:rPr>
        <w:br/>
        <w:t>•</w:t>
      </w:r>
      <w:r w:rsidRPr="00781112">
        <w:rPr>
          <w:rFonts w:cs="Arial"/>
          <w:color w:val="000000" w:themeColor="text1"/>
          <w:szCs w:val="16"/>
        </w:rPr>
        <w:tab/>
        <w:t xml:space="preserve">291 (based on October 2005 ADC enrollment count) districts have an enrollment of fewer than 200 students.  </w:t>
      </w:r>
      <w:r w:rsidRPr="00781112">
        <w:rPr>
          <w:rFonts w:cs="Arial"/>
          <w:color w:val="000000" w:themeColor="text1"/>
          <w:szCs w:val="16"/>
        </w:rPr>
        <w:br/>
        <w:t>•</w:t>
      </w:r>
      <w:r w:rsidRPr="00781112">
        <w:rPr>
          <w:rFonts w:cs="Arial"/>
          <w:color w:val="000000" w:themeColor="text1"/>
          <w:szCs w:val="16"/>
        </w:rPr>
        <w:tab/>
        <w:t xml:space="preserve">There are a total of  19,260 special education students ages 6-21 (Dec. 2005 count).  </w:t>
      </w:r>
      <w:r w:rsidRPr="00781112">
        <w:rPr>
          <w:rFonts w:cs="Arial"/>
          <w:color w:val="000000" w:themeColor="text1"/>
          <w:szCs w:val="16"/>
        </w:rPr>
        <w:br/>
        <w:t>• Because the vast majority of the districts have very small enrollments, 349 of the districts are grouped into one of twenty-one special education cooperatives.  The cooperative structure ensures all districts have access to the full range of instructional and related services to address free appropriate public education (FAPE).</w:t>
      </w:r>
      <w:r w:rsidRPr="00781112">
        <w:rPr>
          <w:rFonts w:cs="Arial"/>
          <w:color w:val="000000" w:themeColor="text1"/>
          <w:szCs w:val="16"/>
        </w:rPr>
        <w:br/>
        <w:t>•</w:t>
      </w:r>
      <w:r w:rsidRPr="00781112">
        <w:rPr>
          <w:rFonts w:cs="Arial"/>
          <w:color w:val="000000" w:themeColor="text1"/>
          <w:szCs w:val="16"/>
        </w:rPr>
        <w:tab/>
        <w:t xml:space="preserve">The 430 districts (and their corresponding cooperatives) are categorized into 5 groups for monitoring purposes.  To determine the statewide representativeness of those groups, Montana reviewed descriptive statistics, including: geographic area, size of school district, and rates for race/ethnicity, free/reduced lunch, and special education.  </w:t>
      </w:r>
      <w:r w:rsidRPr="00781112">
        <w:rPr>
          <w:rFonts w:cs="Arial"/>
          <w:color w:val="000000" w:themeColor="text1"/>
          <w:szCs w:val="16"/>
        </w:rPr>
        <w:br/>
        <w:t>•</w:t>
      </w:r>
      <w:r w:rsidRPr="00781112">
        <w:rPr>
          <w:rFonts w:cs="Arial"/>
          <w:color w:val="000000" w:themeColor="text1"/>
          <w:szCs w:val="16"/>
        </w:rPr>
        <w:tab/>
        <w:t xml:space="preserve">There are a total of 1,925 special education students ages 3-5 (Dec. 2005 count). </w:t>
      </w:r>
      <w:r w:rsidRPr="00781112">
        <w:rPr>
          <w:rFonts w:cs="Arial"/>
          <w:color w:val="000000" w:themeColor="text1"/>
          <w:szCs w:val="16"/>
        </w:rPr>
        <w:br/>
      </w:r>
      <w:r w:rsidRPr="00781112">
        <w:rPr>
          <w:rFonts w:cs="Arial"/>
          <w:color w:val="000000" w:themeColor="text1"/>
          <w:szCs w:val="16"/>
        </w:rPr>
        <w:br/>
        <w:t>Based on that review, Montana determined that:</w:t>
      </w:r>
      <w:r w:rsidRPr="00781112">
        <w:rPr>
          <w:rFonts w:cs="Arial"/>
          <w:color w:val="000000" w:themeColor="text1"/>
          <w:szCs w:val="16"/>
        </w:rPr>
        <w:br/>
        <w:t>• For districts monitored during the 2006-07 school year, the Part B Parent Involvement Survey will be administered in fall 2006.</w:t>
      </w:r>
      <w:r w:rsidRPr="00781112">
        <w:rPr>
          <w:rFonts w:cs="Arial"/>
          <w:color w:val="000000" w:themeColor="text1"/>
          <w:szCs w:val="16"/>
        </w:rPr>
        <w:br/>
        <w:t>• For districts monitored in subsequent school years, the Parent Involvement Survey will be administered in the spring prior to their monitoring year.  For example, the Parent Involvement Survey will be administered in spring 2007 for districts monitored during the 2007-08 school year.  This will allow survey results to be used during the monitoring process.</w:t>
      </w:r>
      <w:r w:rsidRPr="00781112">
        <w:rPr>
          <w:rFonts w:cs="Arial"/>
          <w:color w:val="000000" w:themeColor="text1"/>
          <w:szCs w:val="16"/>
        </w:rPr>
        <w:br/>
        <w:t>•</w:t>
      </w:r>
      <w:r w:rsidRPr="00781112">
        <w:rPr>
          <w:rFonts w:cs="Arial"/>
          <w:color w:val="000000" w:themeColor="text1"/>
          <w:szCs w:val="16"/>
        </w:rPr>
        <w:tab/>
        <w:t xml:space="preserve">All parents of children with disabilities in the districts scheduled within each monitoring cycle will be asked to complete a survey. </w:t>
      </w:r>
      <w:r w:rsidRPr="00781112">
        <w:rPr>
          <w:rFonts w:cs="Arial"/>
          <w:color w:val="000000" w:themeColor="text1"/>
          <w:szCs w:val="16"/>
        </w:rPr>
        <w:br/>
        <w:t xml:space="preserve">Reasons for tying the Parent Involvement Survey to the monitoring cycle and administering the survey to all parents of children with disabilities: </w:t>
      </w:r>
      <w:r w:rsidRPr="00781112">
        <w:rPr>
          <w:rFonts w:cs="Arial"/>
          <w:color w:val="000000" w:themeColor="text1"/>
          <w:szCs w:val="16"/>
        </w:rPr>
        <w:br/>
        <w:t>• The Division of Special Education determined that the monitoring cycle would be the best way to reach parents of children with disabilities in a systematic manner.  Aligning the districts to be surveyed with the districts to be monitored will allow for seamless integration of information concerning parent involvement with the compliance monitoring process.  Furthermore, the results obtained from the survey will have a direct benefit for both parents and districts since they can actively utilize the data obtained from their districts to improve results.  Additionally, by linking the distribution of the survey to those districts scheduled for an upcoming monitoring visit, it is anticipated that Montana schools will be actively involved in encouraging a high return rate of parent responses.</w:t>
      </w:r>
      <w:r w:rsidRPr="00781112">
        <w:rPr>
          <w:rFonts w:cs="Arial"/>
          <w:color w:val="000000" w:themeColor="text1"/>
          <w:szCs w:val="16"/>
        </w:rPr>
        <w:br/>
        <w:t>• The Special Education Programs unit chose not to limit the survey a sample of parents from each district because of small numbers of special education students at many districts and of wanting to give all parents an opportunity to respond.  Not giving all parents an opportunity to complete the survey would degrade the acceptance of results by the districts.</w:t>
      </w:r>
      <w:r w:rsidRPr="00781112">
        <w:rPr>
          <w:rFonts w:cs="Arial"/>
          <w:color w:val="000000" w:themeColor="text1"/>
          <w:szCs w:val="16"/>
        </w:rPr>
        <w:br/>
        <w:t>•</w:t>
      </w:r>
      <w:r w:rsidRPr="00781112">
        <w:rPr>
          <w:rFonts w:cs="Arial"/>
          <w:color w:val="000000" w:themeColor="text1"/>
          <w:szCs w:val="16"/>
        </w:rPr>
        <w:tab/>
        <w:t xml:space="preserve">The same survey will be used for both Part B parents and Part B 619 parents.   Most of the issues critical to parents of children aged 6-21 are the same as those that are critical to parents of children aged 3-5.  Using the same survey will enable results to be compared across the entire Part B age range and will allow for ease and efficiency of the data collection process. </w:t>
      </w:r>
      <w:r w:rsidRPr="00781112">
        <w:rPr>
          <w:rFonts w:cs="Arial"/>
          <w:color w:val="000000" w:themeColor="text1"/>
          <w:szCs w:val="16"/>
        </w:rPr>
        <w:br/>
      </w:r>
      <w:r w:rsidRPr="00781112">
        <w:rPr>
          <w:rFonts w:cs="Arial"/>
          <w:color w:val="000000" w:themeColor="text1"/>
          <w:szCs w:val="16"/>
        </w:rPr>
        <w:br/>
        <w:t xml:space="preserve">Since the approval of this plan in March 2006, the methodology has not changed.  The demographics of the districts are reviewed approximately every 4 years to determine if changes need to be made to the monitoring cycle to continue to ensure representativeness.  Free and Reduced status is no longer looked at, as it is not used for any other special education data reviews.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We believe COVID impacted our response rate for the 2020-21 school year because of the number of kids engaging in remote learning which made receiving responses back from the parents more difficult (e.g., since we couldn’t hand out the survey to students to take to parents, since parents weren’t attending back-to-school nights, etc.)</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information regarding the representativeness for the FFY2020 data can be found in the prior sections of this indicator discussing representativeness.</w:t>
      </w:r>
    </w:p>
    <w:p w14:paraId="5B521A52" w14:textId="17857299" w:rsidR="00221EC9" w:rsidRPr="00781112" w:rsidRDefault="00752BAF" w:rsidP="008645AD">
      <w:pPr>
        <w:pStyle w:val="Heading2"/>
      </w:pPr>
      <w:r w:rsidRPr="00781112">
        <w:lastRenderedPageBreak/>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OSEP required the State to submit its sampling plan to and provide data consistent with the approved sampling plan. The State did not provide its sampling plan but reported, "Since the approval of this plan in March 2006, the methodology has not changed. The demographics of the districts are reviewed approximately every 4 years to determine if changes need to be made to the monitoring cycle to continue to ensure representativeness."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179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221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Using a weighted risk ratio with one year of data and a 2.576 threshold, an LEA is determined  to  have  disproportionate overrepresentation if, given a minimum N of 10, an LEA demonstrates a statistically significant difference in the proportion of students with disabilities of racial and ethnic groups within a receiving  special  education  and  related  services compared to the proportion of students with disabilities of all other racial and ethnic groups and within all other disability categories receiving special education and related services in that LEA, within a 99 percent confidence interval.</w:t>
      </w:r>
      <w:r w:rsidRPr="00781112">
        <w:rPr>
          <w:rFonts w:cs="Arial"/>
          <w:color w:val="000000" w:themeColor="text1"/>
          <w:szCs w:val="16"/>
        </w:rPr>
        <w:br/>
      </w:r>
      <w:r w:rsidRPr="00781112">
        <w:rPr>
          <w:rFonts w:cs="Arial"/>
          <w:color w:val="000000" w:themeColor="text1"/>
          <w:szCs w:val="16"/>
        </w:rPr>
        <w:br/>
        <w:t xml:space="preserve">Using a minimum N of 10 and a 99 percent confidence interval, a test of difference between proportions  was  used to  measure statistically significant differences between the special education identification rate for students of a specific racial and ethnic group and the special education identification rate for all other students within that LEA. Target  data show that none of the 400 LEAs demonstrated a statistically significant difference, resulting in determination of disproportionate representation of racial and ethnic groups in special education and related services. The minimum N of 10 is applied to the denominator of this equation - that is, if an LEA does not have at least 10 students with disabilities in a particular racial/ethnic category, the data is not reviewed for that LEA. </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Once an LEA is flagged for disproportionate representation, the policies and procedures of that LEA, results of on-site compliance monitoring, and dispute resolution data are reviewed to determine if the disproportionate representation is due to inappropriate identification. The district is informed of the results of the review. </w:t>
      </w:r>
      <w:r w:rsidRPr="00781112">
        <w:rPr>
          <w:rFonts w:cs="Arial"/>
          <w:color w:val="000000" w:themeColor="text1"/>
          <w:szCs w:val="16"/>
        </w:rPr>
        <w:br/>
      </w:r>
      <w:r w:rsidRPr="00781112">
        <w:rPr>
          <w:rFonts w:cs="Arial"/>
          <w:color w:val="000000" w:themeColor="text1"/>
          <w:szCs w:val="16"/>
        </w:rPr>
        <w:br/>
        <w:t>The LEA reviews included review of selected student files, review of LEA policies, practices and procedures, the most current compliance monitoring data, and selected interviews with LEA staff. As a result of this process, the OPI determined that the disproportionate representation (over-representation) was NOT the result of inappropriate identification.</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Baseline year changed to FFY2020 due to the change in reporting requirements to include 5 year olds in kindergarten in the calculation</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lastRenderedPageBreak/>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133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Using a weighted risk ratio with one year of data and a 2.576 threshold, an LEA is determined  to  have  disproportionate overrepresentation if, given a minimum N of 10, an LEA demonstrates a statistically significant difference in the proportion of students   with disabilities of racial and ethnic groups within a specific disability category receiving  special  education  and  related  services compared to the proportion of students with disabilities of all other racial and ethnic groups and within all other disability categories receiving special education and related services in that LEA, within a 99 percent confidence interval.</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Using a minimum N of 10 and a 99 percent confidence interval, a test of difference between proportions  was  used to  measure statistically significant differences between the special education identification rate for students of a specific racial and ethnic group and the special education identification rate for all other students within that LEA. Target  data show that none of the 400 LEAs demonstrated a statistically significant difference, resulting in determination of disproportionate representation of racial and ethnic groups in special education and related services. The minimum N of 10 is applied to the denominator of this equation - that is, if an LEA does not have at least 10 students with disabilities in a particular racial/ethnic category, the data is not reviewed for that LEA. </w:t>
      </w:r>
      <w:r w:rsidRPr="00781112">
        <w:rPr>
          <w:rFonts w:cs="Arial"/>
          <w:color w:val="000000" w:themeColor="text1"/>
          <w:szCs w:val="16"/>
        </w:rPr>
        <w:br/>
      </w:r>
      <w:r w:rsidRPr="00781112">
        <w:rPr>
          <w:rFonts w:cs="Arial"/>
          <w:color w:val="000000" w:themeColor="text1"/>
          <w:szCs w:val="16"/>
        </w:rPr>
        <w:br/>
        <w:t xml:space="preserve">Of the 400 districts in Montana, 133 met the minimum N in at least one of the racial groups and were included in the calculations for that racial group. 267 did not meet the minimum N in any of the racial groups reviewed and were excluded from all calculations.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Once an LEA is flagged for disproportionate representation, the policies and procedures of that LEA, results of on-site compliance monitoring, and dispute resolution data are reviewed to determine if the disproportionate representation is due to inappropriate identification. The district is informed of the results of the review.</w:t>
      </w:r>
      <w:r w:rsidRPr="00781112">
        <w:rPr>
          <w:rFonts w:cs="Arial"/>
          <w:color w:val="000000" w:themeColor="text1"/>
          <w:szCs w:val="16"/>
        </w:rPr>
        <w:br/>
      </w:r>
      <w:r w:rsidRPr="00781112">
        <w:rPr>
          <w:rFonts w:cs="Arial"/>
          <w:color w:val="000000" w:themeColor="text1"/>
          <w:szCs w:val="16"/>
        </w:rPr>
        <w:br/>
        <w:t>The LEA reviews included review of selected student files, review of LEA policies, practices and procedures, the most current compliance monitoring data, and selected interviews with LEA staff. As a result of this process, the OPI determined that the disproportionate representation (over-representation) was NOT the result of inappropriate identification.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Baseline year changed to FFY2020 due to the change in reporting requirements to include 5 year olds in kindergarten in the calculation</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93.00%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99.17%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98.62%</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97.91%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99.44%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246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236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95.93%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The slippage for this indicator can attributed to both COVID and small N sizes.  The COVID pandemic forced the closure of schools in Montana in March 2020.  This created timeline issues for a number of districts who properly documented the delays and finished the evaluations as quickly as possible once schools resumed in fall 2020.  </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children included in a, but not b were across eight (8) LEAs, and ranged from 3 to 210 days..  At the time of the data collection, the evaluations had been completed for all 10 children, and the 8 LEAs had shown continued evidence of being able to meet the 60-day timeline for initial evaluations.  Of the 10 children who were not completed within the timeline, six (6)of them were due to COVID.  Montana schools were closed on March 16, 2020, and LEAs were not able to meet with students to complete the evaluations and were not prepared to conduct evaluations virtually at that time. By fall of 2020, LEAs were given the option of returning in person.  They had also developed ways to conduct evaluations virtually so that students were not experiencing delays in initial determinations any longer.  All six (6) of the students who were not able to be completed at in the spring of 2020 were able to be completed within the first month of school resuming in fall 2020.  The four students who were not completed for reasons other than COVID did not have a reason for not being completed.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OPI collected the indicator data as a part of its compliance monitoring procedures during the 2020-2021 school year. Compliance monitors reviewed a sampling of student records for students who were initially referred for a special education evaluation. Monitors enter the date consent was received, date of the last assessment completed for the evaluation and the date of the Evaluation Report meeting into the OPI Monitoring application. The system calculates the number of calendar days between the date consent was received and the date the last assessment was completed. If more than 60 calendar days passed, the monitor is prompted to enter the reason.</w:t>
      </w:r>
      <w:r w:rsidRPr="00781112">
        <w:rPr>
          <w:rFonts w:cs="Arial"/>
          <w:color w:val="000000" w:themeColor="text1"/>
          <w:szCs w:val="16"/>
        </w:rPr>
        <w:br/>
      </w:r>
      <w:r w:rsidRPr="00781112">
        <w:rPr>
          <w:rFonts w:cs="Arial"/>
          <w:color w:val="000000" w:themeColor="text1"/>
          <w:szCs w:val="16"/>
        </w:rPr>
        <w:br/>
        <w:t>Correction of identified noncompliance related to indicator 11, was verified using both prongs of the verification process described in the OSEP’s 09-02 Memorandum and subsequent guidance from the OSEP. Each LEA in Montana has an on-site monitoring record review which is on a five-year cycle. State operated and state funded facilities are reviewed on a three-year cycle. The OPI monitoring staff selects records for review and uses a standard record review protocol to conduct the reviews. During this process, instances of IDEA noncompliance are identified. Following the on-site review, each LEA is provided a list, by student, of every instance of noncompliance identified during the review. The LEAs are given a specific set of timelines in which to correct every instance of noncompliance. Following the initial verification of correction, the OPI staff review additional records completed subsequent to the identification of the noncompliance to verify the LEA is complying with all IDEA regulations. If an LEA completes the correction of each instance of noncompliance, and provides the OPI with sufficient additional records to verify ongoing evidence of compliance, then no finding is issued to the LEA. This practice is based on the guidance provided by OSEP in the FREQUENTLY ASKED QUESTIONS REGARDING IDENTIFICATION AND CORRECTION OF NONCOMPLIANCE AND REPORTING ON CORRECTION IN THE STATE PERFORMANCE PLAN (SPP)/ANNUAL PERFORMANCE REPORT (APR) document. In the process for determination of findings, the OPI considers a variety of factors including: (1) whether the noncompliance was extensive or found in only a small percentage of files; (2) whether the noncompliance showed a denial of a basic right under the IDEA (e.g., an extended delay in initial evaluation beyond applicable timelines with a corresponding delay in the child’s receipt of FAPE, or a failure to provide any services in accordance with the IEP); and (3) whether the noncompliance represents an isolated incident, or reflects a long-standing failure to meet IDEA requirements. When data indicates additional evidence of sustained post-monitoring compliance is necessary, the OPI requires the district to obtain additional training and/or submit additional evidence of sustained compliance.</w:t>
      </w:r>
      <w:r w:rsidRPr="00781112">
        <w:rPr>
          <w:rFonts w:cs="Arial"/>
          <w:color w:val="000000" w:themeColor="text1"/>
          <w:szCs w:val="16"/>
        </w:rPr>
        <w:br/>
      </w:r>
      <w:r w:rsidRPr="00781112">
        <w:rPr>
          <w:rFonts w:cs="Arial"/>
          <w:color w:val="000000" w:themeColor="text1"/>
          <w:szCs w:val="16"/>
        </w:rPr>
        <w:br/>
        <w:t>The same verification procedures are used for all noncompliance, whether collected through the state’s on-site monitoring system, desk review of records, state complaint or due process hearing decisions, or statewide student data system.</w:t>
      </w:r>
      <w:r w:rsidRPr="00781112">
        <w:rPr>
          <w:rFonts w:cs="Arial"/>
          <w:color w:val="000000" w:themeColor="text1"/>
          <w:szCs w:val="16"/>
        </w:rPr>
        <w:br/>
      </w:r>
      <w:r w:rsidRPr="00781112">
        <w:rPr>
          <w:rFonts w:cs="Arial"/>
          <w:color w:val="000000" w:themeColor="text1"/>
          <w:szCs w:val="16"/>
        </w:rPr>
        <w:br/>
        <w:t>The description of Montana's monitoring process is detailed in the Introduction.</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93.02%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97.44%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97.73%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93.67%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97.62%</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100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62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62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97.62%</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93.94%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The slippage can be directly attributed to small N sizes. The COVID pandemic also contributed to the slippage.  Two of the four IEPs that were not completed by the 3rd birthday were due to COVID quarantines</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four children who were reported in category a, but not in b, c, d, e, or f are from three LEAs.  The range of days beyond the 3rd birthday was 6 to 13.  The reasons for the IEPs  not being written by the child’s 3rd birthday were due to one LEA not receiving the paperwork from the Part C agency until 10 days prior to the 3rd birthday, and staff being out due to COVID quarantines.  All four LEAs were able to complete the IEPs prior to the data being collected, and to demonstrate compliance with the regulation by having completed eligibility determinations and having IEPs in place by the 3rd birthday for other children in the fiscal year.</w:t>
      </w:r>
      <w:r w:rsidRPr="00781112">
        <w:rPr>
          <w:bCs/>
          <w:color w:val="000000" w:themeColor="text1"/>
        </w:rPr>
        <w:br/>
      </w:r>
      <w:r w:rsidRPr="00781112">
        <w:rPr>
          <w:bCs/>
          <w:color w:val="000000" w:themeColor="text1"/>
        </w:rPr>
        <w:br/>
        <w:t>For FFY 2019, at the time of data collection, the evaluation process and IEP development had occurred for the child for whom the eligibility determination had not been made or an IEP developed by their third birthday. All instances of noncompliance with this requirement had been corrected in a timely manner. The LEA that had an identified instance of noncompliance was required to provide subsequent documentation of 100 percent compliance with the Part C to Part B transition requirements. For each of these LEAs, their FFY2020 data demonstrated that they did understand the requirements of IDEA, and they were able to get all determinations and IEPs written by the 3rd birthdays for children referred from a Part C Agency.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OPI uses a census-level data collection for this indicator. The Part C Lead Agency submits data regarding all children referred to a school district to the OPI. The OPI collates this data and verifies the referral through the statewide student database system. This system contains documentation of the referral, the eligibility determination and, if appropriate, the student’s IEP.  This allows the OPI to determine district compliance with the Part C to Part B transition requirements. By using this method, the OPI can account for all children in the state who transition from Part C to Part B.</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Montana experienced slippage for this indicator, and had two IEPs not completed by the 3rd birthday due to COVID quarantines.  While COVID did not impact the ability to collect the data for this indicator, it did contribute to the inability to meet it.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For FFY 2019, at the time of data collection, the evaluation process and IEP development had occurred for the child for whom the eligibility determination had not been made or an IEP developed by their third birthday. All instances of noncompliance with this requirement had been corrected in a timely manner. The LEA that had an identified instance of noncompliance was required to provide subsequent documentation of 100 percent compliance with the Part C to Part B transition requirements. For each of these LEAs, their FFY2020 data demonstrated that they did understand the requirements of IDEA, and they were able to get all determinations and IEPs written by the 3rd birthdays for children referred from a Part C Agency.</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85.30%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96.94%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98.70%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98.68%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69.03%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73.53%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76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73.53%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72.37%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Montana has very small N sizes for this indicator.  Because of that, even a small change in the numerator or denominator will cause changes in the overall percentage.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OPI collected the indicator data as a part of its compliance monitoring procedures during the 2020-2021 school year. Compliance monitors reviewed a sampling of student records for students, ages 16 and older, to ensure their IEPs include appropriate measurable postsecondary goals that are annually updated and based upon an age-appropriate transition assessments, transition services, including courses of study, that will reasonably enable the student to meet their postsecondary goals, and annual IEP goals related to the student’s transition services needs. There also must be evidence that the student was invited to the IEP team meeting where transition services were to be discussed and evidence that, if appropriate, a representative of any participating agency that is likely to be responsible for providing or paying for transition services, including, if appropriate, pre-employment transition services, was invited to the IEP Team meeting with the prior consent of the parent or student who has reached the age of majority. </w:t>
      </w:r>
      <w:r w:rsidRPr="00781112">
        <w:rPr>
          <w:rFonts w:cs="Arial"/>
          <w:color w:val="000000" w:themeColor="text1"/>
          <w:szCs w:val="16"/>
        </w:rPr>
        <w:br/>
        <w:t>Correction of identified noncompliance related to indicator 13, was verified using both prongs of the verification process described in the OSEP’s 09-02 Memorandum and subsequent guidance from the OSEP. Each LEA in Montana has an on-site monitoring record review which is on a five-year cycle. State operated and state funded  facilities are reviewed on a three-year cycle. The OPI monitoring staff selects records for review and uses a standard record review protocol to conduct the reviews. During this process, instances of IDEA noncompliance are identified. Following the on-site review, each LEA is provided a list, by student, of every instance of noncompliance identified during the review.   The LEAs are given a specific set of timelines in which to correct every instance of noncompliance. Following the initial verification of correction, the OPI staff review additional records completed subsequent to the identification of the noncompliance to verify the LEA is complying with all IDEA regulations. If an LEA completes the correction of each instance of noncompliance, and provides the OPI with sufficient additional records to verify ongoing evidence of compliance, then no finding is issued to the LEA. This practice is based on the guidance provided by OSEP in the FREQUENTLY ASKED QUESTIONS REGARDING IDENTIFICATION AND CORRECTION OF NONCOMPLIANCE AND REPORTING ON CORRECTION IN THE STATE PERFORMANCE PLAN (SPP)/ANNUAL PERFORMANCE REPORT (APR) document. In the process for determination of findings, the OPI considers a variety of factors including: (1) whether the noncompliance was extensive or found in only a small percentage of files; (2) whether the noncompliance showed a denial of a basic right under the IDEA (e.g., an extended delay in initial evaluation beyond applicable timelines with a corresponding delay in the child’s receipt of FAPE, or a  failure to provide any services in accordance with the IEP); and (3) whether the noncompliance represents an isolated incident, or reflects a long-standing failure to meet IDEA requirements. When data indicates additional evidence of sustained post-monitoring compliance is necessary, the OPI requires the district to obtain additional training and/or submit additional evidence of sustained compliance.</w:t>
      </w:r>
      <w:r w:rsidRPr="00781112">
        <w:rPr>
          <w:rFonts w:cs="Arial"/>
          <w:color w:val="000000" w:themeColor="text1"/>
          <w:szCs w:val="16"/>
        </w:rPr>
        <w:br/>
      </w:r>
      <w:r w:rsidRPr="00781112">
        <w:rPr>
          <w:rFonts w:cs="Arial"/>
          <w:color w:val="000000" w:themeColor="text1"/>
          <w:szCs w:val="16"/>
        </w:rPr>
        <w:br/>
        <w:t>The same verification procedures are used for all noncompliance, whether collected through the state’s on-site monitoring system, desk review of records, state complaint or due process hearing decisions, or statewide student data system.</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OPI reviewed individual student records to verify LEA’s child find, evaluation/re-evaluation, and Individualized Education Program (IEP) processes and procedures meet IDEA requirements and Montana’s Administrative Rules. The student record review used during the monitoring process also addresses transfers, expulsion, suspension, aversive treatment plans, manifestation determinations, surrogate parents, private schools, high school graduates, exited students, students found not eligible, students who have had an evaluation report, other unique circumstances, IEPs during the current year and students whose parents revoked consent for special education services.  Compliance monitoring activities consisted of:</w:t>
      </w:r>
      <w:r w:rsidRPr="00781112">
        <w:rPr>
          <w:rFonts w:cs="Arial"/>
          <w:color w:val="000000" w:themeColor="text1"/>
          <w:szCs w:val="16"/>
        </w:rPr>
        <w:br/>
      </w:r>
      <w:r w:rsidRPr="00781112">
        <w:rPr>
          <w:rFonts w:cs="Arial"/>
          <w:color w:val="000000" w:themeColor="text1"/>
          <w:szCs w:val="16"/>
        </w:rPr>
        <w:br/>
        <w:t xml:space="preserve">• Review of a sampling of individual student records to examine current practices and documentation; </w:t>
      </w:r>
      <w:r w:rsidRPr="00781112">
        <w:rPr>
          <w:rFonts w:cs="Arial"/>
          <w:color w:val="000000" w:themeColor="text1"/>
          <w:szCs w:val="16"/>
        </w:rPr>
        <w:br/>
        <w:t>• Review of district policy, practices, and procedures;</w:t>
      </w:r>
      <w:r w:rsidRPr="00781112">
        <w:rPr>
          <w:rFonts w:cs="Arial"/>
          <w:color w:val="000000" w:themeColor="text1"/>
          <w:szCs w:val="16"/>
        </w:rPr>
        <w:br/>
        <w:t>• Visit selected schools, when appropriate; and</w:t>
      </w:r>
      <w:r w:rsidRPr="00781112">
        <w:rPr>
          <w:rFonts w:cs="Arial"/>
          <w:color w:val="000000" w:themeColor="text1"/>
          <w:szCs w:val="16"/>
        </w:rPr>
        <w:br/>
        <w:t>• Communication with individual teachers and specialists to discuss records, when appropriate.</w:t>
      </w:r>
      <w:r w:rsidRPr="00781112">
        <w:rPr>
          <w:rFonts w:cs="Arial"/>
          <w:color w:val="000000" w:themeColor="text1"/>
          <w:szCs w:val="16"/>
        </w:rPr>
        <w:br/>
      </w:r>
      <w:r w:rsidRPr="00781112">
        <w:rPr>
          <w:rFonts w:cs="Arial"/>
          <w:color w:val="000000" w:themeColor="text1"/>
          <w:szCs w:val="16"/>
        </w:rPr>
        <w:br/>
        <w:t>All identified noncompliance is recorded, verified, and accounted for through a process of:</w:t>
      </w:r>
      <w:r w:rsidRPr="00781112">
        <w:rPr>
          <w:rFonts w:cs="Arial"/>
          <w:color w:val="000000" w:themeColor="text1"/>
          <w:szCs w:val="16"/>
        </w:rPr>
        <w:br/>
      </w:r>
      <w:r w:rsidRPr="00781112">
        <w:rPr>
          <w:rFonts w:cs="Arial"/>
          <w:color w:val="000000" w:themeColor="text1"/>
          <w:szCs w:val="16"/>
        </w:rPr>
        <w:br/>
        <w:t>• Notification to the district of all identified noncompliance;</w:t>
      </w:r>
      <w:r w:rsidRPr="00781112">
        <w:rPr>
          <w:rFonts w:cs="Arial"/>
          <w:color w:val="000000" w:themeColor="text1"/>
          <w:szCs w:val="16"/>
        </w:rPr>
        <w:br/>
        <w:t>• Required correction of all identified noncompliance as per OSEP's 09-02 memo (Prong 1 of correction);</w:t>
      </w:r>
      <w:r w:rsidRPr="00781112">
        <w:rPr>
          <w:rFonts w:cs="Arial"/>
          <w:color w:val="000000" w:themeColor="text1"/>
          <w:szCs w:val="16"/>
        </w:rPr>
        <w:br/>
        <w:t>• District submission of up-dated data verifying 100 percent post-monitoring compliant policy, practice, and procedure (Prong 2 of correction);</w:t>
      </w:r>
      <w:r w:rsidRPr="00781112">
        <w:rPr>
          <w:rFonts w:cs="Arial"/>
          <w:color w:val="000000" w:themeColor="text1"/>
          <w:szCs w:val="16"/>
        </w:rPr>
        <w:br/>
        <w:t>• Timely issuance of findings, including corrective actions, for uncorrected identified noncompliance. Each finding cites a specific regulation, either federal or state, and describes the nature of the noncompliance;</w:t>
      </w:r>
      <w:r w:rsidRPr="00781112">
        <w:rPr>
          <w:rFonts w:cs="Arial"/>
          <w:color w:val="000000" w:themeColor="text1"/>
          <w:szCs w:val="16"/>
        </w:rPr>
        <w:br/>
        <w:t>• Additional issuance, when appropriate, of  required technical assistance, professional development and/or  district submission of up-dated data verifying 100 percent post-monitoring compliance in policy, practice, and procedure for issues  corrected  but originally identified to a degree that is indicative of systemic concern;</w:t>
      </w:r>
      <w:r w:rsidRPr="00781112">
        <w:rPr>
          <w:rFonts w:cs="Arial"/>
          <w:color w:val="000000" w:themeColor="text1"/>
          <w:szCs w:val="16"/>
        </w:rPr>
        <w:br/>
        <w:t>• Completion of required technical assistance and professional development activities; and</w:t>
      </w:r>
      <w:r w:rsidRPr="00781112">
        <w:rPr>
          <w:rFonts w:cs="Arial"/>
          <w:color w:val="000000" w:themeColor="text1"/>
          <w:szCs w:val="16"/>
        </w:rPr>
        <w:br/>
        <w:t>• The issuance of a final report to the district upon completion of all required compliance monitoring requirements.</w:t>
      </w:r>
      <w:r w:rsidRPr="00781112">
        <w:rPr>
          <w:rFonts w:cs="Arial"/>
          <w:color w:val="000000" w:themeColor="text1"/>
          <w:szCs w:val="16"/>
        </w:rPr>
        <w:br/>
      </w:r>
      <w:r w:rsidRPr="00781112">
        <w:rPr>
          <w:rFonts w:cs="Arial"/>
          <w:color w:val="000000" w:themeColor="text1"/>
          <w:szCs w:val="16"/>
        </w:rPr>
        <w:br/>
        <w:t xml:space="preserve">The OPI maintains tracking systems for compliance monitoring and due process hearings, mediation, complaints, and other Early Assistance Program activities. The tracking systems are reviewed, on no less than a monthly basis, to ensure timelines are met and procedures are being followed. </w:t>
      </w:r>
      <w:r w:rsidRPr="00781112">
        <w:rPr>
          <w:rFonts w:cs="Arial"/>
          <w:color w:val="000000" w:themeColor="text1"/>
          <w:szCs w:val="16"/>
        </w:rPr>
        <w:lastRenderedPageBreak/>
        <w:t>Personnel maintaining the tracking systems are responsible for ensuring program specialists are kept aware of the timelines. Program specialists follow up with the LEAs, as appropriate, to ensure corrective actions required are being completed in accord with the designated times. Using these procedures, OPI has verified that each instance of noncompliance has been corrected and the LEAs identified are now correctly implementing the regulatory requirements.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OPI lead monitor for the district in which the noncompliance was found worked specifically with that district and teacher to correct the noncompliance within a specified timeline (30, 60, 90 days).  The monitor sent a report to the district describing the incident of noncompliance that must be corrected and for which student(s) in order to meet Prong 1 of the OSEP 09-02 memo. Once it had been corrected for that specific student to satisfy the Prong 1 requirement, the district then submitted evidence  of sustained post monitoring compliance to satisfy Prong 2 of the 09-02 memo.  This documentation is reviewed in the same manner as the initial documentation, and if non-compliance is found, the district must correct it (prong 1), and continue to submit documentation until they can show that Prong 2 has been met. Using these procedures, OPI has verified that each instance of noncompliance has been corrected and the LEAs identified are now correctly implementing the regulatory requirements.</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description of how the state verified both the source of the noncompliance and the individual instances of noncompliance were corrected using Prong 1 and Prong 2 of the 09-02 OSEP Memo can be found in the applicable sections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26.70%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15.75%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15.51%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19.55%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22.14%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22.85%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15.51%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17.30%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73.70%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60.75%</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71.28%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73.86%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62.87%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87.10%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87.20%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79.75%</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79.57%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84.97%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86.86%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87.58%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79.57%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78.48%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15.75%</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15.85%</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15.95%</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16.05%</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16.15%</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16.25%</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60.75%</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60.85%</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60.95%</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61.05%</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61.15%</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61.25%</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79.75%</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79.85%</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79.95%</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80.05%</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80.15%</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80.25%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lastRenderedPageBreak/>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1,004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684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68.13%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87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319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87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684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17.30%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15.75%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406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684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62.87%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60.75%</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59.36%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506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684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78.48%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79.75%</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73.98%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Montana’s FFY2020 data reflect a slippage. The small number of students reported for this indicator can result in percentage changes driven by a handful of student surveys. Many young adults are exploring alternative paths to training, and specific expertise in areas not necessarily offered by traditional post-secondary education pathways. College costs in Montana have risen and students are finding other post-secondary training options. COVID also played a role in smaller numbers – not as many students enrolled in post-secondary education in the 2020-2021 year due to COVID restrictions and/or health concerns.</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Montana’s FFY2020 data reflect a slippage. Many young adults are exploring alternative paths to training, and specific expertise in areas not necessarily offered by traditional post-secondary education pathways. College costs in Montana have risen and students are finding other post-secondary training options. COVID also played a role in smaller numbers – not as many students were employed or enrolled in post-secondary education in the 2020-2021 year due to COVID restrictions and/or health concerns.</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Montana’s FFY2020 data reflect a slippage. COVID also played a role in smaller numbers – not as many students were employed or enrolled in post-secondary education in the 2020-2021 year due to COVID restrictions and/or health concerns.</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64.70%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68.13%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Montana relies on LEAs to contact students and complete the survey.  The OPI encourages LEAs to use various methods to reach the students or their families.  The LEAs are required to attempt at least 3 times to reach the student or family to complete before they may submit a response of Contact Attempted, not Successful for the survey.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lastRenderedPageBreak/>
        <w:t xml:space="preserve">Montana utilizes the Response Calculator that was developed by the National Technical Assistance Center on Transition (NTACT).  This calculator looks at the overall response rate and various demographics – disability determination, gender, minority races, rural status, ELL status, and dropouts.  The FFY2020 data shows that the survey was representative across all demographic groups analyzed. </w:t>
      </w:r>
      <w:r w:rsidRPr="00B551F2">
        <w:br/>
      </w:r>
      <w:r w:rsidRPr="00B551F2">
        <w:br/>
        <w:t>The collection of post-school outcomes is completed by each LEA, not by the SEA or an outside contractor. The Montana Office of Public Instruction has identified the LEAs that appear to be having the greatest problem with locating dropout and minority youths to survey in prior years.  The OPI continues to work with these specific LEAs on strategies to more effectively find and survey these youth, as was evidenced by the state not having representative issues for the current reporting cycle.  Moving forward, Montana will continue to make TA available to all LEAs as they work to contact students and complete the surveys.  The SSIP Coordinator will work with the SSIP Target LEAs to ensure they understand the importance of reaching out to the students who are part of this indicator to get their responses to the survey.</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representativeness of the surveys was assessed by using the Response Calculator from the National Technical Assistance Center on Transition (NTACT) to examine the demographic characteristics of the students who responded to the survey compared to the demographic characteristics of all high school students with disabilities who left school during the 2019-2020 school year.  The Response Calculator indicated all groups were proportionately represented in the overall group.</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Montana utilizes the Response Calculator that was developed by the NTACT TA Center.  This calculator looks at the overall response rate and various demographics – disability determination, gender, minority races, rural status, ELL status, and dropouts.  The calculator uses a +/- 3%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representativeness of the surveys was assessed by using the Response Calculator from the National Technical Assistance Center on Transition (NTACT) to examine the demographic characteristics of the students who responded to the survey compared to the demographic characteristics of all high school students with disabilities who left school during the 2019-2020 school year.  The Response Calculator indicated all groups were proportionately represented in the overall group.</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analyzed the response rate to identify potential non-response bias; however, the State did not identify steps to reduce any identified bias and promote response from a broad cross section of youth who are no longer in secondary school and had IEPs in effect at the time they left school, as required by the Measurement Table.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In the FFY 2021 SPP/APR, the State must analyze the response rate to identify potential non-response bias and identify steps taken to reduce any identified bias to promote response from a broad cross section of youth who are no longer in secondary school and had IEPs in effect at the time they left school, as required by the Measurement Table.</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w:t>
      </w:r>
      <w:r w:rsidRPr="00781112">
        <w:rPr>
          <w:rFonts w:cs="Arial"/>
          <w:color w:val="000000" w:themeColor="text1"/>
          <w:szCs w:val="16"/>
        </w:rPr>
        <w:lastRenderedPageBreak/>
        <w:t xml:space="preserve">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 - 100.00%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 - 100.00%</w:t>
            </w: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p>
        </w:tc>
        <w:tc>
          <w:tcPr>
            <w:tcW w:w="379" w:type="pct"/>
            <w:vAlign w:val="center"/>
          </w:tcPr>
          <w:p w14:paraId="3F181347" w14:textId="445996E0" w:rsidR="00643D78" w:rsidRPr="00781112" w:rsidRDefault="00643D78" w:rsidP="00643D78">
            <w:pPr>
              <w:jc w:val="center"/>
              <w:rPr>
                <w:rFonts w:cs="Arial"/>
                <w:color w:val="000000" w:themeColor="text1"/>
                <w:szCs w:val="16"/>
              </w:rPr>
            </w:pPr>
          </w:p>
        </w:tc>
        <w:tc>
          <w:tcPr>
            <w:tcW w:w="379" w:type="pct"/>
          </w:tcPr>
          <w:p w14:paraId="19A85918" w14:textId="494A2267" w:rsidR="00643D78" w:rsidRPr="00781112" w:rsidRDefault="00643D78" w:rsidP="00643D78">
            <w:pPr>
              <w:jc w:val="center"/>
              <w:rPr>
                <w:rFonts w:cs="Arial"/>
                <w:color w:val="000000" w:themeColor="text1"/>
                <w:szCs w:val="16"/>
              </w:rPr>
            </w:pPr>
          </w:p>
        </w:tc>
        <w:tc>
          <w:tcPr>
            <w:tcW w:w="379" w:type="pct"/>
          </w:tcPr>
          <w:p w14:paraId="6A6EC070" w14:textId="2D306454" w:rsidR="00643D78" w:rsidRPr="00781112" w:rsidRDefault="00643D78" w:rsidP="00643D78">
            <w:pPr>
              <w:jc w:val="center"/>
              <w:rPr>
                <w:rFonts w:cs="Arial"/>
                <w:color w:val="000000" w:themeColor="text1"/>
                <w:szCs w:val="16"/>
              </w:rPr>
            </w:pPr>
          </w:p>
        </w:tc>
        <w:tc>
          <w:tcPr>
            <w:tcW w:w="379" w:type="pct"/>
          </w:tcPr>
          <w:p w14:paraId="35D976E8" w14:textId="49E9BF03" w:rsidR="00643D78" w:rsidRPr="00781112" w:rsidRDefault="00643D78" w:rsidP="00643D78">
            <w:pPr>
              <w:jc w:val="center"/>
              <w:rPr>
                <w:rFonts w:cs="Arial"/>
                <w:color w:val="000000" w:themeColor="text1"/>
                <w:szCs w:val="16"/>
              </w:rPr>
            </w:pPr>
          </w:p>
        </w:tc>
        <w:tc>
          <w:tcPr>
            <w:tcW w:w="379" w:type="pct"/>
          </w:tcPr>
          <w:p w14:paraId="72B38389" w14:textId="24A25CD2" w:rsidR="00643D78" w:rsidRPr="00781112" w:rsidRDefault="00643D78" w:rsidP="00643D78">
            <w:pPr>
              <w:jc w:val="center"/>
              <w:rPr>
                <w:rFonts w:cs="Arial"/>
                <w:color w:val="000000" w:themeColor="text1"/>
                <w:szCs w:val="16"/>
              </w:rPr>
            </w:pPr>
          </w:p>
        </w:tc>
        <w:tc>
          <w:tcPr>
            <w:tcW w:w="379" w:type="pct"/>
          </w:tcPr>
          <w:p w14:paraId="6BCA1621" w14:textId="2751B939" w:rsidR="00643D78" w:rsidRPr="00781112" w:rsidRDefault="00643D78" w:rsidP="00643D78">
            <w:pPr>
              <w:jc w:val="center"/>
              <w:rPr>
                <w:rFonts w:cs="Arial"/>
                <w:color w:val="000000" w:themeColor="text1"/>
                <w:szCs w:val="16"/>
              </w:rPr>
            </w:pPr>
          </w:p>
        </w:tc>
        <w:tc>
          <w:tcPr>
            <w:tcW w:w="379" w:type="pct"/>
          </w:tcPr>
          <w:p w14:paraId="42BFD777" w14:textId="5B810178" w:rsidR="00643D78" w:rsidRPr="00781112" w:rsidRDefault="00643D78" w:rsidP="00643D78">
            <w:pPr>
              <w:jc w:val="center"/>
              <w:rPr>
                <w:rFonts w:cs="Arial"/>
                <w:color w:val="000000" w:themeColor="text1"/>
                <w:szCs w:val="16"/>
              </w:rPr>
            </w:pPr>
          </w:p>
        </w:tc>
        <w:tc>
          <w:tcPr>
            <w:tcW w:w="379" w:type="pct"/>
          </w:tcPr>
          <w:p w14:paraId="54B9C439" w14:textId="053B7F1A" w:rsidR="00643D78" w:rsidRPr="00781112" w:rsidRDefault="00643D78" w:rsidP="00643D78">
            <w:pPr>
              <w:jc w:val="center"/>
              <w:rPr>
                <w:rFonts w:cs="Arial"/>
                <w:color w:val="000000" w:themeColor="text1"/>
                <w:szCs w:val="16"/>
              </w:rPr>
            </w:pPr>
          </w:p>
        </w:tc>
        <w:tc>
          <w:tcPr>
            <w:tcW w:w="379" w:type="pct"/>
          </w:tcPr>
          <w:p w14:paraId="75A9B04C" w14:textId="06079264" w:rsidR="00643D78" w:rsidRPr="00781112" w:rsidRDefault="00643D78" w:rsidP="00643D78">
            <w:pPr>
              <w:jc w:val="center"/>
              <w:rPr>
                <w:rFonts w:cs="Arial"/>
                <w:color w:val="000000" w:themeColor="text1"/>
                <w:szCs w:val="16"/>
              </w:rPr>
            </w:pPr>
          </w:p>
        </w:tc>
        <w:tc>
          <w:tcPr>
            <w:tcW w:w="379" w:type="pct"/>
          </w:tcPr>
          <w:p w14:paraId="09DD3B8A" w14:textId="5687AF2F" w:rsidR="00643D78" w:rsidRPr="00781112" w:rsidRDefault="00643D78" w:rsidP="00643D78">
            <w:pPr>
              <w:jc w:val="center"/>
              <w:rPr>
                <w:rFonts w:cs="Arial"/>
                <w:color w:val="000000" w:themeColor="text1"/>
                <w:szCs w:val="16"/>
              </w:rPr>
            </w:pP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04" w:type="pct"/>
            <w:shd w:val="clear" w:color="auto" w:fill="auto"/>
          </w:tcPr>
          <w:p w14:paraId="3D28AE5B" w14:textId="4019A491" w:rsidR="008E31C4" w:rsidRPr="00781112" w:rsidRDefault="008E31C4" w:rsidP="00A018D4">
            <w:pPr>
              <w:jc w:val="center"/>
              <w:rPr>
                <w:rFonts w:cs="Arial"/>
                <w:color w:val="000000" w:themeColor="text1"/>
                <w:szCs w:val="16"/>
              </w:rPr>
            </w:pPr>
          </w:p>
        </w:tc>
        <w:tc>
          <w:tcPr>
            <w:tcW w:w="746" w:type="pct"/>
            <w:shd w:val="clear" w:color="auto" w:fill="auto"/>
          </w:tcPr>
          <w:p w14:paraId="1CF4FBE5" w14:textId="7792CBB8" w:rsidR="008E31C4" w:rsidRPr="00781112" w:rsidRDefault="008E31C4" w:rsidP="00A018D4">
            <w:pPr>
              <w:jc w:val="center"/>
              <w:rPr>
                <w:rFonts w:cs="Arial"/>
                <w:color w:val="000000" w:themeColor="text1"/>
                <w:szCs w:val="16"/>
              </w:rPr>
            </w:pPr>
          </w:p>
        </w:tc>
        <w:tc>
          <w:tcPr>
            <w:tcW w:w="756" w:type="pct"/>
            <w:shd w:val="clear" w:color="auto" w:fill="auto"/>
          </w:tcPr>
          <w:p w14:paraId="5CB5C088" w14:textId="342A9F8C" w:rsidR="008E31C4" w:rsidRPr="00781112" w:rsidRDefault="008E31C4" w:rsidP="00A018D4">
            <w:pPr>
              <w:jc w:val="center"/>
              <w:rPr>
                <w:rFonts w:cs="Arial"/>
                <w:color w:val="000000" w:themeColor="text1"/>
                <w:szCs w:val="16"/>
              </w:rPr>
            </w:pPr>
          </w:p>
        </w:tc>
        <w:tc>
          <w:tcPr>
            <w:tcW w:w="588" w:type="pct"/>
            <w:shd w:val="clear" w:color="auto" w:fill="auto"/>
          </w:tcPr>
          <w:p w14:paraId="43A81BB0" w14:textId="762C21AF" w:rsidR="008E31C4" w:rsidRPr="00781112" w:rsidRDefault="008E31C4" w:rsidP="00A018D4">
            <w:pPr>
              <w:jc w:val="center"/>
              <w:rPr>
                <w:rFonts w:cs="Arial"/>
                <w:color w:val="000000" w:themeColor="text1"/>
                <w:szCs w:val="16"/>
              </w:rPr>
            </w:pP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Montana does not meet the minimum N for this indicator.  Per OSEP through PSC:  Montana’s “submissions will be reviewed by OSEP Staff, but they will take the state’s N size into account and act accordingly. An explanation from the state included with the indicators the issue with low N size would be appropriate.”</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rFonts w:cs="Arial"/>
          <w:color w:val="000000" w:themeColor="text1"/>
          <w:szCs w:val="16"/>
        </w:rPr>
        <w:br/>
      </w:r>
      <w:r w:rsidRPr="00781112">
        <w:rPr>
          <w:rFonts w:cs="Arial"/>
          <w:color w:val="000000" w:themeColor="text1"/>
          <w:szCs w:val="16"/>
        </w:rPr>
        <w:br/>
        <w:t>Other stakeholder groups we sponsor and/or engage include:</w:t>
      </w:r>
      <w:r w:rsidRPr="00781112">
        <w:rPr>
          <w:rFonts w:cs="Arial"/>
          <w:color w:val="000000" w:themeColor="text1"/>
          <w:szCs w:val="16"/>
        </w:rPr>
        <w:br/>
      </w:r>
      <w:r w:rsidRPr="00781112">
        <w:rPr>
          <w:rFonts w:cs="Arial"/>
          <w:color w:val="000000" w:themeColor="text1"/>
          <w:szCs w:val="16"/>
        </w:rPr>
        <w:br/>
        <w:t>• Our CSPD includes both regional and state councils that regularly meet to assess APR data and to evaluate professional development priorities and results.</w:t>
      </w:r>
      <w:r w:rsidRPr="00781112">
        <w:rPr>
          <w:rFonts w:cs="Arial"/>
          <w:color w:val="000000" w:themeColor="text1"/>
          <w:szCs w:val="16"/>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rFonts w:cs="Arial"/>
          <w:color w:val="000000" w:themeColor="text1"/>
          <w:szCs w:val="16"/>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rFonts w:cs="Arial"/>
          <w:color w:val="000000" w:themeColor="text1"/>
          <w:szCs w:val="16"/>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rFonts w:cs="Arial"/>
          <w:color w:val="000000" w:themeColor="text1"/>
          <w:szCs w:val="16"/>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rFonts w:cs="Arial"/>
          <w:color w:val="000000" w:themeColor="text1"/>
          <w:szCs w:val="16"/>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w:t>
      </w:r>
      <w:r w:rsidRPr="00781112">
        <w:rPr>
          <w:rFonts w:cs="Arial"/>
          <w:color w:val="000000" w:themeColor="text1"/>
          <w:szCs w:val="16"/>
        </w:rPr>
        <w:lastRenderedPageBreak/>
        <w:t xml:space="preserve">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rFonts w:cs="Arial"/>
          <w:color w:val="000000" w:themeColor="text1"/>
          <w:szCs w:val="16"/>
        </w:rPr>
        <w:br/>
      </w:r>
      <w:r w:rsidRPr="00781112">
        <w:rPr>
          <w:rFonts w:cs="Arial"/>
          <w:color w:val="000000" w:themeColor="text1"/>
          <w:szCs w:val="16"/>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rFonts w:cs="Arial"/>
          <w:color w:val="000000" w:themeColor="text1"/>
          <w:szCs w:val="16"/>
        </w:rPr>
        <w:br/>
      </w:r>
      <w:r w:rsidRPr="00781112">
        <w:rPr>
          <w:rFonts w:cs="Arial"/>
          <w:color w:val="000000" w:themeColor="text1"/>
          <w:szCs w:val="16"/>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rFonts w:cs="Arial"/>
          <w:color w:val="000000" w:themeColor="text1"/>
          <w:szCs w:val="16"/>
        </w:rPr>
        <w:br/>
      </w:r>
      <w:r w:rsidRPr="00781112">
        <w:rPr>
          <w:rFonts w:cs="Arial"/>
          <w:color w:val="000000" w:themeColor="text1"/>
          <w:szCs w:val="16"/>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80.00%-100.00%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80.00%-100.00%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80.00% - 100.00%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80.00% - 100.00%</w:t>
            </w: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p>
        </w:tc>
        <w:tc>
          <w:tcPr>
            <w:tcW w:w="390" w:type="pct"/>
          </w:tcPr>
          <w:p w14:paraId="649AE909" w14:textId="0F92F564" w:rsidR="00643D78" w:rsidRPr="00781112" w:rsidRDefault="00643D78" w:rsidP="00643D78">
            <w:pPr>
              <w:jc w:val="center"/>
              <w:rPr>
                <w:rFonts w:cs="Arial"/>
                <w:color w:val="000000" w:themeColor="text1"/>
                <w:szCs w:val="16"/>
              </w:rPr>
            </w:pPr>
          </w:p>
        </w:tc>
        <w:tc>
          <w:tcPr>
            <w:tcW w:w="389" w:type="pct"/>
          </w:tcPr>
          <w:p w14:paraId="25EADA49" w14:textId="5D988809" w:rsidR="00643D78" w:rsidRPr="00781112" w:rsidRDefault="00643D78" w:rsidP="00643D78">
            <w:pPr>
              <w:jc w:val="center"/>
              <w:rPr>
                <w:rFonts w:cs="Arial"/>
                <w:color w:val="000000" w:themeColor="text1"/>
                <w:szCs w:val="16"/>
              </w:rPr>
            </w:pPr>
          </w:p>
        </w:tc>
        <w:tc>
          <w:tcPr>
            <w:tcW w:w="390" w:type="pct"/>
          </w:tcPr>
          <w:p w14:paraId="3DC4D818" w14:textId="0C27E24D" w:rsidR="00643D78" w:rsidRPr="00781112" w:rsidRDefault="00643D78" w:rsidP="00643D78">
            <w:pPr>
              <w:jc w:val="center"/>
              <w:rPr>
                <w:rFonts w:cs="Arial"/>
                <w:color w:val="000000" w:themeColor="text1"/>
                <w:szCs w:val="16"/>
              </w:rPr>
            </w:pPr>
          </w:p>
        </w:tc>
        <w:tc>
          <w:tcPr>
            <w:tcW w:w="390" w:type="pct"/>
          </w:tcPr>
          <w:p w14:paraId="43A2E5B0" w14:textId="3FA796D7" w:rsidR="00643D78" w:rsidRPr="00781112" w:rsidRDefault="00643D78" w:rsidP="00643D78">
            <w:pPr>
              <w:jc w:val="center"/>
              <w:rPr>
                <w:rFonts w:cs="Arial"/>
                <w:color w:val="000000" w:themeColor="text1"/>
                <w:szCs w:val="16"/>
              </w:rPr>
            </w:pPr>
          </w:p>
        </w:tc>
        <w:tc>
          <w:tcPr>
            <w:tcW w:w="389" w:type="pct"/>
          </w:tcPr>
          <w:p w14:paraId="5B526A07" w14:textId="0569A055" w:rsidR="00643D78" w:rsidRPr="00781112" w:rsidRDefault="00643D78" w:rsidP="00643D78">
            <w:pPr>
              <w:jc w:val="center"/>
              <w:rPr>
                <w:rFonts w:cs="Arial"/>
                <w:color w:val="000000" w:themeColor="text1"/>
                <w:szCs w:val="16"/>
              </w:rPr>
            </w:pPr>
          </w:p>
        </w:tc>
        <w:tc>
          <w:tcPr>
            <w:tcW w:w="390" w:type="pct"/>
          </w:tcPr>
          <w:p w14:paraId="03BA6743" w14:textId="1B527A38" w:rsidR="00643D78" w:rsidRPr="00781112" w:rsidRDefault="00643D78" w:rsidP="00643D78">
            <w:pPr>
              <w:jc w:val="center"/>
              <w:rPr>
                <w:rFonts w:cs="Arial"/>
                <w:color w:val="000000" w:themeColor="text1"/>
                <w:szCs w:val="16"/>
              </w:rPr>
            </w:pPr>
          </w:p>
        </w:tc>
        <w:tc>
          <w:tcPr>
            <w:tcW w:w="390" w:type="pct"/>
          </w:tcPr>
          <w:p w14:paraId="21182B37" w14:textId="3F967812" w:rsidR="00643D78" w:rsidRPr="00781112" w:rsidRDefault="00643D78" w:rsidP="00643D78">
            <w:pPr>
              <w:jc w:val="center"/>
              <w:rPr>
                <w:rFonts w:cs="Arial"/>
                <w:color w:val="000000" w:themeColor="text1"/>
                <w:szCs w:val="16"/>
              </w:rPr>
            </w:pPr>
          </w:p>
        </w:tc>
        <w:tc>
          <w:tcPr>
            <w:tcW w:w="389" w:type="pct"/>
          </w:tcPr>
          <w:p w14:paraId="373EA776" w14:textId="46276E17" w:rsidR="00643D78" w:rsidRPr="00781112" w:rsidRDefault="00643D78" w:rsidP="00643D78">
            <w:pPr>
              <w:jc w:val="center"/>
              <w:rPr>
                <w:rFonts w:cs="Arial"/>
                <w:color w:val="000000" w:themeColor="text1"/>
                <w:szCs w:val="16"/>
              </w:rPr>
            </w:pPr>
          </w:p>
        </w:tc>
        <w:tc>
          <w:tcPr>
            <w:tcW w:w="390" w:type="pct"/>
          </w:tcPr>
          <w:p w14:paraId="79AB2278" w14:textId="20EEF8A6" w:rsidR="00643D78" w:rsidRPr="00781112" w:rsidRDefault="00643D78" w:rsidP="00643D78">
            <w:pPr>
              <w:jc w:val="center"/>
              <w:rPr>
                <w:rFonts w:cs="Arial"/>
                <w:color w:val="000000" w:themeColor="text1"/>
                <w:szCs w:val="16"/>
              </w:rPr>
            </w:pPr>
          </w:p>
        </w:tc>
        <w:tc>
          <w:tcPr>
            <w:tcW w:w="390" w:type="pct"/>
          </w:tcPr>
          <w:p w14:paraId="3556562C" w14:textId="71B74796" w:rsidR="00643D78" w:rsidRPr="00781112" w:rsidRDefault="00643D78" w:rsidP="00643D78">
            <w:pPr>
              <w:jc w:val="center"/>
              <w:rPr>
                <w:rFonts w:cs="Arial"/>
                <w:color w:val="000000" w:themeColor="text1"/>
                <w:szCs w:val="16"/>
              </w:rPr>
            </w:pP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443" w:type="pct"/>
            <w:shd w:val="clear" w:color="auto" w:fill="auto"/>
          </w:tcPr>
          <w:p w14:paraId="14F44B66" w14:textId="2D578106" w:rsidR="00ED71A6" w:rsidRPr="00781112" w:rsidRDefault="00ED71A6" w:rsidP="00A018D4">
            <w:pPr>
              <w:jc w:val="center"/>
              <w:rPr>
                <w:rFonts w:cs="Arial"/>
                <w:color w:val="000000" w:themeColor="text1"/>
                <w:szCs w:val="16"/>
              </w:rPr>
            </w:pPr>
          </w:p>
        </w:tc>
        <w:tc>
          <w:tcPr>
            <w:tcW w:w="649" w:type="pct"/>
            <w:shd w:val="clear" w:color="auto" w:fill="auto"/>
          </w:tcPr>
          <w:p w14:paraId="7AFD5514" w14:textId="2BA34E2F" w:rsidR="00ED71A6" w:rsidRPr="00781112" w:rsidRDefault="00ED71A6" w:rsidP="00A018D4">
            <w:pPr>
              <w:jc w:val="center"/>
              <w:rPr>
                <w:rFonts w:cs="Arial"/>
                <w:color w:val="000000" w:themeColor="text1"/>
                <w:szCs w:val="16"/>
              </w:rPr>
            </w:pPr>
          </w:p>
        </w:tc>
        <w:tc>
          <w:tcPr>
            <w:tcW w:w="705" w:type="pct"/>
            <w:shd w:val="clear" w:color="auto" w:fill="auto"/>
          </w:tcPr>
          <w:p w14:paraId="63B5D5FA" w14:textId="35BBEC35" w:rsidR="00ED71A6" w:rsidRPr="00781112" w:rsidRDefault="00ED71A6" w:rsidP="00A018D4">
            <w:pPr>
              <w:jc w:val="center"/>
              <w:rPr>
                <w:rFonts w:cs="Arial"/>
                <w:color w:val="000000" w:themeColor="text1"/>
                <w:szCs w:val="16"/>
              </w:rPr>
            </w:pP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Montana does not meet the minimum N for this indicator.  Per OSEP through PSC:  Montana’s “submissions will be reviewed by OSEP Staff, but they will take the state’s N size into account and act accordingly. An explanation from the state included with the indicators the issue with low N size would be appropriate.”</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2020. The State is not required to provide targets until any fiscal year in which ten or more mediations were held. </w:t>
      </w:r>
    </w:p>
    <w:p w14:paraId="55A8CDDB" w14:textId="51F8AA9B" w:rsidR="00913A33" w:rsidRPr="00781112" w:rsidRDefault="001C46DC" w:rsidP="00123D76">
      <w:pPr>
        <w:pStyle w:val="Heading2"/>
      </w:pPr>
      <w:r w:rsidRPr="00781112">
        <w:lastRenderedPageBreak/>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number and percent of American Indian students with disabilities who successfully complete their secondary education will increase.</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Relationships play a key role in the Montana SSIP.  With this in mind, targeted areas for outreach and support through the Critical Friends’ Network (CFN) are based on the SSIP Director’s established relationships. Roll out for the CFN began in January 2021 with the NE Region schools on the Fort Belknap Reservation and Fort Peck Reservation (Wolf Point, Frazer, Poplar, Brockton, Hays/Lodge Pole). Expanded outreach will begin in early 2022 with a CFN in our SE Region schools on the Northern Cheyenne Reservation and Crow Reservation (Lodge Grass, Lame Deer, Pryor). Targeted areas also align with the Montana Office of Public Instruction’s Regional Summit for Comprehensive Schools hosted in early August 2021. Key agency personnel who directly serve these schools in a supportive capacity were introduced to better enhance working relationships between the SEA and the LEAs receiving Comprehensive support per the Montana ESSA plan.</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https://opi.mt.gov/Portals/182/Page Files/Special Education/Annual Performance Report/MT_ToA_ FINAL.pdf?ver=2021-12-02-090633-033</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7"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7"/>
      <w:r w:rsidRPr="00730C62">
        <w:rPr>
          <w:b/>
          <w:bCs/>
          <w:szCs w:val="16"/>
        </w:rPr>
        <w:t>to implement without any modifications to the SSIP.</w:t>
      </w:r>
    </w:p>
    <w:p w14:paraId="69B31FC3" w14:textId="6FA94771" w:rsidR="00CF0910" w:rsidRDefault="00CF0910" w:rsidP="00CF0910">
      <w:r w:rsidRPr="00781112">
        <w:t>A qualitative approach to data collection was selected to maintain the design integrity of MT’s relational approach. It was imperative that the data collection method empower stakeholders to be valued team members in the process and appreciate lending their voice to reflections and growth. Stakeholder empowerment in the SSIP process may provide the impetus to emerge as stronger educators giving the tools to Indigenous youth to engage in their schooling, exiting with a high school diploma—the SiMR goal. Rubrics were developed for use with both the Critical Friends Network (CFN) and Tribal Consultation, using the OPI-required survey template in Google suites. The rubrics are identical in nature, but adjusted to fit the applicable activity. Rubric selection is based on the following criteria: 1) it is a continuum of growth; 2) doesn’t require administering on a regular basis but at random check points; 3) demonstrates a partnership in the process as well as an opt out; and 4) it is qualitative in nature staying clear of quantifying professional relationships and growing together to better serve students.</w:t>
      </w:r>
      <w:r w:rsidRPr="00781112">
        <w:br/>
      </w:r>
      <w:r w:rsidRPr="00781112">
        <w:br/>
        <w:t>The rubrics were only distributed once as a quarterly distribution was deemed repetitive for establishing baseline. The CFN rubric was sent to stakeholders in the NE Region CFN. The respondent pool came from the following schools and the tribal nations they are within—Wolf Point, Frazer, Poplar, Brockton (Fort Peck), Hays/Lodge Pole (Fort Belknap). The initial CFN invite outlined the SSIP as well as the SiMR, with subsequent correspondence refreshing both. Distribution was sent blind copy via private/professional e-mail to individual special education teachers. The Tribal Consultation rubric was sent to stakeholders participating in the agency’s inaugural Tribal Consultation process. The respondent pool came from the following Tribal Nations--Fort Belknap, Fort Peck, Blackfeet, Chippewa Cree, Little Shell, Salish and Kootenai, and Crow. Distribution was sent blind copy via private/professional e-mail to individual Tribal Consultation stakeholders.</w:t>
      </w:r>
      <w:r w:rsidRPr="00781112">
        <w:br/>
      </w:r>
      <w:r w:rsidRPr="00781112">
        <w:br/>
        <w:t>Critical Friends’ Network Data Collection: Baseline Data Established FY21</w:t>
      </w:r>
      <w:r w:rsidRPr="00781112">
        <w:br/>
        <w:t>Total distribution was N=8 with a return rate of 25% (2/8). The rubric’s 7-point continuum ranges from low-to-no level engagement to high-level engagement, with incremental engagement levels indicated from 2 thru 6. Low-to-no level engagement reads I have little or no knowledge about inclusion and have no plans to use the practice. High-level engagement reads I use inclusionary practices and I am working with colleagues to combine my effort with theirs to achieve a collective impact on our students.</w:t>
      </w:r>
      <w:r w:rsidRPr="00781112">
        <w:br/>
        <w:t>Both (2/8; 25%) rubric respondents are at rubric level 4: I am using inclusionary practices. At this point, I am primarily dealing with logistical issues such as planning appropriate activities, and/or figuring out how to fit inclusion into IEP goals.</w:t>
      </w:r>
      <w:r w:rsidRPr="00781112">
        <w:br/>
        <w:t>The rubric allows for an open-ended response and both (100%) rubric respondents provided the following comments:</w:t>
      </w:r>
      <w:r w:rsidRPr="00781112">
        <w:br/>
        <w:t>--I am a sped teacher, so I am trying to get my students to be in the general education classroom comfortably. It takes a lot of working with others and there is not always enough time in the days to get the prep done but it is getting there.</w:t>
      </w:r>
      <w:r w:rsidRPr="00781112">
        <w:br/>
        <w:t>--Unclear what is asked here</w:t>
      </w:r>
      <w:r w:rsidRPr="00781112">
        <w:br/>
        <w:t xml:space="preserve">The baseline data indicates the state   has accomplished all 4 of its goals determined to be critical in the rubric design. It appears that the overall purpose and design of the qualitative approach to data collection has worked as intended— it allowed stakeholders to begin to develop a deeper understanding of their participation in the CFN, and how it connects to the work they do in their individual schools/districts, over the past year. Data also appears to indicate that the primary topic of inclusion is still of value to CFN stakeholders. </w:t>
      </w:r>
      <w:r w:rsidRPr="00781112">
        <w:br/>
      </w:r>
      <w:r w:rsidRPr="00781112">
        <w:br/>
      </w:r>
      <w:r w:rsidRPr="00781112">
        <w:lastRenderedPageBreak/>
        <w:t>Tribal Consultation Data Collection: Baseline Data Established FY21</w:t>
      </w:r>
      <w:r w:rsidRPr="00781112">
        <w:br/>
        <w:t>Total distribution was N=15 with a return rate of 33% (5/15).</w:t>
      </w:r>
      <w:r w:rsidRPr="00781112">
        <w:br/>
        <w:t xml:space="preserve">The 7-point continuum ranges from low-to-no level engagement to high-level engagement, with incremental engagement levels indicated from 2 thru 6. Low-to-no level engagement reads I have little or no knowledge about tribal consultation and have no plans to engage in the practice. High-level engagement reads I engage in tribal consultation and I am working with colleagues to combine my effort with theirs to achieve a collective impact on youth in our community. </w:t>
      </w:r>
      <w:r w:rsidRPr="00781112">
        <w:br/>
        <w:t>Two of 5 (40%) rubric respondents are at rubric level 2: I am gathering general information about tribal consultation through reading, discussions, observations, or workshops.</w:t>
      </w:r>
      <w:r w:rsidRPr="00781112">
        <w:br/>
        <w:t>One of 5 (20%) rubric respondents are at rubric level 5: I am engaging in tribal consultation. At this point, I am primarily dealing with logistical issues such as planning appropriate activities, and/or figuring out how to fit tribal consultation into my role in my career and/or community.</w:t>
      </w:r>
      <w:r w:rsidRPr="00781112">
        <w:br/>
        <w:t xml:space="preserve">Two of 5 (40%) rubric respondents are at rubric level 6: I routinely engage in tribal consultation, and I am satisfied with how the tribal consultation process is being implemented. </w:t>
      </w:r>
      <w:r w:rsidRPr="00781112">
        <w:br/>
        <w:t>The rubric allows for an open-ended response and 5/5 (100%) rubric respondents provided the following comments:</w:t>
      </w:r>
      <w:r w:rsidRPr="00781112">
        <w:br/>
        <w:t>--Just starting the conversation now…been working for three years to get our foot in the door!</w:t>
      </w:r>
      <w:r w:rsidRPr="00781112">
        <w:br/>
        <w:t>--I do not know much but would definitely like to learn</w:t>
      </w:r>
      <w:r w:rsidRPr="00781112">
        <w:br/>
        <w:t>--I think that meaningful and timely Tribal Consultation will gain more traction from a two-pronged approach as your unit continues to reach schools and districts through your work AND as we as tribal entities cultivate strong partnerships with those same schools and districts.</w:t>
      </w:r>
      <w:r w:rsidRPr="00781112">
        <w:br/>
        <w:t>--I have tried to meet with the Education Committee but they never (note: response was not altered from original)</w:t>
      </w:r>
      <w:r w:rsidRPr="00781112">
        <w:br/>
        <w:t xml:space="preserve">--We engage in the tribal consultation for health and safety of our students. We also get students to present to the tribal council often. We write policy and laws and we have a forum every election. </w:t>
      </w:r>
      <w:r w:rsidRPr="00781112">
        <w:br/>
        <w:t>Baseline data appears to indicate MT has accomplished all 4 goals determined to be critical in the rubric design. The overall purpose and design of the qualitative approach to data collection has worked as intended—allowing stakeholders to begin to develop a deeper understanding of their participation in the Tribal Consultation process.</w:t>
      </w:r>
      <w:r w:rsidRPr="00781112">
        <w:br/>
        <w:t xml:space="preserve">Changes to data collection in FY22 will include rubric dissemination quarterly to meet the original intent with the rubric design. Reflection and growth are critical aspects of the SSIP design as MT continues to strive to meet the SiMR goal of increased completion rates for Montana’s Indigenous youth with disabilities. The relational approach to working with stakeholders will continue to allow MT to improve our processes for the students served. A quarterly checkpoint will give stakeholder voice a prominent place in the SSIP. It will also allow MT to track what steps in the emergence cycle are beneficial and adjust where needed.  It will also continue to lift the voices of Tribal elders through consistent and meaningful interactions steeped in respectful relationships.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63.50%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68.50%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68.60%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68.70%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68.80%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68.90%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69.00%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American Indian Special Education High School Completers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American Indian Special Education High School Students eligible to complete in 2020-2021</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107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148</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68.50%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68.50%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72.30%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for the FFY2020 Data came from the Graduation/Dropout certification taken in Fall 2020.  This certification is done within Montana’s statewide student information system.</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Data are collected within the statewide student information system, and certified to the OPI through the Graduation/Dropout certification.  Data is verified and analyzed by the Data Operations team of OPI.</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https://opi.mt.gov/Portals/182/Page Files/Special Education/Annual Performance Report/Evaluation Questions FINAL 3-26-2020.pdf?ver=2021-12-02-090632-053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Tribal Consultation (Elder committees per tribe/region): </w:t>
      </w:r>
      <w:r w:rsidRPr="00781112">
        <w:rPr>
          <w:color w:val="000000" w:themeColor="text1"/>
        </w:rPr>
        <w:br/>
        <w:t>Partnering internally with the Tribal, Family, Community Liaison/Tribal Relations and Resiliency Unit allows for the Montana ESSA requirement of Tribal Consultation to move forward. The SSIP/Tribal Consultation partnership brings experienced elders to the table along with experienced personnel at the OPI, utilizing the roots of Indigenous Restorative Practice, to gain a deeper understanding of traditional Indigenous ways of 1. Being (King &amp; Guillory, 2015); 2. Teaching and Learning; 3. Connecting to cultural roots/heritage; along with 4. Walking in both worlds. Giving voice to the Montana Tribal Nations through their elders is the impetus for continued movement at the OPI to give voice to Indigenous Youth, empowering staff at the schools on or near our Montana American Indian Reservations, and revitalizing hope within the communities themselves as they help their children succeed in walking in both worlds.</w:t>
      </w:r>
      <w:r w:rsidRPr="00781112">
        <w:rPr>
          <w:color w:val="000000" w:themeColor="text1"/>
        </w:rPr>
        <w:br/>
      </w:r>
      <w:r w:rsidRPr="00781112">
        <w:rPr>
          <w:color w:val="000000" w:themeColor="text1"/>
        </w:rPr>
        <w:br/>
        <w:t>The Tribal Relations and Resiliency Unit (TRRU) was developed to build relationships and understandings within the Office of Public Instruction (OPI) and Montana school districts to incorporate Tribal voice, share resources and build connections through consultation on matters affecting American Indian students.  Consultation, defined within ESSA requirements, will work to create these opportunities for school districts and tribal leaders to work collaboratively for the benefit of the youth.  This is an historic time, and the new ESSA gives MT an excellent opportunity to re-envision the educational systems in Indian country.</w:t>
      </w:r>
      <w:r w:rsidRPr="00781112">
        <w:rPr>
          <w:color w:val="000000" w:themeColor="text1"/>
        </w:rPr>
        <w:br/>
      </w:r>
      <w:r w:rsidRPr="00781112">
        <w:rPr>
          <w:color w:val="000000" w:themeColor="text1"/>
        </w:rPr>
        <w:br/>
        <w:t>The partnership of the SSIP Implementation Specialist and the TRRU team will continue providing holistic supports allowing the interagency partners to incorporate the local resources of the tribal communities into the work. Through Tribal consultation and partnership, MT will lift the resiliency, wisdom, and beauty of the Indigenous people at every level within OPI and local educational agencies (LEAs).</w:t>
      </w:r>
      <w:r w:rsidRPr="00781112">
        <w:rPr>
          <w:color w:val="000000" w:themeColor="text1"/>
        </w:rPr>
        <w:br/>
      </w:r>
      <w:r w:rsidRPr="00781112">
        <w:rPr>
          <w:color w:val="000000" w:themeColor="text1"/>
        </w:rPr>
        <w:br/>
        <w:t>Tribal Consultation is a requirement under section 8538 of the ESEA, as amended by the ESSA, for affected LEAs to consult with Indian tribes and tribal organizations on issues affecting American Indian (AI) Students.  An affected LEA is defined within the ESSA requirements, as a school district or system that have either 50% or more of its student enrollment made up of American Indian/Alaska Native (AI/AN) students; or received an Indian education formula grant under Title VI of the ESEA, as amended by the ESSA, in the previous fiscal year that exceeded $40,000, and which also educate AI/AN students. Affected LEAs who meet these criteria are required to consult with local Indian tribes or tribal organizations prior to submitting a plan or application under covered ESEA (ESSA) formula grant programs. ( https://opi.mt.gov/Portals/182/ESSA/Guidance%20on%20Initiating%20Interagency%20Requests%20for%20Effective%20Tribal%20Consultation.pdf?ver=2020-11-09-102619-830 )</w:t>
      </w:r>
      <w:r w:rsidRPr="00781112">
        <w:rPr>
          <w:color w:val="000000" w:themeColor="text1"/>
        </w:rPr>
        <w:br/>
      </w:r>
      <w:r w:rsidRPr="00781112">
        <w:rPr>
          <w:color w:val="000000" w:themeColor="text1"/>
        </w:rPr>
        <w:br/>
        <w:t xml:space="preserve">King, L., &amp; Guillory, G. (2015). Tribal TTA Center Healing-informed Care Handout. Alexandria, VA; SAMHSA.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federally required Montana ESSA framework, section 8538 of the ESEA, allowed stakeholders in the Tribal Consultation the “nudge”/ability (Thaler) to incorporate Tribal voice across Montana’s education system, on and off Montana tribal nations. This is significant in helping the agency shape culturally significant, equitable educational outcomes for Montana’s Indigenous youth steeped in respect, honor, and value. To quote Safir, Dugan, &amp; Wilson in Street Data: A Next Generation Model for Equity, Pedagogy, and School Transformation, OPI stakeholders are “…choosing the margins as a starting point for our data conversations…inverting the pyramid, shifting the dynamics of power, and bringing children to the center of education discourse.” (2021, p. 52) Over the past year, the TRRU has held consistent Tribal Consultation meetings through Zoom and in-person with the following Montana Tribal Nations--Fort Belknap, Fort Peck, Blackfeet, Chippewa Cree, Little Shell, Salish and Kootenai, and Crow. Education was the focal point of discussions. Modern technology aided the historical Indigenous Restorative Practice and gathering in Circles to ignite relationships leading to powerful movement in this work. Stakeholders who have influence in the TRUU provided meaningful input and recognition that historical Tribal perspectives on knowledge and guidance around educating youth is most needed. This valuable input has allowed stakeholders to begin to incorporate centuries-old practices of self-identity and strength into our school systems serving Indigenous youth. Mutual inclusivity was achieved through braiding the two worlds of Western and Traditional approaches, allowing stakeholders to embed tribally specific cultural identity and support systems for the youth. This inside-approach is fast becoming the missing link to showing  young people how to succeed in walking in both worlds. While respecting the complications COVID brought to group dialogue, stakeholders were able to organize and facilitate discussions, blending Indigenous Ways of Being with a modern lens of social and emotional supports, allowing barriers  to be broken that have been in place since the Carlisle Boarding School Era. Tribal Consultation has given Montana Tribal leaders their voice back. Some leaders have extended collaborative efforts by sharing tribal funds and resources to strengthen support  youth. The re-emergence of Tribal voice, braiding Western and Traditional educational approaches, and engaging in deep listening (Safir, et al., 2021) inherent in Restorative Practice and gathering in Circles are paramount to sustainable shifts resulting in the desired graduation outcomes for Montana’s Indigenous youth defined in MT’sSiMR. If a child can see themselves mirrored in their school setting, they are more likely to become and stay engaged, feel empowered to succeed, and mentor/model those successes for peers. </w:t>
      </w:r>
      <w:r w:rsidRPr="00781112">
        <w:rPr>
          <w:color w:val="000000" w:themeColor="text1"/>
        </w:rPr>
        <w:br/>
      </w:r>
      <w:r w:rsidRPr="00781112">
        <w:rPr>
          <w:color w:val="000000" w:themeColor="text1"/>
        </w:rPr>
        <w:br/>
      </w:r>
      <w:r w:rsidRPr="00781112">
        <w:rPr>
          <w:color w:val="000000" w:themeColor="text1"/>
        </w:rPr>
        <w:lastRenderedPageBreak/>
        <w:t xml:space="preserve">Safir, S., Dugan, J., &amp; Wilson, C. (2021). Street Data: A Next-Generation Model for Equity, Pedagogy, and </w:t>
      </w:r>
      <w:r w:rsidRPr="00781112">
        <w:rPr>
          <w:color w:val="000000" w:themeColor="text1"/>
        </w:rPr>
        <w:br/>
        <w:t>School Transformation. Corwin.</w:t>
      </w:r>
      <w:r w:rsidRPr="00781112">
        <w:rPr>
          <w:color w:val="000000" w:themeColor="text1"/>
        </w:rPr>
        <w:br/>
      </w:r>
      <w:r w:rsidRPr="00781112">
        <w:rPr>
          <w:color w:val="000000" w:themeColor="text1"/>
        </w:rPr>
        <w:br/>
        <w:t>Thaler, R. H., &amp; Sunstein, C. R. (2021). Nudge. The final edition. Yale University Press.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The partnership of the SSIP Director and the TRRU team will continue providing holistic supports allowing the interagency partners to incorporate the local resources of tribal communities into MT’s work.  Through Tribal consultation and partnership, MT will lift the resiliency, wisdom, and beauty of the Indigenous people at every level within OPI and local educational agencies (LEAs).  The federally required Montana ESSA framework along with an increase in use of qualitative data to capture the voice of  primary stakeholders,  Montana tribal elders, will continue to be the nudge needed to incorporate Tribal Consultation across more schools in Montana. While we can’t predicate what percentage of increase, OPI personnel will continue to use the historical Indigenous Restorative Practice and gathering in Circles to sustain and nurture developed and newly formed relationships. OPI personnel anticipate using both virtual settings such as Zoom and in-person when allowed to continue this vital work on behalf of  Montana’s Indigenous youth. Relationships are the key to the Montana SSIP and OPI personnel are confident that this strength-based approach will continue to open doors, further empowering  Indigenous youth to see themselves reflected in their school settings. </w:t>
      </w:r>
      <w:r w:rsidRPr="00781112">
        <w:rPr>
          <w:color w:val="000000" w:themeColor="text1"/>
        </w:rPr>
        <w:br/>
      </w:r>
      <w:r w:rsidRPr="00781112">
        <w:rPr>
          <w:color w:val="000000" w:themeColor="text1"/>
        </w:rPr>
        <w:br/>
        <w:t>Thaler, R. H., &amp; Sunstein, C. R. (2021). Nudge. The final edition. Yale University Press.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Critical Friends’ Network:</w:t>
      </w:r>
      <w:r w:rsidRPr="00781112">
        <w:rPr>
          <w:color w:val="000000" w:themeColor="text1"/>
        </w:rPr>
        <w:br/>
        <w:t>The Montana Critical Friends’ Network (CFN), developed by the MT SSIP Director, had its start with the NE Region in March 2021. The NE Region is comprised of the following Comprehensive Support Schools—Wolf Point, Frazer, Poplar, Brockton (all within the Fort Peck Reservation), Hays/Lodge Pole (within the Fort Belknap Reservation). The Critical Friends’ Network is based on the premise that professional development offered through a Professional Learning Community (PLC) or Personalized Learning Network (PLN) provides the reciprocity of sharing information on an equal level. No one individual is ‘the expert’ but rather all stakeholders come with valuable experiences to share with each other while simultaneously learning from each other. Desimone’s (2009) “five features of effective professional development: content focus (studying subject matter); active learning (observing, reviewing, discussing); coherence (demonstrating consistency with knowledge, beliefs, policies, and reforms); duration (engaging in 20 or more hours of contact time spread over a semester); and collective participation (interacting and conversing with colleagues).” (Rock, 2019)</w:t>
      </w:r>
      <w:r w:rsidRPr="00781112">
        <w:rPr>
          <w:color w:val="000000" w:themeColor="text1"/>
        </w:rPr>
        <w:br/>
        <w:t xml:space="preserve">The chosen content of inclusion remains the guiding topic for our discussions. To encourage transformational skill building and learning for students served, the subtopic of Invention Literacy is this year’s focus. The basic structure of the CFN also remains the same: invitation only, regionally based, invite to special education teachers in the SSIP schools residing on or near  Montana reservations with a primary student population of Indigenous youth. Roll out for the CFN began in January 2021 with the NE Region schools on the Fort Belknap Reservation and Fort Peck Reservation (Wolf Point, Frazer, Poplar, Brockton, Hays/Lodge Pole). Targeted areas for roll out were based on  established relationships as well as the Montana Office of Public Instruction’s Regional Summit for Comprehensive Schools hosted in early August 2021. Key agency personnel who directly serve these schools in a supportive capacity were introduced to better enhance working relationships. </w:t>
      </w:r>
      <w:r w:rsidRPr="00781112">
        <w:rPr>
          <w:color w:val="000000" w:themeColor="text1"/>
        </w:rPr>
        <w:br/>
        <w:t xml:space="preserve">The delivery method is virtual (Zoom) with utilization of interactive tools such as Jamboard. Stakeholders in the CFN have agreed to a monthly 1-hour conversation that is confidential in nature. The group respects each other’s experiences, uncertainties, and want-to-know as they celebrate the diversity brought to the conversation both personally and professionally. </w:t>
      </w:r>
      <w:r w:rsidRPr="00781112">
        <w:rPr>
          <w:color w:val="000000" w:themeColor="text1"/>
        </w:rPr>
        <w:br/>
        <w:t xml:space="preserve">Rock, M. (2019). The eCoaching Continuum for Educators: Using Technology to Enrich Professional </w:t>
      </w:r>
      <w:r w:rsidRPr="00781112">
        <w:rPr>
          <w:color w:val="000000" w:themeColor="text1"/>
        </w:rPr>
        <w:br/>
        <w:t>Development and Improve Student Outcomes. Alexandria, VA: ASCD.</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Montana will continue to facilitate the CFN(s) with an Indigenous philosophical lens from the perspective of Relational Balance* by utilizing the roots of Indigenous Restorative Practice while engaging stakeholders via a virtual Circle. This past year’s dialogue lent itself to reinforcing one of the main tools used for centuries in Indigenous ways of teaching and learning that mirror westernized evidence-based instructional best-practices, that of relationships. One CFN stakeholder likened the time together as ‘family time’ stating that, “I never close my door, but I do for our time together because it is sacred for me, like spending time with my family. So much so, that I also put a sign up to please not disturb me for the hour.” As more traditional Indigenous ways of teaching and learning organically rise to the surface, Montana will cross walk them with like westernized evidence-based practices to honor cultural norms that have powerful impacts on both Indigenous teachers and students. </w:t>
      </w:r>
      <w:r w:rsidRPr="00781112">
        <w:rPr>
          <w:color w:val="000000" w:themeColor="text1"/>
        </w:rPr>
        <w:br/>
        <w:t>Continuing to mirror some Tribal Nations tradition of offering gifts to honor individuals and their accomplishments, MT offered a selection of professional materials as the ‘give away offering’ to acknowledge, honor and support Indigenous teachers’ educational efforts. This year’s ‘give away offering’ is a MakeyMakey@, a plug-n-play gadget capitalizing on Invention Literacy to explore STEAM in a fluid, non-threatening manner. The goal is STEAM focused literacy conversations with special educators to help them shift the way they teach/remediate STEAM concepts to move students from Routine Experts to Adaptive Experts with the ability to solve problems they have never seen before (Safir, Dugan, &amp; Wilson, 2021). The MakeyMakey@ is a transformational learning tool helping students embrace STEAM in a low stress, invigorating, self-esteem building environment, possibly leading to a career path for some. The power of Invention Literacy lies in learning via a no right or wrong answer process as invention is trial and error until you create the product you envisioned.</w:t>
      </w:r>
      <w:r w:rsidRPr="00781112">
        <w:rPr>
          <w:color w:val="000000" w:themeColor="text1"/>
        </w:rPr>
        <w:br/>
        <w:t>*Relational Balance philosophy is--when our relationships are in balance, all thrives around us. If we damage one component, we eventually see a domino effect. Adults achieving a relational balance strive for mental, physical, and spiritual well-being and health. We nurture our students along the same path of relational balance while helping them focus on the things that matter in their lives--family, academics, athletics, hobbies, and social/emotional well-being. The state of symbiosis in our human ecosystem. (Young &amp; Wetzel, 2020)</w:t>
      </w:r>
      <w:r w:rsidRPr="00781112">
        <w:rPr>
          <w:color w:val="000000" w:themeColor="text1"/>
        </w:rPr>
        <w:br/>
      </w:r>
      <w:r w:rsidRPr="00781112">
        <w:rPr>
          <w:color w:val="000000" w:themeColor="text1"/>
        </w:rPr>
        <w:br/>
        <w:t xml:space="preserve">Safir, S., Dugan, J., &amp; Wilson, C. (2021). Street Data: A Next-Generation Model for Equity, Pedagogy, and </w:t>
      </w:r>
      <w:r w:rsidRPr="00781112">
        <w:rPr>
          <w:color w:val="000000" w:themeColor="text1"/>
        </w:rPr>
        <w:br/>
        <w:t>School Transformation. Corwin.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The Critical Friends’ Network main content of inclusion is multi-faceted in its ability to allow Special Education teachers/related providers to continually emerge into better practitioners. The Montana SSIP focus is designed to show educators more efficient ways to serve the students on their IEP </w:t>
      </w:r>
      <w:r w:rsidRPr="00781112">
        <w:rPr>
          <w:color w:val="000000" w:themeColor="text1"/>
        </w:rPr>
        <w:lastRenderedPageBreak/>
        <w:t>caseloads, hopefully reducing teacher burnout and departure. Most teachers in the SSIP schools have caseloads ranging between 35-55 students because they are the sole special education provider in their rural district. Use of inclusionary practices, thoughtfully designed around place and purpose, will remove the burden of the special education teacher being the sole provider for students on IEPs to the students being supported by all applicable staff, licensed and support. The Office of Special Education Programs has recently identified inclusionary practices as the single most effective means of closing opportunity gaps for marginalized youth, both pre, during, and post-pandemic, as it is the only means of providing SPED identified youth with full access to the general core curriculum. Access to the general core curriculum is a basic right of all students in the educational system, with the role of Special Education used to design necessary support structures for student success within that curriculum. Students who are SPED identified, who have access to the general core curriculum, are more likely to be successful in their educational path leading to completion of high school with a diploma, the singular SiMR of the Montana SSIP—increased graduation rates for Indigenous youth who are SPED identified.</w:t>
      </w:r>
      <w:r w:rsidRPr="00781112">
        <w:rPr>
          <w:color w:val="000000" w:themeColor="text1"/>
        </w:rPr>
        <w:br/>
        <w:t xml:space="preserve">FY21s subtopic of Invention Literacy is designed to assist both teacher/related provider and student emergence into more effective STEAM instructors and concept users. The goal is STEAM focused literacy conversations with special educators to help them shift the way they teach/remediate STEAM concepts to move students from Routine Experts to Adaptive Experts with the ability to solve problems they have never seen before (Safir, Dugan, &amp; Wilson, 2021). The MakeyMakey@ is a transformational learning tool helping students embrace STEAM in a low stress, invigorating, self-esteem building environment, possibly leading to a career path for some. The power of Invention Literacy lies in learning via a no right or wrong answer process as invention is trial and error until you create the product you envisioned. Students who become and stay engaged, feel empowered to succeed in their academic settings, and are more likely to complete schooling through high school, earning their diplomas. </w:t>
      </w:r>
      <w:r w:rsidRPr="00781112">
        <w:rPr>
          <w:color w:val="000000" w:themeColor="text1"/>
        </w:rPr>
        <w:br/>
      </w:r>
      <w:r w:rsidRPr="00781112">
        <w:rPr>
          <w:color w:val="000000" w:themeColor="text1"/>
        </w:rPr>
        <w:br/>
        <w:t xml:space="preserve">Safir, S., Dugan, J., &amp; Wilson, C. (2021). Street Data: A Next-Generation Model for Equity, Pedagogy, and </w:t>
      </w:r>
      <w:r w:rsidRPr="00781112">
        <w:rPr>
          <w:color w:val="000000" w:themeColor="text1"/>
        </w:rPr>
        <w:br/>
        <w:t>School Transformation. Corwin.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A qualitative approach to data collection was selected to maintain the design integrity of the relational approach to the MT SSIP. It was imperative that the data collection method empowered stakeholders to be valued team members in this process and appreciate lending their voice to their reflections and growth. As valued team members, stakeholder empowerment in the MT SSIP process may provide the impetus to emerge as stronger educators giving the tools to Indigenous youth to engage in their schooling, exiting with a high school diploma—MT’s SiMR goal. </w:t>
      </w:r>
      <w:r w:rsidRPr="00781112">
        <w:rPr>
          <w:color w:val="000000" w:themeColor="text1"/>
        </w:rPr>
        <w:br/>
      </w:r>
      <w:r w:rsidRPr="00781112">
        <w:rPr>
          <w:color w:val="000000" w:themeColor="text1"/>
        </w:rPr>
        <w:br/>
        <w:t xml:space="preserve">A rubric was developed for use with the Critical Friends’ Network (CFN). The rubric is an adaptation from Killion’s (2008) book, Assessing Impact: Evaluating Staff Development (2nd Ed.). Rubric selection is based on the following criteria: 1) it is a continuum of growth; 2) doesn’t require administering on a regular basis but at random check points; 3) demonstrates a partnership in the process as well as an opt out; 4) and it is qualitative in nature staying clear of quantifying professional relationships and growing together to better serve students. </w:t>
      </w:r>
      <w:r w:rsidRPr="00781112">
        <w:rPr>
          <w:color w:val="000000" w:themeColor="text1"/>
        </w:rPr>
        <w:br/>
        <w:t>Critical Friends’ Network Data Collection: Baseline Data Established FY21</w:t>
      </w:r>
      <w:r w:rsidRPr="00781112">
        <w:rPr>
          <w:color w:val="000000" w:themeColor="text1"/>
        </w:rPr>
        <w:br/>
        <w:t xml:space="preserve">Rubric (https://docs.google.com/forms/d/e/1FAIpQLSft2BHF1JjVQjgu292abDlMk2Ken7YYifMyKcW-GGjUMsXzVA/viewform?usp=sf_link) was only distributed September-October as a quarterly distribution was deemed repetitive for establishing baseline. </w:t>
      </w:r>
      <w:r w:rsidRPr="00781112">
        <w:rPr>
          <w:color w:val="000000" w:themeColor="text1"/>
        </w:rPr>
        <w:br/>
        <w:t>The rubric was sent to stakeholders in the NE Region CFN.  The respondent pool come from the following Montana schools and the tribal nations they are within—Wolf Point, Frazer, Poplar, Brockton (Fort Peck), Hays/Lodge Pole (Fort Belknap). The rubric was designed using the OPI-required survey template in Google suites. Distribution was sent blind copy via private/professional e-mail to individual special education teachers. Total distribution was N=8 with a return rate of 25% (2/8).</w:t>
      </w:r>
      <w:r w:rsidRPr="00781112">
        <w:rPr>
          <w:color w:val="000000" w:themeColor="text1"/>
        </w:rPr>
        <w:br/>
        <w:t>The rubric’s 7-point continuum ranges from low-to-no level engagement to high-level engagement, with incremental engagement levels indicated from 2 thru 6. Low-to-no level engagement reads I have little or no knowledge about inclusion and have no plans to use the practice. High-level engagement reads I use inclusionary practices and I am working with colleagues to combine my effort with theirs to achieve a collective impact on our students.</w:t>
      </w:r>
      <w:r w:rsidRPr="00781112">
        <w:rPr>
          <w:color w:val="000000" w:themeColor="text1"/>
        </w:rPr>
        <w:br/>
        <w:t>Both (2/8; 25%) rubric respondents are at rubric level 4: I am using inclusionary practices. At this point, I am primarily dealing with logistical issues such as planning appropriate activities, and/or figuring out how to fit inclusion into IEP goals.</w:t>
      </w:r>
      <w:r w:rsidRPr="00781112">
        <w:rPr>
          <w:color w:val="000000" w:themeColor="text1"/>
        </w:rPr>
        <w:br/>
        <w:t>The rubric allows for an open-ended response and both (100%) rubric respondents provided the following comments:</w:t>
      </w:r>
      <w:r w:rsidRPr="00781112">
        <w:rPr>
          <w:color w:val="000000" w:themeColor="text1"/>
        </w:rPr>
        <w:br/>
        <w:t>--I am a sped teacher, so I am trying to get my students to be in the general education classroom comfortably. It takes a lot of working with others and there is not always enough time in the days to get the prep done but it is getting there.</w:t>
      </w:r>
      <w:r w:rsidRPr="00781112">
        <w:rPr>
          <w:color w:val="000000" w:themeColor="text1"/>
        </w:rPr>
        <w:br/>
        <w:t>--Unclear what is asked here</w:t>
      </w:r>
      <w:r w:rsidRPr="00781112">
        <w:rPr>
          <w:color w:val="000000" w:themeColor="text1"/>
        </w:rPr>
        <w:br/>
        <w:t xml:space="preserve">The baseline data indicates MT appears to have accomplished all 4 goals determined to be critical in the rubric design. Reflecting on the responses, the SSIP Director is pleased to have a 25% return rate as she is developing relationships in a virtual format, with people who, historically, may not have trusted outsiders nor governmental agencies. It appears that the overall purpose and design of the qualitative approach to data collection has done what was intended—allowed the stakeholders to begin to develop a deeper understanding of their participation in the CFN, and how it connects to the work they do in their individual schools/districts, over the past year. Data also appears to indicate that our primary topic of inclusion is still of value to CFN stakeholders. </w:t>
      </w:r>
      <w:r w:rsidRPr="00781112">
        <w:rPr>
          <w:color w:val="000000" w:themeColor="text1"/>
        </w:rPr>
        <w:br/>
      </w:r>
      <w:r w:rsidRPr="00781112">
        <w:rPr>
          <w:color w:val="000000" w:themeColor="text1"/>
        </w:rPr>
        <w:br/>
        <w:t>Changes to data collection in FY22 will include rubric dissemination quarterly to meet the original intent with the rubric design. Reflection and growth are critical aspects of the MT SSIP design as MT continues to strive to meet the SiMR goal of increased graduation rates for Montana’s Indigenous youth who are SPED identified. The MT SSIP Director feels strongly that the relational approach to working with stakeholders will continue to emerge as equal partners in this work, allowing MT to improve our processes for the students  served. A quarterly check point will give stakeholder voice a prominent place in our MT SSIP. It will also allow MT to track what steps in the emergence cycle are beneficial and adjust where needed.</w:t>
      </w:r>
      <w:r w:rsidRPr="00781112">
        <w:rPr>
          <w:color w:val="000000" w:themeColor="text1"/>
        </w:rPr>
        <w:br/>
      </w:r>
      <w:r w:rsidRPr="00781112">
        <w:rPr>
          <w:color w:val="000000" w:themeColor="text1"/>
        </w:rPr>
        <w:br/>
        <w:t xml:space="preserve">Killion, J. (2008). Assessing Impact: Evaluating Staff Development (2nd Ed.). Thousand Oaks, CA: Corwin </w:t>
      </w:r>
      <w:r w:rsidRPr="00781112">
        <w:rPr>
          <w:color w:val="000000" w:themeColor="text1"/>
        </w:rPr>
        <w:br/>
        <w:t>Press.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As the OPI leaders in the MT SSIP process continue to focus on MT’s SiMR, increased graduation rates for Indigenous youth who are SPED identified, a continuation of the activities in process (Critical Friends’ Network, CFN, and Tribal Consultation) that empower thestakeholders to guide the culturally relevant supports will remain the main focus for the upcoming year. Systemic change takes time, and MT believes that the education system the Indigenous youth are involved in is becoming a reflection of who they are. The OPI leaders recognize that graduation success begins at kindergarten and the focus will be to guide the academic successes of all Indigenous youth from K-12, setting them up for post-graduation goals of their choosing.  As MT reflected on staff assigned to support students on IEPs, it has become evident that paraprofessionals have a significant part in providing necessary supports for students. Because paraprofessionals spend a lot of time with students one-to-one, there is consideration for opening a CFN for </w:t>
      </w:r>
      <w:r w:rsidRPr="00781112">
        <w:rPr>
          <w:color w:val="000000" w:themeColor="text1"/>
        </w:rPr>
        <w:lastRenderedPageBreak/>
        <w:t xml:space="preserve">paraprofessionals in the targeted SSIP schools to train the paraprofessionals on Invention Literacy.  Expanded outreach will also begin in early 2022 with a Critical Friends’ Network in our SE Region schools on the Northern Cheyenne Reservation and Crow Reservation (Lodge Grass, Lame Deer, Pryor). Inclusion will remain the main conversational focus, along with teachers being provided strategies for implementing thoughtfully designed inclusion around place and purpose. Invention Literacy will remain the subtopic of conversation as STEAM skill building is critical to 21st century college and career outcomes for all students, including those with identified support needs. The OPI leaders are hopeful that strengthening our burgeoning stakeholder relationships will encourage more stakeholders to lend their voice by participating in our quarterly rubric data collection, expressing confidence in their skills—newly acquired or enhanced, being more apt to provide a reflective response to our rubrics’ open-ended statements, and perhaps reaching out to us to hold meaningful conversations on their applicable roll—within the CFN or Tribal Consultation.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Discussions and Stakeholder input of the SPP, APR, SSIP, and Results Driven Accountability (RDA)/Results Based Accountability (RBA) began in 2013 with our State Special Education Advisory Panel. The Panel is fully vested and broadly representative of Montana. Additionally, many of the panel members as well as SEA staff serve in other agency or organization leadership positions or on advisory groups in the disability community. This enables MT to draw insight and advice from a broad group of stakeholders with an understanding of Montana's unique needs, strengths, and potential weaknesses. </w:t>
      </w:r>
      <w:r w:rsidRPr="00781112">
        <w:rPr>
          <w:color w:val="000000" w:themeColor="text1"/>
        </w:rPr>
        <w:br/>
      </w:r>
      <w:r w:rsidRPr="00781112">
        <w:rPr>
          <w:color w:val="000000" w:themeColor="text1"/>
        </w:rPr>
        <w:br/>
        <w:t>Other stakeholder groups we sponsor and/or engage include:</w:t>
      </w:r>
      <w:r w:rsidRPr="00781112">
        <w:rPr>
          <w:color w:val="000000" w:themeColor="text1"/>
        </w:rPr>
        <w:br/>
      </w:r>
      <w:r w:rsidRPr="00781112">
        <w:rPr>
          <w:color w:val="000000" w:themeColor="text1"/>
        </w:rPr>
        <w:br/>
        <w:t>• Our CSPD includes both regional and state councils that regularly meet to assess APR data and to evaluate professional development priorities and results.</w:t>
      </w:r>
      <w:r w:rsidRPr="00781112">
        <w:rPr>
          <w:color w:val="000000" w:themeColor="text1"/>
        </w:rPr>
        <w:br/>
        <w:t>• The OPI School Mental Health coordinator worked collaboratively with the Children’s Mental Health Bureau at the Department of Public Health and Human Services (DPHHS) to facilitate the provision of mental health services in schools through Comprehensive School and Community Treatment services (CSCT).</w:t>
      </w:r>
      <w:r w:rsidRPr="00781112">
        <w:rPr>
          <w:color w:val="000000" w:themeColor="text1"/>
        </w:rPr>
        <w:br/>
        <w:t>• The OPI staff has developed productive working relationships with other Montana Agencies that serve youth and adults with disabilities. OPI staff participate as members of advisory councils for early childhood, vocational rehabilitation, juvenile justice, developmental disabilities, the state independent living council and the mental health divisions of the DPHHS. These connections have allowed the OPI staff to build strong working relationships with other agencies, which has resulted in multiple collaborative projects that have strengthened the commitments of all involved to working with Montana’s youth to facilitate smooth transitions from birth to adulthood.</w:t>
      </w:r>
      <w:r w:rsidRPr="00781112">
        <w:rPr>
          <w:color w:val="000000" w:themeColor="text1"/>
        </w:rPr>
        <w:br/>
        <w:t xml:space="preserve">• Working with staff from TAESE, the OPI has facilitated the MontanaHEC for nineteen years. The HEC continues to be a part of CSPD and brings together members of faculty from each of the colleges and universities teacher prep programs in Montana. Participation in the consortium is strong and includes faculty members from each of the public and private colleges in Montana. This group has worked to provide greater standardization of the teacher training programs in Montana and has worked together to improve pre-service training programs. </w:t>
      </w:r>
      <w:r w:rsidRPr="00781112">
        <w:rPr>
          <w:color w:val="000000" w:themeColor="text1"/>
        </w:rPr>
        <w:br/>
        <w:t xml:space="preserve">•The OPI staff is involved in an additional coalition to engage in discussion and activity with our Parent Training Information center, Montana Empowerment Center and Disability Rights Montana (DRM). The MEC is available to assist Montana families in obtaining appropriate education for their children; improve education results for all children; train and inform parents and their professionals who work with their children; empower families to be the decision-makers for their children; and, develop collaboration with organizations and agencies that serve children and youth with disabilities. </w:t>
      </w:r>
      <w:r w:rsidRPr="00781112">
        <w:rPr>
          <w:color w:val="000000" w:themeColor="text1"/>
        </w:rPr>
        <w:br/>
        <w:t xml:space="preserve">•The OPI staff is also highly engaged with the Schools Administrators of Montana (SAM) which include affiliates for Superintendents, Principals, Special Education Administrators, and Information Technology (IT) Directors. This partnership allows us to respond quickly to needs expressed in the field by school staff. We also provide SAM with a grant to help fund the Montana Recruitment Project. This program focuses on recruiting hard to fill positions such as speech/language pathologists, special education teachers, occupational therapists, and school psychologists for our districts throughout Montana. </w:t>
      </w:r>
      <w:r w:rsidRPr="00781112">
        <w:rPr>
          <w:color w:val="000000" w:themeColor="text1"/>
        </w:rPr>
        <w:br/>
      </w:r>
      <w:r w:rsidRPr="00781112">
        <w:rPr>
          <w:color w:val="000000" w:themeColor="text1"/>
        </w:rPr>
        <w:br/>
        <w:t xml:space="preserve">Annually, the SEA brings together representatives from these stakeholder groups for a joint meeting facilitated by TAESE. This meeting gathers over 80 front-line stakeholders together to share up-dates of issues and gather input from a comprehensive representation of the Montana disability community, families and parents of children and students with and without disabilities. . For the past six years, the topic has been Montana's SSIP and activities have been conducted to solicit both general and specific stakeholder input. During the spring 2021 meeting, the state presented on the new SPP/APR package to begin facilitating gathering feedback. </w:t>
      </w:r>
      <w:r w:rsidRPr="00781112">
        <w:rPr>
          <w:color w:val="000000" w:themeColor="text1"/>
        </w:rPr>
        <w:br/>
      </w:r>
      <w:r w:rsidRPr="00781112">
        <w:rPr>
          <w:color w:val="000000" w:themeColor="text1"/>
        </w:rPr>
        <w:br/>
        <w:t>The SEA internal stakeholder work continues particularly through the ESEA comprehensive and targeted schools taskforces. These taskforces were created to 1) provide cohesive supports for the development and implementation of a system wide continuous improvement plan across all areas of need for the identified comprehensive school and 2) Support schools identified as targeted by bringing together OPI staff with deep knowledge of struggling student groups to develop a range of improvement activities. These task forces include membership from all program divisions of the agency. Given that our LEAs on Native American reservations will comprise our lowest performing schools, the overall agency, the task force and the SSIP are aligned.</w:t>
      </w:r>
      <w:r w:rsidRPr="00781112">
        <w:rPr>
          <w:color w:val="000000" w:themeColor="text1"/>
        </w:rPr>
        <w:br/>
      </w:r>
      <w:r w:rsidRPr="00781112">
        <w:rPr>
          <w:color w:val="000000" w:themeColor="text1"/>
        </w:rPr>
        <w:br/>
        <w:t xml:space="preserve">The comprehensive task force identifies and examines barriers that exist in our professional relationships with Indian schools. Barriers in the districts, and in the agency, were identified and analyzed. This began an assessment of interagency collaboration and professional relationships. Common ground was found for improved methodologies in our approach to districts, our analysis of district data and community, tribal, and cultural conditions, district capacities, and how better to target and support improvement efforts. As a result, SSIP improvement activities are now supported and reinforced through cross-divisional coordinated efforts. The Student Support Services division has also been heavily involved in the development of Montana’s ESSA state plan.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key to the Montana SSIP is relationships and both activities are designed to optimize relational interactions for all stakeholders partnering within each activity. The traditional approach to supportive work has always been one where state agency personnel were the ‘experts’ with protocols to help ‘fix’ the problem. There are inherent errors in this traditional approach that we desired to avoid in our SSIP implementation. While state agency personnel are highly trained, they aren’t the only experts. The school-based personnel and tribal elders are equally qualified to contribute to the solution. Another error is in the assumption that school-based stakeholders and tribal elders want outsiders to ‘fix’ their problems. These errors lend to difficulties in developing relationships among stakeholders. When  relationships are nurtured with  stakeholders, the task at hand ceases to be work and a matter of ‘fixing’ things but becomes a partnership among stakeholders with shared goals and ownership. A critical piece for MT is moving away from the term improvement. It is believed that MT cannot form relationships that are based on mutual respect, value, and honor if one half of the partnership is always wanting the other half to improve. The guiding theory of emergence (the theory that simple rules interact with one another in complex ways to shape a change process, the outcome of which cannot be predicted) (Safir, Dugan, &amp; Wilson, 2021) saw effects take hold in a few short months. MT was able to </w:t>
      </w:r>
      <w:r w:rsidRPr="00781112">
        <w:rPr>
          <w:color w:val="000000" w:themeColor="text1"/>
        </w:rPr>
        <w:lastRenderedPageBreak/>
        <w:t>break the barriers and stigmas attached to government mandates (Tribal Consultation mandated per ESEA and the Montana ESSA plan; OSEP required SSIP) through a relational approach, still adhering to the governmental requirements of both. All stakeholders remained cognizant of the official requirements of the SSIP tasks they were involved, and OPI leaders in both SSIP activities were able to lead from the heart. Leading from the heart is a traditional Indigenous means of engaging with one another where you value the human capital of those involved.  Relationships developed in the Tribal Consultation process saw the unprecedented outreach of Tribal leaders offering Tribal funds and resources to strengthen support to youth. Relationships developed via the SSIP’s CFN saw stakeholders value learning from one another, one equating time spent in the CFN to family time. The broad reach of the Montana SSIP is about helping to remove opportunity gaps for Montana’s Indigenous youth. As Safir, et al. (2021, p. 205) tell us, “If leading for equity is inherently emotional work, we must cultivate our capacity to sit with and honor people’s feelings. Otherwise, we risk erasing their experience.” The Montana SSIP’s relational approach to stakeholder engagement is giving voice to people. That voice brings power to Walking in Both Worlds and is the mirror our Indigenous youth need to see themselves as worthy of an education culminating in a high school diploma.</w:t>
      </w:r>
      <w:r w:rsidRPr="00781112">
        <w:rPr>
          <w:color w:val="000000" w:themeColor="text1"/>
        </w:rPr>
        <w:br/>
      </w:r>
      <w:r w:rsidRPr="00781112">
        <w:rPr>
          <w:color w:val="000000" w:themeColor="text1"/>
        </w:rPr>
        <w:br/>
        <w:t xml:space="preserve">Safir, S., Dugan, J., &amp; Wilson, C. (2021). Street Data: A Next-Generation Model for Equity, Pedagogy, and </w:t>
      </w:r>
      <w:r w:rsidRPr="00781112">
        <w:rPr>
          <w:color w:val="000000" w:themeColor="text1"/>
        </w:rPr>
        <w:br/>
        <w:t>School Transformation. Corwin.</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N/A</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Anne Rainey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IDEA 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arainey@mt.gov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406-444-4430</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1:24:32 PM</w:t>
      </w:r>
    </w:p>
    <w:p w14:paraId="596B3C30" w14:textId="59F15E79" w:rsidR="00755AF7" w:rsidRDefault="00755AF7" w:rsidP="00EE4B59">
      <w:pPr>
        <w:rPr>
          <w:rFonts w:cs="Arial"/>
          <w:color w:val="000000" w:themeColor="text1"/>
          <w:szCs w:val="16"/>
        </w:rPr>
      </w:pPr>
    </w:p>
    <w:p w14:paraId="1BC2398D" w14:textId="659D2A8C" w:rsidR="002032EE" w:rsidRDefault="002032EE" w:rsidP="00EE4B59">
      <w:pPr>
        <w:rPr>
          <w:rFonts w:cs="Arial"/>
          <w:color w:val="000000" w:themeColor="text1"/>
          <w:szCs w:val="16"/>
        </w:rPr>
      </w:pPr>
    </w:p>
    <w:p w14:paraId="3846C7BE" w14:textId="77777777" w:rsidR="00187476" w:rsidRDefault="00187476">
      <w:pPr>
        <w:spacing w:before="0" w:after="200" w:line="276" w:lineRule="auto"/>
        <w:rPr>
          <w:rFonts w:eastAsiaTheme="majorEastAsia" w:cstheme="majorBidi"/>
          <w:b/>
          <w:bCs/>
          <w:color w:val="000000" w:themeColor="text1"/>
          <w:sz w:val="20"/>
          <w:szCs w:val="28"/>
        </w:rPr>
      </w:pPr>
      <w:r>
        <w:rPr>
          <w:color w:val="000000" w:themeColor="text1"/>
        </w:rPr>
        <w:br w:type="page"/>
      </w:r>
    </w:p>
    <w:p w14:paraId="450B33D4" w14:textId="7C17CE00" w:rsidR="002032EE" w:rsidRDefault="002032EE" w:rsidP="002032EE">
      <w:pPr>
        <w:pStyle w:val="Heading1"/>
        <w:rPr>
          <w:color w:val="000000" w:themeColor="text1"/>
        </w:rPr>
      </w:pPr>
      <w:r>
        <w:rPr>
          <w:color w:val="000000" w:themeColor="text1"/>
        </w:rPr>
        <w:lastRenderedPageBreak/>
        <w:t>ED Attachments</w:t>
      </w:r>
    </w:p>
    <w:p w14:paraId="2CBC8F0D" w14:textId="46C13E73" w:rsidR="002032EE" w:rsidRDefault="002032EE" w:rsidP="002032EE"/>
    <w:p w14:paraId="7E85A534" w14:textId="1722628A" w:rsidR="002032EE" w:rsidRPr="00187476" w:rsidRDefault="00882F7F" w:rsidP="00187476">
      <w:r>
        <w:object w:dxaOrig="1541" w:dyaOrig="998" w14:anchorId="13D0D908">
          <v:shape id="_x0000_i1026" type="#_x0000_t75" alt="MT-B-Dispute-Resolution-2020-21" style="width:77.4pt;height:50.35pt" o:ole="">
            <v:imagedata r:id="rId12" o:title=""/>
          </v:shape>
          <o:OLEObject Type="Embed" ProgID="Acrobat.Document.DC" ShapeID="_x0000_i1026" DrawAspect="Icon" ObjectID="_1726423498" r:id="rId13"/>
        </w:object>
      </w:r>
      <w:r>
        <w:t xml:space="preserve">  </w:t>
      </w:r>
      <w:r w:rsidR="00D06422">
        <w:object w:dxaOrig="1579" w:dyaOrig="1022" w14:anchorId="6E7FB4C3">
          <v:shape id="_x0000_i1030" type="#_x0000_t75" alt="MT-2022DataRubricPartB&#10;" style="width:79.1pt;height:50.75pt" o:ole="">
            <v:imagedata r:id="rId14" o:title=""/>
          </v:shape>
          <o:OLEObject Type="Embed" ProgID="Excel.Sheet.12" ShapeID="_x0000_i1030" DrawAspect="Icon" ObjectID="_1726423499" r:id="rId15"/>
        </w:object>
      </w:r>
      <w:r w:rsidR="00E24494">
        <w:object w:dxaOrig="1540" w:dyaOrig="997" w14:anchorId="2751D17F">
          <v:shape id="_x0000_i1028" type="#_x0000_t75" alt="mt-resultsmatrix-2022b&#10;" style="width:77.4pt;height:49.55pt" o:ole="">
            <v:imagedata r:id="rId16" o:title=""/>
          </v:shape>
          <o:OLEObject Type="Embed" ProgID="Acrobat.Document.DC" ShapeID="_x0000_i1028" DrawAspect="Icon" ObjectID="_1726423500" r:id="rId17"/>
        </w:object>
      </w:r>
    </w:p>
    <w:p w14:paraId="59762562" w14:textId="77777777" w:rsidR="002032EE" w:rsidRPr="00781112" w:rsidRDefault="002032EE" w:rsidP="00EE4B59">
      <w:pPr>
        <w:rPr>
          <w:rFonts w:cs="Arial"/>
          <w:color w:val="000000" w:themeColor="text1"/>
          <w:szCs w:val="16"/>
        </w:rPr>
      </w:pPr>
    </w:p>
    <w:sectPr w:rsidR="002032EE"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014C" w14:textId="77777777" w:rsidR="007C3DF1" w:rsidRDefault="007C3DF1" w:rsidP="000802F7">
      <w:pPr>
        <w:spacing w:before="0" w:after="0"/>
      </w:pPr>
      <w:r>
        <w:separator/>
      </w:r>
    </w:p>
  </w:endnote>
  <w:endnote w:type="continuationSeparator" w:id="0">
    <w:p w14:paraId="4CE398DA" w14:textId="77777777" w:rsidR="007C3DF1" w:rsidRDefault="007C3DF1" w:rsidP="000802F7">
      <w:pPr>
        <w:spacing w:before="0" w:after="0"/>
      </w:pPr>
      <w:r>
        <w:continuationSeparator/>
      </w:r>
    </w:p>
  </w:endnote>
  <w:endnote w:type="continuationNotice" w:id="1">
    <w:p w14:paraId="0D2E1231" w14:textId="77777777" w:rsidR="007C3DF1" w:rsidRDefault="007C3D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F47C" w14:textId="77777777" w:rsidR="007C3DF1" w:rsidRDefault="007C3DF1" w:rsidP="000802F7">
      <w:pPr>
        <w:spacing w:before="0" w:after="0"/>
      </w:pPr>
      <w:r>
        <w:separator/>
      </w:r>
    </w:p>
  </w:footnote>
  <w:footnote w:type="continuationSeparator" w:id="0">
    <w:p w14:paraId="1F231FB6" w14:textId="77777777" w:rsidR="007C3DF1" w:rsidRDefault="007C3DF1" w:rsidP="000802F7">
      <w:pPr>
        <w:spacing w:before="0" w:after="0"/>
      </w:pPr>
      <w:r>
        <w:continuationSeparator/>
      </w:r>
    </w:p>
  </w:footnote>
  <w:footnote w:type="continuationNotice" w:id="1">
    <w:p w14:paraId="6B3A6C30" w14:textId="77777777" w:rsidR="007C3DF1" w:rsidRDefault="007C3DF1">
      <w:pPr>
        <w:spacing w:before="0" w:after="0"/>
      </w:pPr>
    </w:p>
  </w:footnote>
  <w:footnote w:id="2">
    <w:p w14:paraId="1107B8C5" w14:textId="5107F212" w:rsidR="008A5186" w:rsidRPr="00187476" w:rsidRDefault="008A5186">
      <w:pPr>
        <w:pStyle w:val="FootnoteText"/>
        <w:rPr>
          <w:sz w:val="16"/>
          <w:szCs w:val="16"/>
        </w:rPr>
      </w:pPr>
      <w:r w:rsidRPr="00187476">
        <w:rPr>
          <w:rStyle w:val="FootnoteReference"/>
          <w:sz w:val="16"/>
          <w:szCs w:val="16"/>
        </w:rPr>
        <w:footnoteRef/>
      </w:r>
      <w:r w:rsidRPr="00187476">
        <w:rPr>
          <w:sz w:val="16"/>
          <w:szCs w:val="16"/>
        </w:rPr>
        <w:t xml:space="preserve"> Prior to the FFY 2020 submission, the State used a different data source to report data under this indicator.</w:t>
      </w:r>
    </w:p>
  </w:footnote>
  <w:footnote w:id="3">
    <w:p w14:paraId="269084A7" w14:textId="5C92D25E" w:rsidR="00285354" w:rsidRPr="00285354" w:rsidRDefault="00285354" w:rsidP="00285354">
      <w:pPr>
        <w:spacing w:before="0" w:after="0"/>
        <w:rPr>
          <w:rFonts w:eastAsia="Times New Roman" w:cs="Arial"/>
          <w:color w:val="000000"/>
          <w:szCs w:val="16"/>
        </w:rPr>
      </w:pPr>
      <w:r>
        <w:rPr>
          <w:rStyle w:val="FootnoteReference"/>
        </w:rPr>
        <w:footnoteRef/>
      </w:r>
      <w:r>
        <w:t xml:space="preserve"> </w:t>
      </w:r>
      <w:r w:rsidRPr="00285354">
        <w:rPr>
          <w:rFonts w:eastAsia="Times New Roman" w:cs="Arial"/>
          <w:color w:val="000000"/>
          <w:szCs w:val="16"/>
        </w:rPr>
        <w:t>Percentage blurred due to privacy protection</w:t>
      </w:r>
    </w:p>
  </w:footnote>
  <w:footnote w:id="4">
    <w:p w14:paraId="31E5BEAB" w14:textId="77777777" w:rsidR="00285354" w:rsidRPr="00285354" w:rsidRDefault="00285354" w:rsidP="00285354">
      <w:pPr>
        <w:spacing w:before="0" w:after="0"/>
        <w:rPr>
          <w:rFonts w:eastAsia="Times New Roman" w:cs="Arial"/>
          <w:color w:val="000000"/>
          <w:szCs w:val="16"/>
        </w:rPr>
      </w:pPr>
      <w:r>
        <w:rPr>
          <w:rStyle w:val="FootnoteReference"/>
        </w:rPr>
        <w:footnoteRef/>
      </w:r>
      <w:r>
        <w:t xml:space="preserve"> </w:t>
      </w:r>
      <w:r w:rsidRPr="00285354">
        <w:rPr>
          <w:rFonts w:eastAsia="Times New Roman" w:cs="Arial"/>
          <w:color w:val="000000"/>
          <w:szCs w:val="16"/>
        </w:rPr>
        <w:t>Percentage blurred due to privacy protection</w:t>
      </w:r>
    </w:p>
  </w:footnote>
  <w:footnote w:id="5">
    <w:p w14:paraId="06F0337F" w14:textId="36E39B55" w:rsidR="009D4E60" w:rsidRPr="00187476" w:rsidRDefault="009D4E60">
      <w:pPr>
        <w:pStyle w:val="FootnoteText"/>
        <w:rPr>
          <w:sz w:val="16"/>
          <w:szCs w:val="16"/>
        </w:rPr>
      </w:pPr>
      <w:r w:rsidRPr="00187476">
        <w:rPr>
          <w:rStyle w:val="FootnoteReference"/>
          <w:sz w:val="16"/>
          <w:szCs w:val="16"/>
        </w:rPr>
        <w:footnoteRef/>
      </w:r>
      <w:r w:rsidRPr="00187476">
        <w:rPr>
          <w:sz w:val="16"/>
          <w:szCs w:val="16"/>
        </w:rPr>
        <w:t xml:space="preserve"> Prior to the FFY 2020 submission, the State used a different data source to report data under this indicator.</w:t>
      </w:r>
    </w:p>
  </w:footnote>
  <w:footnote w:id="6">
    <w:p w14:paraId="3ACB1A45" w14:textId="77777777" w:rsidR="00C0254B" w:rsidRPr="00DF00D0" w:rsidRDefault="00C0254B" w:rsidP="00C0254B">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64564697" w14:textId="77777777" w:rsidR="00C0254B" w:rsidRPr="00DF00D0" w:rsidRDefault="00C0254B" w:rsidP="00C0254B">
      <w:pPr>
        <w:pStyle w:val="FootnoteText"/>
        <w:rPr>
          <w:sz w:val="16"/>
          <w:szCs w:val="16"/>
        </w:rPr>
      </w:pPr>
    </w:p>
  </w:footnote>
  <w:footnote w:id="8">
    <w:p w14:paraId="75541068" w14:textId="77777777" w:rsidR="00C0254B" w:rsidRPr="00DF00D0" w:rsidRDefault="00C0254B" w:rsidP="00C0254B">
      <w:pPr>
        <w:pStyle w:val="FootnoteText"/>
        <w:rPr>
          <w:sz w:val="16"/>
          <w:szCs w:val="16"/>
        </w:rPr>
      </w:pPr>
      <w:r>
        <w:rPr>
          <w:rStyle w:val="FootnoteReference"/>
        </w:rPr>
        <w:t>1</w:t>
      </w:r>
      <w:r w:rsidRPr="00DF00D0">
        <w:rPr>
          <w:sz w:val="16"/>
          <w:szCs w:val="16"/>
        </w:rPr>
        <w:t xml:space="preserve"> Data suppressed due to privacy protection</w:t>
      </w:r>
    </w:p>
  </w:footnote>
  <w:footnote w:id="9">
    <w:p w14:paraId="7E21E332" w14:textId="77777777" w:rsidR="00C0254B" w:rsidRPr="00DF00D0" w:rsidRDefault="00C0254B" w:rsidP="00C0254B">
      <w:pPr>
        <w:pStyle w:val="FootnoteText"/>
        <w:rPr>
          <w:sz w:val="16"/>
          <w:szCs w:val="16"/>
        </w:rPr>
      </w:pPr>
    </w:p>
  </w:footnote>
  <w:footnote w:id="10">
    <w:p w14:paraId="781B41A8" w14:textId="77777777" w:rsidR="00C0254B" w:rsidRPr="00DF00D0" w:rsidRDefault="00C0254B" w:rsidP="00C0254B">
      <w:pPr>
        <w:pStyle w:val="FootnoteText"/>
        <w:rPr>
          <w:sz w:val="16"/>
          <w:szCs w:val="16"/>
        </w:rPr>
      </w:pPr>
    </w:p>
  </w:footnote>
  <w:footnote w:id="11">
    <w:p w14:paraId="71E5DEAD" w14:textId="77777777" w:rsidR="00C0254B" w:rsidRPr="00DF00D0" w:rsidRDefault="00C0254B" w:rsidP="00C0254B">
      <w:pPr>
        <w:pStyle w:val="FootnoteText"/>
        <w:rPr>
          <w:sz w:val="16"/>
          <w:szCs w:val="16"/>
        </w:rPr>
      </w:pPr>
    </w:p>
  </w:footnote>
  <w:footnote w:id="12">
    <w:p w14:paraId="7B531A5F" w14:textId="77777777" w:rsidR="00C0254B" w:rsidRPr="00DF00D0" w:rsidRDefault="00C0254B" w:rsidP="00C0254B">
      <w:pPr>
        <w:pStyle w:val="FootnoteText"/>
        <w:rPr>
          <w:sz w:val="16"/>
          <w:szCs w:val="16"/>
        </w:rPr>
      </w:pPr>
      <w:r>
        <w:rPr>
          <w:rStyle w:val="FootnoteReference"/>
        </w:rPr>
        <w:t>1</w:t>
      </w:r>
      <w:r w:rsidRPr="00DF00D0">
        <w:rPr>
          <w:sz w:val="16"/>
          <w:szCs w:val="16"/>
        </w:rPr>
        <w:t xml:space="preserve"> Data suppressed due to privacy protection</w:t>
      </w:r>
    </w:p>
  </w:footnote>
  <w:footnote w:id="13">
    <w:p w14:paraId="4298F71E" w14:textId="77777777" w:rsidR="00C0254B" w:rsidRPr="00DF00D0" w:rsidRDefault="00C0254B" w:rsidP="00C0254B">
      <w:pPr>
        <w:pStyle w:val="FootnoteText"/>
        <w:rPr>
          <w:sz w:val="16"/>
          <w:szCs w:val="16"/>
        </w:rPr>
      </w:pPr>
      <w:r>
        <w:rPr>
          <w:rStyle w:val="FootnoteReference"/>
        </w:rPr>
        <w:t>1</w:t>
      </w:r>
      <w:r w:rsidRPr="00DF00D0">
        <w:rPr>
          <w:sz w:val="16"/>
          <w:szCs w:val="16"/>
        </w:rPr>
        <w:t xml:space="preserve"> Data suppressed due to privacy protection</w:t>
      </w:r>
    </w:p>
  </w:footnote>
  <w:footnote w:id="14">
    <w:p w14:paraId="09B76F21" w14:textId="77777777" w:rsidR="00C0254B" w:rsidRPr="00DF00D0" w:rsidRDefault="00C0254B" w:rsidP="00C0254B">
      <w:pPr>
        <w:pStyle w:val="FootnoteText"/>
        <w:rPr>
          <w:sz w:val="16"/>
          <w:szCs w:val="16"/>
        </w:rPr>
      </w:pPr>
    </w:p>
  </w:footnote>
  <w:footnote w:id="15">
    <w:p w14:paraId="1F192448" w14:textId="77777777" w:rsidR="00C0254B" w:rsidRPr="00DF00D0" w:rsidRDefault="00C0254B" w:rsidP="00C0254B">
      <w:pPr>
        <w:pStyle w:val="FootnoteText"/>
        <w:rPr>
          <w:sz w:val="16"/>
          <w:szCs w:val="16"/>
        </w:rPr>
      </w:pPr>
    </w:p>
  </w:footnote>
  <w:footnote w:id="16">
    <w:p w14:paraId="0DC34AC5" w14:textId="77777777" w:rsidR="00C0254B" w:rsidRPr="00DF00D0" w:rsidRDefault="00C0254B" w:rsidP="00C0254B">
      <w:pPr>
        <w:pStyle w:val="FootnoteText"/>
        <w:rPr>
          <w:sz w:val="16"/>
          <w:szCs w:val="16"/>
        </w:rPr>
      </w:pPr>
    </w:p>
  </w:footnote>
  <w:footnote w:id="17">
    <w:p w14:paraId="27E9146E" w14:textId="77777777" w:rsidR="00C0254B" w:rsidRPr="00DF00D0" w:rsidRDefault="00C0254B" w:rsidP="00C0254B">
      <w:pPr>
        <w:pStyle w:val="FootnoteText"/>
        <w:rPr>
          <w:sz w:val="16"/>
          <w:szCs w:val="16"/>
        </w:rPr>
      </w:pPr>
    </w:p>
  </w:footnote>
  <w:footnote w:id="18">
    <w:p w14:paraId="72FBD209" w14:textId="77777777" w:rsidR="00C0254B" w:rsidRPr="00DF00D0" w:rsidRDefault="00C0254B" w:rsidP="00C0254B">
      <w:pPr>
        <w:pStyle w:val="FootnoteText"/>
        <w:rPr>
          <w:sz w:val="16"/>
          <w:szCs w:val="16"/>
        </w:rPr>
      </w:pPr>
      <w:r>
        <w:rPr>
          <w:rStyle w:val="FootnoteReference"/>
        </w:rPr>
        <w:t>1</w:t>
      </w:r>
      <w:r w:rsidRPr="00DF00D0">
        <w:rPr>
          <w:sz w:val="16"/>
          <w:szCs w:val="16"/>
        </w:rPr>
        <w:t xml:space="preserve"> Data suppressed due to privacy protection</w:t>
      </w:r>
    </w:p>
  </w:footnote>
  <w:footnote w:id="19">
    <w:p w14:paraId="231493B6" w14:textId="77777777" w:rsidR="00C0254B" w:rsidRPr="00DF00D0" w:rsidRDefault="00C0254B" w:rsidP="00C0254B">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575040">
    <w:abstractNumId w:val="23"/>
  </w:num>
  <w:num w:numId="2" w16cid:durableId="1387795980">
    <w:abstractNumId w:val="11"/>
  </w:num>
  <w:num w:numId="3" w16cid:durableId="679165111">
    <w:abstractNumId w:val="21"/>
  </w:num>
  <w:num w:numId="4" w16cid:durableId="1775321407">
    <w:abstractNumId w:val="25"/>
  </w:num>
  <w:num w:numId="5" w16cid:durableId="156652720">
    <w:abstractNumId w:val="0"/>
  </w:num>
  <w:num w:numId="6" w16cid:durableId="398092223">
    <w:abstractNumId w:val="16"/>
  </w:num>
  <w:num w:numId="7" w16cid:durableId="1363479515">
    <w:abstractNumId w:val="8"/>
  </w:num>
  <w:num w:numId="8" w16cid:durableId="746421371">
    <w:abstractNumId w:val="10"/>
  </w:num>
  <w:num w:numId="9" w16cid:durableId="2030644114">
    <w:abstractNumId w:val="12"/>
  </w:num>
  <w:num w:numId="10" w16cid:durableId="1308976102">
    <w:abstractNumId w:val="14"/>
  </w:num>
  <w:num w:numId="11" w16cid:durableId="1167670051">
    <w:abstractNumId w:val="18"/>
  </w:num>
  <w:num w:numId="12" w16cid:durableId="314797815">
    <w:abstractNumId w:val="20"/>
  </w:num>
  <w:num w:numId="13" w16cid:durableId="241717230">
    <w:abstractNumId w:val="9"/>
  </w:num>
  <w:num w:numId="14" w16cid:durableId="566569253">
    <w:abstractNumId w:val="15"/>
  </w:num>
  <w:num w:numId="15" w16cid:durableId="175853957">
    <w:abstractNumId w:val="13"/>
  </w:num>
  <w:num w:numId="16" w16cid:durableId="1213885278">
    <w:abstractNumId w:val="22"/>
  </w:num>
  <w:num w:numId="17" w16cid:durableId="196478938">
    <w:abstractNumId w:val="2"/>
  </w:num>
  <w:num w:numId="18" w16cid:durableId="823736137">
    <w:abstractNumId w:val="7"/>
  </w:num>
  <w:num w:numId="19" w16cid:durableId="694695545">
    <w:abstractNumId w:val="1"/>
  </w:num>
  <w:num w:numId="20" w16cid:durableId="293876153">
    <w:abstractNumId w:val="19"/>
  </w:num>
  <w:num w:numId="21" w16cid:durableId="452290870">
    <w:abstractNumId w:val="24"/>
  </w:num>
  <w:num w:numId="22" w16cid:durableId="147331399">
    <w:abstractNumId w:val="6"/>
  </w:num>
  <w:num w:numId="23" w16cid:durableId="980689578">
    <w:abstractNumId w:val="3"/>
  </w:num>
  <w:num w:numId="24" w16cid:durableId="601644521">
    <w:abstractNumId w:val="4"/>
  </w:num>
  <w:num w:numId="25" w16cid:durableId="2039230613">
    <w:abstractNumId w:val="5"/>
  </w:num>
  <w:num w:numId="26" w16cid:durableId="3913168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476"/>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32EE"/>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354"/>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66A11"/>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3A7C"/>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5CC"/>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DF1"/>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350"/>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2F7F"/>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186"/>
    <w:rsid w:val="008A5402"/>
    <w:rsid w:val="008A54C8"/>
    <w:rsid w:val="008A663E"/>
    <w:rsid w:val="008A6DCA"/>
    <w:rsid w:val="008A6FBA"/>
    <w:rsid w:val="008A791B"/>
    <w:rsid w:val="008A793F"/>
    <w:rsid w:val="008B00F3"/>
    <w:rsid w:val="008B048F"/>
    <w:rsid w:val="008B08DA"/>
    <w:rsid w:val="008B0C67"/>
    <w:rsid w:val="008B0DB0"/>
    <w:rsid w:val="008B1088"/>
    <w:rsid w:val="008B18AC"/>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4E60"/>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54BD"/>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2C30"/>
    <w:rsid w:val="00B5350E"/>
    <w:rsid w:val="00B5360D"/>
    <w:rsid w:val="00B53F22"/>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54B"/>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422"/>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0B7"/>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494"/>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1ECF"/>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29854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D39E-A850-4EBA-A56C-3AE77866F745}"/>
</file>

<file path=customXml/itemProps2.xml><?xml version="1.0" encoding="utf-8"?>
<ds:datastoreItem xmlns:ds="http://schemas.openxmlformats.org/officeDocument/2006/customXml" ds:itemID="{E34A9DCB-E3D8-4048-BDD4-1F7881EB959B}">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87</Pages>
  <Words>55512</Words>
  <Characters>316423</Characters>
  <Application>Microsoft Office Word</Application>
  <DocSecurity>0</DocSecurity>
  <Lines>2636</Lines>
  <Paragraphs>742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14</cp:revision>
  <cp:lastPrinted>2014-08-19T16:56:00Z</cp:lastPrinted>
  <dcterms:created xsi:type="dcterms:W3CDTF">2022-08-05T20:20:00Z</dcterms:created>
  <dcterms:modified xsi:type="dcterms:W3CDTF">2022-10-05T01:18:00Z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0bfeff98-549e-4153-a39e-52e665513a2d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