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Mississippi</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Mississippi State Department of Health (MSDH) is the lead agency responsible for administering Part C of IDEA, known as the Mississippi First Steps Early Intervention Program (MSFSEIP). The MSDH has organized the State's 82 counties into three public health regions, each of which operates multiple Local FSEIP responsible for ensure all eligible infants and toddlers and their families receive early intervention services. The Northern Region has two Local FSEIPs and the Central and Southern Regions have three Local FSEIPs each, for a total of eight Local FSEIPs. The MSFSEIP is advised in program administration by the Mississippi State Interagency Coordinating Council (MSICC) whose members, along with other stakeholders, participate on workgroups providing feedback on systemic improvement efforts.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MSFSEIP has implemented a general supervision system that includes universal, focused, and targeted monitoring approaches to ensure each Local FSEIP implements all Federal regulations and State policies and procedures for Part C of IDEA. The MSFSEIP monitors Local FSEIPs using a combination of methods including annual self-assessments, annual fiscal audits, annual onsite visits (due to COVID no onsite visits were conducted), data reviews (i.e., reviews of data in the Mississippi Infant and Toddler Intervention (MITI) data system), desk audits (i.e, reviews of paper records), interviews, observations, and issues identified during dispute resolutions, as applicable.</w:t>
      </w:r>
      <w:r w:rsidRPr="00ED172B">
        <w:rPr>
          <w:color w:val="000000" w:themeColor="text1"/>
          <w:szCs w:val="16"/>
        </w:rPr>
        <w:br/>
      </w:r>
      <w:r w:rsidRPr="00ED172B">
        <w:rPr>
          <w:color w:val="000000" w:themeColor="text1"/>
          <w:szCs w:val="16"/>
        </w:rPr>
        <w:br/>
        <w:t>In FFY2019, the MSFSEIP sought guidance from state contacts from OSEP-funded technical assistance centers to review and revision of the general supervision system, with anticipation of the implementation of a new data system on July 1, 2020. On July 1, 2020, the new data system went online, the state is continuing to work with OSEP-funded technical assistance in revising the General Supervision Manual to include the monitoring of the MITI data system. This system will enable a more robust and responsive general supervision model to incorporate universal, focused, and targeted TA with the State's general supervision efforts.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MSFSEIP provides ongoing technical assistance by identifying Local FSEIP needs and providing general, focused, and targeted TA to local FSEIP and service providers. The MSFSEIP identify Local FSEIP training needs by periodic data analyses, QTA reports, and specific requests for TA. General TA is provided by MSFSEIP staff through monthly conference calls and quarterly Local FSEIP meetings. Focused and targeted TA are provided by MSFSEIP employees and an assigned QTA using a variety of methods, as needed, including via phone and email, onsite visits, observation and feedback sessions, coaching, assisted preliminary desk audits, conference calls, and video-conferences. As needed, personnel will accompany Service 3 Part C Coordinators and Providers on home visits to offer guidance and support during comprehensive evaluations, Individualized Family Service Plan (IFSP) meetings, and service delivery as well as assist with reviewing paper records and data quality in the electronic Child Registry. Technical assistance is provided to Program and Service Coordinators to identify root cause(s) of noncompliance, develop strategies and activities for any Local FSEIP developed Corrective Action Plans (CAPs), and implement CAPs.</w:t>
      </w:r>
      <w:r w:rsidRPr="00ED172B">
        <w:rPr>
          <w:color w:val="000000" w:themeColor="text1"/>
          <w:szCs w:val="16"/>
        </w:rPr>
        <w:br/>
      </w:r>
      <w:r w:rsidRPr="00ED172B">
        <w:rPr>
          <w:color w:val="000000" w:themeColor="text1"/>
          <w:szCs w:val="16"/>
        </w:rPr>
        <w:br/>
        <w:t>The MSFSEIP has an Operations Director who oversees the Monitoring Coordinator and QTA. The Operations Director works with national experts on implementing train-the-trainer models of TA service delivery. The Operations Director and Part C Coordinator ensure personnel receive quality professional development and offer supervision and guidance on early intervention best practices via monthly meetings and reviews of monthly reports. The MSFSEIP State personnel have participated in national professional conferences and in TA opportunities provided through OSEP TA Centers. In addition, they engage in ongoing professional development via webinars and Professional Learning Communities (PLCs).</w:t>
      </w:r>
      <w:r w:rsidRPr="00ED172B">
        <w:rPr>
          <w:color w:val="000000" w:themeColor="text1"/>
          <w:szCs w:val="16"/>
        </w:rPr>
        <w:br/>
      </w:r>
      <w:r w:rsidRPr="00ED172B">
        <w:rPr>
          <w:color w:val="000000" w:themeColor="text1"/>
          <w:szCs w:val="16"/>
        </w:rPr>
        <w:br/>
        <w:t>The MSFSEIP is still developing a more robust technical assistance model that incorporates the use of the new comprehensive data system to include universal, focused, and targeted TA to better align with the State's general supervision efforts. The TA system is preparing local coaches and regional training coordinators to support implementation of evidence-based practices in addition to the supports offered by the QTA.</w:t>
      </w:r>
      <w:r w:rsidRPr="00ED172B">
        <w:rPr>
          <w:color w:val="000000" w:themeColor="text1"/>
          <w:szCs w:val="16"/>
        </w:rPr>
        <w:br/>
      </w:r>
      <w:r w:rsidRPr="00ED172B">
        <w:rPr>
          <w:color w:val="000000" w:themeColor="text1"/>
          <w:szCs w:val="16"/>
        </w:rPr>
        <w:br/>
        <w:t>The MSFSEIP participated in intensive technical assistance on Effective Strategies for Correcting Longstanding Noncompliance. As a result of this an ongoing technical assistance from the Early Childhood Technical Assistance (ECTA) Center, the MSFSEIP completed the following activities:  (a) revision of the annual program calendar, inclusive of applications, reports, meetings with OSEP and stakeholders, and monitoring and technical assistance cycles; (b) revision of the general supervision process; and (c) development and/or revision of monitoring tools, monitoring reports, official report of findings, corrective action plan (CAP) and improvement plan templates, and verification of correction templates.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MSFSEIP provides annual training to Local FSEIP staff and providers on Federal regulations and State policies and procedures. In addition, the MSFSEIP provides Regional and Local FSEIP trainings on referral procedures, data system and child record maintenance, family rights, evaluation and eligibility determination, IFSP development and revisions, timely services, transition, working with families of children who are deaf/hard of hearing, routines-based model implementation, ongoing child assessments, and financial management.</w:t>
      </w:r>
      <w:r w:rsidRPr="00ED172B">
        <w:rPr>
          <w:color w:val="000000" w:themeColor="text1"/>
          <w:szCs w:val="16"/>
        </w:rPr>
        <w:br/>
      </w:r>
      <w:r w:rsidRPr="00ED172B">
        <w:rPr>
          <w:color w:val="000000" w:themeColor="text1"/>
          <w:szCs w:val="16"/>
        </w:rPr>
        <w:br/>
        <w:t xml:space="preserve">As a part of the State Systemic Improvement Plan (SSIP), the MSFSEIP's reconstituted Comprehensive System of Personnel Development (CSPD) Leadership Team continued revisions of personnel standards and development of orientation and credentialing procedures for early intervention personnel with support from national experts, OSEP-funded TA Centers, and other State Part C programs. The expanded CSPD Leadership Team supported the MSFSEIP's ability to develop new partnerships to expand professional development opportunities. All training under development includes </w:t>
      </w:r>
      <w:r w:rsidRPr="00ED172B">
        <w:rPr>
          <w:color w:val="000000" w:themeColor="text1"/>
          <w:szCs w:val="16"/>
        </w:rPr>
        <w:lastRenderedPageBreak/>
        <w:t>three levels of support: knowledge development, skill development, and knowledge and skill application. Knowledge development is provided through online training modules and self-study with integrated assessments. Skill development is provided through real-time online or face-to-face training with integrated application exercises. Knowledge and skill application is provided via field-based observation and on-the-job coaching. The progress of all MSFSEIP and Local FSEIP staff and providers will be tracked through these levels of learning experiences. This new approach to professional development will ensure service providers have the knowledge and skills to provide services effectively to improve results for infants and toddlers with disabilities and their families. The MSFSEIP has begun implementing these CSPD initiatives as part of the Phase III of the SSIP.</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szCs w:val="16"/>
        </w:rPr>
        <w:br/>
        <w:t xml:space="preserve">On October 22, 2021, the SICC and stakeholders assisted the MSFSEIP in setting the FFY2020-FFY2025 APR targets for Indicators 2, 3, 4, 5, and 6. On November 10, 2021, the program held a stakeholders meeting to determine if the state would keep the same SiMR or adopt a new one for FF2020-2025. On December 16, 2021, a second stakeholders meeting was held to finalize and approve the revised SiMR. On January 28, 2022, the SICC and stakeholders gave finale approval for FFY 2020-2025 targets which included the SiMR. </w:t>
      </w:r>
      <w:r w:rsidRPr="00ED172B">
        <w:rPr>
          <w:color w:val="000000" w:themeColor="text1"/>
          <w:szCs w:val="16"/>
        </w:rPr>
        <w:br/>
      </w:r>
      <w:r w:rsidRPr="00ED172B">
        <w:rPr>
          <w:color w:val="000000" w:themeColor="text1"/>
          <w:szCs w:val="16"/>
        </w:rPr>
        <w:br/>
        <w:t>Indicator 2: Natural Environment:</w:t>
      </w:r>
      <w:r w:rsidRPr="00ED172B">
        <w:rPr>
          <w:color w:val="000000" w:themeColor="text1"/>
          <w:szCs w:val="16"/>
        </w:rPr>
        <w:br/>
        <w:t xml:space="preserve">For FFY 2020, the target was set at 87.40% </w:t>
      </w:r>
      <w:r w:rsidRPr="00ED172B">
        <w:rPr>
          <w:color w:val="000000" w:themeColor="text1"/>
          <w:szCs w:val="16"/>
        </w:rPr>
        <w:br/>
        <w:t>For FFY 2021, the target was set at 88.92%</w:t>
      </w:r>
      <w:r w:rsidRPr="00ED172B">
        <w:rPr>
          <w:color w:val="000000" w:themeColor="text1"/>
          <w:szCs w:val="16"/>
        </w:rPr>
        <w:br/>
        <w:t>For FFY 2022, the target was set at 90.44%</w:t>
      </w:r>
      <w:r w:rsidRPr="00ED172B">
        <w:rPr>
          <w:color w:val="000000" w:themeColor="text1"/>
          <w:szCs w:val="16"/>
        </w:rPr>
        <w:br/>
        <w:t>For FFY 2023, the target was set at 91.96%</w:t>
      </w:r>
      <w:r w:rsidRPr="00ED172B">
        <w:rPr>
          <w:color w:val="000000" w:themeColor="text1"/>
          <w:szCs w:val="16"/>
        </w:rPr>
        <w:br/>
        <w:t>For FFY 2024, the target was set at 93.48%</w:t>
      </w:r>
      <w:r w:rsidRPr="00ED172B">
        <w:rPr>
          <w:color w:val="000000" w:themeColor="text1"/>
          <w:szCs w:val="16"/>
        </w:rPr>
        <w:br/>
        <w:t>For FFY 2025, the target was set at 95%</w:t>
      </w:r>
      <w:r w:rsidRPr="00ED172B">
        <w:rPr>
          <w:color w:val="000000" w:themeColor="text1"/>
          <w:szCs w:val="16"/>
        </w:rPr>
        <w:br/>
      </w:r>
      <w:r w:rsidRPr="00ED172B">
        <w:rPr>
          <w:color w:val="000000" w:themeColor="text1"/>
          <w:szCs w:val="16"/>
        </w:rPr>
        <w:br/>
        <w:t>Indicator 3: Child Outcomes:</w:t>
      </w:r>
      <w:r w:rsidRPr="00ED172B">
        <w:rPr>
          <w:color w:val="000000" w:themeColor="text1"/>
          <w:szCs w:val="16"/>
        </w:rPr>
        <w:br/>
        <w:t>Summary Statement 1 for Outcomes A - C targets were set to remain at 85% for FFY2020-FFY2025.</w:t>
      </w:r>
      <w:r w:rsidRPr="00ED172B">
        <w:rPr>
          <w:color w:val="000000" w:themeColor="text1"/>
          <w:szCs w:val="16"/>
        </w:rPr>
        <w:br/>
      </w:r>
      <w:r w:rsidRPr="00ED172B">
        <w:rPr>
          <w:color w:val="000000" w:themeColor="text1"/>
          <w:szCs w:val="16"/>
        </w:rPr>
        <w:br/>
        <w:t xml:space="preserve">Summary Statement 2 for Outcomes A2 </w:t>
      </w:r>
      <w:r w:rsidRPr="00ED172B">
        <w:rPr>
          <w:color w:val="000000" w:themeColor="text1"/>
          <w:szCs w:val="16"/>
        </w:rPr>
        <w:br/>
        <w:t xml:space="preserve">For FFY 2020, the target was set at 62.5% </w:t>
      </w:r>
      <w:r w:rsidRPr="00ED172B">
        <w:rPr>
          <w:color w:val="000000" w:themeColor="text1"/>
          <w:szCs w:val="16"/>
        </w:rPr>
        <w:br/>
        <w:t>For FFY 2021, the target was set at 63%</w:t>
      </w:r>
      <w:r w:rsidRPr="00ED172B">
        <w:rPr>
          <w:color w:val="000000" w:themeColor="text1"/>
          <w:szCs w:val="16"/>
        </w:rPr>
        <w:br/>
        <w:t>For FFY 2022, the target was set at 63.5%</w:t>
      </w:r>
      <w:r w:rsidRPr="00ED172B">
        <w:rPr>
          <w:color w:val="000000" w:themeColor="text1"/>
          <w:szCs w:val="16"/>
        </w:rPr>
        <w:br/>
        <w:t>For FFY 2023, the target was set at 64%</w:t>
      </w:r>
      <w:r w:rsidRPr="00ED172B">
        <w:rPr>
          <w:color w:val="000000" w:themeColor="text1"/>
          <w:szCs w:val="16"/>
        </w:rPr>
        <w:br/>
        <w:t>For FFY 2024, the target was set at 64.5%</w:t>
      </w:r>
      <w:r w:rsidRPr="00ED172B">
        <w:rPr>
          <w:color w:val="000000" w:themeColor="text1"/>
          <w:szCs w:val="16"/>
        </w:rPr>
        <w:br/>
        <w:t>For FFY 2025, the target was set at 65%</w:t>
      </w:r>
      <w:r w:rsidRPr="00ED172B">
        <w:rPr>
          <w:color w:val="000000" w:themeColor="text1"/>
          <w:szCs w:val="16"/>
        </w:rPr>
        <w:br/>
      </w:r>
      <w:r w:rsidRPr="00ED172B">
        <w:rPr>
          <w:color w:val="000000" w:themeColor="text1"/>
          <w:szCs w:val="16"/>
        </w:rPr>
        <w:br/>
        <w:t>Summary Statement 2 for Outcomes B2 - SiMR</w:t>
      </w:r>
      <w:r w:rsidRPr="00ED172B">
        <w:rPr>
          <w:color w:val="000000" w:themeColor="text1"/>
          <w:szCs w:val="16"/>
        </w:rPr>
        <w:br/>
        <w:t xml:space="preserve">For FFY 2020, the target was set at 50.5% </w:t>
      </w:r>
      <w:r w:rsidRPr="00ED172B">
        <w:rPr>
          <w:color w:val="000000" w:themeColor="text1"/>
          <w:szCs w:val="16"/>
        </w:rPr>
        <w:br/>
        <w:t>For FFY 2021, the target was set at 51%</w:t>
      </w:r>
      <w:r w:rsidRPr="00ED172B">
        <w:rPr>
          <w:color w:val="000000" w:themeColor="text1"/>
          <w:szCs w:val="16"/>
        </w:rPr>
        <w:br/>
        <w:t>For FFY 2022, the target was set at 51.5%</w:t>
      </w:r>
      <w:r w:rsidRPr="00ED172B">
        <w:rPr>
          <w:color w:val="000000" w:themeColor="text1"/>
          <w:szCs w:val="16"/>
        </w:rPr>
        <w:br/>
        <w:t>For FFY 2023, the target was set at 52%</w:t>
      </w:r>
      <w:r w:rsidRPr="00ED172B">
        <w:rPr>
          <w:color w:val="000000" w:themeColor="text1"/>
          <w:szCs w:val="16"/>
        </w:rPr>
        <w:br/>
        <w:t>For FFY 2024, the target was set at 52.5%</w:t>
      </w:r>
      <w:r w:rsidRPr="00ED172B">
        <w:rPr>
          <w:color w:val="000000" w:themeColor="text1"/>
          <w:szCs w:val="16"/>
        </w:rPr>
        <w:br/>
        <w:t>For FFY 2025, the target was set at 53%</w:t>
      </w:r>
      <w:r w:rsidRPr="00ED172B">
        <w:rPr>
          <w:color w:val="000000" w:themeColor="text1"/>
          <w:szCs w:val="16"/>
        </w:rPr>
        <w:br/>
      </w:r>
      <w:r w:rsidRPr="00ED172B">
        <w:rPr>
          <w:color w:val="000000" w:themeColor="text1"/>
          <w:szCs w:val="16"/>
        </w:rPr>
        <w:br/>
        <w:t xml:space="preserve">Summary Statement 2 for Outcomes C2 </w:t>
      </w:r>
      <w:r w:rsidRPr="00ED172B">
        <w:rPr>
          <w:color w:val="000000" w:themeColor="text1"/>
          <w:szCs w:val="16"/>
        </w:rPr>
        <w:br/>
        <w:t xml:space="preserve">For FFY 2020, the target was set at 54% </w:t>
      </w:r>
      <w:r w:rsidRPr="00ED172B">
        <w:rPr>
          <w:color w:val="000000" w:themeColor="text1"/>
          <w:szCs w:val="16"/>
        </w:rPr>
        <w:br/>
        <w:t>For FFY 2021, the target was set at 55%</w:t>
      </w:r>
      <w:r w:rsidRPr="00ED172B">
        <w:rPr>
          <w:color w:val="000000" w:themeColor="text1"/>
          <w:szCs w:val="16"/>
        </w:rPr>
        <w:br/>
        <w:t>For FFY 2022, the target was set at 56%</w:t>
      </w:r>
      <w:r w:rsidRPr="00ED172B">
        <w:rPr>
          <w:color w:val="000000" w:themeColor="text1"/>
          <w:szCs w:val="16"/>
        </w:rPr>
        <w:br/>
        <w:t>For FFY 2023, the target was set at 57%</w:t>
      </w:r>
      <w:r w:rsidRPr="00ED172B">
        <w:rPr>
          <w:color w:val="000000" w:themeColor="text1"/>
          <w:szCs w:val="16"/>
        </w:rPr>
        <w:br/>
        <w:t>For FFY 2024, the target was set at 58%</w:t>
      </w:r>
      <w:r w:rsidRPr="00ED172B">
        <w:rPr>
          <w:color w:val="000000" w:themeColor="text1"/>
          <w:szCs w:val="16"/>
        </w:rPr>
        <w:br/>
        <w:t>For FFY 2025, the target was set at 59%</w:t>
      </w:r>
      <w:r w:rsidRPr="00ED172B">
        <w:rPr>
          <w:color w:val="000000" w:themeColor="text1"/>
          <w:szCs w:val="16"/>
        </w:rPr>
        <w:br/>
      </w:r>
      <w:r w:rsidRPr="00ED172B">
        <w:rPr>
          <w:color w:val="000000" w:themeColor="text1"/>
          <w:szCs w:val="16"/>
        </w:rPr>
        <w:br/>
        <w:t xml:space="preserve">Indicator 4: Family Survey target set to remain at 92% for FFY2020-FFY2025. </w:t>
      </w:r>
      <w:r w:rsidRPr="00ED172B">
        <w:rPr>
          <w:color w:val="000000" w:themeColor="text1"/>
          <w:szCs w:val="16"/>
        </w:rPr>
        <w:br/>
      </w:r>
      <w:r w:rsidRPr="00ED172B">
        <w:rPr>
          <w:color w:val="000000" w:themeColor="text1"/>
          <w:szCs w:val="16"/>
        </w:rPr>
        <w:br/>
        <w:t>Indicator 5: Child Find 0-1 target was set as follows:</w:t>
      </w:r>
      <w:r w:rsidRPr="00ED172B">
        <w:rPr>
          <w:color w:val="000000" w:themeColor="text1"/>
          <w:szCs w:val="16"/>
        </w:rPr>
        <w:br/>
        <w:t xml:space="preserve">For FFY 2020, the target was set at .73% </w:t>
      </w:r>
      <w:r w:rsidRPr="00ED172B">
        <w:rPr>
          <w:color w:val="000000" w:themeColor="text1"/>
          <w:szCs w:val="16"/>
        </w:rPr>
        <w:br/>
        <w:t>For FFY 2021, the target was set at .83%</w:t>
      </w:r>
      <w:r w:rsidRPr="00ED172B">
        <w:rPr>
          <w:color w:val="000000" w:themeColor="text1"/>
          <w:szCs w:val="16"/>
        </w:rPr>
        <w:br/>
        <w:t>For FFY 2022, the target was set at .93%</w:t>
      </w:r>
      <w:r w:rsidRPr="00ED172B">
        <w:rPr>
          <w:color w:val="000000" w:themeColor="text1"/>
          <w:szCs w:val="16"/>
        </w:rPr>
        <w:br/>
        <w:t>For FFY 2023, the target was set at 1.03%</w:t>
      </w:r>
      <w:r w:rsidRPr="00ED172B">
        <w:rPr>
          <w:color w:val="000000" w:themeColor="text1"/>
          <w:szCs w:val="16"/>
        </w:rPr>
        <w:br/>
        <w:t>For FFY 2024, the target was set at 1.13%</w:t>
      </w:r>
      <w:r w:rsidRPr="00ED172B">
        <w:rPr>
          <w:color w:val="000000" w:themeColor="text1"/>
          <w:szCs w:val="16"/>
        </w:rPr>
        <w:br/>
        <w:t>For FFY 2025, the target was set at 1.23%</w:t>
      </w:r>
      <w:r w:rsidRPr="00ED172B">
        <w:rPr>
          <w:color w:val="000000" w:themeColor="text1"/>
          <w:szCs w:val="16"/>
        </w:rPr>
        <w:br/>
      </w:r>
      <w:r w:rsidRPr="00ED172B">
        <w:rPr>
          <w:color w:val="000000" w:themeColor="text1"/>
          <w:szCs w:val="16"/>
        </w:rPr>
        <w:br/>
        <w:t>Indicator 6: Child Find 0-3 target was as follows:</w:t>
      </w:r>
      <w:r w:rsidRPr="00ED172B">
        <w:rPr>
          <w:color w:val="000000" w:themeColor="text1"/>
          <w:szCs w:val="16"/>
        </w:rPr>
        <w:br/>
        <w:t xml:space="preserve">For FFY 2020, the target was set at 1.98% </w:t>
      </w:r>
      <w:r w:rsidRPr="00ED172B">
        <w:rPr>
          <w:color w:val="000000" w:themeColor="text1"/>
          <w:szCs w:val="16"/>
        </w:rPr>
        <w:br/>
        <w:t>For FFY 2021, the target was set at 2.06%</w:t>
      </w:r>
      <w:r w:rsidRPr="00ED172B">
        <w:rPr>
          <w:color w:val="000000" w:themeColor="text1"/>
          <w:szCs w:val="16"/>
        </w:rPr>
        <w:br/>
        <w:t>For FFY 2022, the target was set at 2.09%</w:t>
      </w:r>
      <w:r w:rsidRPr="00ED172B">
        <w:rPr>
          <w:color w:val="000000" w:themeColor="text1"/>
          <w:szCs w:val="16"/>
        </w:rPr>
        <w:br/>
        <w:t>For FFY 2023, the target was set at 2.12%</w:t>
      </w:r>
      <w:r w:rsidRPr="00ED172B">
        <w:rPr>
          <w:color w:val="000000" w:themeColor="text1"/>
          <w:szCs w:val="16"/>
        </w:rPr>
        <w:br/>
        <w:t>For FFY 2024, the target was set at 2.15%</w:t>
      </w:r>
      <w:r w:rsidRPr="00ED172B">
        <w:rPr>
          <w:color w:val="000000" w:themeColor="text1"/>
          <w:szCs w:val="16"/>
        </w:rPr>
        <w:br/>
        <w:t>For FFY 2025, the target was set at 2.18%</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lastRenderedPageBreak/>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State Interagency Coordinating Council (SICC) is comprised of 29 members, 20% of which (6) are parents. The SICC is chaired by a parent and each standing committee has parent members. The MSFSEIP engages parent members in the process of analyzing state data and setting targets using graphic representations and providing trends, and national data where possible, to help provide a meaningful context. Parent input is solicited in the discussion of improvement strategies and program evaluation to identify strategies that will most proximately improve outcomes for families.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All families participating in early intervention services are provided an annual survey to provide input and feedback on the reported Family Outcomes (Indicator 4), additional items about resources and family supports , and a section for narrative comments. Participation is tracked to ensure they reach and results are received from diverse parents, across all geographic areas, racial and ethnic groups, family languages, etc. Diverse families are invited and encouraged to participate in quarterly stakeholder meetings to provide guidance to the MSFSEIP. Families may participate using a variety of methods, including in-person, virtual, or through written input. Interpretation services and translation of materials are provided to ensure families who use non-English languages and/or modes of communication can participate.</w:t>
      </w:r>
      <w:r w:rsidRPr="00ED172B">
        <w:rPr>
          <w:color w:val="000000" w:themeColor="text1"/>
          <w:szCs w:val="16"/>
        </w:rPr>
        <w:br/>
      </w:r>
      <w:r w:rsidRPr="00ED172B">
        <w:rPr>
          <w:color w:val="000000" w:themeColor="text1"/>
          <w:szCs w:val="16"/>
        </w:rPr>
        <w:br/>
        <w:t>Further, all selected improvement strategies were reviewed prior to their selection to ensure they were appropriate for use with diverse families. For example, the Early Communication Indicator was selected as a progress monitoring tools to measure language development because it can be used with any native language, including American Sign Language. The Routines-Based Model was selected as a family-centered practice which has been demonstrated to be used effectively with diverse populations nationally and internationally.</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SICC meetings are conducted in January, April, July, and October. During the January meeting, SICC members review and discuss the preliminary Annual Performance Review data and finalize targets. During the April meeting, SICC members discuss program level data and improvement strategies. During the July meeting, SICC members discuss determinations and evaluation of the MSFSEIP efforts. During the October meeting, SICC members again discuss improvement strategies, evaluate progress, and develop initial targets.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All information on setting targets, analyzing data, developing improvement strategies, and evaluation are shared during the public SICC meetings and posted subsequently on the SICC webpage. Members and non-members are invited to participate on committees whose work has informed the development of improvement strategies.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MSFSEIP shared the complete APR at its SICC/SSIP Stakeholder Meeting as well as a results summary page. The MSFSEIP discussed the results by Indicator and answered all public questions posed. The performance of each Local FSEIP was disaggregated and shared at subsequent SICC meetings providing comparison relative to the MSFSEIP targets. The MSFSEIP also publishes several years of APR data on the MSDH website (http://msdh.ms.gov/msdhsite/_static/41,0,74,63.html). The website also provides information (i.e., phone and email contact information) to submit comments about the SPP/APR.</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2018 (July 1, 2018-June 30, 2019) performance of each EIS program or provider located in the State on the targets in the State's performance plan as required by sections 616(b)(2)(C)(ii)(I) and 642 of IDEA.  With its FFY 2020 SPP/APR, the State must provide a Web link demonstrating that the State reported to the public on the performance of each early intervention service program or provider located in the State on the targets in the SPP/APR for FFY 2018. In addition, the State must report with its FFY 2020 SPP/APR, how and where the State reported to the public on the FFY 2019 performance of each early intervention service program or provider located in the State on the targets in the SPP/APR.  </w:t>
      </w:r>
      <w:r w:rsidRPr="00ED172B">
        <w:rPr>
          <w:color w:val="000000" w:themeColor="text1"/>
        </w:rPr>
        <w:br/>
      </w:r>
      <w:r w:rsidRPr="00ED172B">
        <w:rPr>
          <w:color w:val="000000" w:themeColor="text1"/>
        </w:rPr>
        <w:b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MSFSEIP participated in intensive technical assistance on Effective Strategies for Correcting Longstanding Noncompliance. As a result of this an ongoing technical assistance from the Early Childhood Technical Assistance (ECTA) Center, the MSFSEIP completed the following activities: (a) revision of the annual program calendar, inclusive of applications, reports, meetings with OSEP and stakeholders, and monitoring and technical assistance cycles; (b) revision of the general supervision process; and (c) development and/or revision of monitoring tools, monitoring reports, official report of findings, corrective action plan (CAP) and improvement plan templates, and verification of correction templates.</w:t>
      </w: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76.00%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90.23%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86.80%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86.14%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85.26%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87.11%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360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455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87.11%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86.59%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34</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State had 61 instances of missed timelines due to system-based issues. Most delays occurred in Local FSEIP 8 with 12 delays and and 9 with 25 delays. Program 9 had two providers who had full cases loads to leave on a short notice.  Other Local FSEIPs, which also have some provider shortages, mainly experienced delays do to holidays and COVID-19.</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Mississippi First Step Early Intervention Program's criteria for "timely" receipt of services is defined as receiving all early intervention services identified</w:t>
      </w:r>
      <w:r w:rsidRPr="00ED172B">
        <w:rPr>
          <w:color w:val="000000" w:themeColor="text1"/>
          <w:szCs w:val="16"/>
        </w:rPr>
        <w:br/>
        <w:t>on the IFSP no later than 40 calendar days after written parental consent for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January 1, 2021 - March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State has pulled multiple reports during different time periods and results average about the same across reporting time frames.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7918866F" w14:textId="31FB2F6B" w:rsidR="002F1A9A" w:rsidRPr="00ED172B" w:rsidRDefault="00CD74B5" w:rsidP="00B83404">
      <w:pPr>
        <w:rPr>
          <w:color w:val="000000" w:themeColor="text1"/>
        </w:rPr>
      </w:pPr>
      <w:r>
        <w:rPr>
          <w:b/>
          <w:color w:val="000000" w:themeColor="text1"/>
        </w:rPr>
        <w:t>FFY 2019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Actions taken if noncompliance not corrected</w:t>
      </w:r>
    </w:p>
    <w:p w14:paraId="04E0B434" w14:textId="1AE3C4D5" w:rsidR="002F1A9A" w:rsidRDefault="00860830" w:rsidP="002F1A9A">
      <w:pPr>
        <w:rPr>
          <w:rFonts w:cs="Arial"/>
          <w:color w:val="000000" w:themeColor="text1"/>
          <w:szCs w:val="16"/>
        </w:rPr>
      </w:pPr>
      <w:r w:rsidRPr="00ED172B">
        <w:rPr>
          <w:rFonts w:cs="Arial"/>
          <w:color w:val="000000" w:themeColor="text1"/>
          <w:szCs w:val="16"/>
        </w:rPr>
        <w:t>All cases that caused the non compliance have been addressed and fixed. Program had to resubmit new Correction of Action Plans to address noncompliance.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0</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1</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5</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0</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5</w:t>
            </w:r>
          </w:p>
        </w:tc>
      </w:tr>
      <w:tr w:rsidR="00ED172B" w:rsidRPr="00ED172B" w14:paraId="06686058" w14:textId="77777777" w:rsidTr="00986B99">
        <w:tc>
          <w:tcPr>
            <w:tcW w:w="899" w:type="pct"/>
            <w:shd w:val="clear" w:color="auto" w:fill="auto"/>
          </w:tcPr>
          <w:p w14:paraId="25B79FD3" w14:textId="19A616F7" w:rsidR="002F1A9A" w:rsidRPr="00ED172B" w:rsidRDefault="00860830" w:rsidP="00186420">
            <w:pPr>
              <w:jc w:val="center"/>
              <w:rPr>
                <w:rFonts w:cs="Arial"/>
                <w:color w:val="000000" w:themeColor="text1"/>
                <w:szCs w:val="16"/>
              </w:rPr>
            </w:pPr>
            <w:r w:rsidRPr="00ED172B">
              <w:rPr>
                <w:rFonts w:cs="Arial"/>
                <w:color w:val="000000" w:themeColor="text1"/>
                <w:szCs w:val="16"/>
              </w:rPr>
              <w:t>FFY 2013</w:t>
            </w:r>
          </w:p>
        </w:tc>
        <w:tc>
          <w:tcPr>
            <w:tcW w:w="1399" w:type="pct"/>
            <w:shd w:val="clear" w:color="auto" w:fill="auto"/>
          </w:tcPr>
          <w:p w14:paraId="107B2803" w14:textId="0CF5B5C3"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5FBAC412" w14:textId="4ED40606" w:rsidR="002F1A9A" w:rsidRPr="00ED172B" w:rsidRDefault="00860830" w:rsidP="009A3621">
            <w:pPr>
              <w:jc w:val="center"/>
              <w:rPr>
                <w:rFonts w:cs="Arial"/>
                <w:noProof/>
                <w:color w:val="000000" w:themeColor="text1"/>
                <w:szCs w:val="16"/>
              </w:rPr>
            </w:pPr>
            <w:r w:rsidRPr="00ED172B">
              <w:rPr>
                <w:rFonts w:cs="Arial"/>
                <w:color w:val="000000" w:themeColor="text1"/>
                <w:szCs w:val="16"/>
              </w:rPr>
              <w:t>0</w:t>
            </w:r>
          </w:p>
        </w:tc>
        <w:tc>
          <w:tcPr>
            <w:tcW w:w="1307" w:type="pct"/>
            <w:shd w:val="clear" w:color="auto" w:fill="auto"/>
          </w:tcPr>
          <w:p w14:paraId="1B00BD3C" w14:textId="5FA6F0AB" w:rsidR="002F1A9A" w:rsidRPr="00ED172B" w:rsidRDefault="00860830" w:rsidP="00433DB7">
            <w:pPr>
              <w:jc w:val="center"/>
              <w:rPr>
                <w:rFonts w:cs="Arial"/>
                <w:noProof/>
                <w:color w:val="000000" w:themeColor="text1"/>
                <w:szCs w:val="16"/>
              </w:rPr>
            </w:pPr>
            <w:r w:rsidRPr="00ED172B">
              <w:rPr>
                <w:rFonts w:cs="Arial"/>
                <w:color w:val="000000" w:themeColor="text1"/>
                <w:szCs w:val="16"/>
              </w:rPr>
              <w:t>1</w:t>
            </w:r>
          </w:p>
        </w:tc>
      </w:tr>
    </w:tbl>
    <w:p w14:paraId="697DE556" w14:textId="689D7390" w:rsidR="00E50124" w:rsidRPr="00ED172B" w:rsidRDefault="00E50124">
      <w:pPr>
        <w:rPr>
          <w:b/>
          <w:bCs/>
          <w:color w:val="000000" w:themeColor="text1"/>
        </w:rPr>
      </w:pPr>
      <w:r w:rsidRPr="00ED172B">
        <w:rPr>
          <w:rFonts w:cs="Arial"/>
          <w:b/>
          <w:bCs/>
          <w:color w:val="000000" w:themeColor="text1"/>
          <w:szCs w:val="16"/>
        </w:rPr>
        <w:t>FFY 2018</w:t>
      </w:r>
    </w:p>
    <w:p w14:paraId="3BE42613" w14:textId="49C4F1FF" w:rsidR="002F1A9A" w:rsidRPr="00ED172B" w:rsidRDefault="002F1A9A" w:rsidP="00B83404">
      <w:pPr>
        <w:rPr>
          <w:color w:val="000000" w:themeColor="text1"/>
        </w:rPr>
      </w:pPr>
      <w:r w:rsidRPr="00ED172B">
        <w:rPr>
          <w:b/>
          <w:color w:val="000000" w:themeColor="text1"/>
        </w:rPr>
        <w:t>Findings of Noncompliance Not Yet Verified as Corrected</w:t>
      </w:r>
    </w:p>
    <w:p w14:paraId="3A957487" w14:textId="77777777" w:rsidR="002F1A9A" w:rsidRPr="00ED172B" w:rsidRDefault="002F1A9A">
      <w:pPr>
        <w:rPr>
          <w:b/>
          <w:color w:val="000000" w:themeColor="text1"/>
        </w:rPr>
      </w:pPr>
      <w:r w:rsidRPr="00ED172B">
        <w:rPr>
          <w:b/>
          <w:color w:val="000000" w:themeColor="text1"/>
        </w:rPr>
        <w:t>Actions taken if noncompliance not corrected</w:t>
      </w:r>
    </w:p>
    <w:p w14:paraId="12A43FC7" w14:textId="46094739" w:rsidR="002F1A9A" w:rsidRDefault="00860830">
      <w:pPr>
        <w:rPr>
          <w:color w:val="000000" w:themeColor="text1"/>
        </w:rPr>
      </w:pPr>
      <w:r w:rsidRPr="00ED172B">
        <w:rPr>
          <w:color w:val="000000" w:themeColor="text1"/>
        </w:rPr>
        <w:t>All cases that caused the non compliance have been addressed and fixed. Program had to resubmit new Correction of Action Plans to address root causes of continued noncompliance.</w:t>
      </w:r>
    </w:p>
    <w:p w14:paraId="4666B21C" w14:textId="77777777" w:rsidR="00E50124" w:rsidRPr="00ED172B" w:rsidRDefault="00E50124" w:rsidP="00E50124">
      <w:pPr>
        <w:rPr>
          <w:rFonts w:cs="Arial"/>
          <w:b/>
          <w:bCs/>
          <w:color w:val="000000" w:themeColor="text1"/>
          <w:szCs w:val="16"/>
        </w:rPr>
      </w:pPr>
      <w:r w:rsidRPr="00ED172B">
        <w:rPr>
          <w:rFonts w:cs="Arial"/>
          <w:b/>
          <w:bCs/>
          <w:color w:val="000000" w:themeColor="text1"/>
          <w:szCs w:val="16"/>
        </w:rPr>
        <w:t>FFY 2017</w:t>
      </w:r>
    </w:p>
    <w:p w14:paraId="4CF34487" w14:textId="74EFB50F" w:rsidR="002F1A9A" w:rsidRPr="00ED172B" w:rsidRDefault="002F1A9A" w:rsidP="00B83404">
      <w:pPr>
        <w:rPr>
          <w:color w:val="000000" w:themeColor="text1"/>
        </w:rPr>
      </w:pPr>
      <w:r w:rsidRPr="00ED172B">
        <w:rPr>
          <w:b/>
          <w:color w:val="000000" w:themeColor="text1"/>
        </w:rPr>
        <w:t>Findings of Noncompliance Not Yet Verified as Corrected</w:t>
      </w:r>
    </w:p>
    <w:p w14:paraId="2B98BADF" w14:textId="77777777" w:rsidR="002F1A9A" w:rsidRPr="00ED172B" w:rsidRDefault="002F1A9A">
      <w:pPr>
        <w:rPr>
          <w:b/>
          <w:color w:val="000000" w:themeColor="text1"/>
        </w:rPr>
      </w:pPr>
      <w:r w:rsidRPr="00ED172B">
        <w:rPr>
          <w:b/>
          <w:color w:val="000000" w:themeColor="text1"/>
        </w:rPr>
        <w:t>Actions taken if noncompliance not corrected</w:t>
      </w:r>
    </w:p>
    <w:p w14:paraId="1D45CFF6" w14:textId="1B4D2B6D" w:rsidR="002F1A9A" w:rsidRDefault="00860830">
      <w:pPr>
        <w:rPr>
          <w:color w:val="000000" w:themeColor="text1"/>
        </w:rPr>
      </w:pPr>
      <w:r w:rsidRPr="00ED172B">
        <w:rPr>
          <w:color w:val="000000" w:themeColor="text1"/>
        </w:rPr>
        <w:t>All cases that caused the non compliance have been addressed and fixed. Program had to resubmit new Correction of Action Plans to address root causes of continued noncompliance.</w:t>
      </w:r>
    </w:p>
    <w:p w14:paraId="3C2D4B3B" w14:textId="4BE904BC" w:rsidR="00E50124" w:rsidRPr="00ED172B" w:rsidRDefault="00E50124" w:rsidP="00E50124">
      <w:pPr>
        <w:rPr>
          <w:rFonts w:cs="Arial"/>
          <w:b/>
          <w:bCs/>
          <w:color w:val="000000" w:themeColor="text1"/>
          <w:szCs w:val="16"/>
        </w:rPr>
      </w:pPr>
      <w:r w:rsidRPr="00ED172B">
        <w:rPr>
          <w:rFonts w:cs="Arial"/>
          <w:b/>
          <w:bCs/>
          <w:color w:val="000000" w:themeColor="text1"/>
          <w:szCs w:val="16"/>
        </w:rPr>
        <w:t>FFY 2013</w:t>
      </w:r>
    </w:p>
    <w:p w14:paraId="62031579" w14:textId="2402DD92" w:rsidR="002F1A9A" w:rsidRPr="00ED172B" w:rsidRDefault="002F1A9A" w:rsidP="00B83404">
      <w:pPr>
        <w:rPr>
          <w:color w:val="000000" w:themeColor="text1"/>
        </w:rPr>
      </w:pPr>
      <w:r w:rsidRPr="00ED172B">
        <w:rPr>
          <w:b/>
          <w:color w:val="000000" w:themeColor="text1"/>
        </w:rPr>
        <w:t>Findings of Noncompliance Not Yet Verified as Corrected</w:t>
      </w:r>
    </w:p>
    <w:p w14:paraId="2B5BAE1B" w14:textId="77777777" w:rsidR="002F1A9A" w:rsidRPr="00ED172B" w:rsidRDefault="002F1A9A">
      <w:pPr>
        <w:rPr>
          <w:b/>
          <w:color w:val="000000" w:themeColor="text1"/>
        </w:rPr>
      </w:pPr>
      <w:r w:rsidRPr="00ED172B">
        <w:rPr>
          <w:b/>
          <w:color w:val="000000" w:themeColor="text1"/>
        </w:rPr>
        <w:lastRenderedPageBreak/>
        <w:t>Actions taken if noncompliance not corrected</w:t>
      </w:r>
    </w:p>
    <w:p w14:paraId="773311E7" w14:textId="3C819F3D" w:rsidR="002F1A9A" w:rsidRDefault="00860830">
      <w:pPr>
        <w:rPr>
          <w:color w:val="000000" w:themeColor="text1"/>
        </w:rPr>
      </w:pPr>
      <w:r w:rsidRPr="00ED172B">
        <w:rPr>
          <w:color w:val="000000" w:themeColor="text1"/>
        </w:rPr>
        <w:t>All cases that caused the non compliance have been addressed and fixed. Program had to resubmit new Correction of Action Plans to address root causes of continued noncompliance.</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the remaining five uncorrected findings identified in FFY 2017, and the one uncorrected finding identified in FFY 2013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FFY 2017, and FFY 2013: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the remaining one finding identified in FFY 2018, the remaining five findings identified in FFY 2017, and the remaining one finding identified in FFY 2013 were corrected.  </w:t>
      </w:r>
      <w:r w:rsidRPr="00ED172B">
        <w:rPr>
          <w:color w:val="000000" w:themeColor="text1"/>
        </w:rPr>
        <w:br/>
      </w:r>
      <w:r w:rsidRPr="00ED172B">
        <w:rPr>
          <w:color w:val="000000" w:themeColor="text1"/>
        </w:rPr>
        <w:br/>
        <w:t xml:space="preserve">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FFYs 2019, 2018, 2017 and 2013: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2019</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87.36%</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91.30%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89.71%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88.86%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88.19%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87.36%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87.40%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88.92%</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90.44%</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91.96%</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93.48%</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SiMR or adopt a new one for FF2020-2025. On December 16, 2021, a second stakeholders meeting was held to finalize and approve the revised SiMR. On January 28, 2022, the SICC and stakeholders gave finale approval for FFY 2020-2025 targets which included the SiMR. </w:t>
      </w:r>
      <w:r w:rsidRPr="00ED172B">
        <w:rPr>
          <w:color w:val="000000" w:themeColor="text1"/>
        </w:rPr>
        <w:br/>
      </w:r>
      <w:r w:rsidRPr="00ED172B">
        <w:rPr>
          <w:color w:val="000000" w:themeColor="text1"/>
        </w:rPr>
        <w:br/>
        <w:t>Indicator 2: Natural Environment:</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Summary Statement 2 for Outcomes B2 - SiMR</w:t>
      </w:r>
      <w:r w:rsidRPr="00ED172B">
        <w:rPr>
          <w:color w:val="000000" w:themeColor="text1"/>
        </w:rPr>
        <w:br/>
      </w:r>
      <w:r w:rsidRPr="00ED172B">
        <w:rPr>
          <w:color w:val="000000" w:themeColor="text1"/>
        </w:rPr>
        <w:lastRenderedPageBreak/>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7615FD78" w14:textId="04DD62A8" w:rsidR="00AE7452" w:rsidRPr="00ED172B" w:rsidRDefault="00AE7452" w:rsidP="00B83404">
      <w:pPr>
        <w:rPr>
          <w:color w:val="000000" w:themeColor="text1"/>
        </w:rPr>
      </w:pPr>
      <w:r w:rsidRPr="00ED172B">
        <w:rPr>
          <w:rFonts w:cs="Arial"/>
          <w:color w:val="000000" w:themeColor="text1"/>
          <w:szCs w:val="16"/>
        </w:rPr>
        <w:t>During the October 22, 2021, stakeholders made the decision to change the target for Indicator 2 due the loss of providers who were willing to provide services in the Natural Environment due to COVID and increased transportation costs. The MSFSEIP is examining several methods for incentivizing providers who conduct early intervention services in the Natural Environment, including increasing reimbursement rates for Natural Environment service delivery.</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1,289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1,621</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1,289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1,621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87.36%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87.40%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79.52%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Due to the COVID pandemic, the state saw a large percentage of service being performed in clinic setting which could maintain safety protocols and increased unwillingness to provide and receive services in personal homes.</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lastRenderedPageBreak/>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xml:space="preserve">The State has revised the baseline for this indicator, using data from FFY 2019, but OSEP cannot accept that revision because the State did not provide an explanation for the revision. </w:t>
      </w:r>
      <w:r w:rsidRPr="00ED172B">
        <w:rPr>
          <w:color w:val="000000" w:themeColor="text1"/>
        </w:rPr>
        <w:br/>
      </w:r>
      <w:r w:rsidRPr="00ED172B">
        <w:rPr>
          <w:color w:val="000000" w:themeColor="text1"/>
        </w:rPr>
        <w:br/>
        <w:t>The State provided targets for FFYs 2020 through 2025 for this indicator, but OSEP cannot accept those targets because the State's baseline for this indicator was not accepted.</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2F5A9E" w:rsidP="002F5A9E">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 xml:space="preserve">If the State chooses to revise the baseline for this indicator in the FFY 2021 SPP/APR, the State must provide an explanation. </w:t>
      </w: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SiMR or adopt a new one for FF2020-2025. On December 16, 2021, a second stakeholders meeting was held to finalize and approve the revised SiMR. On January 28, 2022, the SICC and stakeholders gave finale approval for FFY 2020-2025 targets which included the SiMR. </w:t>
      </w:r>
      <w:r w:rsidRPr="00ED172B">
        <w:rPr>
          <w:color w:val="000000" w:themeColor="text1"/>
        </w:rPr>
        <w:br/>
      </w:r>
      <w:r w:rsidRPr="00ED172B">
        <w:rPr>
          <w:color w:val="000000" w:themeColor="text1"/>
        </w:rPr>
        <w:br/>
        <w:t>Indicator 2: Natural Environment:</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Summary Statement 2 for Outcomes B2 - SiMR</w:t>
      </w:r>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74.24%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79.05%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77.78%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81.28%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80.37%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89.17%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52.00%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65.45%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61.53%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60.22%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62.49%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76.72%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81.05%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77.92%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80.69%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83.86%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82.06%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47.05%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61.23%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57.18%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53.04%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52.78%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50.04%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75.09%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83.67%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80.98%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80.31%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81.11%</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61.56%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56.99%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55.43%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55.74%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50.30%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85.00%</w:t>
            </w:r>
          </w:p>
        </w:tc>
        <w:tc>
          <w:tcPr>
            <w:tcW w:w="776" w:type="pct"/>
          </w:tcPr>
          <w:p w14:paraId="7A62957C" w14:textId="59554121" w:rsidR="002242B8" w:rsidRPr="00ED172B" w:rsidRDefault="002242B8" w:rsidP="002242B8">
            <w:pPr>
              <w:jc w:val="center"/>
              <w:rPr>
                <w:color w:val="000000" w:themeColor="text1"/>
              </w:rPr>
            </w:pPr>
            <w:r>
              <w:rPr>
                <w:color w:val="000000" w:themeColor="text1"/>
              </w:rPr>
              <w:t>85.00%</w:t>
            </w:r>
          </w:p>
        </w:tc>
        <w:tc>
          <w:tcPr>
            <w:tcW w:w="776" w:type="pct"/>
          </w:tcPr>
          <w:p w14:paraId="330DB307" w14:textId="4DD70DCA" w:rsidR="002242B8" w:rsidRPr="00ED172B" w:rsidRDefault="002242B8" w:rsidP="002242B8">
            <w:pPr>
              <w:jc w:val="center"/>
              <w:rPr>
                <w:color w:val="000000" w:themeColor="text1"/>
              </w:rPr>
            </w:pPr>
            <w:r>
              <w:rPr>
                <w:color w:val="000000" w:themeColor="text1"/>
              </w:rPr>
              <w:t>85.00%</w:t>
            </w:r>
          </w:p>
        </w:tc>
        <w:tc>
          <w:tcPr>
            <w:tcW w:w="775" w:type="pct"/>
          </w:tcPr>
          <w:p w14:paraId="1E535134" w14:textId="174673D1" w:rsidR="002242B8" w:rsidRPr="00ED172B" w:rsidRDefault="002242B8" w:rsidP="002242B8">
            <w:pPr>
              <w:jc w:val="center"/>
              <w:rPr>
                <w:color w:val="000000" w:themeColor="text1"/>
              </w:rPr>
            </w:pPr>
            <w:r>
              <w:rPr>
                <w:color w:val="000000" w:themeColor="text1"/>
              </w:rPr>
              <w:t>85.00%</w:t>
            </w:r>
          </w:p>
        </w:tc>
        <w:tc>
          <w:tcPr>
            <w:tcW w:w="774" w:type="pct"/>
          </w:tcPr>
          <w:p w14:paraId="7D5EFC26" w14:textId="3AFE59A1" w:rsidR="002242B8" w:rsidRPr="00ED172B" w:rsidRDefault="002242B8" w:rsidP="002242B8">
            <w:pPr>
              <w:jc w:val="center"/>
              <w:rPr>
                <w:color w:val="000000" w:themeColor="text1"/>
              </w:rPr>
            </w:pPr>
            <w:r>
              <w:rPr>
                <w:color w:val="000000" w:themeColor="text1"/>
              </w:rPr>
              <w:t>85.00%</w:t>
            </w:r>
          </w:p>
        </w:tc>
        <w:tc>
          <w:tcPr>
            <w:tcW w:w="774" w:type="pct"/>
          </w:tcPr>
          <w:p w14:paraId="15069A62" w14:textId="2C6565EA" w:rsidR="002242B8" w:rsidRDefault="002242B8" w:rsidP="002242B8">
            <w:pPr>
              <w:jc w:val="center"/>
              <w:rPr>
                <w:color w:val="000000" w:themeColor="text1"/>
              </w:rPr>
            </w:pPr>
            <w:r>
              <w:rPr>
                <w:color w:val="000000" w:themeColor="text1"/>
              </w:rPr>
              <w:t>85.00%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62.50%</w:t>
            </w:r>
          </w:p>
        </w:tc>
        <w:tc>
          <w:tcPr>
            <w:tcW w:w="776" w:type="pct"/>
          </w:tcPr>
          <w:p w14:paraId="1DD5AC15" w14:textId="552D0AAC" w:rsidR="002242B8" w:rsidRPr="00ED172B" w:rsidRDefault="002242B8" w:rsidP="002242B8">
            <w:pPr>
              <w:jc w:val="center"/>
              <w:rPr>
                <w:color w:val="000000" w:themeColor="text1"/>
              </w:rPr>
            </w:pPr>
            <w:r>
              <w:rPr>
                <w:color w:val="000000" w:themeColor="text1"/>
              </w:rPr>
              <w:t>63.00%</w:t>
            </w:r>
          </w:p>
        </w:tc>
        <w:tc>
          <w:tcPr>
            <w:tcW w:w="776" w:type="pct"/>
          </w:tcPr>
          <w:p w14:paraId="29377148" w14:textId="76F6C6ED" w:rsidR="002242B8" w:rsidRPr="00ED172B" w:rsidRDefault="002242B8" w:rsidP="002242B8">
            <w:pPr>
              <w:jc w:val="center"/>
              <w:rPr>
                <w:color w:val="000000" w:themeColor="text1"/>
              </w:rPr>
            </w:pPr>
            <w:r>
              <w:rPr>
                <w:color w:val="000000" w:themeColor="text1"/>
              </w:rPr>
              <w:t>63.50%</w:t>
            </w:r>
          </w:p>
        </w:tc>
        <w:tc>
          <w:tcPr>
            <w:tcW w:w="775" w:type="pct"/>
          </w:tcPr>
          <w:p w14:paraId="3F8E8EE0" w14:textId="1AB30A36" w:rsidR="002242B8" w:rsidRPr="00ED172B" w:rsidRDefault="002242B8" w:rsidP="002242B8">
            <w:pPr>
              <w:jc w:val="center"/>
              <w:rPr>
                <w:color w:val="000000" w:themeColor="text1"/>
              </w:rPr>
            </w:pPr>
            <w:r>
              <w:rPr>
                <w:color w:val="000000" w:themeColor="text1"/>
              </w:rPr>
              <w:t>64.00%</w:t>
            </w:r>
          </w:p>
        </w:tc>
        <w:tc>
          <w:tcPr>
            <w:tcW w:w="774" w:type="pct"/>
          </w:tcPr>
          <w:p w14:paraId="5B0C0E7A" w14:textId="73E7E860" w:rsidR="002242B8" w:rsidRPr="00ED172B" w:rsidRDefault="002242B8" w:rsidP="002242B8">
            <w:pPr>
              <w:jc w:val="center"/>
              <w:rPr>
                <w:color w:val="000000" w:themeColor="text1"/>
              </w:rPr>
            </w:pPr>
            <w:r>
              <w:rPr>
                <w:color w:val="000000" w:themeColor="text1"/>
              </w:rPr>
              <w:t>64.50%</w:t>
            </w:r>
          </w:p>
        </w:tc>
        <w:tc>
          <w:tcPr>
            <w:tcW w:w="774" w:type="pct"/>
          </w:tcPr>
          <w:p w14:paraId="07EA5E23" w14:textId="2A5C270F" w:rsidR="002242B8" w:rsidRDefault="002242B8" w:rsidP="002242B8">
            <w:pPr>
              <w:jc w:val="center"/>
              <w:rPr>
                <w:color w:val="000000" w:themeColor="text1"/>
              </w:rPr>
            </w:pPr>
            <w:r>
              <w:rPr>
                <w:color w:val="000000" w:themeColor="text1"/>
              </w:rPr>
              <w:t>65.00%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85.00%</w:t>
            </w:r>
          </w:p>
        </w:tc>
        <w:tc>
          <w:tcPr>
            <w:tcW w:w="776" w:type="pct"/>
          </w:tcPr>
          <w:p w14:paraId="7EDAF97B" w14:textId="4B219601" w:rsidR="002242B8" w:rsidRPr="00ED172B" w:rsidRDefault="002242B8" w:rsidP="002242B8">
            <w:pPr>
              <w:jc w:val="center"/>
              <w:rPr>
                <w:color w:val="000000" w:themeColor="text1"/>
              </w:rPr>
            </w:pPr>
            <w:r>
              <w:rPr>
                <w:color w:val="000000" w:themeColor="text1"/>
              </w:rPr>
              <w:t>85.00%</w:t>
            </w:r>
          </w:p>
        </w:tc>
        <w:tc>
          <w:tcPr>
            <w:tcW w:w="776" w:type="pct"/>
          </w:tcPr>
          <w:p w14:paraId="31A1D7D3" w14:textId="003191E1" w:rsidR="002242B8" w:rsidRPr="00ED172B" w:rsidRDefault="002242B8" w:rsidP="002242B8">
            <w:pPr>
              <w:jc w:val="center"/>
              <w:rPr>
                <w:color w:val="000000" w:themeColor="text1"/>
              </w:rPr>
            </w:pPr>
            <w:r>
              <w:rPr>
                <w:color w:val="000000" w:themeColor="text1"/>
              </w:rPr>
              <w:t>85.00%</w:t>
            </w:r>
          </w:p>
        </w:tc>
        <w:tc>
          <w:tcPr>
            <w:tcW w:w="775" w:type="pct"/>
          </w:tcPr>
          <w:p w14:paraId="493915A7" w14:textId="24756F38" w:rsidR="002242B8" w:rsidRPr="00ED172B" w:rsidRDefault="002242B8" w:rsidP="002242B8">
            <w:pPr>
              <w:jc w:val="center"/>
              <w:rPr>
                <w:color w:val="000000" w:themeColor="text1"/>
              </w:rPr>
            </w:pPr>
            <w:r>
              <w:rPr>
                <w:color w:val="000000" w:themeColor="text1"/>
              </w:rPr>
              <w:t>85.00%</w:t>
            </w:r>
          </w:p>
        </w:tc>
        <w:tc>
          <w:tcPr>
            <w:tcW w:w="774" w:type="pct"/>
          </w:tcPr>
          <w:p w14:paraId="2E008F25" w14:textId="53C173A2" w:rsidR="002242B8" w:rsidRPr="00ED172B" w:rsidRDefault="002242B8" w:rsidP="002242B8">
            <w:pPr>
              <w:jc w:val="center"/>
              <w:rPr>
                <w:color w:val="000000" w:themeColor="text1"/>
              </w:rPr>
            </w:pPr>
            <w:r>
              <w:rPr>
                <w:color w:val="000000" w:themeColor="text1"/>
              </w:rPr>
              <w:t>85.00%</w:t>
            </w:r>
          </w:p>
        </w:tc>
        <w:tc>
          <w:tcPr>
            <w:tcW w:w="774" w:type="pct"/>
          </w:tcPr>
          <w:p w14:paraId="75711695" w14:textId="0D480C69" w:rsidR="002242B8" w:rsidRDefault="002242B8" w:rsidP="002242B8">
            <w:pPr>
              <w:jc w:val="center"/>
              <w:rPr>
                <w:color w:val="000000" w:themeColor="text1"/>
              </w:rPr>
            </w:pPr>
            <w:r>
              <w:rPr>
                <w:color w:val="000000" w:themeColor="text1"/>
              </w:rPr>
              <w:t>85.00%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50.50%</w:t>
            </w:r>
          </w:p>
        </w:tc>
        <w:tc>
          <w:tcPr>
            <w:tcW w:w="776" w:type="pct"/>
          </w:tcPr>
          <w:p w14:paraId="5980DE18" w14:textId="10CD7859" w:rsidR="002242B8" w:rsidRPr="00ED172B" w:rsidRDefault="002242B8" w:rsidP="002242B8">
            <w:pPr>
              <w:jc w:val="center"/>
              <w:rPr>
                <w:color w:val="000000" w:themeColor="text1"/>
              </w:rPr>
            </w:pPr>
            <w:r>
              <w:rPr>
                <w:color w:val="000000" w:themeColor="text1"/>
              </w:rPr>
              <w:t>51.00%</w:t>
            </w:r>
          </w:p>
        </w:tc>
        <w:tc>
          <w:tcPr>
            <w:tcW w:w="776" w:type="pct"/>
          </w:tcPr>
          <w:p w14:paraId="3FD51CD4" w14:textId="4E5875CE" w:rsidR="002242B8" w:rsidRPr="00ED172B" w:rsidRDefault="002242B8" w:rsidP="002242B8">
            <w:pPr>
              <w:jc w:val="center"/>
              <w:rPr>
                <w:color w:val="000000" w:themeColor="text1"/>
              </w:rPr>
            </w:pPr>
            <w:r>
              <w:rPr>
                <w:color w:val="000000" w:themeColor="text1"/>
              </w:rPr>
              <w:t>51.50%</w:t>
            </w:r>
          </w:p>
        </w:tc>
        <w:tc>
          <w:tcPr>
            <w:tcW w:w="775" w:type="pct"/>
          </w:tcPr>
          <w:p w14:paraId="3A7274FD" w14:textId="38B9FCB4" w:rsidR="002242B8" w:rsidRPr="00ED172B" w:rsidRDefault="002242B8" w:rsidP="002242B8">
            <w:pPr>
              <w:jc w:val="center"/>
              <w:rPr>
                <w:color w:val="000000" w:themeColor="text1"/>
              </w:rPr>
            </w:pPr>
            <w:r>
              <w:rPr>
                <w:color w:val="000000" w:themeColor="text1"/>
              </w:rPr>
              <w:t>52.00%</w:t>
            </w:r>
          </w:p>
        </w:tc>
        <w:tc>
          <w:tcPr>
            <w:tcW w:w="774" w:type="pct"/>
          </w:tcPr>
          <w:p w14:paraId="53FEE354" w14:textId="77777777" w:rsidR="002242B8" w:rsidRPr="00ED172B" w:rsidRDefault="002242B8" w:rsidP="002242B8">
            <w:pPr>
              <w:jc w:val="center"/>
              <w:rPr>
                <w:color w:val="000000" w:themeColor="text1"/>
              </w:rPr>
            </w:pPr>
            <w:r>
              <w:rPr>
                <w:color w:val="000000" w:themeColor="text1"/>
              </w:rPr>
              <w:t>52.50%</w:t>
            </w:r>
          </w:p>
        </w:tc>
        <w:tc>
          <w:tcPr>
            <w:tcW w:w="774" w:type="pct"/>
          </w:tcPr>
          <w:p w14:paraId="03D295F5" w14:textId="3DD97606" w:rsidR="002242B8" w:rsidRDefault="002242B8" w:rsidP="002242B8">
            <w:pPr>
              <w:jc w:val="center"/>
              <w:rPr>
                <w:color w:val="000000" w:themeColor="text1"/>
              </w:rPr>
            </w:pPr>
            <w:r>
              <w:rPr>
                <w:color w:val="000000" w:themeColor="text1"/>
              </w:rPr>
              <w:t>53.00%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85.00%</w:t>
            </w:r>
          </w:p>
        </w:tc>
        <w:tc>
          <w:tcPr>
            <w:tcW w:w="776" w:type="pct"/>
          </w:tcPr>
          <w:p w14:paraId="3564984B" w14:textId="08842718" w:rsidR="0012497F" w:rsidRPr="00ED172B" w:rsidRDefault="0012497F" w:rsidP="0012497F">
            <w:pPr>
              <w:jc w:val="center"/>
              <w:rPr>
                <w:color w:val="000000" w:themeColor="text1"/>
              </w:rPr>
            </w:pPr>
            <w:r>
              <w:rPr>
                <w:color w:val="000000" w:themeColor="text1"/>
              </w:rPr>
              <w:t>85.00%</w:t>
            </w:r>
          </w:p>
        </w:tc>
        <w:tc>
          <w:tcPr>
            <w:tcW w:w="776" w:type="pct"/>
          </w:tcPr>
          <w:p w14:paraId="6F334EB5" w14:textId="748BD28E" w:rsidR="0012497F" w:rsidRPr="00ED172B" w:rsidRDefault="0012497F" w:rsidP="0012497F">
            <w:pPr>
              <w:jc w:val="center"/>
              <w:rPr>
                <w:color w:val="000000" w:themeColor="text1"/>
              </w:rPr>
            </w:pPr>
            <w:r>
              <w:rPr>
                <w:color w:val="000000" w:themeColor="text1"/>
              </w:rPr>
              <w:t>85.00%</w:t>
            </w:r>
          </w:p>
        </w:tc>
        <w:tc>
          <w:tcPr>
            <w:tcW w:w="775" w:type="pct"/>
          </w:tcPr>
          <w:p w14:paraId="13A1DF6C" w14:textId="36831C30" w:rsidR="0012497F" w:rsidRPr="00ED172B" w:rsidRDefault="0012497F" w:rsidP="0012497F">
            <w:pPr>
              <w:jc w:val="center"/>
              <w:rPr>
                <w:color w:val="000000" w:themeColor="text1"/>
              </w:rPr>
            </w:pPr>
            <w:r>
              <w:rPr>
                <w:color w:val="000000" w:themeColor="text1"/>
              </w:rPr>
              <w:t>85.00%</w:t>
            </w:r>
          </w:p>
        </w:tc>
        <w:tc>
          <w:tcPr>
            <w:tcW w:w="774" w:type="pct"/>
          </w:tcPr>
          <w:p w14:paraId="4404EA0E" w14:textId="45986E0D" w:rsidR="0012497F" w:rsidRPr="00ED172B" w:rsidRDefault="0012497F" w:rsidP="0012497F">
            <w:pPr>
              <w:jc w:val="center"/>
              <w:rPr>
                <w:color w:val="000000" w:themeColor="text1"/>
              </w:rPr>
            </w:pPr>
            <w:r>
              <w:rPr>
                <w:color w:val="000000" w:themeColor="text1"/>
              </w:rPr>
              <w:t>85.00%</w:t>
            </w:r>
          </w:p>
        </w:tc>
        <w:tc>
          <w:tcPr>
            <w:tcW w:w="774" w:type="pct"/>
          </w:tcPr>
          <w:p w14:paraId="5C1073FD" w14:textId="0AA48600" w:rsidR="0012497F" w:rsidRPr="00ED172B" w:rsidRDefault="0012497F" w:rsidP="0012497F">
            <w:pPr>
              <w:jc w:val="center"/>
              <w:rPr>
                <w:color w:val="000000" w:themeColor="text1"/>
              </w:rPr>
            </w:pPr>
            <w:r>
              <w:rPr>
                <w:color w:val="000000" w:themeColor="text1"/>
              </w:rPr>
              <w:t>85.00%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54.00%</w:t>
            </w:r>
          </w:p>
        </w:tc>
        <w:tc>
          <w:tcPr>
            <w:tcW w:w="776" w:type="pct"/>
          </w:tcPr>
          <w:p w14:paraId="58EBEEB4" w14:textId="68AFCCA1" w:rsidR="0012497F" w:rsidRPr="00ED172B" w:rsidRDefault="0012497F" w:rsidP="0012497F">
            <w:pPr>
              <w:jc w:val="center"/>
              <w:rPr>
                <w:color w:val="000000" w:themeColor="text1"/>
              </w:rPr>
            </w:pPr>
            <w:r>
              <w:rPr>
                <w:color w:val="000000" w:themeColor="text1"/>
              </w:rPr>
              <w:t>55.00%</w:t>
            </w:r>
          </w:p>
        </w:tc>
        <w:tc>
          <w:tcPr>
            <w:tcW w:w="776" w:type="pct"/>
          </w:tcPr>
          <w:p w14:paraId="6E31560A" w14:textId="75F80FC4" w:rsidR="0012497F" w:rsidRPr="00ED172B" w:rsidRDefault="0012497F" w:rsidP="0012497F">
            <w:pPr>
              <w:jc w:val="center"/>
              <w:rPr>
                <w:color w:val="000000" w:themeColor="text1"/>
              </w:rPr>
            </w:pPr>
            <w:r>
              <w:rPr>
                <w:color w:val="000000" w:themeColor="text1"/>
              </w:rPr>
              <w:t>56.00%</w:t>
            </w:r>
          </w:p>
        </w:tc>
        <w:tc>
          <w:tcPr>
            <w:tcW w:w="775" w:type="pct"/>
          </w:tcPr>
          <w:p w14:paraId="42F0DDB0" w14:textId="671196CD" w:rsidR="0012497F" w:rsidRPr="00ED172B" w:rsidRDefault="0012497F" w:rsidP="0012497F">
            <w:pPr>
              <w:jc w:val="center"/>
              <w:rPr>
                <w:color w:val="000000" w:themeColor="text1"/>
              </w:rPr>
            </w:pPr>
            <w:r>
              <w:rPr>
                <w:color w:val="000000" w:themeColor="text1"/>
              </w:rPr>
              <w:t>57.00%</w:t>
            </w:r>
          </w:p>
        </w:tc>
        <w:tc>
          <w:tcPr>
            <w:tcW w:w="774" w:type="pct"/>
          </w:tcPr>
          <w:p w14:paraId="2D756F12" w14:textId="626F7751" w:rsidR="0012497F" w:rsidRPr="00ED172B" w:rsidRDefault="0012497F" w:rsidP="0012497F">
            <w:pPr>
              <w:jc w:val="center"/>
              <w:rPr>
                <w:color w:val="000000" w:themeColor="text1"/>
              </w:rPr>
            </w:pPr>
            <w:r>
              <w:rPr>
                <w:color w:val="000000" w:themeColor="text1"/>
              </w:rPr>
              <w:t>58.00%</w:t>
            </w:r>
          </w:p>
        </w:tc>
        <w:tc>
          <w:tcPr>
            <w:tcW w:w="774" w:type="pct"/>
          </w:tcPr>
          <w:p w14:paraId="32A732CA" w14:textId="202F570D" w:rsidR="0012497F" w:rsidRPr="00ED172B" w:rsidRDefault="0012497F" w:rsidP="0012497F">
            <w:pPr>
              <w:jc w:val="center"/>
              <w:rPr>
                <w:color w:val="000000" w:themeColor="text1"/>
              </w:rPr>
            </w:pPr>
            <w:r>
              <w:rPr>
                <w:color w:val="000000" w:themeColor="text1"/>
              </w:rPr>
              <w:t>59.00%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948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3.16%</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165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17.41%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260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27.43%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302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31.86%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191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20.15%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562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757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89.17%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85.00%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74.24%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 xml:space="preserve">A2. The percent of infants and toddlers who were functioning </w:t>
            </w:r>
            <w:r w:rsidRPr="00ED172B">
              <w:rPr>
                <w:rFonts w:cs="Arial"/>
                <w:color w:val="000000" w:themeColor="text1"/>
                <w:szCs w:val="16"/>
              </w:rPr>
              <w:lastRenderedPageBreak/>
              <w:t>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lastRenderedPageBreak/>
              <w:t>493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948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62.49%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62.50%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52.00%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2.64%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171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18.04%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306</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32.28%</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340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35.86%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106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11.18%</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646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842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82.06%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85.00%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76.72%</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446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948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50.04%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50.50%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47.05%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2.74%</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18.78%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269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28.38%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346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36.50%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129</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13.61%</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615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819</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81.11%</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85.00%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75.09%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 xml:space="preserve">C2. The percent of infants and toddlers who were functioning within age expectations in </w:t>
            </w:r>
            <w:r w:rsidRPr="00ED172B">
              <w:rPr>
                <w:rFonts w:cs="Arial"/>
                <w:color w:val="000000" w:themeColor="text1"/>
                <w:szCs w:val="16"/>
              </w:rPr>
              <w:lastRenderedPageBreak/>
              <w:t>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475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948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50.30%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54.00%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50.11%</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1,358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410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Each child's evaluation team, including the Service Coordinator and parent, uses assessment data collected at entry to determine child outcomes ratings using the Child Outcomes Summary (COS) process, i.e., using the Decision Tree to rate the child's functioning on a 7-point scale from "Child does not yet show functioning expected of a child his or her age in any situation" to "Child shows functioning expected for his or her age in all or almost all everyday situations that are part of the child’s life." These data are entered into the MITI data system to be included on the initial IFSP. Within 30 days of exiting, the child's IFSP team, including the Service Coordinator and parent, uses results of ongoing assessments data collected as close to but no more than 6 months prior to exit to determine child outcomes ratings again using the COS process. These data are entered into the MITI data system.</w:t>
      </w:r>
      <w:r w:rsidRPr="00ED172B">
        <w:rPr>
          <w:rFonts w:cs="Arial"/>
          <w:color w:val="000000" w:themeColor="text1"/>
          <w:szCs w:val="16"/>
        </w:rPr>
        <w:br/>
      </w:r>
      <w:r w:rsidRPr="00ED172B">
        <w:rPr>
          <w:rFonts w:cs="Arial"/>
          <w:color w:val="000000" w:themeColor="text1"/>
          <w:szCs w:val="16"/>
        </w:rPr>
        <w:br/>
        <w:t>The MITI data system provides a "COS Report" which provides a summary of Childhood Outcome Summary data collected during a chosen date range. Conditions for the COS Report include: (1) The Initial IFSP has to be at least 180 days before the child exit date. (2) The child must have both entry and exit COS data. (3) The child has exited the program. Data are reported by the number of children exiting who fall within each of the five progress categories (i.e., a - Children who did not improve functioning, b - Children who improved functioning but not sufficient to move nearer to functioning comparable to same-aged peers, c - Children who improved functioning to a level nearer to same-aged peers but did not reach age level expectations , d - Children who improved functioning to reach a level comparable to same-aged peers, and e - Children who maintained functioning at a level comparable to same-aged peers).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has revised the baseline for this indicator, using data from FFY 2020 but OSEP cannot accept that revision because there is no explanation of the reason for this revision. </w:t>
      </w:r>
      <w:r w:rsidRPr="00ED172B">
        <w:rPr>
          <w:color w:val="000000" w:themeColor="text1"/>
        </w:rPr>
        <w:br/>
      </w:r>
      <w:r w:rsidRPr="00ED172B">
        <w:rPr>
          <w:color w:val="000000" w:themeColor="text1"/>
        </w:rPr>
        <w:br/>
        <w:t xml:space="preserve">The State provided targets for FFYs 2020 through 2025 for this indicator,  but OSEP cannot accept the targets because the baselines were not accepted, as noted above.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The State did not provide targets, as required by the measurement table. The State must provide the required targets for FFY 2020 through FFY 2025 in the FFY 2021 SPP/APR.</w:t>
      </w:r>
      <w:r w:rsidRPr="00ED172B">
        <w:rPr>
          <w:color w:val="000000" w:themeColor="text1"/>
        </w:rPr>
        <w:br/>
      </w:r>
      <w:r w:rsidRPr="00ED172B">
        <w:rPr>
          <w:color w:val="000000" w:themeColor="text1"/>
        </w:rPr>
        <w:br/>
        <w:t xml:space="preserve">If the State chooses to revise the baseline for this indicator in the FFY 2021 SPP/APR, the State must provide an explanation. </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86.84%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89.33%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91.85%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90.12%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81.77%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90.97%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93.01%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90.29%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74.88%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86.63%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90.27%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89.80%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89.08%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90.05%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92.00%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92.00%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92.00%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92.00%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92.00%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92.00%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SiMR or adopt a new one for FF2020-2025. On December 16, 2021, a second stakeholders meeting was held to finalize and approve the revised SiMR. On January 28, 2022, the SICC and stakeholders gave finale approval for FFY 2020-2025 targets which included the SiMR. </w:t>
      </w:r>
      <w:r w:rsidRPr="00ED172B">
        <w:rPr>
          <w:color w:val="000000" w:themeColor="text1"/>
        </w:rPr>
        <w:br/>
      </w:r>
      <w:r w:rsidRPr="00ED172B">
        <w:rPr>
          <w:color w:val="000000" w:themeColor="text1"/>
        </w:rPr>
        <w:br/>
        <w:t>Indicator 2: Natural Environment:</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Summary Statement 2 for Outcomes B2 - SiMR</w:t>
      </w:r>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r>
      <w:r w:rsidRPr="00ED172B">
        <w:rPr>
          <w:color w:val="000000" w:themeColor="text1"/>
        </w:rPr>
        <w:lastRenderedPageBreak/>
        <w:t>For FFY 2024, the target was set at 2.15%</w:t>
      </w:r>
      <w:r w:rsidRPr="00ED172B">
        <w:rPr>
          <w:color w:val="000000" w:themeColor="text1"/>
        </w:rPr>
        <w:br/>
        <w:t>For FFY 2025, the target was set at 2.18%</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1,219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338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27.73%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318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334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317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333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316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338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81.77%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95.21%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74.88%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95.20%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90.05%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93.49%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State over the past several years has attempted to revise the method that the surveys are distributed and time frame that they are collected. The State is moving towards sending out the family survey twice a fiscal year once in the fall and once in the spring. This will allow the state to collect more family surveys though out the fiscal year. The State will also, continue to due hand deliveries for all family surveys as the method of delivery for family surveys as do to online surveys would lead to the State unable to collect correct demographic information about families. The State was able to send out family surveys for the first time in the fall for FFY 2021.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13.84%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27.73%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lastRenderedPageBreak/>
        <w:t>The State over the past several years has attempted to revise the method that the surveys are distributed and time frame that they are collected. The State used a one time date of enrolled infants and toddlers in the program to send out surveys Surveys are sent out once a year and are hand-delivered to all families who participate in the MSFSEIP with a return envelope with pre-paid postage. The survey has an accompanying letter with contact information for assistance in completing the survey, including the state parent resource center, translation services, and tribal contacts. One month after the distribution of the family surveys, Service Coordinators make follow-up contacts with families to encourage them to return their survey. The state office monitors the response rate and reports to Program Coordinators if their program is underrepresented in the responses gathered. Surveys are collected over a six-month time frame to ensure ample time for participation. The State is moving towards sending out the family survey twice a fiscal year once in the fall and once in the spring. This will allow the state to be able collect more family surveys though out the fiscal year. The State will also, continue to due hand deliveries for all family surveys. FFY 2021, will be the first time that the State has managed to send out family surveys in the fall.</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State used a one time date of enrolled infants and toddlers in the program to send out family surveys. The state had a response rate of 27.73% which is an increase from the previous year of 13.84%, for the overall response for the family survey that was sent out. When disaggregated by race, all races except Hispanic (15%), had a response rate of 25% or more. The state did not identify any notable nonresponse bias between between races. When disaggregated by geographic location, Local Programs according to the Local Program FSEIP 1, 2, 4, 6, and 8 had a response rate of 25% or higher. Local FSEIP 5, 7, and 9 had response rates below 20%, the low response rates for the programs was due to Service Coordinators leaving during dissemination of family surveys, and extremely large case loads for Service Coordinators in the respect programs. COVID did play a small part as some families where still doing virtual only services.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Analyses were conducted to determine the representatives of the responses. When disaggregated by race, the respondent group White responded at rates higher than their percentage of the population enrolled into the program; however, African American population was not representative to the population of families in the enrolled into program. Asian, American Indian/Alaska Native and Native Hawaiian/Pacific Islander and More than one race participants responded at rates approximately equal to their percentage of the population. White and African American or Black participants representative at rates lower than their percentage of the population; and are under representative to the White African American or Black families enrolled in the program.</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State uses the ECTA Center Representativeness calculator which uses an accepted formula (test of proportional difference) to determine whether the difference between the two percentages is statistically significant (or meaningful), based upon the 90% confidence intervals for each indicator (significance level = .10). Differences that are statistically significant are marked as "No" in the row labeled "Are your data representative?" and highlighted pink.</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0.64%</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0.65%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0.66%</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0.57%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0.85%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0.73%</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0.83%</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0.93%</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1.03%</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1.13%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1.23%</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SiMR or adopt a new one for FF2020-2025. On December 16, 2021, a second stakeholders meeting was held to finalize and approve the revised SiMR. On January 28, 2022, the SICC and stakeholders gave finale approval for FFY 2020-2025 targets which included the SiMR. </w:t>
      </w:r>
      <w:r w:rsidRPr="00ED172B">
        <w:rPr>
          <w:color w:val="000000" w:themeColor="text1"/>
        </w:rPr>
        <w:br/>
      </w:r>
      <w:r w:rsidRPr="00ED172B">
        <w:rPr>
          <w:color w:val="000000" w:themeColor="text1"/>
        </w:rPr>
        <w:br/>
        <w:t>Indicator 2: Natural Environment:</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Summary Statement 2 for Outcomes B2 - SiMR</w:t>
      </w:r>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r>
      <w:r w:rsidRPr="00ED172B">
        <w:rPr>
          <w:color w:val="000000" w:themeColor="text1"/>
        </w:rPr>
        <w:lastRenderedPageBreak/>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237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35,419</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237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35,419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1.36%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1.74%</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1.76%</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1.78%</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1.80%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1.82%</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1.72%</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1.73%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1.85%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1.95%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1.98%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1.98%</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2.06%</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2.09%</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2.12%</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2.15%</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2.18%</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SiMR or adopt a new one for FF2020-2025. On December 16, 2021, a second stakeholders meeting was held to finalize and approve the revised SiMR. On January 28, 2022, the SICC and stakeholders gave finale approval for FFY 2020-2025 targets which included the SiMR. </w:t>
      </w:r>
      <w:r w:rsidRPr="00ED172B">
        <w:rPr>
          <w:color w:val="000000" w:themeColor="text1"/>
        </w:rPr>
        <w:br/>
      </w:r>
      <w:r w:rsidRPr="00ED172B">
        <w:rPr>
          <w:color w:val="000000" w:themeColor="text1"/>
        </w:rPr>
        <w:br/>
        <w:t>Indicator 2: Natural Environment:</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Summary Statement 2 for Outcomes B2 - SiMR</w:t>
      </w:r>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r>
      <w:r w:rsidRPr="00ED172B">
        <w:rPr>
          <w:color w:val="000000" w:themeColor="text1"/>
        </w:rPr>
        <w:lastRenderedPageBreak/>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1,621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107,959</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1,621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107,959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1.98%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1.98%</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1.50%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Due to COVID the program has seen an 25% decreased in referrals of infants and toddlers to the program. </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94.78%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95.80%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96.18%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89.73%</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88.81%</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315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365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88.81%</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91.51%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The State had 31 instances of missed timelines due to system-based issues. Most delays occurred in Local FSEIP 5 (14), and 8(5) were related to significant provider shortage to conduct evaluations. Local FSEIP 7 (4) had delays due to a shortage Service Coordinator. COVID-19 might have played apart in some timeframes been missed but Service Coordinators did not note that justification in there explanation.</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January 1, 2021 - March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State has pulled multiple reports during different time periods and results average about the same across reporting time frames.</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Based on an analysis of local contributing factors and the extent of noncompliance, the FSEIP 2 developed Correction Action Plan (CAP) to address 45-day. This corrective action plan focused on ensuring correction of all instances of identified noncompliance (Prong I) and activities to address root causes of noncompliance, mostly related to provider issues (e.g., recruitment of additional providers and better utilization of providers to balance caseloads). The FSEIP 2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2, including all records with IFSPs (N=10). The MSFSEIP verified all IFSPs (100%) reviewed, after the CAP activities were completed, met the federal 45-day time frame (Prong II). Based on follow-up record reviews, Local FSEIP 2 was found in compliance with conducting FISPs within the 45-day timeframe.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MSFSEIP verified that Local FSEIP 2 corrected each individual case of noncompliance. In all instances, all IFSPs were reviewed and documented in the MITI (data system) and verified as having been completed with-in the 45 day timeline.</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6</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5</w:t>
            </w: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6A6C894D" w14:textId="4FBA3A06" w:rsidR="00B5154D" w:rsidRPr="00ED172B" w:rsidRDefault="00B5154D" w:rsidP="00B5154D">
      <w:pPr>
        <w:rPr>
          <w:rFonts w:cs="Arial"/>
          <w:b/>
          <w:bCs/>
          <w:color w:val="000000" w:themeColor="text1"/>
          <w:szCs w:val="16"/>
        </w:rPr>
      </w:pPr>
      <w:r w:rsidRPr="00ED172B">
        <w:rPr>
          <w:rFonts w:cs="Arial"/>
          <w:b/>
          <w:bCs/>
          <w:color w:val="000000" w:themeColor="text1"/>
          <w:szCs w:val="16"/>
        </w:rPr>
        <w:t>FFY 2018</w:t>
      </w:r>
    </w:p>
    <w:p w14:paraId="3A96BE00" w14:textId="5184A855" w:rsidR="008203B4" w:rsidRPr="00ED172B" w:rsidRDefault="008203B4" w:rsidP="00B83404">
      <w:pPr>
        <w:rPr>
          <w:color w:val="000000" w:themeColor="text1"/>
        </w:rPr>
      </w:pPr>
      <w:r w:rsidRPr="00ED172B">
        <w:rPr>
          <w:b/>
          <w:color w:val="000000" w:themeColor="text1"/>
        </w:rPr>
        <w:t>Findings of Noncompliance Not Yet Verified as Corrected</w:t>
      </w:r>
    </w:p>
    <w:p w14:paraId="4403DBCB" w14:textId="77777777" w:rsidR="008203B4" w:rsidRPr="00ED172B" w:rsidRDefault="008203B4">
      <w:pPr>
        <w:rPr>
          <w:b/>
          <w:color w:val="000000" w:themeColor="text1"/>
        </w:rPr>
      </w:pPr>
      <w:r w:rsidRPr="00ED172B">
        <w:rPr>
          <w:b/>
          <w:color w:val="000000" w:themeColor="text1"/>
        </w:rPr>
        <w:t>Actions taken if noncompliance not corrected</w:t>
      </w:r>
    </w:p>
    <w:p w14:paraId="6313D3C2" w14:textId="0F5323B4" w:rsidR="008203B4" w:rsidRDefault="00860830">
      <w:pPr>
        <w:rPr>
          <w:color w:val="000000" w:themeColor="text1"/>
        </w:rPr>
      </w:pPr>
      <w:r w:rsidRPr="00ED172B">
        <w:rPr>
          <w:color w:val="000000" w:themeColor="text1"/>
        </w:rPr>
        <w:t>All cases that caused the non compliance have been addressed and fixed. Program had to resubmit new Correction of Action Plans to address</w:t>
      </w:r>
      <w:r w:rsidRPr="00ED172B">
        <w:rPr>
          <w:color w:val="000000" w:themeColor="text1"/>
        </w:rPr>
        <w:br/>
        <w:t>continued noncompliance.</w:t>
      </w:r>
    </w:p>
    <w:p w14:paraId="35F27B11" w14:textId="5DA4D001" w:rsidR="00B5154D" w:rsidRPr="00ED172B" w:rsidRDefault="00B5154D" w:rsidP="00B5154D">
      <w:pPr>
        <w:rPr>
          <w:rFonts w:cs="Arial"/>
          <w:b/>
          <w:bCs/>
          <w:color w:val="000000" w:themeColor="text1"/>
          <w:szCs w:val="16"/>
        </w:rPr>
      </w:pPr>
      <w:r w:rsidRPr="00ED172B">
        <w:rPr>
          <w:rFonts w:cs="Arial"/>
          <w:b/>
          <w:bCs/>
          <w:color w:val="000000" w:themeColor="text1"/>
          <w:szCs w:val="16"/>
        </w:rPr>
        <w:t>FFY 2017</w:t>
      </w:r>
    </w:p>
    <w:p w14:paraId="0AAFB197" w14:textId="0988C347" w:rsidR="008203B4" w:rsidRPr="00ED172B" w:rsidRDefault="008203B4" w:rsidP="00B83404">
      <w:pPr>
        <w:rPr>
          <w:color w:val="000000" w:themeColor="text1"/>
        </w:rPr>
      </w:pPr>
      <w:r w:rsidRPr="00ED172B">
        <w:rPr>
          <w:b/>
          <w:color w:val="000000" w:themeColor="text1"/>
        </w:rPr>
        <w:t>Findings of Noncompliance Verified as Corrected</w:t>
      </w:r>
    </w:p>
    <w:p w14:paraId="113CA7DA" w14:textId="38759AD1"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5F00204C" w14:textId="5AABA08C" w:rsidR="008203B4" w:rsidRPr="00ED172B" w:rsidRDefault="00860830">
      <w:pPr>
        <w:rPr>
          <w:color w:val="000000" w:themeColor="text1"/>
        </w:rPr>
      </w:pPr>
      <w:r w:rsidRPr="00ED172B">
        <w:rPr>
          <w:color w:val="000000" w:themeColor="text1"/>
        </w:rPr>
        <w:t>Based on an analysis of local contributing factors and the extent of noncompliance, the FSEIP 6 developed Correction Action Plan (CAP) to address 45-day. This corrective action plan focused on ensuring correction of all instances of identified noncompliance (Prong I) and activities to address root causes of noncompliance, mostly related to provider issues (e.g., recruitment of additional providers and better utilization of providers to balance caseloads). The FSEIP 6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6, including all records with IFSPs (N=10). The MSFSEIP verified all IFSPs (100%) reviewed, after the CAP activities were completed, met the federal 45-day time frame (Prong II). Based on follow-up record reviews, Local FSEIP 6 was found in compliance with conducting FISPs within the 45-day timeframe.</w:t>
      </w:r>
    </w:p>
    <w:p w14:paraId="22E3F61A" w14:textId="12C121AA"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E650BE7" w14:textId="2F9294D9" w:rsidR="008203B4" w:rsidRDefault="00860830">
      <w:pPr>
        <w:rPr>
          <w:color w:val="000000" w:themeColor="text1"/>
        </w:rPr>
      </w:pPr>
      <w:r w:rsidRPr="00ED172B">
        <w:rPr>
          <w:color w:val="000000" w:themeColor="text1"/>
        </w:rPr>
        <w:t>The MSFSEIP verified that Local FSEIP 6 corrected each individual case of noncompliance. In all instances, all IFSPs were reviewed and documented in the MITI (data system) and verified as having been completed with-in the 45 day timeline.</w:t>
      </w:r>
    </w:p>
    <w:p w14:paraId="6368D5E4" w14:textId="57B5D100" w:rsidR="00B5154D" w:rsidRPr="00ED172B" w:rsidRDefault="00B5154D" w:rsidP="00B5154D">
      <w:pPr>
        <w:rPr>
          <w:rFonts w:cs="Arial"/>
          <w:b/>
          <w:bCs/>
          <w:color w:val="000000" w:themeColor="text1"/>
          <w:szCs w:val="16"/>
        </w:rPr>
      </w:pPr>
      <w:r w:rsidRPr="00ED172B">
        <w:rPr>
          <w:rFonts w:cs="Arial"/>
          <w:b/>
          <w:bCs/>
          <w:color w:val="000000" w:themeColor="text1"/>
          <w:szCs w:val="16"/>
        </w:rPr>
        <w:t>FFY 2017</w:t>
      </w:r>
    </w:p>
    <w:p w14:paraId="25866932" w14:textId="449EA81C" w:rsidR="008203B4" w:rsidRPr="00ED172B" w:rsidRDefault="008203B4" w:rsidP="00B83404">
      <w:pPr>
        <w:rPr>
          <w:color w:val="000000" w:themeColor="text1"/>
        </w:rPr>
      </w:pPr>
      <w:r w:rsidRPr="00ED172B">
        <w:rPr>
          <w:b/>
          <w:color w:val="000000" w:themeColor="text1"/>
        </w:rPr>
        <w:t>Findings of Noncompliance Not Yet Verified as Corrected</w:t>
      </w:r>
    </w:p>
    <w:p w14:paraId="307E798F" w14:textId="77777777" w:rsidR="008203B4" w:rsidRPr="00ED172B" w:rsidRDefault="008203B4">
      <w:pPr>
        <w:rPr>
          <w:b/>
          <w:color w:val="000000" w:themeColor="text1"/>
        </w:rPr>
      </w:pPr>
      <w:r w:rsidRPr="00ED172B">
        <w:rPr>
          <w:b/>
          <w:color w:val="000000" w:themeColor="text1"/>
        </w:rPr>
        <w:t>Actions taken if noncompliance not corrected</w:t>
      </w:r>
    </w:p>
    <w:p w14:paraId="7F0A26FB" w14:textId="2EC70620" w:rsidR="008203B4" w:rsidRDefault="00860830">
      <w:pPr>
        <w:rPr>
          <w:color w:val="000000" w:themeColor="text1"/>
        </w:rPr>
      </w:pPr>
      <w:r w:rsidRPr="00ED172B">
        <w:rPr>
          <w:color w:val="000000" w:themeColor="text1"/>
        </w:rPr>
        <w:lastRenderedPageBreak/>
        <w:t>All cases that caused the non compliance have been addressed and fixed. Program had to resubmit new Correction of Action Plans to address</w:t>
      </w:r>
      <w:r w:rsidRPr="00ED172B">
        <w:rPr>
          <w:color w:val="000000" w:themeColor="text1"/>
        </w:rPr>
        <w:br/>
        <w:t>continued noncompliance.</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and the six uncorrected findings of noncompliance identified in FFY 2017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did not provide the reasons for delay, as required by the measurement table. Therefore, OSEP was unable to determine whether the State reviewed the reasons for delay.</w:t>
      </w:r>
      <w:r w:rsidRPr="00ED172B">
        <w:rPr>
          <w:color w:val="000000" w:themeColor="text1"/>
        </w:rPr>
        <w:br/>
      </w:r>
      <w:r w:rsidRPr="00ED172B">
        <w:rPr>
          <w:color w:val="000000" w:themeColor="text1"/>
        </w:rPr>
        <w:br/>
        <w:t>The State did not demonstrate that the EIS program or provider corrected the findings of noncompliance identified in FFY 2019 and FFY 2017 because it did not report that it verified correction of those findings, consistent with the requirements in OSEP Memo 09-02.  Specifically, the State did not report that that it verified that each EIS program or provider with noncompliance identified in FFY 2019 and FFY 2017 has corrected each individual case of noncompliance, unless the child is no longer within the jurisdiction of the EIS program or provider.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2018 and five uncorrected findings of noncompliance identified in FFY 2017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FFYs 2018 and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83.00%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93.58%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97.32%</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96.73%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96.01%</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90.19%</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158</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190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90.19%</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91.58%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16</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There were 16 instances of system-based issues that led to delays in transition conferences, mainly caused by staff shortages large caseloads and service coordinators being out due to COVID. The Local Programs reported significant Service Coordinator turnover which had a cascading effect of increasing caseloads on remaining personnel. As some of the reassigned cases were nearing transition deadlines, the (new) Service Coordinators had difficulty meeting the deadlines for these additional cases while managing their existing cases.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January 1, 2021 -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State has pulled multiple reports during different time periods and results average about the same across reporting time frames.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3</w:t>
            </w:r>
          </w:p>
        </w:tc>
      </w:tr>
    </w:tbl>
    <w:p w14:paraId="09FF2628" w14:textId="4506235F" w:rsidR="008203B4" w:rsidRPr="00ED172B" w:rsidRDefault="00CD74B5" w:rsidP="00B83404">
      <w:pPr>
        <w:rPr>
          <w:color w:val="000000" w:themeColor="text1"/>
        </w:rPr>
      </w:pPr>
      <w:r>
        <w:rPr>
          <w:b/>
          <w:color w:val="000000" w:themeColor="text1"/>
        </w:rPr>
        <w:t>FFY 2019 Findings of Noncompliance Not Yet Verified as Corrected</w:t>
      </w:r>
    </w:p>
    <w:p w14:paraId="1C67936A" w14:textId="77777777" w:rsidR="008203B4" w:rsidRPr="00ED172B" w:rsidRDefault="008203B4">
      <w:pPr>
        <w:rPr>
          <w:b/>
          <w:color w:val="000000" w:themeColor="text1"/>
        </w:rPr>
      </w:pPr>
      <w:r w:rsidRPr="00ED172B">
        <w:rPr>
          <w:b/>
          <w:color w:val="000000" w:themeColor="text1"/>
        </w:rPr>
        <w:t>Actions taken if noncompliance not corrected</w:t>
      </w:r>
    </w:p>
    <w:p w14:paraId="4C8F1CE7" w14:textId="18A94F55" w:rsidR="008203B4" w:rsidRDefault="00860830">
      <w:pPr>
        <w:rPr>
          <w:color w:val="000000" w:themeColor="text1"/>
        </w:rPr>
      </w:pPr>
      <w:r w:rsidRPr="00ED172B">
        <w:rPr>
          <w:color w:val="000000" w:themeColor="text1"/>
        </w:rPr>
        <w:t>The State required all programs that are in noncompliance to resubmit CAPs to address continue noncompliance. But due to COVID-19 Programs have</w:t>
      </w:r>
      <w:r w:rsidRPr="00ED172B">
        <w:rPr>
          <w:color w:val="000000" w:themeColor="text1"/>
        </w:rPr>
        <w:br/>
        <w:t>been unable to meet compliance for notification.</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r>
      <w:tr w:rsidR="00ED172B" w:rsidRPr="00ED172B" w14:paraId="1FB93036" w14:textId="77777777" w:rsidTr="00986B99">
        <w:tc>
          <w:tcPr>
            <w:tcW w:w="929" w:type="pct"/>
            <w:shd w:val="clear" w:color="auto" w:fill="auto"/>
          </w:tcPr>
          <w:p w14:paraId="0F0F055B" w14:textId="44C477C9"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88" w:type="pct"/>
            <w:shd w:val="clear" w:color="auto" w:fill="auto"/>
          </w:tcPr>
          <w:p w14:paraId="4E4D35EC" w14:textId="3014D54F" w:rsidR="008203B4"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383" w:type="pct"/>
            <w:shd w:val="clear" w:color="auto" w:fill="auto"/>
          </w:tcPr>
          <w:p w14:paraId="031A6B9D" w14:textId="25F039AF"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0" w:type="pct"/>
            <w:shd w:val="clear" w:color="auto" w:fill="auto"/>
          </w:tcPr>
          <w:p w14:paraId="279F2773" w14:textId="6B96ACEF"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26742C61" w14:textId="35B6ADA5" w:rsidR="004952E2" w:rsidRPr="00ED172B" w:rsidRDefault="00E26920" w:rsidP="004952E2">
      <w:pPr>
        <w:rPr>
          <w:rFonts w:cs="Arial"/>
          <w:b/>
          <w:bCs/>
          <w:color w:val="000000" w:themeColor="text1"/>
          <w:szCs w:val="16"/>
        </w:rPr>
      </w:pPr>
      <w:r w:rsidRPr="00ED172B">
        <w:rPr>
          <w:rFonts w:cs="Arial"/>
          <w:b/>
          <w:bCs/>
          <w:color w:val="000000" w:themeColor="text1"/>
          <w:szCs w:val="16"/>
        </w:rPr>
        <w:t>FFY 2018</w:t>
      </w:r>
    </w:p>
    <w:p w14:paraId="33ED3055" w14:textId="2A369029" w:rsidR="008203B4" w:rsidRPr="00ED172B" w:rsidRDefault="008203B4" w:rsidP="00B83404">
      <w:pPr>
        <w:rPr>
          <w:color w:val="000000" w:themeColor="text1"/>
        </w:rPr>
      </w:pPr>
      <w:r w:rsidRPr="00ED172B">
        <w:rPr>
          <w:b/>
          <w:color w:val="000000" w:themeColor="text1"/>
        </w:rPr>
        <w:t>Findings of Noncompliance Not Yet Verified as Corrected</w:t>
      </w:r>
    </w:p>
    <w:p w14:paraId="2D64036C" w14:textId="77777777" w:rsidR="008203B4" w:rsidRPr="00ED172B" w:rsidRDefault="008203B4">
      <w:pPr>
        <w:rPr>
          <w:b/>
          <w:color w:val="000000" w:themeColor="text1"/>
        </w:rPr>
      </w:pPr>
      <w:r w:rsidRPr="00ED172B">
        <w:rPr>
          <w:b/>
          <w:color w:val="000000" w:themeColor="text1"/>
        </w:rPr>
        <w:t>Actions taken if noncompliance not corrected</w:t>
      </w:r>
    </w:p>
    <w:p w14:paraId="70E41834" w14:textId="676C31D3" w:rsidR="008203B4" w:rsidRDefault="00860830">
      <w:pPr>
        <w:rPr>
          <w:color w:val="000000" w:themeColor="text1"/>
        </w:rPr>
      </w:pPr>
      <w:r w:rsidRPr="00ED172B">
        <w:rPr>
          <w:color w:val="000000" w:themeColor="text1"/>
        </w:rPr>
        <w:t>All children for whom their cases were identified for noncompliance have aged out of the EIP. The State required all programs that are in noncompliance to resubmit CAPs to address continue noncompliance. But due to COVID-19 Programs have been unable to meet compliance for steps and services.</w:t>
      </w:r>
    </w:p>
    <w:p w14:paraId="65D6CCD9" w14:textId="7A94C811" w:rsidR="00E26920" w:rsidRPr="00ED172B" w:rsidRDefault="00E26920" w:rsidP="00E26920">
      <w:pPr>
        <w:rPr>
          <w:rFonts w:cs="Arial"/>
          <w:b/>
          <w:bCs/>
          <w:color w:val="000000" w:themeColor="text1"/>
          <w:szCs w:val="16"/>
        </w:rPr>
      </w:pPr>
      <w:r w:rsidRPr="00ED172B">
        <w:rPr>
          <w:rFonts w:cs="Arial"/>
          <w:b/>
          <w:bCs/>
          <w:color w:val="000000" w:themeColor="text1"/>
          <w:szCs w:val="16"/>
        </w:rPr>
        <w:lastRenderedPageBreak/>
        <w:t>FFY 2017</w:t>
      </w:r>
    </w:p>
    <w:p w14:paraId="79817826" w14:textId="52BA8C49" w:rsidR="008203B4" w:rsidRPr="00ED172B" w:rsidRDefault="008203B4" w:rsidP="00B83404">
      <w:pPr>
        <w:rPr>
          <w:color w:val="000000" w:themeColor="text1"/>
        </w:rPr>
      </w:pPr>
      <w:r w:rsidRPr="00ED172B">
        <w:rPr>
          <w:b/>
          <w:color w:val="000000" w:themeColor="text1"/>
        </w:rPr>
        <w:t>Findings of Noncompliance Verified as Corrected</w:t>
      </w:r>
    </w:p>
    <w:p w14:paraId="76EB5458" w14:textId="6F6F843E"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3D0FAEA0" w14:textId="1ED0AF1A" w:rsidR="008203B4" w:rsidRPr="00ED172B" w:rsidRDefault="00860830">
      <w:pPr>
        <w:rPr>
          <w:color w:val="000000" w:themeColor="text1"/>
        </w:rPr>
      </w:pPr>
      <w:r w:rsidRPr="00ED172B">
        <w:rPr>
          <w:color w:val="000000" w:themeColor="text1"/>
        </w:rPr>
        <w:t>Based on an analysis of local contributing factors and the extent of noncompliance, the FSEIP 4 developed Correction Action Plan (CAP) to address Transition Steps and Services. This corrective action plan focused on ensuring correction of all instances of identified noncompliance (Prong I) and activities to address root causes of noncompliance, mostly related to service coordinator case load. The FSEIP 4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4, including all records were Transition Steps and serveries were due (N=10). The MSFSEIP verified all cases (100%) reviewed, after the CAP activities were</w:t>
      </w:r>
      <w:r w:rsidRPr="00ED172B">
        <w:rPr>
          <w:color w:val="000000" w:themeColor="text1"/>
        </w:rPr>
        <w:br/>
        <w:t>completed, met the federal definition of timely transition (Prong II). Based on follow-up record reviews, Local FSEIP 6 was found in compliance with developing transition steps and plans with in the federal time frame.</w:t>
      </w:r>
    </w:p>
    <w:p w14:paraId="1DAB174E" w14:textId="24314446"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47A9C362" w14:textId="42D3B642" w:rsidR="008203B4" w:rsidRDefault="00860830">
      <w:pPr>
        <w:rPr>
          <w:color w:val="000000" w:themeColor="text1"/>
        </w:rPr>
      </w:pPr>
      <w:r w:rsidRPr="00ED172B">
        <w:rPr>
          <w:color w:val="000000" w:themeColor="text1"/>
        </w:rPr>
        <w:t xml:space="preserve">All children for whom their cases were identified for noncompliance have aged out of the EIP. </w:t>
      </w:r>
    </w:p>
    <w:p w14:paraId="46371D86" w14:textId="77777777" w:rsidR="00E26920" w:rsidRPr="00ED172B" w:rsidRDefault="00E26920" w:rsidP="00E26920">
      <w:pPr>
        <w:rPr>
          <w:rFonts w:cs="Arial"/>
          <w:b/>
          <w:bCs/>
          <w:color w:val="000000" w:themeColor="text1"/>
          <w:szCs w:val="16"/>
        </w:rPr>
      </w:pPr>
      <w:r w:rsidRPr="00ED172B">
        <w:rPr>
          <w:rFonts w:cs="Arial"/>
          <w:b/>
          <w:bCs/>
          <w:color w:val="000000" w:themeColor="text1"/>
          <w:szCs w:val="16"/>
        </w:rPr>
        <w:t>FFY 2017</w:t>
      </w:r>
    </w:p>
    <w:p w14:paraId="56B95B58" w14:textId="0BC81060" w:rsidR="008203B4" w:rsidRPr="00ED172B" w:rsidRDefault="008203B4" w:rsidP="00B83404">
      <w:pPr>
        <w:rPr>
          <w:color w:val="000000" w:themeColor="text1"/>
        </w:rPr>
      </w:pPr>
      <w:r w:rsidRPr="00ED172B">
        <w:rPr>
          <w:b/>
          <w:color w:val="000000" w:themeColor="text1"/>
        </w:rPr>
        <w:t>Findings of Noncompliance Not Yet Verified as Corrected</w:t>
      </w:r>
    </w:p>
    <w:p w14:paraId="1FF22985" w14:textId="77777777" w:rsidR="008203B4" w:rsidRPr="00ED172B" w:rsidRDefault="008203B4">
      <w:pPr>
        <w:rPr>
          <w:b/>
          <w:color w:val="000000" w:themeColor="text1"/>
        </w:rPr>
      </w:pPr>
      <w:r w:rsidRPr="00ED172B">
        <w:rPr>
          <w:b/>
          <w:color w:val="000000" w:themeColor="text1"/>
        </w:rPr>
        <w:t>Actions taken if noncompliance not corrected</w:t>
      </w:r>
    </w:p>
    <w:p w14:paraId="282F9208" w14:textId="3FD1F7B7" w:rsidR="008203B4" w:rsidRDefault="00860830">
      <w:pPr>
        <w:rPr>
          <w:color w:val="000000" w:themeColor="text1"/>
        </w:rPr>
      </w:pPr>
      <w:r w:rsidRPr="00ED172B">
        <w:rPr>
          <w:color w:val="000000" w:themeColor="text1"/>
        </w:rPr>
        <w:t>All children for whom their cases were identified for noncompliance have aged out of the EIP. The State required all programs that are in noncompliance to resubmit CAPs to address continue noncompliance. But due to COVID-19 Programs have been unable to meet compliance for steps and services.</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and three uncorrected findings identified in FFY 2017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three uncorrected findings of noncompliance identified in FFY 2019, two findings identified in FFY 2018, and two findings identified in FFY 2017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FFYs 2019, 2018, and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t xml:space="preserve"> </w:t>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66.00%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97.62%</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99.81%</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99.65%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99.09%</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97.20%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182</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190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97.20%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95.79%</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 xml:space="preserve">Local MSFSIP 5 had 5 cases from one Service coordinator, that did not document or provide proof that a letter was sent to the LEA  at least 90 days prior to their third birthday for toddlers. </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Local MSFSIP 5 had 5 cases from one Service coordinator and Local Program 8 had 1 and Local Program 9 had 2 cases in where the letter to the LEA was not sent or documented being sent.</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following criteria is was used to collect Transition 8B; (1) Child has IFSP; (2) Excludes Children with Late Referral (after 34.5 months); (3) Excludes</w:t>
      </w:r>
      <w:r w:rsidRPr="00ED172B">
        <w:rPr>
          <w:color w:val="000000" w:themeColor="text1"/>
          <w:szCs w:val="16"/>
        </w:rPr>
        <w:br/>
        <w:t>Children Exiting Before 33 months.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January 1, 2021 - March 31,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State has pulled multiple reports during different time periods and results average about the same across reporting time frames.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In FFY 2019, the MSFSEIP did identify and make findings of noncompliance in Local FSEIP 2 related to Indicator 8B (SEA and LEA Notification). Based on an analysis of local contributing factors and the extent of noncompliance, the FSEIP 2 was issued a state-developed Correction Action Plan (CAP) to address transition plans. This corrective action plan focused on ensuring correction of all instances of identified noncompliance (Prong I) and activities to address root causes of noncompliance, mostly related to a personnel/supervision issue. The FSEIP 2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2, including all records with transition SEA and LEA Notification due (N=10). The MSFSEIP verified all notifications (100%) reviewed, after the CAP activities were completed, met the timeline for notification (Prong II).</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All children for whom their cases were identified for noncompliance have aged out of the EIP.</w:t>
      </w:r>
    </w:p>
    <w:p w14:paraId="1AAE6B0A" w14:textId="216EB0E7" w:rsidR="008203B4" w:rsidRPr="00ED172B" w:rsidRDefault="008203B4" w:rsidP="00B83404">
      <w:pPr>
        <w:rPr>
          <w:color w:val="000000" w:themeColor="text1"/>
        </w:rPr>
      </w:pPr>
      <w:r w:rsidRPr="00ED172B">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E9AA680" w14:textId="77777777" w:rsidTr="00986B99">
        <w:tc>
          <w:tcPr>
            <w:tcW w:w="929" w:type="pct"/>
            <w:shd w:val="clear" w:color="auto" w:fill="auto"/>
          </w:tcPr>
          <w:p w14:paraId="09F9027D" w14:textId="69544FBD"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476" w:type="pct"/>
            <w:shd w:val="clear" w:color="auto" w:fill="auto"/>
          </w:tcPr>
          <w:p w14:paraId="30E1255E" w14:textId="62840257" w:rsidR="008203B4" w:rsidRPr="00ED172B" w:rsidRDefault="00860830" w:rsidP="00CD79C5">
            <w:pPr>
              <w:jc w:val="center"/>
              <w:rPr>
                <w:rFonts w:cs="Arial"/>
                <w:noProof/>
                <w:color w:val="000000" w:themeColor="text1"/>
                <w:szCs w:val="16"/>
              </w:rPr>
            </w:pPr>
            <w:r w:rsidRPr="00ED172B">
              <w:rPr>
                <w:rFonts w:cs="Arial"/>
                <w:color w:val="000000" w:themeColor="text1"/>
                <w:szCs w:val="16"/>
              </w:rPr>
              <w:t>4</w:t>
            </w:r>
          </w:p>
        </w:tc>
        <w:tc>
          <w:tcPr>
            <w:tcW w:w="1324" w:type="pct"/>
            <w:shd w:val="clear" w:color="auto" w:fill="auto"/>
          </w:tcPr>
          <w:p w14:paraId="48634437" w14:textId="19C6DF89" w:rsidR="008203B4" w:rsidRPr="00ED172B" w:rsidRDefault="00860830" w:rsidP="00CD79C5">
            <w:pPr>
              <w:jc w:val="center"/>
              <w:rPr>
                <w:rFonts w:cs="Arial"/>
                <w:noProof/>
                <w:color w:val="000000" w:themeColor="text1"/>
                <w:szCs w:val="16"/>
              </w:rPr>
            </w:pPr>
            <w:r w:rsidRPr="00ED172B">
              <w:rPr>
                <w:rFonts w:cs="Arial"/>
                <w:color w:val="000000" w:themeColor="text1"/>
                <w:szCs w:val="16"/>
              </w:rPr>
              <w:t>4</w:t>
            </w:r>
          </w:p>
        </w:tc>
        <w:tc>
          <w:tcPr>
            <w:tcW w:w="1271" w:type="pct"/>
            <w:shd w:val="clear" w:color="auto" w:fill="auto"/>
          </w:tcPr>
          <w:p w14:paraId="233CCD3F" w14:textId="7D7A4788"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E221993" w14:textId="79FD4B6E" w:rsidR="00DF77C4" w:rsidRPr="00ED172B" w:rsidRDefault="00DF77C4" w:rsidP="00DF77C4">
      <w:pPr>
        <w:rPr>
          <w:rFonts w:cs="Arial"/>
          <w:b/>
          <w:bCs/>
          <w:color w:val="000000" w:themeColor="text1"/>
          <w:szCs w:val="16"/>
        </w:rPr>
      </w:pPr>
      <w:r w:rsidRPr="00ED172B">
        <w:rPr>
          <w:rFonts w:cs="Arial"/>
          <w:b/>
          <w:bCs/>
          <w:color w:val="000000" w:themeColor="text1"/>
          <w:szCs w:val="16"/>
        </w:rPr>
        <w:t>FFY 2018</w:t>
      </w:r>
    </w:p>
    <w:p w14:paraId="2D3C1749"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75562129" w14:textId="073C5471"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4431357" w14:textId="6D12550B" w:rsidR="00DF77C4" w:rsidRPr="00ED172B" w:rsidRDefault="00DF77C4" w:rsidP="00DF77C4">
      <w:pPr>
        <w:rPr>
          <w:color w:val="000000" w:themeColor="text1"/>
        </w:rPr>
      </w:pPr>
      <w:r w:rsidRPr="00ED172B">
        <w:rPr>
          <w:color w:val="000000" w:themeColor="text1"/>
        </w:rPr>
        <w:t xml:space="preserve">In FFY 2018, the MSFSEIP did identify and make findings of noncompliance in Local FSEIP 7 related to Indicator 8B (SEA and LEA Notification). Based on an analysis of local contributing factors and the extent of noncompliance, the FSEIP 7 was issued a state-developed Correction Action Plan (CAP) to address transition plans. This corrective action plan focused on ensuring correction of all instances of identified noncompliance (Prong I) and activities to address root causes of noncompliance, mostly related to a personnel/supervision issue. The FSEIP 7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7, including all records with transition SEA and LEA Notification due (N=10). The MSFSEIP verified all notifications (100%) reviewed, after the CAP activities were completed, met the timeline for notification (Prong II). </w:t>
      </w:r>
    </w:p>
    <w:p w14:paraId="1C49A462" w14:textId="30802CAC"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50340AC8" w14:textId="4173DD98" w:rsidR="00DF77C4" w:rsidRDefault="00DF77C4" w:rsidP="00DF77C4">
      <w:pPr>
        <w:rPr>
          <w:color w:val="000000" w:themeColor="text1"/>
        </w:rPr>
      </w:pPr>
      <w:r w:rsidRPr="00ED172B">
        <w:rPr>
          <w:color w:val="000000" w:themeColor="text1"/>
        </w:rPr>
        <w:t xml:space="preserve">All children for whom their cases were identified for noncompliance have aged out of the EIP. </w:t>
      </w:r>
    </w:p>
    <w:p w14:paraId="2B911F11" w14:textId="061EB5B3" w:rsidR="00DF77C4" w:rsidRPr="00ED172B" w:rsidRDefault="00DF77C4" w:rsidP="00DF77C4">
      <w:pPr>
        <w:rPr>
          <w:rFonts w:cs="Arial"/>
          <w:b/>
          <w:bCs/>
          <w:color w:val="000000" w:themeColor="text1"/>
          <w:szCs w:val="16"/>
        </w:rPr>
      </w:pPr>
      <w:r w:rsidRPr="00ED172B">
        <w:rPr>
          <w:rFonts w:cs="Arial"/>
          <w:b/>
          <w:bCs/>
          <w:color w:val="000000" w:themeColor="text1"/>
          <w:szCs w:val="16"/>
        </w:rPr>
        <w:t>FFY 2017</w:t>
      </w:r>
    </w:p>
    <w:p w14:paraId="7961918F"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2F1A189B" w14:textId="403E901C"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172EBD51" w14:textId="59F81437" w:rsidR="00DF77C4" w:rsidRPr="00ED172B" w:rsidRDefault="00DF77C4" w:rsidP="00DF77C4">
      <w:pPr>
        <w:rPr>
          <w:color w:val="000000" w:themeColor="text1"/>
        </w:rPr>
      </w:pPr>
      <w:r w:rsidRPr="00ED172B">
        <w:rPr>
          <w:color w:val="000000" w:themeColor="text1"/>
        </w:rPr>
        <w:t>In FFY 2017, the MSFSEIP did identify and make findings of noncompliance in  FSEIP Local 4, 5, 8 and 9, related to Indicator 8B (SEA and LEA Notification). Based on an analysis of local contributing factors and the extent of noncompliance, the FSEIP 4, 5, 8 and 9 was issued a state-developed Correction Action Plan (CAP) to address transition plans. This corrective action plan focused on ensuring correction of all instances of identified noncompliance (Prong I) and activities to address root causes of noncompliance, mostly related to a personnel/supervision issue. The FSEIP 4, 5, 8 and 9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4, 5, 8 and 9, including all records with transition SEA and LEA Notification due. The MSFSEIP verified all notifications (100%) reviewed, after the CAP activities were completed, met the timeline for notification (Prong II). Based on follow-up record reviews, Local FSEIP 4, 5, 8 and 9, was found in compliance with providing timely notification.</w:t>
      </w:r>
    </w:p>
    <w:p w14:paraId="77217914" w14:textId="3B2B62E8"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5A2EFE5B" w14:textId="48D68E0E" w:rsidR="00DF77C4" w:rsidRDefault="00DF77C4" w:rsidP="00DF77C4">
      <w:pPr>
        <w:rPr>
          <w:color w:val="000000" w:themeColor="text1"/>
        </w:rPr>
      </w:pPr>
      <w:r w:rsidRPr="00ED172B">
        <w:rPr>
          <w:color w:val="000000" w:themeColor="text1"/>
        </w:rPr>
        <w:t>All children for whom their cases were identified for noncompliance have aged out of the EIP.</w:t>
      </w:r>
    </w:p>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and the remaining four uncorrected findings identified in FFY 2017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The State did report 1 finding on none compliance for FFY 2019 SPP/APR at time of reporting the correction had not yet been verified as corrected.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45.00%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91.29%</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97.32%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91.24%</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93.93%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90.19%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158</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190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90.19%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91.58%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16</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There were 16 instances of system-based issues that led to delays in transition conferences, mainly caused by staff shortages large caseloads and service coordinators being out due to COVID. The Local Programs reported significant Service Coordinator turnover which had a cascading effect of increasing caseloads on remaining personnel. As some of the reassigned cases were nearing transition deadlines, the (new) Service Coordinators had difficulty meeting the deadlines for these additional cases while managing their existing cases.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January 1, 2021 - March 31,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State has pulled multiple reports during different time periods and results average about the same across reporting time frames.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The State did not give findings for FFY 2019 because, all programs where under findings from previous years when data for FFY 2019 was pulled. Since then 2 programs have cleared 8C findings. </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2018</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FFY 2017</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5</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4</w:t>
            </w: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2018</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lastRenderedPageBreak/>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The MSFSEIP did identify and make findings of noncompliance in Local FSEIP 4 related to Indicator 8C (Transition Conference). Based on an analysis of local contributing factors and the extent of noncompliance, the FSEIP 4 was issued a state-developed Correction Action Plan (CAP) to address transition plans. This corrective action plan focused on ensuring correction of all instances of identified noncompliance (Prong I) and activities to address root causes of noncompliance, mostly related to a personnel/supervision issue. The FSEIP 4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4, including all records with transition conference due (N=10). The MSFSEIP verified all transition conferences (100%) reviewed, after the CAP activities were completed, met the timeline for transition conference (Prong II). Based on follow-up record reviews, Local FSEIP 4 was found in compliance with providing timely transition conferences.</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 xml:space="preserve">All children for whom their cases were identified for noncompliance have aged out of the EIP. </w:t>
      </w:r>
    </w:p>
    <w:p w14:paraId="1EC900A3" w14:textId="189C22A8" w:rsidR="00866366" w:rsidRPr="00ED172B" w:rsidRDefault="00866366" w:rsidP="00866366">
      <w:pPr>
        <w:rPr>
          <w:rFonts w:cs="Arial"/>
          <w:b/>
          <w:bCs/>
          <w:color w:val="000000" w:themeColor="text1"/>
          <w:szCs w:val="16"/>
        </w:rPr>
      </w:pPr>
      <w:r w:rsidRPr="00ED172B">
        <w:rPr>
          <w:rFonts w:cs="Arial"/>
          <w:b/>
          <w:bCs/>
          <w:color w:val="000000" w:themeColor="text1"/>
          <w:szCs w:val="16"/>
        </w:rPr>
        <w:t>FFY 2018</w:t>
      </w:r>
    </w:p>
    <w:p w14:paraId="202A3586"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0E541406" w14:textId="77777777" w:rsidR="00866366" w:rsidRPr="00ED172B" w:rsidRDefault="00866366" w:rsidP="00866366">
      <w:pPr>
        <w:rPr>
          <w:b/>
          <w:color w:val="000000" w:themeColor="text1"/>
        </w:rPr>
      </w:pPr>
      <w:r w:rsidRPr="00ED172B">
        <w:rPr>
          <w:b/>
          <w:color w:val="000000" w:themeColor="text1"/>
        </w:rPr>
        <w:t>Actions taken if noncompliance not corrected</w:t>
      </w:r>
    </w:p>
    <w:p w14:paraId="4A90E273" w14:textId="6938EA52" w:rsidR="00866366" w:rsidRDefault="00866366" w:rsidP="00866366">
      <w:pPr>
        <w:rPr>
          <w:color w:val="000000" w:themeColor="text1"/>
        </w:rPr>
      </w:pPr>
      <w:r w:rsidRPr="00ED172B">
        <w:rPr>
          <w:color w:val="000000" w:themeColor="text1"/>
        </w:rPr>
        <w:t>All children for whom their cases were identified for noncompliance have aged out of the EIP. The State required all programs that are in noncompliance to resubmit CAPs to address continue noncompliance. But due to COVID-19 Programs have been unable to meet compliance for transition conference.</w:t>
      </w:r>
    </w:p>
    <w:p w14:paraId="334C3F6D" w14:textId="61059056"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0F2A16C9"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5CB8DCDB" w14:textId="554A85E1"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3AFDB478" w14:textId="5EFA170B" w:rsidR="00866366" w:rsidRPr="00ED172B" w:rsidRDefault="00866366" w:rsidP="00866366">
      <w:pPr>
        <w:rPr>
          <w:color w:val="000000" w:themeColor="text1"/>
        </w:rPr>
      </w:pPr>
      <w:r w:rsidRPr="00ED172B">
        <w:rPr>
          <w:color w:val="000000" w:themeColor="text1"/>
        </w:rPr>
        <w:t>The MSFSEIP did identify and make findings of noncompliance in Local FSEIP 6 related to Indicator 8C (Transition Conference). Based on an analysis of local contributing factors and the extent of noncompliance, the FSEIP 6 was issued a state-developed Correction Action Plan (CAP) to address transition plans. This corrective action plan focused on ensuring correction of all instances of identified noncompliance (Prong I) and activities to address root causes of noncompliance, mostly related to a personnel/supervision issue. The FSEIP 6 submitted to the State evidence of correction of all instances of noncompliance (Prong I) and documentation of completion of all CAP activities to address root causes of noncompliance. This evidence was reviewed and verified by the MSFSEIP. Subsequently, the MSFSEIP pulled and reviewed one month of data for FSEIP 6, including all records with transition conference due (N=10). The MSFSEIP verified all transition conferences (100%) reviewed, after the CAP activities were completed, met the timeline for transition conference (Prong II). Based on follow-up record reviews, Local FSEIP 6 was found in compliance with providing timely transition conferences.</w:t>
      </w:r>
    </w:p>
    <w:p w14:paraId="3201438D" w14:textId="26FEDDA2"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5893789" w14:textId="5834E452" w:rsidR="00866366" w:rsidRDefault="00866366" w:rsidP="00866366">
      <w:pPr>
        <w:rPr>
          <w:color w:val="000000" w:themeColor="text1"/>
        </w:rPr>
      </w:pPr>
      <w:r w:rsidRPr="00ED172B">
        <w:rPr>
          <w:color w:val="000000" w:themeColor="text1"/>
        </w:rPr>
        <w:t>All children for whom their cases were identified for noncompliance have aged out of the EIP.</w:t>
      </w:r>
    </w:p>
    <w:p w14:paraId="2C246F44" w14:textId="5144990F"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0CCD5E25"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3DA16E22" w14:textId="77777777" w:rsidR="00866366" w:rsidRPr="00ED172B" w:rsidRDefault="00866366" w:rsidP="00866366">
      <w:pPr>
        <w:rPr>
          <w:b/>
          <w:color w:val="000000" w:themeColor="text1"/>
        </w:rPr>
      </w:pPr>
      <w:r w:rsidRPr="00ED172B">
        <w:rPr>
          <w:b/>
          <w:color w:val="000000" w:themeColor="text1"/>
        </w:rPr>
        <w:t>Actions taken if noncompliance not corrected</w:t>
      </w:r>
    </w:p>
    <w:p w14:paraId="750AED22" w14:textId="25B34CA2" w:rsidR="00866366" w:rsidRDefault="00866366" w:rsidP="00866366">
      <w:pPr>
        <w:rPr>
          <w:color w:val="000000" w:themeColor="text1"/>
        </w:rPr>
      </w:pPr>
      <w:r w:rsidRPr="00ED172B">
        <w:rPr>
          <w:color w:val="000000" w:themeColor="text1"/>
        </w:rPr>
        <w:t>All children for whom their cases were identified for noncompliance have aged out of the EIP. The State required all programs that are in noncompliance to resubmit CAPs to address continue noncompliance. But due to COVID-19 Programs have been unable to meet compliance for transition conference.</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three uncorrected findings of noncompliance identified in FFY 2018 and the remaining five uncorrected findings identified in  FFY 2017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and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2020, the State must report on the status of correction of noncompliance identified in FFY 2020 for this indicator. In addition, the State must demonstrate, in the FFY 2021 SPP/APR, that the remaining two uncorrected findings of noncompliance identified in FFY 2018 and the remaining four findings of noncompliance identified in FFY 2017 were corrected.</w:t>
      </w:r>
      <w:r w:rsidRPr="00ED172B">
        <w:rPr>
          <w:color w:val="000000" w:themeColor="text1"/>
        </w:rPr>
        <w:br/>
        <w:t xml:space="preserve">  </w:t>
      </w:r>
      <w:r w:rsidRPr="00ED172B">
        <w:rPr>
          <w:color w:val="000000" w:themeColor="text1"/>
        </w:rPr>
        <w:br/>
        <w:t xml:space="preserve">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2018 and FFY 2017: (1) is correctly implementing the specific regulatory requirements (i.e., achieved 100% compliance) based on a review of updated data </w:t>
      </w:r>
      <w:r w:rsidRPr="00ED172B">
        <w:rPr>
          <w:color w:val="000000" w:themeColor="text1"/>
        </w:rPr>
        <w:lastRenderedPageBreak/>
        <w:t xml:space="preserve">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The Mississippi First Steps Early Intervention Program does not include Resolution Sessions in its Dispute Resolution policies and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1</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SiMR or adopt a new one for FF2020-2025. On December 16, 2021, a second stakeholders meeting was held to finalize and approve the revised SiMR. On January 28, 2022, the SICC and stakeholders gave finale approval for FFY 2020-2025 targets which included the SiMR. </w:t>
      </w:r>
      <w:r w:rsidRPr="00ED172B">
        <w:rPr>
          <w:color w:val="000000" w:themeColor="text1"/>
        </w:rPr>
        <w:br/>
      </w:r>
      <w:r w:rsidRPr="00ED172B">
        <w:rPr>
          <w:color w:val="000000" w:themeColor="text1"/>
        </w:rPr>
        <w:br/>
        <w:t>Indicator 2: Natural Environment:</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Summary Statement 2 for Outcomes B2 - SiMR</w:t>
      </w:r>
      <w:r w:rsidRPr="00ED172B">
        <w:rPr>
          <w:color w:val="000000" w:themeColor="text1"/>
        </w:rPr>
        <w:br/>
        <w:t xml:space="preserve">For FFY 2020, the target was set at 50.5% </w:t>
      </w:r>
      <w:r w:rsidRPr="00ED172B">
        <w:rPr>
          <w:color w:val="000000" w:themeColor="text1"/>
        </w:rPr>
        <w:br/>
      </w:r>
      <w:r w:rsidRPr="00ED172B">
        <w:rPr>
          <w:color w:val="000000" w:themeColor="text1"/>
        </w:rPr>
        <w:lastRenderedPageBreak/>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0.00%</w:t>
            </w: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1</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0.00%</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Met target</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lastRenderedPageBreak/>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Percentage of children who exit at or near age expectations in their acquisition and use of knowledge and skills, including early language skills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YES</w:t>
      </w:r>
    </w:p>
    <w:p w14:paraId="039D90FF" w14:textId="0E69F9AB" w:rsidR="00B073DB" w:rsidRDefault="00EE58C0" w:rsidP="008517CB">
      <w:pPr>
        <w:rPr>
          <w:b/>
          <w:bCs/>
        </w:rPr>
      </w:pPr>
      <w:r w:rsidRPr="0055373D">
        <w:rPr>
          <w:b/>
          <w:bCs/>
        </w:rPr>
        <w:t>Provide a description of the system analysis activities conducted to support changing the SiMR.</w:t>
      </w:r>
    </w:p>
    <w:p w14:paraId="64D4E72E" w14:textId="4B9059A9" w:rsidR="00EE58C0" w:rsidRDefault="00EE58C0" w:rsidP="00EE58C0">
      <w:r w:rsidRPr="00F85A5B">
        <w:t>The Mississippi First Steps Early Intervention Program (MSFSEIP) convened a stakeholder group in late fall 2021 to review the state infrastructure using the ECTA System Framework, including improvements identified and implemented between 2016 and 2021 (e.g., new comprehensive data system) and improvements identified that are still in the process of being implemented (e.g., embedding new program standards in the state's general supervision process), as well as to identify any new infrastructure improvements needed. The previous SiMR was limited to a subset of the total population of children enrolled, i.e., children with developmental delays who did not have an underlying medical condition. The stakeholders noted state infrastructure improvements identified (as well as the evidence-based practices being implemented) applied equally to all children within the early intervention system. As there was no compelling reason to exclude a subset of the children (i.e., those with an established diagnoses), the Stakeholders wanted all children equally included in the current SiMR.</w:t>
      </w:r>
    </w:p>
    <w:p w14:paraId="4C35575B" w14:textId="2054C7F1" w:rsidR="00EE58C0" w:rsidRDefault="00EE58C0" w:rsidP="00EE58C0">
      <w:r w:rsidRPr="0055373D">
        <w:rPr>
          <w:b/>
          <w:bCs/>
        </w:rPr>
        <w:t>Please list the data source(s) used to support the change of the SiMR</w:t>
      </w:r>
      <w:r w:rsidRPr="00EE58C0">
        <w:t>.</w:t>
      </w:r>
    </w:p>
    <w:p w14:paraId="31810538" w14:textId="46C8A643" w:rsidR="00EE58C0" w:rsidRDefault="00EE58C0" w:rsidP="00EE58C0">
      <w:r w:rsidRPr="00F85A5B">
        <w:t>The MSFSEIP and Stakeholders reviewed child outcomes trends for summary statement 1 (substantial growth) and summary statement 2 (exiting at/near age-appropriate levels) for all child outcomes to determine if the state should change the SiMR outcome, specifically which outcome, which summary statement, which children would be included, and which areas/programs in the state would be included in the SiMR.</w:t>
      </w:r>
    </w:p>
    <w:p w14:paraId="14AAC396" w14:textId="77777777" w:rsidR="00EE58C0" w:rsidRPr="0055373D" w:rsidRDefault="00EE58C0" w:rsidP="00EE58C0">
      <w:pPr>
        <w:rPr>
          <w:rFonts w:cs="Arial"/>
          <w:b/>
          <w:bCs/>
        </w:rPr>
      </w:pPr>
      <w:r w:rsidRPr="0055373D">
        <w:rPr>
          <w:rFonts w:cs="Arial"/>
          <w:b/>
          <w:bCs/>
        </w:rPr>
        <w:t>Provide a description of how the State analyzed data to reach the decision to change the SiMR.</w:t>
      </w:r>
    </w:p>
    <w:p w14:paraId="43C2FEA1" w14:textId="575356A0" w:rsidR="00EE58C0" w:rsidRDefault="00EE58C0" w:rsidP="00EE58C0">
      <w:r w:rsidRPr="00F85A5B">
        <w:t>In preparing the results for analyses, it was determined children who were excluded from the previous SiMR (i.e., children with an established diagnosis) represented only 10-14% of the total children exiting early intervention for the years of 2015-2019. Furthermore, the results for the subset of children included in the previous SiMR (i.e., children with developmental delays without an established diagnosis) were compared to the total results for all children exiting early intervention and no meaningfully differences were noted. After multiple meetings, the Stakeholders determined to maintain the SiMR outcome (i.e., knowledge and skills) and summary statement (i.e., exiting at/near age-appropriate levels) but to include all children exiting from the program statewide.</w:t>
      </w:r>
    </w:p>
    <w:p w14:paraId="4634374E" w14:textId="5B6CBA34" w:rsidR="008517CB" w:rsidRDefault="00EE58C0" w:rsidP="008517CB">
      <w:pPr>
        <w:rPr>
          <w:b/>
          <w:bCs/>
        </w:rPr>
      </w:pPr>
      <w:r>
        <w:rPr>
          <w:b/>
          <w:bCs/>
        </w:rPr>
        <w:t xml:space="preserve">Please describe the role of stakeholders in the decision to change the SiMR. </w:t>
      </w:r>
    </w:p>
    <w:p w14:paraId="2080C49D" w14:textId="75303335" w:rsidR="00E46F5E" w:rsidRPr="00F85A5B" w:rsidRDefault="00E46F5E" w:rsidP="008517CB">
      <w:r w:rsidRPr="005137B6">
        <w:t>The MSFSEIP convened a stakeholder group in late fall 2021. Across multiple meetings, there were 66 attendees representing families, family advocates, early intervention providers, and representatives of institutions of higher learning including personnel preparation programs and university-based researchers, community-based early childhood program including Help Me Grow Mississippi, MS Division of Medicaid, MS Department of Education, MS Department of Human Services, other MSDH Child &amp; Adolescent Health programs, including Children and Youth with Special Health Care Needs and other home visiting programs, and other State Interagency Coordinating Council members, a national Technical Assistance provider, and state and local First Steps Early Intervention personnel. Prior to attending the meetings, 150 stakeholders were provided a survey to gather input on successes and challenges related to state and local infrastructure, key intervention components, and evidence-based practices. Stakeholders were also provided access to a Padlet site to provide critical background resources, share detailed survey results, and distribute materials for use during the meetings, including discussion questions and additional data collection tools. The stakeholders engaged in large group presentations, small group discussions, and follow-up large group decision-making. The decision was reached by the stakeholders across multiple meetings.</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Statements related to improvement strategies completed between 2016 and 2021 were removed (e.g., development and implementation of a new comprehensive data system) and the remaining statements related to ongoing improvement strategies were updated. These updates represent the next implementation step of the selected improvement strategies based on efforts completed between 2016 and 2021, such as the revision of MSFSEIP Program Standards, MSFSEIP Personnel Standards, and the Mississippi Early Learning Standards. For example, the new theory of action references the expected outcomes from the full implementation of new MSFSEIP Program Standards by including it in the state general supervision process and efforts to ensure Local Early Intervention Programs meet the new standards so infants and toddlers will have access to high-quality early intervention supports and services. In addition, the theory of action specifically references the Routines-Based Model, which was selected and implemented in cohorts between 2016 and 2020, to be the statewide model to promote family engagement through family-centered service delivery. </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https://msdh.ms.gov/msdhsite/_static/41,0,74,63.html</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47.00%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50.50%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51.00%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51.50%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52.00%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52.50%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53.00%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Denominator </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446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948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50.00%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50.50%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47.05%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data for this indicator comes from data collected for summary statement 2 for indicator 3B, i.e., the percent of infants and toddlers who were functioning within age expectations in their acquisition and use of knowledge and skills (including early language/ communication) by the time they turned 3 years of age or exited the program. At the start of FFY2020, the MSFSEIP implemented a new comprehensive data system, Mississippi Infant Toddler Intervention (MITI) data system, which contained early childhood outcomes entry and exit ratings for all infants and toddlers exiting the MSFSEIP.</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Each child's evaluation team, including the Service Coordinator and parent, uses assessment data collected at entry to determine child outcomes ratings using the Child Outcomes Summary (COS) process, i.e., using the Decision Tree to rate the child's functioning on a 7-point scale from "Child does not yet show functioning expected of a child his or her age in any situation" to "Child shows functioning expected for his or her age in all or almost all everyday situations that are part of the child’s life." These data are entered into the MITI data system to be included on the initial IFSP. Within 30 days of exiting, the child's IFSP team, including the Service Coordinator and parent, uses results of ongoing assessments data collected as close to but no more than 6 months prior to exit to determine child outcomes ratings again using the COS process. These data are entered into the MITI data system.</w:t>
      </w:r>
      <w:r w:rsidRPr="00ED172B">
        <w:rPr>
          <w:color w:val="000000" w:themeColor="text1"/>
        </w:rPr>
        <w:br/>
      </w:r>
      <w:r w:rsidRPr="00ED172B">
        <w:rPr>
          <w:color w:val="000000" w:themeColor="text1"/>
        </w:rPr>
        <w:br/>
        <w:t>The MITI data system provides a "COS Report" which provides a summary of Childhood Outcome Summary data collected during a chosen date range. Conditions for the COS Report include: (1) The Initial IFSP has to be at least 180 days before the child exit date. (2) The child must have both entry and exit COS data. (3) The child has exited the program. Data are reported by the number of children exiting who fall within each of the five progress categories (i.e., a - Children who did not improve functioning, b - Children who improved functioning but not sufficient to move nearer to functioning comparable to same-aged peers, c - Children who improved functioning to a level nearer to same-aged peers but did not reach age level expectations , d - Children who improved functioning to reach a level comparable to same-aged peers, and e - Children who maintained functioning at a level comparable to same-aged peers).</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 xml:space="preserve">The evaluation plan was updated to reflect the changes to the theory of action and improvement activities. Modeled on the original evaluation plan, the new evaluation plan includes evaluation of implementation as well as short-term, intermediate, and long-term outcomes. An implementation process with </w:t>
      </w:r>
      <w:r w:rsidRPr="00202113">
        <w:rPr>
          <w:color w:val="000000" w:themeColor="text1"/>
        </w:rPr>
        <w:lastRenderedPageBreak/>
        <w:t>steps and milestones have been developed using implementation science and will be documented through attainment of key milestones and collection of permanent products. Outcomes will be measured using surveys or post-tests, fidelity checklists, and performance on monitoring activities.</w:t>
      </w:r>
      <w:r w:rsidRPr="00202113">
        <w:rPr>
          <w:color w:val="000000" w:themeColor="text1"/>
        </w:rPr>
        <w:br/>
      </w:r>
      <w:r w:rsidRPr="00202113">
        <w:rPr>
          <w:color w:val="000000" w:themeColor="text1"/>
        </w:rPr>
        <w:br/>
        <w:t>The revised evaluation plan can be found at: https://msdh.ms.gov/msdhsite/_static/41,0,74,63.html.</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Comprehensive System of Personnel Development (CSPD):</w:t>
      </w:r>
      <w:r w:rsidRPr="00ED172B">
        <w:rPr>
          <w:color w:val="000000" w:themeColor="text1"/>
        </w:rPr>
        <w:br/>
        <w:t>Between April 2021 and January 2022, the MSFSEIP completed the reestablishment of the CSPD leadership team to create and implement a comprehensive plan with intensive technical assistance of the Early Childhood Personnel Center (ECPC). MSFSEIP personnel serve on the state Core Planning Team (CPT), a broader Strategic Planning Team (SPT), and six workgroups, one each of the six subcomponents of the CPSD: (1) Leadership, Coordination, and Sustainability, (2) Personnel Standards, (3) Pre-Service Training, (4) In-Service Training, (5) Recruitment/Retention, and (6) Evaluation. The first five workgroups, each chaired by a CPT member, were scheduled to meet monthly to refine and implement their workplans for each subcomponent. Evaluation workgroup members participated on each of the other five workgroups to embed evaluation plans into the workplans and assist the workgroups with evaluating their progress. A MSFSEIP staff member served as the State Lead and met monthly with other states with ECPC personnel (through September 2021), and the CPT met monthly to share updates on the workgroups, address challenges, and determine if changes were needed to complete the work by the end of 2021. In addition, the SPT members participated in large stakeholder meeting with other states, facilitated by ECPC, to evaluate the outcomes of the intensive process. By the end of 2021, the CSPD combined the separate, smaller workgroup plans into one comprehensive plan for the enhancement of personnel to serve children with disabilities from birth through five (5) years of age. The implementation of this plan will be ongoing and will be reviewed and revised annually.</w:t>
      </w:r>
      <w:r w:rsidRPr="00ED172B">
        <w:rPr>
          <w:color w:val="000000" w:themeColor="text1"/>
        </w:rPr>
        <w:br/>
      </w:r>
      <w:r w:rsidRPr="00ED172B">
        <w:rPr>
          <w:color w:val="000000" w:themeColor="text1"/>
        </w:rPr>
        <w:br/>
        <w:t xml:space="preserve">During the reporting period, a recruitment/retention workgroup of early intervention personnel, including both MSDH personnel and contracted service providers, and representatives from the Division of Medicaid and the MS Department of Insurance reviewed reimbursement rates for EI services with the intention of implementing new rates by July 1, 2022. This work is ongoing. </w:t>
      </w:r>
      <w:r w:rsidRPr="00ED172B">
        <w:rPr>
          <w:color w:val="000000" w:themeColor="text1"/>
        </w:rPr>
        <w:br/>
      </w:r>
      <w:r w:rsidRPr="00ED172B">
        <w:rPr>
          <w:color w:val="000000" w:themeColor="text1"/>
        </w:rPr>
        <w:br/>
        <w:t>In January 2022, the first cohorts were submitted for enrollment in the Early Intervention Credential and the new online Routines-Based Model module series (see Evidence-Based Practices below). Initial meetings were held with the cohorts to discuss expectations, answer questions, and troubleshoot technical issues. The RBM Modules are currently live with the first cohort beginning completion of the first two modules. The EI Credential will go live at the start of the Mississippi State University Spring Semester.</w:t>
      </w:r>
      <w:r w:rsidRPr="00ED172B">
        <w:rPr>
          <w:color w:val="000000" w:themeColor="text1"/>
        </w:rPr>
        <w:br/>
      </w:r>
      <w:r w:rsidRPr="00ED172B">
        <w:rPr>
          <w:color w:val="000000" w:themeColor="text1"/>
        </w:rPr>
        <w:br/>
        <w:t>Comprehensive Early Intervention Data System:</w:t>
      </w:r>
      <w:r w:rsidRPr="00ED172B">
        <w:rPr>
          <w:color w:val="000000" w:themeColor="text1"/>
        </w:rPr>
        <w:br/>
        <w:t xml:space="preserve">The new MITI data system was fully live for all professionals beginning January 2021. Throughout the remainder of 2021, the MSFSEIP continued to provide 3-Phase training (i.e., Phase 1 - webinar, Phase 2 - live guided practice, Phase 3 - independent practice) for new professionals as they onboarded with the MSFSEIP. Beginning in February 2021, invoices were created to reimburse providers for documented services where MSDH was determined to be the Payor of Last Resort (POLR). In April 2021, the MSFSEIP began the reviewing the state General Supervision Manual to determine needed revision as a result of the new data system, and in May 2021 developed new monitoring tools for case reviews (see newly identified infrastructure improvement strategies below). These new procedures and tools were piloted with the local EIPs during their self-assessment monitoring in June 2021. As of July 2021, the MSFSEIP was able to begin pulling data from the new MITI system for official Annual Performance Reports, i.e., exiting and indicator reports. </w:t>
      </w:r>
      <w:r w:rsidRPr="00ED172B">
        <w:rPr>
          <w:color w:val="000000" w:themeColor="text1"/>
        </w:rPr>
        <w:br/>
      </w:r>
      <w:r w:rsidRPr="00ED172B">
        <w:rPr>
          <w:color w:val="000000" w:themeColor="text1"/>
        </w:rPr>
        <w:br/>
        <w:t>Based on feedback from users, minor glitches were corrected and small enhancements were implemented with the system. One major enhancement was identified to support capabilities for billing Medicaid for targeted case management using the standard 837P claim file which could be forwarded directly to insurance companies for processing. By the end of 2021, the MSFSEIP negotiated with the vendor for an extension of the agreement for hosting and maintenance of the new system as well as implementation of this new system enhancement.</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Comprehensive System of Personnel Development (CSPD):</w:t>
      </w:r>
      <w:r w:rsidRPr="00ED172B">
        <w:rPr>
          <w:color w:val="000000" w:themeColor="text1"/>
        </w:rPr>
        <w:br/>
        <w:t>By the end of 2021, the CSPD assessed the work completed over the past few years as a result of intensive technical assistance. Major achievements for the MSFSEIP include: the expansion of the stakeholders participating in the CSPD; the development of a multi-year CSPD plan; the development of new early intervention personnel standards aligned to the Division for Early Childhood (DEC) Professional Preparation Standards; the sharing of these new personnel standards with preservice preparation programs; the development of a new preservice early intervention masters degree program; the development of a new early intervention credential program for new and existing professionals; the development of tools to evaluate inservice for key features of quality adult learning as well as the development of quality inservice modules that meet those criteria; the development of provider enrollment resources to recruit early intervention professionals; the approval and implementation of reclassifications for early intervention Service Coordinators and the creation of positions for early intervention Service Coordinator Evidence-Based Practices (EBP) Coaches to enhance recruitment and retention of MSFSEIP personnel; and the development of an assessment tool for early intervention professionals and their supervisors to determine how well they meet the new personnel standards and to inform the development of individual professional development plans. This progress was shared during public meetings with both the CSPD Broad Strategic Planning Team and the State Interagency Coordinating Council. Together these efforts have improved and will continue to improve the knowledge and skills of early intervention personnel to ensure they are able to provide high-quality early intervention services to infants and toddlers with disabilities and their families.</w:t>
      </w:r>
      <w:r w:rsidRPr="00ED172B">
        <w:rPr>
          <w:color w:val="000000" w:themeColor="text1"/>
        </w:rPr>
        <w:br/>
      </w:r>
      <w:r w:rsidRPr="00ED172B">
        <w:rPr>
          <w:color w:val="000000" w:themeColor="text1"/>
        </w:rPr>
        <w:br/>
        <w:t>Comprehensive Early Intervention Data System:</w:t>
      </w:r>
      <w:r w:rsidRPr="00ED172B">
        <w:rPr>
          <w:color w:val="000000" w:themeColor="text1"/>
        </w:rPr>
        <w:br/>
        <w:t>By the end of 2021, the MSFSEIP had completed all planned activities for the development and implementation of a new comprehensive data system as outlined on the original evaluation plan. The new data system will enhance the entire early intervention system such as enabling increased accountability and data use for quality improvement, tracking credentials and professional development for personnel, and enhancing the program's ability to capture and analyze financial data across the local programs. In addition, the data system has enhanced the MSFSEIP's ability to assess the implementation of evidence-based practices, through reviews of documented assessment practices and notes on service delivery, ensuring the provision of family-centered services, development of functional goals, and services to promote language development.</w:t>
      </w:r>
      <w:r w:rsidRPr="00ED172B">
        <w:rPr>
          <w:color w:val="000000" w:themeColor="text1"/>
        </w:rPr>
        <w:br/>
      </w:r>
      <w:r w:rsidRPr="00ED172B">
        <w:rPr>
          <w:color w:val="000000" w:themeColor="text1"/>
        </w:rPr>
        <w:br/>
        <w:t xml:space="preserve">The data system will continue to be reviewed and enhanced through the agency data system life cycle review process. The MSFSEIP has established regular channels for feedback from end users (e.g., Service Coordinators and Service Providers) as well as the public, who submit request for data </w:t>
      </w:r>
      <w:r w:rsidRPr="00ED172B">
        <w:rPr>
          <w:color w:val="000000" w:themeColor="text1"/>
        </w:rPr>
        <w:lastRenderedPageBreak/>
        <w:t>during public meetings and/or public records requests. In addition, the MSFSEIP meets monthly with the Local EIPs and solicits feedback on the data system and requests for enhancements and meets quarterly (or more frequently as needed) with the vendor to discuss maintenance and potential changes to the system.</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Accountability/Monitoring:</w:t>
      </w:r>
      <w:r w:rsidRPr="00ED172B">
        <w:rPr>
          <w:color w:val="000000" w:themeColor="text1"/>
        </w:rPr>
        <w:br/>
        <w:t xml:space="preserve">As a results of initial infrastructure improvements to develop quality program standards, infant and toddlers standards, personnel standards, quality preservice/inservice evaluation tools, and a new data system, the MSFSEIP began reviewing the general supervision process to enhance systems of accountability to ensure all of these new standards are being embedded in procedures to assure the standards are met and maintained. </w:t>
      </w:r>
      <w:r w:rsidRPr="00ED172B">
        <w:rPr>
          <w:color w:val="000000" w:themeColor="text1"/>
        </w:rPr>
        <w:br/>
      </w:r>
      <w:r w:rsidRPr="00ED172B">
        <w:rPr>
          <w:color w:val="000000" w:themeColor="text1"/>
        </w:rPr>
        <w:br/>
        <w:t>The MSFSEIP participated in intensive technical assistance on Effective Strategies for Correcting Longstanding Noncompliance. As a result of this an ongoing technical assistance from the Early Childhood Technical Assistance (ECTA) Center, the MSFSEIP completed the following activities:  (a) revision of the annual program calendar, inclusive of applications, reports, meetings with OSEP and stakeholders, and monitoring and technical assistance cycles; (b) revision of the general supervision process; and (c) development and/or revision of monitoring tools, monitoring reports, official report of findings, corrective action plan (CAP) and improvement plan templates, and verification of correction templates.</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The MSFSEIP will continue infrastructure enhancement efforts to address data use (including analyses of financial data) for program improvement, accountability/monitoring to achieve quality standards, and implementation and refinement of enhancements to the professional development system. </w:t>
      </w:r>
      <w:r w:rsidRPr="00ED172B">
        <w:rPr>
          <w:color w:val="000000" w:themeColor="text1"/>
        </w:rPr>
        <w:br/>
      </w:r>
      <w:r w:rsidRPr="00ED172B">
        <w:rPr>
          <w:color w:val="000000" w:themeColor="text1"/>
        </w:rPr>
        <w:br/>
        <w:t>In FFY2021, the MSFSEIP will continue to (a) improve program-level data-driven decision making by building effective Regional data teams to use program and financial data to enhance program management, (b) revise and implement accountability system procedures and tools to ensure program met standards, and (c) ensure cohorts of existing and new personnel enroll in and obtain the EI Credential aligned to the new personnel standards. These changes are expected to ensure programs are continuously evaluating their performance relative to quality standards and identify targets for local improvement activities. In 2022-2023, the MSFSEIP will publicly report on Local EIP performance relative to these quality program standards to ensure EI personnel and families have a shared understanding of what constitutes a high-quality EIP and to what extent their Local EIP meets and/or are improving on those standards.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The MSFEIP continued efforts to implement:</w:t>
      </w:r>
      <w:r w:rsidRPr="00ED172B">
        <w:rPr>
          <w:color w:val="000000" w:themeColor="text1"/>
        </w:rPr>
        <w:br/>
        <w:t xml:space="preserve">(1) ongoing monitoring with the Individual Growth and Development Indicator - Early Communication Indicator (IGDI-ECI) developed by Juniper Garden at the University of Kansas; and </w:t>
      </w:r>
      <w:r w:rsidRPr="00ED172B">
        <w:rPr>
          <w:color w:val="000000" w:themeColor="text1"/>
        </w:rPr>
        <w:br/>
        <w:t>(2) the Routines-Based Model from the Evidence-based International Early Intervention Office at the University of Alabama.</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Early Language Development - IGDI-ECI:</w:t>
      </w:r>
      <w:r w:rsidRPr="00ED172B">
        <w:rPr>
          <w:color w:val="000000" w:themeColor="text1"/>
        </w:rPr>
        <w:br/>
        <w:t>The IGDI-ECI is a progress monitoring tool that is used to assess language development. According to the developers, "The ECI is a brief, repeatable, play-based, observational measure of a child’s communicative performance during a 6-minute play period with a familiar adult. The play session is standardized around one of two toys – either the Fisher-Price House or Farm." The IGDI-ECI provides counts of the use of gestures, vocalizations, single words, and multiple words which are combined to provide a total communication score. Performance on the IGDI-ECI can be plotted to show progress over time and development from prelinguistic communication (i.e., gestures and vocalizations) to spoken language (i.e., single words and multiple words). In addition, the individual subskills and the overall communication score can be compared to norms to determine if children are performing similar or dissimilar to typical-developing children.</w:t>
      </w:r>
      <w:r w:rsidRPr="00ED172B">
        <w:rPr>
          <w:color w:val="000000" w:themeColor="text1"/>
        </w:rPr>
        <w:br/>
      </w:r>
      <w:r w:rsidRPr="00ED172B">
        <w:rPr>
          <w:color w:val="000000" w:themeColor="text1"/>
        </w:rPr>
        <w:br/>
        <w:t>Routines-Based Model:</w:t>
      </w:r>
      <w:r w:rsidRPr="00ED172B">
        <w:rPr>
          <w:color w:val="000000" w:themeColor="text1"/>
        </w:rPr>
        <w:br/>
        <w:t>The Routines-Based Model for Early Intervention developed by Robin McWilliam is a comprehensive model for the delivery of early intervention services that is family-focused, routines-based, and uses transdisciplinary approaches. The model consists of six key practices: assessing family systems using Ecomaps, gathering individual family information through the Routines-Based Interview (RBI), development of participation-based functional child and family goals, use of transdisciplinary practices for service delivery, procedures for conducting supportive home visits, and use of collaborative consultation in child care settings. This intervention is grounded in decades of research on assessment and intervention planning, home- and community-based supports, and the engagement classroom model as well as aligned to the DEC Recommended Practices.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Early Language Development - IGDI-ECI:</w:t>
      </w:r>
      <w:r w:rsidRPr="00ED172B">
        <w:rPr>
          <w:color w:val="000000" w:themeColor="text1"/>
        </w:rPr>
        <w:br/>
        <w:t>The IGDI-ECI data are used to monitor language development, evaluate the impact of language interventions, and inform IFSP goal development. Prior to the COVID pandemic, the IGDI-ECI was administered quarterly with all infants and toddlers enrolled in early intervention. As a result of the COVID pandemic and subsequent shift to virtual service delivery for many families, the IGDI-ECI was not able to be consistently implemented, as it required in person administration. In September 2021, the MSFSEIP worked with IGDI-ECI consultants to certify 40 EI personnel on adapted procedures to administer the IGDI-ECI virtually. In addition, 5 additional personnel were certified as IGDI-ECI Trainers to ensure the state could sustain these efforts. As a result, the MSFSEIP has resumed quarterly administration with all enrolled infants and toddlers whether they receive services in person or virtually. Continued implementation will support efforts to ensure children enrolled in the MSFSEIP are expected to exit at or near age expectations in their acquisition and use of knowledge and skills, including language/communication.</w:t>
      </w:r>
      <w:r w:rsidRPr="00ED172B">
        <w:rPr>
          <w:color w:val="000000" w:themeColor="text1"/>
        </w:rPr>
        <w:br/>
      </w:r>
      <w:r w:rsidRPr="00ED172B">
        <w:rPr>
          <w:color w:val="000000" w:themeColor="text1"/>
        </w:rPr>
        <w:br/>
        <w:t>Routines-Based Model:</w:t>
      </w:r>
      <w:r w:rsidRPr="00ED172B">
        <w:rPr>
          <w:color w:val="000000" w:themeColor="text1"/>
        </w:rPr>
        <w:br/>
        <w:t xml:space="preserve">This model offers explicit procedures for implementation of the key practices (see description above) and has measures of quality implementation embedded within the model. The adoption of the RBM is expected to promote family engagement and improve outcomes for children and families by having families actively participate in service delivery and consistently use interventions in their daily routines. If implemented with fidelity, an increased </w:t>
      </w:r>
      <w:r w:rsidRPr="00ED172B">
        <w:rPr>
          <w:color w:val="000000" w:themeColor="text1"/>
        </w:rPr>
        <w:lastRenderedPageBreak/>
        <w:t xml:space="preserve">percentage of the children enrolled in the MSFSEIP are expected to exit at or near age expectations in their acquisition and use of knowledge and skills, including language/communication.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Early Language Development - IGDI-ECI:</w:t>
      </w:r>
      <w:r w:rsidRPr="00ED172B">
        <w:rPr>
          <w:color w:val="000000" w:themeColor="text1"/>
        </w:rPr>
        <w:br/>
        <w:t xml:space="preserve">To monitor fidelity of implementation, personnel are provided a certification assessment to ensure they are administering the assessment and coding the results consistent with standard procedures. Certification must be maintained annually; however, personnel are checked at least every six months or more frequently, if needed, to ensure interrater reliability. </w:t>
      </w:r>
      <w:r w:rsidRPr="00ED172B">
        <w:rPr>
          <w:color w:val="000000" w:themeColor="text1"/>
        </w:rPr>
        <w:br/>
      </w:r>
      <w:r w:rsidRPr="00ED172B">
        <w:rPr>
          <w:color w:val="000000" w:themeColor="text1"/>
        </w:rPr>
        <w:br/>
        <w:t xml:space="preserve">The IGDI-ECI data itself is used to monitor the outcome of interventions to promote the child's development of language. The tool helps service providers determine if the child is making sufficient progress in overall communication and to determine which subskills the child has mastered and which have not yet emerged. Results are collected and shared with families and providers during IFSP review and revision meetings and may be used to inform language development goals. </w:t>
      </w:r>
      <w:r w:rsidRPr="00ED172B">
        <w:rPr>
          <w:color w:val="000000" w:themeColor="text1"/>
        </w:rPr>
        <w:br/>
      </w:r>
      <w:r w:rsidRPr="00ED172B">
        <w:rPr>
          <w:color w:val="000000" w:themeColor="text1"/>
        </w:rPr>
        <w:br/>
        <w:t>Routines-Based Model:</w:t>
      </w:r>
      <w:r w:rsidRPr="00ED172B">
        <w:rPr>
          <w:color w:val="000000" w:themeColor="text1"/>
        </w:rPr>
        <w:br/>
        <w:t xml:space="preserve">This model offers explicit procedures for implementation of the key practices (see description above) and has measures of quality implementation embedded within the model. Each module in the training series (see description above) has reflective practice submissions, assignments, and an assessment. In addition to the formal assessment, each reflective practice and assignment has a scoring rubric to identify if personnel are mastering the material. The model has explicit fidelity measures for rating performance on each key component. After personnel demonstrate initial fidelity in a practice, they will be observed quarterly and receive ongoing coaching to ensure they are maintaining fidelity. After two consecutive quarters of maintaining fidelity, personnel will be moved to a schedule of biannual monitoring. </w:t>
      </w:r>
      <w:r w:rsidRPr="00ED172B">
        <w:rPr>
          <w:color w:val="000000" w:themeColor="text1"/>
        </w:rPr>
        <w:br/>
        <w:t xml:space="preserve"> </w:t>
      </w:r>
      <w:r w:rsidRPr="00ED172B">
        <w:rPr>
          <w:color w:val="000000" w:themeColor="text1"/>
        </w:rPr>
        <w:br/>
        <w:t>File reviews of assessments, communication logs, and service logs as well as virtual or in-person (as practicable) observations will be conducted with fidelity measures to ensure changes are being consistent implemented with families. In addition, annual monitoring procedures, including family interviews, are being revised to include elements to determine consistent implementation across local EIPs.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Early Language Development:</w:t>
      </w:r>
      <w:r w:rsidRPr="00ED172B">
        <w:rPr>
          <w:color w:val="000000" w:themeColor="text1"/>
        </w:rPr>
        <w:br/>
        <w:t xml:space="preserve">Over the next reporting period, personnel will be monitored to ensure they are implementing the IGDI-ECI with fidelity. In addition, EI personnel will be provided training, guidance, and coaching on the implementation of interventions to promote early language development. The impact of this training will be measured by changes in the IGDI-ECI scores for children whose service providers participate in the training. </w:t>
      </w:r>
      <w:r w:rsidRPr="00ED172B">
        <w:rPr>
          <w:color w:val="000000" w:themeColor="text1"/>
        </w:rPr>
        <w:br/>
      </w:r>
      <w:r w:rsidRPr="00ED172B">
        <w:rPr>
          <w:color w:val="000000" w:themeColor="text1"/>
        </w:rPr>
        <w:br/>
        <w:t>In addition, annual monitoring procedures, including file reviews, are being revised to include elements to determine consistent implementation of the IGDI-ECI and early language interventions within participating local EIPs.</w:t>
      </w:r>
      <w:r w:rsidRPr="00ED172B">
        <w:rPr>
          <w:color w:val="000000" w:themeColor="text1"/>
        </w:rPr>
        <w:br/>
      </w:r>
      <w:r w:rsidRPr="00ED172B">
        <w:rPr>
          <w:color w:val="000000" w:themeColor="text1"/>
        </w:rPr>
        <w:br/>
        <w:t>Routines-Based Model:</w:t>
      </w:r>
      <w:r w:rsidRPr="00ED172B">
        <w:rPr>
          <w:color w:val="000000" w:themeColor="text1"/>
        </w:rPr>
        <w:br/>
        <w:t>In January 2022, the first cohort, comprised of 20 state and local EBP Coaches across the state, began completing the first three modules under the supervision of the RBM Consultant and are scheduled to complete the entire training by June 2022. After the EBP Coaches complete the first six modules (by the end of March 2022), each EBP Coaching will begin facilitating their own cohort of three to five learners through the module series. The RBM Consultant will facilitate the EBP Coaches as they complete modules seven through 13 as well as mentor them in their coaching of their own cohort. The intention is to ensure the state has the ability to train its own personnel to fidelity by maintaining a larger cadres of EBP Coaches who can assist with new personnel located anywhere in the state.</w:t>
      </w:r>
      <w:r w:rsidRPr="00ED172B">
        <w:rPr>
          <w:color w:val="000000" w:themeColor="text1"/>
        </w:rPr>
        <w:br/>
      </w:r>
      <w:r w:rsidRPr="00ED172B">
        <w:rPr>
          <w:color w:val="000000" w:themeColor="text1"/>
        </w:rPr>
        <w:br/>
        <w:t>After the initial cohorts of Service Coordinators complete training and attain initial fidelity, personnel will move into a phase of ongoing coaching and quarterly monitoring. After attaining fidelity for two consecutive quarters, personnel will move into a maintenance pattern of monitoring twice annually.</w:t>
      </w:r>
      <w:r w:rsidRPr="00ED172B">
        <w:rPr>
          <w:color w:val="000000" w:themeColor="text1"/>
        </w:rPr>
        <w:br/>
      </w:r>
      <w:r w:rsidRPr="00ED172B">
        <w:rPr>
          <w:color w:val="000000" w:themeColor="text1"/>
        </w:rPr>
        <w:br/>
        <w:t>After all Service Coordinators complete the RBM modules and have moved into the monitoring and coaching phase, EI Service Providers will be given access to the module series and receive ongoing coaching and monitoring.</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Early Language Development:</w:t>
      </w:r>
      <w:r w:rsidRPr="00ED172B">
        <w:rPr>
          <w:color w:val="000000" w:themeColor="text1"/>
        </w:rPr>
        <w:br/>
        <w:t>Initial certification data demonstrated that Service Coordinators easily mastered the administration and scoring procedures. The measure has been shown to be effective in monitoring progress and providing quick, reliable information for making intervention decisions for infants and toddlers.</w:t>
      </w:r>
      <w:r w:rsidRPr="00ED172B">
        <w:rPr>
          <w:color w:val="000000" w:themeColor="text1"/>
        </w:rPr>
        <w:br/>
      </w:r>
      <w:r w:rsidRPr="00ED172B">
        <w:rPr>
          <w:color w:val="000000" w:themeColor="text1"/>
        </w:rPr>
        <w:br/>
        <w:t>Routines-Based Model:</w:t>
      </w:r>
      <w:r w:rsidRPr="00ED172B">
        <w:rPr>
          <w:color w:val="000000" w:themeColor="text1"/>
        </w:rPr>
        <w:br/>
        <w:t xml:space="preserve">Initial implementation required personnel to attend a week-long intensive in-person workshop offered annually. The MSFSEIP worked with the Routines-Based Model consultants (from the Evidence-based International Early Intervention Office at the University of Alabama) and implementation team to revamp the training process from in-person workshops to online module series. The changes were precipitated not only in response to the COVID-19 pandemic, which prevented in-person training from occurring, but also due to years of challenges with staff turnover, particularly among the local EBP Coaches. The new RBM module system will allow personnel across the state to access training within a study cohort in a timely manner without waiting for an annual intensive workshop. </w:t>
      </w:r>
      <w:r w:rsidRPr="00ED172B">
        <w:rPr>
          <w:color w:val="000000" w:themeColor="text1"/>
        </w:rPr>
        <w:br/>
      </w:r>
      <w:r w:rsidRPr="00ED172B">
        <w:rPr>
          <w:color w:val="000000" w:themeColor="text1"/>
        </w:rPr>
        <w:br/>
        <w:t xml:space="preserve">The new training series consists of 13 modules, each of which consists of written material (handouts, instruments, other tools, readings, etc.), video clips of practices (when appropriate), video lectures on the practice, practice reflection exercises, "homework" assignments, and an assessment. The modules cover the following: </w:t>
      </w:r>
      <w:r w:rsidRPr="00ED172B">
        <w:rPr>
          <w:color w:val="000000" w:themeColor="text1"/>
        </w:rPr>
        <w:br/>
      </w:r>
      <w:r w:rsidRPr="00ED172B">
        <w:rPr>
          <w:color w:val="000000" w:themeColor="text1"/>
        </w:rPr>
        <w:lastRenderedPageBreak/>
        <w:t>1. Introduction to the Routines-Based Model (RBM)</w:t>
      </w:r>
      <w:r w:rsidRPr="00ED172B">
        <w:rPr>
          <w:color w:val="000000" w:themeColor="text1"/>
        </w:rPr>
        <w:br/>
        <w:t>2. Ecomap</w:t>
      </w:r>
      <w:r w:rsidRPr="00ED172B">
        <w:rPr>
          <w:color w:val="000000" w:themeColor="text1"/>
        </w:rPr>
        <w:br/>
        <w:t>3. Routines-Based Interview: Structure and Style</w:t>
      </w:r>
      <w:r w:rsidRPr="00ED172B">
        <w:rPr>
          <w:color w:val="000000" w:themeColor="text1"/>
        </w:rPr>
        <w:br/>
        <w:t>4. Routines-Based Interview: EISE Details (“Digging Deep”)</w:t>
      </w:r>
      <w:r w:rsidRPr="00ED172B">
        <w:rPr>
          <w:color w:val="000000" w:themeColor="text1"/>
        </w:rPr>
        <w:br/>
        <w:t>5. From Informal RBI Goals to Participation-Based Child Goals</w:t>
      </w:r>
      <w:r w:rsidRPr="00ED172B">
        <w:rPr>
          <w:color w:val="000000" w:themeColor="text1"/>
        </w:rPr>
        <w:br/>
        <w:t>6. From Informal RBI Goals to Family Goals</w:t>
      </w:r>
      <w:r w:rsidRPr="00ED172B">
        <w:rPr>
          <w:color w:val="000000" w:themeColor="text1"/>
        </w:rPr>
        <w:br/>
        <w:t>7. Primary or Comprehensive Service Provider</w:t>
      </w:r>
      <w:r w:rsidRPr="00ED172B">
        <w:rPr>
          <w:color w:val="000000" w:themeColor="text1"/>
        </w:rPr>
        <w:br/>
        <w:t>8. Routines-Based Home Visits: Structure</w:t>
      </w:r>
      <w:r w:rsidRPr="00ED172B">
        <w:rPr>
          <w:color w:val="000000" w:themeColor="text1"/>
        </w:rPr>
        <w:br/>
        <w:t>9. Routines-Based Home Visits: Family Consultation</w:t>
      </w:r>
      <w:r w:rsidRPr="00ED172B">
        <w:rPr>
          <w:color w:val="000000" w:themeColor="text1"/>
        </w:rPr>
        <w:br/>
        <w:t>10. Collaborative Consultation to Children’s Classrooms: Collaborating</w:t>
      </w:r>
      <w:r w:rsidRPr="00ED172B">
        <w:rPr>
          <w:color w:val="000000" w:themeColor="text1"/>
        </w:rPr>
        <w:br/>
        <w:t>11. Collaborative Consultation to Children’s Classrooms: Integrated Services</w:t>
      </w:r>
      <w:r w:rsidRPr="00ED172B">
        <w:rPr>
          <w:color w:val="000000" w:themeColor="text1"/>
        </w:rPr>
        <w:br/>
        <w:t>12. Parenting Basics</w:t>
      </w:r>
      <w:r w:rsidRPr="00ED172B">
        <w:rPr>
          <w:color w:val="000000" w:themeColor="text1"/>
        </w:rPr>
        <w:br/>
        <w:t>13. Data Collection</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MSFSEIP has multiple avenues to engage stakeholders in advising the program. The State Interagency Coordinating Council (SICC), including SSIP Stakeholders, meets quarterly for a public meeting and more frequently for workgroup activities. The SICC is comprised of parents, service providers, state agency representatives from Health, Education, Human Services, Child Protective Services, Medicaid, and Insurance, representatives from Head Start, the Institute of Higher Learning (IHL), University programs, and advocacy groups, and other community leaders.</w:t>
      </w:r>
      <w:r w:rsidRPr="00ED172B">
        <w:rPr>
          <w:color w:val="000000" w:themeColor="text1"/>
        </w:rPr>
        <w:br/>
        <w:t xml:space="preserve">On October 22, 2021, the SICC and stakeholders assisted the MSFSEIP in setting the FFY2020-FFY2025 APR targets for Indicators 2, 3, 4, 5, and 6. On November 10, 2021, the program held a stakeholders meeting to determine if the state would keep the same SiMR or adopt a new one for FF2020-2025. On December 16, 2021, a second stakeholders meeting was held to finalize and approve the revised SiMR. On January 28, 2022, the SICC and stakeholders gave finale approval for FFY 2020-2025 targets which included the SiMR. </w:t>
      </w:r>
      <w:r w:rsidRPr="00ED172B">
        <w:rPr>
          <w:color w:val="000000" w:themeColor="text1"/>
        </w:rPr>
        <w:br/>
      </w:r>
      <w:r w:rsidRPr="00ED172B">
        <w:rPr>
          <w:color w:val="000000" w:themeColor="text1"/>
        </w:rPr>
        <w:br/>
        <w:t>Indicator 2: Natural Environment:</w:t>
      </w:r>
      <w:r w:rsidRPr="00ED172B">
        <w:rPr>
          <w:color w:val="000000" w:themeColor="text1"/>
        </w:rPr>
        <w:br/>
        <w:t xml:space="preserve">For FFY 2020, the target was set at 87.40% </w:t>
      </w:r>
      <w:r w:rsidRPr="00ED172B">
        <w:rPr>
          <w:color w:val="000000" w:themeColor="text1"/>
        </w:rPr>
        <w:br/>
        <w:t>For FFY 2021, the target was set at 88.92%</w:t>
      </w:r>
      <w:r w:rsidRPr="00ED172B">
        <w:rPr>
          <w:color w:val="000000" w:themeColor="text1"/>
        </w:rPr>
        <w:br/>
        <w:t>For FFY 2022, the target was set at 90.44%</w:t>
      </w:r>
      <w:r w:rsidRPr="00ED172B">
        <w:rPr>
          <w:color w:val="000000" w:themeColor="text1"/>
        </w:rPr>
        <w:br/>
        <w:t>For FFY 2023, the target was set at 91.96%</w:t>
      </w:r>
      <w:r w:rsidRPr="00ED172B">
        <w:rPr>
          <w:color w:val="000000" w:themeColor="text1"/>
        </w:rPr>
        <w:br/>
        <w:t>For FFY 2024, the target was set at 93.48%</w:t>
      </w:r>
      <w:r w:rsidRPr="00ED172B">
        <w:rPr>
          <w:color w:val="000000" w:themeColor="text1"/>
        </w:rPr>
        <w:br/>
        <w:t>For FFY 2025, the target was set at 95%</w:t>
      </w:r>
      <w:r w:rsidRPr="00ED172B">
        <w:rPr>
          <w:color w:val="000000" w:themeColor="text1"/>
        </w:rPr>
        <w:br/>
      </w:r>
      <w:r w:rsidRPr="00ED172B">
        <w:rPr>
          <w:color w:val="000000" w:themeColor="text1"/>
        </w:rPr>
        <w:br/>
        <w:t>Indicator 3: Child Outcomes:</w:t>
      </w:r>
      <w:r w:rsidRPr="00ED172B">
        <w:rPr>
          <w:color w:val="000000" w:themeColor="text1"/>
        </w:rPr>
        <w:br/>
        <w:t>Summary Statement 1 for Outcomes A - C targets were set to remain at 85% for FFY2020-FFY2025.</w:t>
      </w:r>
      <w:r w:rsidRPr="00ED172B">
        <w:rPr>
          <w:color w:val="000000" w:themeColor="text1"/>
        </w:rPr>
        <w:br/>
      </w:r>
      <w:r w:rsidRPr="00ED172B">
        <w:rPr>
          <w:color w:val="000000" w:themeColor="text1"/>
        </w:rPr>
        <w:br/>
        <w:t xml:space="preserve">Summary Statement 2 for Outcomes A2 </w:t>
      </w:r>
      <w:r w:rsidRPr="00ED172B">
        <w:rPr>
          <w:color w:val="000000" w:themeColor="text1"/>
        </w:rPr>
        <w:br/>
        <w:t xml:space="preserve">For FFY 2020, the target was set at 62.5% </w:t>
      </w:r>
      <w:r w:rsidRPr="00ED172B">
        <w:rPr>
          <w:color w:val="000000" w:themeColor="text1"/>
        </w:rPr>
        <w:br/>
        <w:t>For FFY 2021, the target was set at 63%</w:t>
      </w:r>
      <w:r w:rsidRPr="00ED172B">
        <w:rPr>
          <w:color w:val="000000" w:themeColor="text1"/>
        </w:rPr>
        <w:br/>
        <w:t>For FFY 2022, the target was set at 63.5%</w:t>
      </w:r>
      <w:r w:rsidRPr="00ED172B">
        <w:rPr>
          <w:color w:val="000000" w:themeColor="text1"/>
        </w:rPr>
        <w:br/>
        <w:t>For FFY 2023, the target was set at 64%</w:t>
      </w:r>
      <w:r w:rsidRPr="00ED172B">
        <w:rPr>
          <w:color w:val="000000" w:themeColor="text1"/>
        </w:rPr>
        <w:br/>
        <w:t>For FFY 2024, the target was set at 64.5%</w:t>
      </w:r>
      <w:r w:rsidRPr="00ED172B">
        <w:rPr>
          <w:color w:val="000000" w:themeColor="text1"/>
        </w:rPr>
        <w:br/>
        <w:t>For FFY 2025, the target was set at 65%</w:t>
      </w:r>
      <w:r w:rsidRPr="00ED172B">
        <w:rPr>
          <w:color w:val="000000" w:themeColor="text1"/>
        </w:rPr>
        <w:br/>
      </w:r>
      <w:r w:rsidRPr="00ED172B">
        <w:rPr>
          <w:color w:val="000000" w:themeColor="text1"/>
        </w:rPr>
        <w:br/>
        <w:t>Summary Statement 2 for Outcomes B2 - SiMR</w:t>
      </w:r>
      <w:r w:rsidRPr="00ED172B">
        <w:rPr>
          <w:color w:val="000000" w:themeColor="text1"/>
        </w:rPr>
        <w:br/>
        <w:t xml:space="preserve">For FFY 2020, the target was set at 50.5% </w:t>
      </w:r>
      <w:r w:rsidRPr="00ED172B">
        <w:rPr>
          <w:color w:val="000000" w:themeColor="text1"/>
        </w:rPr>
        <w:br/>
        <w:t>For FFY 2021, the target was set at 51%</w:t>
      </w:r>
      <w:r w:rsidRPr="00ED172B">
        <w:rPr>
          <w:color w:val="000000" w:themeColor="text1"/>
        </w:rPr>
        <w:br/>
        <w:t>For FFY 2022, the target was set at 51.5%</w:t>
      </w:r>
      <w:r w:rsidRPr="00ED172B">
        <w:rPr>
          <w:color w:val="000000" w:themeColor="text1"/>
        </w:rPr>
        <w:br/>
        <w:t>For FFY 2023, the target was set at 52%</w:t>
      </w:r>
      <w:r w:rsidRPr="00ED172B">
        <w:rPr>
          <w:color w:val="000000" w:themeColor="text1"/>
        </w:rPr>
        <w:br/>
        <w:t>For FFY 2024, the target was set at 52.5%</w:t>
      </w:r>
      <w:r w:rsidRPr="00ED172B">
        <w:rPr>
          <w:color w:val="000000" w:themeColor="text1"/>
        </w:rPr>
        <w:br/>
        <w:t>For FFY 2025, the target was set at 53%</w:t>
      </w:r>
      <w:r w:rsidRPr="00ED172B">
        <w:rPr>
          <w:color w:val="000000" w:themeColor="text1"/>
        </w:rPr>
        <w:br/>
      </w:r>
      <w:r w:rsidRPr="00ED172B">
        <w:rPr>
          <w:color w:val="000000" w:themeColor="text1"/>
        </w:rPr>
        <w:br/>
        <w:t xml:space="preserve">Summary Statement 2 for Outcomes C2 </w:t>
      </w:r>
      <w:r w:rsidRPr="00ED172B">
        <w:rPr>
          <w:color w:val="000000" w:themeColor="text1"/>
        </w:rPr>
        <w:br/>
        <w:t xml:space="preserve">For FFY 2020, the target was set at 54% </w:t>
      </w:r>
      <w:r w:rsidRPr="00ED172B">
        <w:rPr>
          <w:color w:val="000000" w:themeColor="text1"/>
        </w:rPr>
        <w:br/>
        <w:t>For FFY 2021, the target was set at 55%</w:t>
      </w:r>
      <w:r w:rsidRPr="00ED172B">
        <w:rPr>
          <w:color w:val="000000" w:themeColor="text1"/>
        </w:rPr>
        <w:br/>
        <w:t>For FFY 2022, the target was set at 56%</w:t>
      </w:r>
      <w:r w:rsidRPr="00ED172B">
        <w:rPr>
          <w:color w:val="000000" w:themeColor="text1"/>
        </w:rPr>
        <w:br/>
        <w:t>For FFY 2023, the target was set at 57%</w:t>
      </w:r>
      <w:r w:rsidRPr="00ED172B">
        <w:rPr>
          <w:color w:val="000000" w:themeColor="text1"/>
        </w:rPr>
        <w:br/>
        <w:t>For FFY 2024, the target was set at 58%</w:t>
      </w:r>
      <w:r w:rsidRPr="00ED172B">
        <w:rPr>
          <w:color w:val="000000" w:themeColor="text1"/>
        </w:rPr>
        <w:br/>
        <w:t>For FFY 2025, the target was set at 59%</w:t>
      </w:r>
      <w:r w:rsidRPr="00ED172B">
        <w:rPr>
          <w:color w:val="000000" w:themeColor="text1"/>
        </w:rPr>
        <w:br/>
      </w:r>
      <w:r w:rsidRPr="00ED172B">
        <w:rPr>
          <w:color w:val="000000" w:themeColor="text1"/>
        </w:rPr>
        <w:br/>
        <w:t xml:space="preserve">Indicator 4: Family Survey target set to remain at 92% for FFY2020-FFY2025. </w:t>
      </w:r>
      <w:r w:rsidRPr="00ED172B">
        <w:rPr>
          <w:color w:val="000000" w:themeColor="text1"/>
        </w:rPr>
        <w:br/>
      </w:r>
      <w:r w:rsidRPr="00ED172B">
        <w:rPr>
          <w:color w:val="000000" w:themeColor="text1"/>
        </w:rPr>
        <w:br/>
        <w:t>Indicator 5: Child Find 0-1 target was set as follows:</w:t>
      </w:r>
      <w:r w:rsidRPr="00ED172B">
        <w:rPr>
          <w:color w:val="000000" w:themeColor="text1"/>
        </w:rPr>
        <w:br/>
        <w:t xml:space="preserve">For FFY 2020, the target was set at .73% </w:t>
      </w:r>
      <w:r w:rsidRPr="00ED172B">
        <w:rPr>
          <w:color w:val="000000" w:themeColor="text1"/>
        </w:rPr>
        <w:br/>
        <w:t>For FFY 2021, the target was set at .83%</w:t>
      </w:r>
      <w:r w:rsidRPr="00ED172B">
        <w:rPr>
          <w:color w:val="000000" w:themeColor="text1"/>
        </w:rPr>
        <w:br/>
        <w:t>For FFY 2022, the target was set at .93%</w:t>
      </w:r>
      <w:r w:rsidRPr="00ED172B">
        <w:rPr>
          <w:color w:val="000000" w:themeColor="text1"/>
        </w:rPr>
        <w:br/>
        <w:t>For FFY 2023, the target was set at 1.03%</w:t>
      </w:r>
      <w:r w:rsidRPr="00ED172B">
        <w:rPr>
          <w:color w:val="000000" w:themeColor="text1"/>
        </w:rPr>
        <w:br/>
        <w:t>For FFY 2024, the target was set at 1.13%</w:t>
      </w:r>
      <w:r w:rsidRPr="00ED172B">
        <w:rPr>
          <w:color w:val="000000" w:themeColor="text1"/>
        </w:rPr>
        <w:br/>
        <w:t>For FFY 2025, the target was set at 1.23%</w:t>
      </w:r>
      <w:r w:rsidRPr="00ED172B">
        <w:rPr>
          <w:color w:val="000000" w:themeColor="text1"/>
        </w:rPr>
        <w:br/>
      </w:r>
      <w:r w:rsidRPr="00ED172B">
        <w:rPr>
          <w:color w:val="000000" w:themeColor="text1"/>
        </w:rPr>
        <w:br/>
        <w:t>Indicator 6: Child Find 0-3 target was as follows:</w:t>
      </w:r>
      <w:r w:rsidRPr="00ED172B">
        <w:rPr>
          <w:color w:val="000000" w:themeColor="text1"/>
        </w:rPr>
        <w:br/>
        <w:t xml:space="preserve">For FFY 2020, the target was set at 1.98% </w:t>
      </w:r>
      <w:r w:rsidRPr="00ED172B">
        <w:rPr>
          <w:color w:val="000000" w:themeColor="text1"/>
        </w:rPr>
        <w:br/>
        <w:t>For FFY 2021, the target was set at 2.06%</w:t>
      </w:r>
      <w:r w:rsidRPr="00ED172B">
        <w:rPr>
          <w:color w:val="000000" w:themeColor="text1"/>
        </w:rPr>
        <w:br/>
      </w:r>
      <w:r w:rsidRPr="00ED172B">
        <w:rPr>
          <w:color w:val="000000" w:themeColor="text1"/>
        </w:rPr>
        <w:lastRenderedPageBreak/>
        <w:t>For FFY 2022, the target was set at 2.09%</w:t>
      </w:r>
      <w:r w:rsidRPr="00ED172B">
        <w:rPr>
          <w:color w:val="000000" w:themeColor="text1"/>
        </w:rPr>
        <w:br/>
        <w:t>For FFY 2023, the target was set at 2.12%</w:t>
      </w:r>
      <w:r w:rsidRPr="00ED172B">
        <w:rPr>
          <w:color w:val="000000" w:themeColor="text1"/>
        </w:rPr>
        <w:br/>
        <w:t>For FFY 2024, the target was set at 2.15%</w:t>
      </w:r>
      <w:r w:rsidRPr="00ED172B">
        <w:rPr>
          <w:color w:val="000000" w:themeColor="text1"/>
        </w:rPr>
        <w:br/>
        <w:t>For FFY 2025, the target was set at 2.18%</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MSFSEIP engaged stakeholders through State Interagency Coordinating Council public meetings, specific hybrid (in-person and virtual) SSIP meetings, surveys, and development of a Padlet site of resources. The stakeholders were engaged in large and small group discussions, provided resources and data collection tools, and provided multiple methods, including synchronous and asynchronous opportunities, for contribution to decision-making.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Several stakeholders expressed concerns about the lack of funding for early intervention services. The MSFSEIP personnel explained about efforts to analyze financial data which may identify to areas for efficiencies and/or improved access to public and private insurance. The MSFSEIP also discussed the role of the SICC in identifying resources and to support interagency collaboration in the delivery of early intervention services.</w:t>
      </w:r>
      <w:r w:rsidRPr="00ED172B">
        <w:rPr>
          <w:color w:val="000000" w:themeColor="text1"/>
        </w:rPr>
        <w:br/>
      </w:r>
      <w:r w:rsidRPr="00ED172B">
        <w:rPr>
          <w:color w:val="000000" w:themeColor="text1"/>
        </w:rPr>
        <w:br/>
        <w:t>Stakeholders also expressed concerns about the lack of qualified personnel for the delivery of early intervention services. The MSFSEIP personnel discussed the extensive work to establish a new CSPD and how in the coming years, with full implementation, changes in the knowledge and skills of early intervention professionals will be realized. The MSFSEIP further address the challenges with recruitment and retention, noting the upcoming changes in personnel pay and reimbursement rates.</w:t>
      </w:r>
      <w:r w:rsidRPr="00ED172B">
        <w:rPr>
          <w:color w:val="000000" w:themeColor="text1"/>
        </w:rPr>
        <w:br/>
      </w:r>
      <w:r w:rsidRPr="00ED172B">
        <w:rPr>
          <w:color w:val="000000" w:themeColor="text1"/>
        </w:rPr>
        <w:br/>
        <w:t>Finally, stakeholders expressed concerns about two key priorities to be address with the additional American Rescue Plan (ARP) funding: increasing Child Find activities to identify children earlier and providing increasing social-emotional supports for children and families. The MSFSEIP informed new stakeholders about plans approved with the SICC for implementing an extensive multimedia public awareness campaign and supporting EI personnel in attaining credentialing from the newly formed Mississippi Alliance for Infant Mental Health.</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The State has revised the baseline for this indicator, using data from FFY 2020, but OSEP cannot accept that revision because the baseline data (47.00%) and the FFY 2020 data (47.05%) do not match. </w:t>
      </w:r>
      <w:r w:rsidRPr="00ED172B">
        <w:rPr>
          <w:color w:val="000000" w:themeColor="text1"/>
        </w:rPr>
        <w:br/>
      </w:r>
      <w:r w:rsidRPr="00ED172B">
        <w:rPr>
          <w:color w:val="000000" w:themeColor="text1"/>
        </w:rPr>
        <w:br/>
        <w:t>The State provided targets for FFYs 2020 through 2025 for this indicator, and OSEP accepts those targets because they show improvement over the FFY 2020 data.</w:t>
      </w:r>
      <w:r w:rsidRPr="00ED172B">
        <w:rPr>
          <w:color w:val="000000" w:themeColor="text1"/>
        </w:rPr>
        <w:br/>
      </w:r>
      <w:r w:rsidRPr="00ED172B">
        <w:rPr>
          <w:color w:val="000000" w:themeColor="text1"/>
        </w:rPr>
        <w:br/>
        <w:t>The State did not provide the numerator and denominator descriptions in the FFY 2020 SPP/APR Data table. The State must provide the description of the numerator and denominator used to calculate its FFY 2020 data.</w:t>
      </w:r>
      <w:r w:rsidRPr="00ED172B">
        <w:rPr>
          <w:color w:val="000000" w:themeColor="text1"/>
        </w:rPr>
        <w:br/>
      </w:r>
      <w:r w:rsidRPr="00ED172B">
        <w:rPr>
          <w:color w:val="000000" w:themeColor="text1"/>
        </w:rPr>
        <w:br/>
        <w:t xml:space="preserve">The State provided a link to the Evaluation Plan; however, the evaluation plan is not found at that link. The State must provide a link or narrative description of the current Evaluation Plan.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has revised the baseline for this indicator, using data from FFY 2020, but OSEP cannot accept that revision because the baseline data (47.00%) and the FFY 2020 data (47.05%) do not match. With the FFY 2021 SPP/APR the State must provide accurate data for the baseline.</w:t>
      </w:r>
      <w:r w:rsidRPr="00ED172B">
        <w:rPr>
          <w:color w:val="000000" w:themeColor="text1"/>
        </w:rPr>
        <w:br/>
      </w:r>
      <w:r w:rsidRPr="00ED172B">
        <w:rPr>
          <w:color w:val="000000" w:themeColor="text1"/>
        </w:rPr>
        <w:br/>
        <w:t>The State did not provide numerator and denominator descriptions in the FFY 2020 data table. The State must provide the required numerator and denominator descriptions for FFY 2021 in the FFY 2021 SPP/APR.</w:t>
      </w:r>
      <w:r w:rsidRPr="00ED172B">
        <w:rPr>
          <w:color w:val="000000" w:themeColor="text1"/>
        </w:rPr>
        <w:br/>
      </w:r>
      <w:r w:rsidRPr="00ED172B">
        <w:rPr>
          <w:color w:val="000000" w:themeColor="text1"/>
        </w:rPr>
        <w:br/>
      </w:r>
      <w:r w:rsidRPr="00ED172B">
        <w:rPr>
          <w:color w:val="000000" w:themeColor="text1"/>
        </w:rPr>
        <w:lastRenderedPageBreak/>
        <w:t xml:space="preserve">The State provided a link to the Evaluation Plan; however, the evaluation plan is not found at that link. The State must provide a working link to the current Evaluation Plan in the FFY2021 SPP/APR.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Stacy Callender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Child &amp; Adolescent Health/Part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Stacy.Callender@msdh.ms.gov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601-576-7816</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04/27/22  1:00:41 AM</w:t>
      </w:r>
    </w:p>
    <w:p w14:paraId="7B3F3D6E" w14:textId="12D857B9" w:rsidR="00B177FF" w:rsidRDefault="00B177FF">
      <w:pPr>
        <w:spacing w:before="0" w:after="200" w:line="276" w:lineRule="auto"/>
        <w:rPr>
          <w:rFonts w:cs="Arial"/>
          <w:b/>
          <w:color w:val="000000" w:themeColor="text1"/>
          <w:szCs w:val="16"/>
        </w:rPr>
      </w:pPr>
      <w:r>
        <w:rPr>
          <w:rFonts w:cs="Arial"/>
          <w:b/>
          <w:color w:val="000000" w:themeColor="text1"/>
          <w:szCs w:val="16"/>
        </w:rPr>
        <w:br w:type="page"/>
      </w:r>
    </w:p>
    <w:p w14:paraId="3B1CD9C5" w14:textId="38415B77" w:rsidR="009B2A94" w:rsidRDefault="009B2A94" w:rsidP="009B2A94">
      <w:pPr>
        <w:pStyle w:val="Heading1"/>
        <w:rPr>
          <w:color w:val="000000" w:themeColor="text1"/>
        </w:rPr>
      </w:pPr>
      <w:r>
        <w:rPr>
          <w:color w:val="000000" w:themeColor="text1"/>
        </w:rPr>
        <w:lastRenderedPageBreak/>
        <w:t>ED Attachments</w:t>
      </w:r>
    </w:p>
    <w:p w14:paraId="3E5EB860" w14:textId="47F6EB7D" w:rsidR="009B2A94" w:rsidRDefault="009B2A94" w:rsidP="009B2A94"/>
    <w:p w14:paraId="66B4FDC3" w14:textId="6F7E5B00" w:rsidR="009B2A94" w:rsidRPr="00B177FF" w:rsidRDefault="009B2A94" w:rsidP="00B177FF">
      <w:r>
        <w:object w:dxaOrig="1504" w:dyaOrig="982" w14:anchorId="2DAD6C3E">
          <v:shape id="_x0000_i1026" type="#_x0000_t75" alt="MS-C-Dispute-Resolution-2020-21&#10;" style="width:74.9pt;height:48.95pt" o:ole="">
            <v:imagedata r:id="rId14" o:title=""/>
          </v:shape>
          <o:OLEObject Type="Embed" ProgID="Acrobat.Document.DC" ShapeID="_x0000_i1026" DrawAspect="Icon" ObjectID="_1726489777" r:id="rId15"/>
        </w:object>
      </w:r>
      <w:r w:rsidR="00465CA6">
        <w:tab/>
      </w:r>
      <w:r w:rsidR="00B65E6D">
        <w:object w:dxaOrig="1579" w:dyaOrig="1022" w14:anchorId="70143F94">
          <v:shape id="_x0000_i1032" type="#_x0000_t75" alt="ms-c-resultsmatrix-2022&#10;" style="width:78.9pt;height:51.25pt" o:ole="">
            <v:imagedata r:id="rId16" o:title=""/>
          </v:shape>
          <o:OLEObject Type="Embed" ProgID="Acrobat.Document.DC" ShapeID="_x0000_i1032" DrawAspect="Icon" ObjectID="_1726489778" r:id="rId17"/>
        </w:object>
      </w:r>
      <w:r w:rsidR="00465CA6">
        <w:tab/>
      </w:r>
      <w:bookmarkStart w:id="60" w:name="_MON_1726489614"/>
      <w:bookmarkEnd w:id="60"/>
      <w:r w:rsidR="006C396B">
        <w:object w:dxaOrig="1579" w:dyaOrig="1022" w14:anchorId="20060E2B">
          <v:shape id="_x0000_i1030" type="#_x0000_t75" alt="MS-2022DataRubricPartC&#10;" style="width:78.9pt;height:50.7pt" o:ole="">
            <v:imagedata r:id="rId18" o:title=""/>
          </v:shape>
          <o:OLEObject Type="Embed" ProgID="Excel.Sheet.12" ShapeID="_x0000_i1030" DrawAspect="Icon" ObjectID="_1726489779" r:id="rId19"/>
        </w:object>
      </w:r>
    </w:p>
    <w:sectPr w:rsidR="009B2A94" w:rsidRPr="00B177FF"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6547" w14:textId="77777777" w:rsidR="00571EEC" w:rsidRDefault="00571EEC" w:rsidP="000802F7">
      <w:pPr>
        <w:spacing w:before="0" w:after="0"/>
      </w:pPr>
      <w:r>
        <w:separator/>
      </w:r>
    </w:p>
  </w:endnote>
  <w:endnote w:type="continuationSeparator" w:id="0">
    <w:p w14:paraId="31DA9989" w14:textId="77777777" w:rsidR="00571EEC" w:rsidRDefault="00571EEC" w:rsidP="000802F7">
      <w:pPr>
        <w:spacing w:before="0" w:after="0"/>
      </w:pPr>
      <w:r>
        <w:continuationSeparator/>
      </w:r>
    </w:p>
  </w:endnote>
  <w:endnote w:type="continuationNotice" w:id="1">
    <w:p w14:paraId="18A37776" w14:textId="77777777" w:rsidR="00571EEC" w:rsidRDefault="00571E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6D6A" w14:textId="77777777" w:rsidR="00571EEC" w:rsidRDefault="00571EEC" w:rsidP="000802F7">
      <w:pPr>
        <w:spacing w:before="0" w:after="0"/>
      </w:pPr>
      <w:r>
        <w:separator/>
      </w:r>
    </w:p>
  </w:footnote>
  <w:footnote w:type="continuationSeparator" w:id="0">
    <w:p w14:paraId="55B789BA" w14:textId="77777777" w:rsidR="00571EEC" w:rsidRDefault="00571EEC" w:rsidP="000802F7">
      <w:pPr>
        <w:spacing w:before="0" w:after="0"/>
      </w:pPr>
      <w:r>
        <w:continuationSeparator/>
      </w:r>
    </w:p>
  </w:footnote>
  <w:footnote w:type="continuationNotice" w:id="1">
    <w:p w14:paraId="0A0A6365" w14:textId="77777777" w:rsidR="00571EEC" w:rsidRDefault="00571E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5CA6"/>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1EEC"/>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96B"/>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69EC"/>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1743F"/>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2A94"/>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177FF"/>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5E6D"/>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2CFB"/>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37F6A39C-F315-43AD-A673-F7E3AA74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30279</Words>
  <Characters>172592</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2022-08-05T18:40:00Z</dcterms:created>
  <dcterms:modified xsi:type="dcterms:W3CDTF">2022-10-05T19:36:00Z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543bfb8d-903f-4411-a17a-9ab977a4cc7f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