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Mississippi</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 xml:space="preserve">Provide sufficient detail to ensure that the Secretary and the public </w:t>
      </w:r>
      <w:proofErr w:type="gramStart"/>
      <w:r w:rsidRPr="00781112">
        <w:rPr>
          <w:rFonts w:cs="Arial"/>
          <w:color w:val="000000" w:themeColor="text1"/>
          <w:szCs w:val="16"/>
          <w:shd w:val="clear" w:color="auto" w:fill="FFFFFF"/>
        </w:rPr>
        <w:t>are informed</w:t>
      </w:r>
      <w:proofErr w:type="gramEnd"/>
      <w:r w:rsidRPr="00781112">
        <w:rPr>
          <w:rFonts w:cs="Arial"/>
          <w:color w:val="000000" w:themeColor="text1"/>
          <w:szCs w:val="16"/>
          <w:shd w:val="clear" w:color="auto" w:fill="FFFFFF"/>
        </w:rPr>
        <w:t xml:space="preserve">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0C24C2" w:rsidP="00AF5649">
      <w:pPr>
        <w:rPr>
          <w:rFonts w:cs="Arial"/>
          <w:color w:val="000000" w:themeColor="text1"/>
          <w:szCs w:val="16"/>
        </w:rPr>
      </w:pP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150</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 xml:space="preserve">The systems that are in place to ensure that IDEA Part B requirements </w:t>
      </w:r>
      <w:proofErr w:type="gramStart"/>
      <w:r w:rsidRPr="00781112">
        <w:rPr>
          <w:rFonts w:cs="Arial"/>
          <w:b/>
          <w:color w:val="000000" w:themeColor="text1"/>
          <w:szCs w:val="16"/>
        </w:rPr>
        <w:t>are met</w:t>
      </w:r>
      <w:proofErr w:type="gramEnd"/>
      <w:r w:rsidRPr="00781112">
        <w:rPr>
          <w:rFonts w:cs="Arial"/>
          <w:b/>
          <w:color w:val="000000" w:themeColor="text1"/>
          <w:szCs w:val="16"/>
        </w:rPr>
        <w: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The systems that are in place to ensure that IDEA Part B requirements are met, e.g., monitoring, dispute resolution, etc.</w:t>
      </w:r>
      <w:r w:rsidRPr="00781112">
        <w:rPr>
          <w:rFonts w:cs="Arial"/>
          <w:color w:val="000000" w:themeColor="text1"/>
          <w:szCs w:val="16"/>
        </w:rPr>
        <w:br/>
        <w:t>Mississippi's system of general supervision is an integrated system which includes the following activities:</w:t>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Integrated monitoring activities including on-site monitoring, desk audits, LEA self-assessments, LEA assurances;</w:t>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Data submissions to the SEA via Mississippi Student Information System (MSIS);</w:t>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xml:space="preserve">.) Policies, </w:t>
      </w:r>
      <w:proofErr w:type="gramStart"/>
      <w:r w:rsidRPr="00781112">
        <w:rPr>
          <w:rFonts w:cs="Arial"/>
          <w:color w:val="000000" w:themeColor="text1"/>
          <w:szCs w:val="16"/>
        </w:rPr>
        <w:t>procedures</w:t>
      </w:r>
      <w:proofErr w:type="gramEnd"/>
      <w:r w:rsidRPr="00781112">
        <w:rPr>
          <w:rFonts w:cs="Arial"/>
          <w:color w:val="000000" w:themeColor="text1"/>
          <w:szCs w:val="16"/>
        </w:rPr>
        <w:t xml:space="preserve"> and effective implementation reviews;</w:t>
      </w:r>
      <w:r w:rsidRPr="00781112">
        <w:rPr>
          <w:rFonts w:cs="Arial"/>
          <w:color w:val="000000" w:themeColor="text1"/>
          <w:szCs w:val="16"/>
        </w:rPr>
        <w:br/>
        <w:t>4.) State Performance Plan and annual LEA Determinations;</w:t>
      </w:r>
      <w:r w:rsidRPr="00781112">
        <w:rPr>
          <w:rFonts w:cs="Arial"/>
          <w:color w:val="000000" w:themeColor="text1"/>
          <w:szCs w:val="16"/>
        </w:rPr>
        <w:br/>
      </w:r>
      <w:proofErr w:type="gramStart"/>
      <w:r w:rsidRPr="00781112">
        <w:rPr>
          <w:rFonts w:cs="Arial"/>
          <w:color w:val="000000" w:themeColor="text1"/>
          <w:szCs w:val="16"/>
        </w:rPr>
        <w:t>5</w:t>
      </w:r>
      <w:proofErr w:type="gramEnd"/>
      <w:r w:rsidRPr="00781112">
        <w:rPr>
          <w:rFonts w:cs="Arial"/>
          <w:color w:val="000000" w:themeColor="text1"/>
          <w:szCs w:val="16"/>
        </w:rPr>
        <w:t>.) Dispute resolution via on-site investigations and desk audits;</w:t>
      </w:r>
      <w:r w:rsidRPr="00781112">
        <w:rPr>
          <w:rFonts w:cs="Arial"/>
          <w:color w:val="000000" w:themeColor="text1"/>
          <w:szCs w:val="16"/>
        </w:rPr>
        <w:br/>
      </w:r>
      <w:proofErr w:type="gramStart"/>
      <w:r w:rsidRPr="00781112">
        <w:rPr>
          <w:rFonts w:cs="Arial"/>
          <w:color w:val="000000" w:themeColor="text1"/>
          <w:szCs w:val="16"/>
        </w:rPr>
        <w:t>6</w:t>
      </w:r>
      <w:proofErr w:type="gramEnd"/>
      <w:r w:rsidRPr="00781112">
        <w:rPr>
          <w:rFonts w:cs="Arial"/>
          <w:color w:val="000000" w:themeColor="text1"/>
          <w:szCs w:val="16"/>
        </w:rPr>
        <w:t xml:space="preserve">.) Targeted technical assistance and professional development through on-site visits, </w:t>
      </w:r>
      <w:proofErr w:type="gramStart"/>
      <w:r w:rsidRPr="00781112">
        <w:rPr>
          <w:rFonts w:cs="Arial"/>
          <w:color w:val="000000" w:themeColor="text1"/>
          <w:szCs w:val="16"/>
        </w:rPr>
        <w:t>webinars</w:t>
      </w:r>
      <w:proofErr w:type="gramEnd"/>
      <w:r w:rsidRPr="00781112">
        <w:rPr>
          <w:rFonts w:cs="Arial"/>
          <w:color w:val="000000" w:themeColor="text1"/>
          <w:szCs w:val="16"/>
        </w:rPr>
        <w:t xml:space="preserve"> and coaching;</w:t>
      </w:r>
      <w:r w:rsidRPr="00781112">
        <w:rPr>
          <w:rFonts w:cs="Arial"/>
          <w:color w:val="000000" w:themeColor="text1"/>
          <w:szCs w:val="16"/>
        </w:rPr>
        <w:br/>
        <w:t>7.) Fiscal management via on-site investigations, desk audits and technical assistance.</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 xml:space="preserve">The mechanisms that the State has in place to ensure the timely delivery of high quality, </w:t>
      </w:r>
      <w:proofErr w:type="gramStart"/>
      <w:r w:rsidRPr="00781112">
        <w:rPr>
          <w:rFonts w:cs="Arial"/>
          <w:b/>
          <w:color w:val="000000" w:themeColor="text1"/>
          <w:szCs w:val="16"/>
        </w:rPr>
        <w:t>evidenced based</w:t>
      </w:r>
      <w:proofErr w:type="gramEnd"/>
      <w:r w:rsidRPr="00781112">
        <w:rPr>
          <w:rFonts w:cs="Arial"/>
          <w:b/>
          <w:color w:val="000000" w:themeColor="text1"/>
          <w:szCs w:val="16"/>
        </w:rPr>
        <w:t xml:space="preserve">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The Office of Special Education (OSE) provides technical assistance, professional development opportunities, guidance and support to parents administrators, teachers, and related service providers regarding the requirements of the Individuals with Disabilities Education Act (IDEA), Mississippi State Board of Education Policy 74.19, and evidence-based practices in an effort to ensure implementation of the mandates of IDEA and State Board Policy 74.19 and two promote access to the general education curriculum as we work toward continued improvement of outcomes for students with disabilities. technical assistance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through informal and formal methods. OSE staff provide technical assistance </w:t>
      </w:r>
      <w:proofErr w:type="gramStart"/>
      <w:r w:rsidRPr="00781112">
        <w:rPr>
          <w:rFonts w:cs="Arial"/>
          <w:color w:val="000000" w:themeColor="text1"/>
          <w:szCs w:val="16"/>
        </w:rPr>
        <w:t>on a daily basis</w:t>
      </w:r>
      <w:proofErr w:type="gramEnd"/>
      <w:r w:rsidRPr="00781112">
        <w:rPr>
          <w:rFonts w:cs="Arial"/>
          <w:color w:val="000000" w:themeColor="text1"/>
          <w:szCs w:val="16"/>
        </w:rPr>
        <w:t xml:space="preserve"> through responsiveness to phone calls and emails from parents, administrators, teachers, and related service providers as well as weekly virtual office hours with special education directors regarding the requirements of IDEA, state Board Policy 74.19, the provision of services, implementation of programs, and protections for students with disabilities. more formal methods of technical assistance include professional development delivered to individual districts following a formal request for training in a specific area(s) of need. Technical assistance </w:t>
      </w:r>
      <w:proofErr w:type="gramStart"/>
      <w:r w:rsidRPr="00781112">
        <w:rPr>
          <w:rFonts w:cs="Arial"/>
          <w:color w:val="000000" w:themeColor="text1"/>
          <w:szCs w:val="16"/>
        </w:rPr>
        <w:t>is also provided</w:t>
      </w:r>
      <w:proofErr w:type="gramEnd"/>
      <w:r w:rsidRPr="00781112">
        <w:rPr>
          <w:rFonts w:cs="Arial"/>
          <w:color w:val="000000" w:themeColor="text1"/>
          <w:szCs w:val="16"/>
        </w:rPr>
        <w:t xml:space="preserve"> via OSE guidance and FAQ documents. Areas of need </w:t>
      </w:r>
      <w:proofErr w:type="gramStart"/>
      <w:r w:rsidRPr="00781112">
        <w:rPr>
          <w:rFonts w:cs="Arial"/>
          <w:color w:val="000000" w:themeColor="text1"/>
          <w:szCs w:val="16"/>
        </w:rPr>
        <w:t>are identified</w:t>
      </w:r>
      <w:proofErr w:type="gramEnd"/>
      <w:r w:rsidRPr="00781112">
        <w:rPr>
          <w:rFonts w:cs="Arial"/>
          <w:color w:val="000000" w:themeColor="text1"/>
          <w:szCs w:val="16"/>
        </w:rPr>
        <w:t xml:space="preserve"> at the State and local level through on-going review and analysis of data, collaboration with the Office of school Improvement, and the implementation and evaluation of progress toward the MDE Strategic Goals. Technical assistance is also provided to local school districts by reviewing local district policies and procedures, Individualized Education Programs, and transition plans to provide recommendations and feedback on the documents reviewed and analyzed.</w:t>
      </w:r>
      <w:r w:rsidRPr="00781112">
        <w:rPr>
          <w:rFonts w:cs="Arial"/>
          <w:color w:val="000000" w:themeColor="text1"/>
          <w:szCs w:val="16"/>
        </w:rPr>
        <w:br/>
        <w:t>Technical assistance needs are data-driven and evolves from many activities/sources including but not limited to on-site monitoring, desk audits, self-assessments, funding application review, data submissions, LEA policy and procedure reviews, programatic and fiscal risk based assessments and Formal State Complaints. Technical assistance needs are also identified through surveys or needs assessments completed by LEAs.</w:t>
      </w:r>
      <w:r w:rsidRPr="00781112">
        <w:rPr>
          <w:rFonts w:cs="Arial"/>
          <w:color w:val="000000" w:themeColor="text1"/>
          <w:szCs w:val="16"/>
        </w:rPr>
        <w:br/>
        <w:t xml:space="preserve">The OSE continues to increase collaborative efforts with other MDE program offices to deliver technical assistance across offices in an effort to support general educators' capacity to provide effective instruction to students with disabilities to ensure administrators understand the requirements of IIDEA and State Board Policy 74.19. OSE staff have also supported training and technical assistance efforts provided by other MDE program offices </w:t>
      </w:r>
      <w:proofErr w:type="gramStart"/>
      <w:r w:rsidRPr="00781112">
        <w:rPr>
          <w:rFonts w:cs="Arial"/>
          <w:color w:val="000000" w:themeColor="text1"/>
          <w:szCs w:val="16"/>
        </w:rPr>
        <w:t>in an effort to</w:t>
      </w:r>
      <w:proofErr w:type="gramEnd"/>
      <w:r w:rsidRPr="00781112">
        <w:rPr>
          <w:rFonts w:cs="Arial"/>
          <w:color w:val="000000" w:themeColor="text1"/>
          <w:szCs w:val="16"/>
        </w:rPr>
        <w:t xml:space="preserve"> support the needs of all students as articulated in MDE's vision, mission, and strategic plan. </w:t>
      </w:r>
      <w:r w:rsidRPr="00781112">
        <w:rPr>
          <w:rFonts w:cs="Arial"/>
          <w:color w:val="000000" w:themeColor="text1"/>
          <w:szCs w:val="16"/>
        </w:rPr>
        <w:br/>
        <w:t xml:space="preserve">Technical assistance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through informal and formal methods. Staff in the Office of Special Education provide technical assistance on a daily basis through responsiveness to phone calls and emails from parents, administrators, teachers, and related service providers as well as weekly virtual office hours with special education directors regarding the requirements of IDEA and state Board Policy 74.19 and the provision of services, implementation of programs and protections for students with disabilities. More formal methods of technical assistance include professional development delivered to individual LEAs following formal request for training in a specific area(s) of, regional training sessions scheduled across the State in identified areas of need, targeted technical assistance that address an identified area(s) of need. Technical assistance </w:t>
      </w:r>
      <w:proofErr w:type="gramStart"/>
      <w:r w:rsidRPr="00781112">
        <w:rPr>
          <w:rFonts w:cs="Arial"/>
          <w:color w:val="000000" w:themeColor="text1"/>
          <w:szCs w:val="16"/>
        </w:rPr>
        <w:t>is also provided</w:t>
      </w:r>
      <w:proofErr w:type="gramEnd"/>
      <w:r w:rsidRPr="00781112">
        <w:rPr>
          <w:rFonts w:cs="Arial"/>
          <w:color w:val="000000" w:themeColor="text1"/>
          <w:szCs w:val="16"/>
        </w:rPr>
        <w:t xml:space="preserve"> via guidance documents and FAQ documents. Areas of need </w:t>
      </w:r>
      <w:proofErr w:type="gramStart"/>
      <w:r w:rsidRPr="00781112">
        <w:rPr>
          <w:rFonts w:cs="Arial"/>
          <w:color w:val="000000" w:themeColor="text1"/>
          <w:szCs w:val="16"/>
        </w:rPr>
        <w:t>are identified</w:t>
      </w:r>
      <w:proofErr w:type="gramEnd"/>
      <w:r w:rsidRPr="00781112">
        <w:rPr>
          <w:rFonts w:cs="Arial"/>
          <w:color w:val="000000" w:themeColor="text1"/>
          <w:szCs w:val="16"/>
        </w:rPr>
        <w:t xml:space="preserve"> at the State and local level through on-giubg review and analysis of data, collaboration with the Office of School Improvement and the implementation of the MDE Strategic Goals. Technical assistance </w:t>
      </w:r>
      <w:proofErr w:type="gramStart"/>
      <w:r w:rsidRPr="00781112">
        <w:rPr>
          <w:rFonts w:cs="Arial"/>
          <w:color w:val="000000" w:themeColor="text1"/>
          <w:szCs w:val="16"/>
        </w:rPr>
        <w:t>is also provided</w:t>
      </w:r>
      <w:proofErr w:type="gramEnd"/>
      <w:r w:rsidRPr="00781112">
        <w:rPr>
          <w:rFonts w:cs="Arial"/>
          <w:color w:val="000000" w:themeColor="text1"/>
          <w:szCs w:val="16"/>
        </w:rPr>
        <w:t xml:space="preserve"> to LEAs by reviewing LEA policies and procedures, Individualized Education Programs, and Transition plans to provide recommendations and feed back on the documents reviewed and analyzed. </w:t>
      </w:r>
      <w:r w:rsidRPr="00781112">
        <w:rPr>
          <w:rFonts w:cs="Arial"/>
          <w:color w:val="000000" w:themeColor="text1"/>
          <w:szCs w:val="16"/>
        </w:rPr>
        <w:br/>
        <w:t xml:space="preserve">Technical assistance needs are data-driven and evolve from many activities/sourcces including bu not limited on-site monitoring, desk audits, self=-assessments, funding application review, data submissions, LEA policy and procedure reviews, programatic and fiscal </w:t>
      </w:r>
      <w:proofErr w:type="gramStart"/>
      <w:r w:rsidRPr="00781112">
        <w:rPr>
          <w:rFonts w:cs="Arial"/>
          <w:color w:val="000000" w:themeColor="text1"/>
          <w:szCs w:val="16"/>
        </w:rPr>
        <w:t>risk based</w:t>
      </w:r>
      <w:proofErr w:type="gramEnd"/>
      <w:r w:rsidRPr="00781112">
        <w:rPr>
          <w:rFonts w:cs="Arial"/>
          <w:color w:val="000000" w:themeColor="text1"/>
          <w:szCs w:val="16"/>
        </w:rPr>
        <w:t xml:space="preserve"> assessments and Formal State Complaints. Technical assistance needs </w:t>
      </w:r>
      <w:proofErr w:type="gramStart"/>
      <w:r w:rsidRPr="00781112">
        <w:rPr>
          <w:rFonts w:cs="Arial"/>
          <w:color w:val="000000" w:themeColor="text1"/>
          <w:szCs w:val="16"/>
        </w:rPr>
        <w:t>are identified</w:t>
      </w:r>
      <w:proofErr w:type="gramEnd"/>
      <w:r w:rsidRPr="00781112">
        <w:rPr>
          <w:rFonts w:cs="Arial"/>
          <w:color w:val="000000" w:themeColor="text1"/>
          <w:szCs w:val="16"/>
        </w:rPr>
        <w:t xml:space="preserve"> through surveys or </w:t>
      </w:r>
      <w:proofErr w:type="gramStart"/>
      <w:r w:rsidRPr="00781112">
        <w:rPr>
          <w:rFonts w:cs="Arial"/>
          <w:color w:val="000000" w:themeColor="text1"/>
          <w:szCs w:val="16"/>
        </w:rPr>
        <w:t>needs</w:t>
      </w:r>
      <w:proofErr w:type="gramEnd"/>
      <w:r w:rsidRPr="00781112">
        <w:rPr>
          <w:rFonts w:cs="Arial"/>
          <w:color w:val="000000" w:themeColor="text1"/>
          <w:szCs w:val="16"/>
        </w:rPr>
        <w:t xml:space="preserve"> assessments completed by LEAs. </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The Mississippi Department of Education (MDE), Office of Special Education (OSE) provides professional development opportunities regarding the requirements of the Individuals with Disabilities Education Act (IDEA), State Board Policy 74.19 and evidence-based practices </w:t>
      </w:r>
      <w:proofErr w:type="gramStart"/>
      <w:r w:rsidRPr="00781112">
        <w:rPr>
          <w:rFonts w:cs="Arial"/>
          <w:color w:val="000000" w:themeColor="text1"/>
          <w:szCs w:val="16"/>
        </w:rPr>
        <w:t>in an effort to</w:t>
      </w:r>
      <w:proofErr w:type="gramEnd"/>
      <w:r w:rsidRPr="00781112">
        <w:rPr>
          <w:rFonts w:cs="Arial"/>
          <w:color w:val="000000" w:themeColor="text1"/>
          <w:szCs w:val="16"/>
        </w:rPr>
        <w:t xml:space="preserve"> ensure implementation of the mandates of IDEA and State Board Policy 74.19. Professional development opportunities are provided to parents, administrators, teachers, and related service providers and are focused on strategies designed to promote students with disabilities access to the general education </w:t>
      </w:r>
      <w:r w:rsidRPr="00781112">
        <w:rPr>
          <w:rFonts w:cs="Arial"/>
          <w:color w:val="000000" w:themeColor="text1"/>
          <w:szCs w:val="16"/>
        </w:rPr>
        <w:lastRenderedPageBreak/>
        <w:t>curriculum and to improve educational results and functional outcomes for children with disabilities.</w:t>
      </w:r>
      <w:r w:rsidRPr="00781112">
        <w:rPr>
          <w:rFonts w:cs="Arial"/>
          <w:color w:val="000000" w:themeColor="text1"/>
          <w:szCs w:val="16"/>
        </w:rPr>
        <w:br/>
        <w:t xml:space="preserve">The MDE has implemented a system designed to deliver professional development opportunities through collaborative efforts with multiple program offices within the agency as we'll as external agency collaboration. A </w:t>
      </w:r>
      <w:proofErr w:type="gramStart"/>
      <w:r w:rsidRPr="00781112">
        <w:rPr>
          <w:rFonts w:cs="Arial"/>
          <w:color w:val="000000" w:themeColor="text1"/>
          <w:szCs w:val="16"/>
        </w:rPr>
        <w:t>relatively new</w:t>
      </w:r>
      <w:proofErr w:type="gramEnd"/>
      <w:r w:rsidRPr="00781112">
        <w:rPr>
          <w:rFonts w:cs="Arial"/>
          <w:color w:val="000000" w:themeColor="text1"/>
          <w:szCs w:val="16"/>
        </w:rPr>
        <w:t xml:space="preserve"> format for deploying professional development resources is the employment of Professional Development Coordinators (PDCs) and Educators in Residence (EIR). Staff employed as an EIRor a PDC have primary responsibility for the delivery of professional development within cohort groups or assigned districts, thereby providing a level of sustainability. This format ensures consistent sustainability with on-going professional development activities, guided practice, observations, and feedback. This format allows for more of a coaching or modeling process than what </w:t>
      </w:r>
      <w:proofErr w:type="gramStart"/>
      <w:r w:rsidRPr="00781112">
        <w:rPr>
          <w:rFonts w:cs="Arial"/>
          <w:color w:val="000000" w:themeColor="text1"/>
          <w:szCs w:val="16"/>
        </w:rPr>
        <w:t>is traditionally provided</w:t>
      </w:r>
      <w:proofErr w:type="gramEnd"/>
      <w:r w:rsidRPr="00781112">
        <w:rPr>
          <w:rFonts w:cs="Arial"/>
          <w:color w:val="000000" w:themeColor="text1"/>
          <w:szCs w:val="16"/>
        </w:rPr>
        <w:t xml:space="preserve"> during a training session. While the EIR of the PDC may initiate the delivery of professional development through an initial training session, there are multiple opportunities for follow-up and on-going activities following the initial training to support and enhance the ability of the school-based personnel to build capacity within the school setting and to further develop skills in identified areas of prioritized needs. </w:t>
      </w:r>
      <w:r w:rsidRPr="00781112">
        <w:rPr>
          <w:rFonts w:cs="Arial"/>
          <w:color w:val="000000" w:themeColor="text1"/>
          <w:szCs w:val="16"/>
        </w:rPr>
        <w:br/>
        <w:t xml:space="preserve">The MDE has strengthened its ability to deliver professional development through the involvement of the EIR and PDCs. The model has been </w:t>
      </w:r>
      <w:proofErr w:type="gramStart"/>
      <w:r w:rsidRPr="00781112">
        <w:rPr>
          <w:rFonts w:cs="Arial"/>
          <w:color w:val="000000" w:themeColor="text1"/>
          <w:szCs w:val="16"/>
        </w:rPr>
        <w:t>high</w:t>
      </w:r>
      <w:proofErr w:type="gramEnd"/>
      <w:r w:rsidRPr="00781112">
        <w:rPr>
          <w:rFonts w:cs="Arial"/>
          <w:color w:val="000000" w:themeColor="text1"/>
          <w:szCs w:val="16"/>
        </w:rPr>
        <w:t xml:space="preserve"> successful as we have utilized these positions in </w:t>
      </w:r>
      <w:proofErr w:type="gramStart"/>
      <w:r w:rsidRPr="00781112">
        <w:rPr>
          <w:rFonts w:cs="Arial"/>
          <w:color w:val="000000" w:themeColor="text1"/>
          <w:szCs w:val="16"/>
        </w:rPr>
        <w:t>a number of</w:t>
      </w:r>
      <w:proofErr w:type="gramEnd"/>
      <w:r w:rsidRPr="00781112">
        <w:rPr>
          <w:rFonts w:cs="Arial"/>
          <w:color w:val="000000" w:themeColor="text1"/>
          <w:szCs w:val="16"/>
        </w:rPr>
        <w:t xml:space="preserve"> program offices under the leadership of the Chief Academic Officer. Literacy coaches have been employed in this capacity and are able to better address literacy efforts across the State in a sustained manner. Professional Development Coordinators and Educators in Residence are also employed in the Office of Special Education. Professional Development, Statement Assessment, Early Childhood, and Elementary Education. their primary responsibility is to design and deliver professional development opportunities to educators and administrators that reflects scientifically, research-based strategies and practices </w:t>
      </w:r>
      <w:proofErr w:type="gramStart"/>
      <w:r w:rsidRPr="00781112">
        <w:rPr>
          <w:rFonts w:cs="Arial"/>
          <w:color w:val="000000" w:themeColor="text1"/>
          <w:szCs w:val="16"/>
        </w:rPr>
        <w:t>in an effort to</w:t>
      </w:r>
      <w:proofErr w:type="gramEnd"/>
      <w:r w:rsidRPr="00781112">
        <w:rPr>
          <w:rFonts w:cs="Arial"/>
          <w:color w:val="000000" w:themeColor="text1"/>
          <w:szCs w:val="16"/>
        </w:rPr>
        <w:t xml:space="preserve"> build capacity for schools and districts to scale up and out instructionally to ensure children and youth in Mississippi graduate from school prepared for college and or the workforce.</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The Mississippi Department of Education solicited stakeholder feedback through multiple in person and virtual meetings with teachers, administrators, special education directors, representatives of parent advocacy groups, and parents as outlined in the Introduction. Stakeholder feedback </w:t>
      </w:r>
      <w:proofErr w:type="gramStart"/>
      <w:r w:rsidRPr="00781112">
        <w:rPr>
          <w:rFonts w:cs="Arial"/>
          <w:color w:val="000000" w:themeColor="text1"/>
          <w:szCs w:val="16"/>
        </w:rPr>
        <w:t>was also solicited</w:t>
      </w:r>
      <w:proofErr w:type="gramEnd"/>
      <w:r w:rsidRPr="00781112">
        <w:rPr>
          <w:rFonts w:cs="Arial"/>
          <w:color w:val="000000" w:themeColor="text1"/>
          <w:szCs w:val="16"/>
        </w:rPr>
        <w:t xml:space="preserve"> from the Special Education Advisory Panel. Because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baseline and targets were set last year based on stakeholder feedback, The MDE OSE did not seek feedback regarding updating targets or baseline. </w:t>
      </w:r>
      <w:proofErr w:type="gramStart"/>
      <w:r w:rsidRPr="00781112">
        <w:rPr>
          <w:rFonts w:cs="Arial"/>
          <w:color w:val="000000" w:themeColor="text1"/>
          <w:szCs w:val="16"/>
        </w:rPr>
        <w:t>Rather based</w:t>
      </w:r>
      <w:proofErr w:type="gramEnd"/>
      <w:r w:rsidRPr="00781112">
        <w:rPr>
          <w:rFonts w:cs="Arial"/>
          <w:color w:val="000000" w:themeColor="text1"/>
          <w:szCs w:val="16"/>
        </w:rPr>
        <w:t xml:space="preserve"> on stakeholder feedback, the MDE OSE determined that it would continue to report data to stakeholders and defer to stakeholders as to when updates or changes need to be made. Stakeholders would like to see </w:t>
      </w:r>
      <w:proofErr w:type="gramStart"/>
      <w:r w:rsidRPr="00781112">
        <w:rPr>
          <w:rFonts w:cs="Arial"/>
          <w:color w:val="000000" w:themeColor="text1"/>
          <w:szCs w:val="16"/>
        </w:rPr>
        <w:t>some</w:t>
      </w:r>
      <w:proofErr w:type="gramEnd"/>
      <w:r w:rsidRPr="00781112">
        <w:rPr>
          <w:rFonts w:cs="Arial"/>
          <w:color w:val="000000" w:themeColor="text1"/>
          <w:szCs w:val="16"/>
        </w:rPr>
        <w:t xml:space="preserve"> trend data prior to making changes.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100</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Stakeholders were presented with an overview of each Indicator historical </w:t>
      </w:r>
      <w:proofErr w:type="gramStart"/>
      <w:r w:rsidRPr="00781112">
        <w:rPr>
          <w:color w:val="000000" w:themeColor="text1"/>
          <w:szCs w:val="16"/>
        </w:rPr>
        <w:t>data,</w:t>
      </w:r>
      <w:proofErr w:type="gramEnd"/>
      <w:r w:rsidRPr="00781112">
        <w:rPr>
          <w:color w:val="000000" w:themeColor="text1"/>
          <w:szCs w:val="16"/>
        </w:rPr>
        <w:t xml:space="preserve"> Stakeholders were asked to evaluate the current and historical data. Based on stakeholder feedback, the MDE OSE determined that it would continue to report data to stakeholders and defer to stakeholders as to when updates or changes need to </w:t>
      </w:r>
      <w:proofErr w:type="gramStart"/>
      <w:r w:rsidRPr="00781112">
        <w:rPr>
          <w:color w:val="000000" w:themeColor="text1"/>
          <w:szCs w:val="16"/>
        </w:rPr>
        <w:t>be made</w:t>
      </w:r>
      <w:proofErr w:type="gramEnd"/>
      <w:r w:rsidRPr="00781112">
        <w:rPr>
          <w:color w:val="000000" w:themeColor="text1"/>
          <w:szCs w:val="16"/>
        </w:rPr>
        <w:t xml:space="preserve">. Stakeholders would like to see </w:t>
      </w:r>
      <w:proofErr w:type="gramStart"/>
      <w:r w:rsidRPr="00781112">
        <w:rPr>
          <w:color w:val="000000" w:themeColor="text1"/>
          <w:szCs w:val="16"/>
        </w:rPr>
        <w:t>some</w:t>
      </w:r>
      <w:proofErr w:type="gramEnd"/>
      <w:r w:rsidRPr="00781112">
        <w:rPr>
          <w:color w:val="000000" w:themeColor="text1"/>
          <w:szCs w:val="16"/>
        </w:rPr>
        <w:t xml:space="preserve"> trend data prior to making changes.</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proofErr w:type="gramStart"/>
      <w:r w:rsidRPr="00781112">
        <w:rPr>
          <w:color w:val="000000" w:themeColor="text1"/>
          <w:szCs w:val="16"/>
        </w:rPr>
        <w:t>In person</w:t>
      </w:r>
      <w:proofErr w:type="gramEnd"/>
      <w:r w:rsidRPr="00781112">
        <w:rPr>
          <w:color w:val="000000" w:themeColor="text1"/>
          <w:szCs w:val="16"/>
        </w:rPr>
        <w:t xml:space="preserve"> focus groups </w:t>
      </w:r>
      <w:proofErr w:type="gramStart"/>
      <w:r w:rsidRPr="00781112">
        <w:rPr>
          <w:color w:val="000000" w:themeColor="text1"/>
          <w:szCs w:val="16"/>
        </w:rPr>
        <w:t>were held</w:t>
      </w:r>
      <w:proofErr w:type="gramEnd"/>
      <w:r w:rsidRPr="00781112">
        <w:rPr>
          <w:color w:val="000000" w:themeColor="text1"/>
          <w:szCs w:val="16"/>
        </w:rPr>
        <w:t xml:space="preserve"> in regional LEAs to allow district and parent representations an opportunity to provide collaborative input. This also allowed them to advise on the reasonableness of the SiMR. </w:t>
      </w:r>
      <w:r w:rsidRPr="00781112">
        <w:rPr>
          <w:color w:val="000000" w:themeColor="text1"/>
          <w:szCs w:val="16"/>
        </w:rPr>
        <w:br/>
        <w:t xml:space="preserve">During the full State Performance Plan Stakeholder focus groups were held, the SSIP team obtained feedback and input </w:t>
      </w:r>
      <w:proofErr w:type="gramStart"/>
      <w:r w:rsidRPr="00781112">
        <w:rPr>
          <w:color w:val="000000" w:themeColor="text1"/>
          <w:szCs w:val="16"/>
        </w:rPr>
        <w:t>in regards to</w:t>
      </w:r>
      <w:proofErr w:type="gramEnd"/>
      <w:r w:rsidRPr="00781112">
        <w:rPr>
          <w:color w:val="000000" w:themeColor="text1"/>
          <w:szCs w:val="16"/>
        </w:rPr>
        <w:t xml:space="preserve"> the SiMR. </w:t>
      </w:r>
      <w:r w:rsidRPr="00781112">
        <w:rPr>
          <w:color w:val="000000" w:themeColor="text1"/>
          <w:szCs w:val="16"/>
        </w:rPr>
        <w:br/>
        <w:t>During MDE OSE’s Virtual Office Hours, feedback was received from the State’s Special Education Directors relevant to the proposed SiMR setting.</w:t>
      </w:r>
      <w:r w:rsidRPr="00781112">
        <w:rPr>
          <w:color w:val="000000" w:themeColor="text1"/>
          <w:szCs w:val="16"/>
        </w:rPr>
        <w:br/>
        <w:t xml:space="preserve">Meetings were held via zoom and in person for the Special Education Advisory Panel, and information was shared </w:t>
      </w:r>
      <w:proofErr w:type="gramStart"/>
      <w:r w:rsidRPr="00781112">
        <w:rPr>
          <w:color w:val="000000" w:themeColor="text1"/>
          <w:szCs w:val="16"/>
        </w:rPr>
        <w:t>in order to</w:t>
      </w:r>
      <w:proofErr w:type="gramEnd"/>
      <w:r w:rsidRPr="00781112">
        <w:rPr>
          <w:color w:val="000000" w:themeColor="text1"/>
          <w:szCs w:val="16"/>
        </w:rPr>
        <w:t xml:space="preserve"> obtain feedback and address any concerns around changes to the SiMR. </w:t>
      </w:r>
      <w:r w:rsidRPr="00781112">
        <w:rPr>
          <w:color w:val="000000" w:themeColor="text1"/>
          <w:szCs w:val="16"/>
        </w:rPr>
        <w:br/>
        <w:t xml:space="preserve">Additionally, the MDE held a series of eight regional literacy </w:t>
      </w:r>
      <w:proofErr w:type="gramStart"/>
      <w:r w:rsidRPr="00781112">
        <w:rPr>
          <w:color w:val="000000" w:themeColor="text1"/>
          <w:szCs w:val="16"/>
        </w:rPr>
        <w:t>meeting</w:t>
      </w:r>
      <w:proofErr w:type="gramEnd"/>
      <w:r w:rsidRPr="00781112">
        <w:rPr>
          <w:color w:val="000000" w:themeColor="text1"/>
          <w:szCs w:val="16"/>
        </w:rPr>
        <w:t xml:space="preserve"> across the State for families of students in kindergarten through third grade. At each meeting, families received an overview of the State law concerning literacy and assessment, as well as strategies that can </w:t>
      </w:r>
      <w:proofErr w:type="gramStart"/>
      <w:r w:rsidRPr="00781112">
        <w:rPr>
          <w:color w:val="000000" w:themeColor="text1"/>
          <w:szCs w:val="16"/>
        </w:rPr>
        <w:t>be used</w:t>
      </w:r>
      <w:proofErr w:type="gramEnd"/>
      <w:r w:rsidRPr="00781112">
        <w:rPr>
          <w:color w:val="000000" w:themeColor="text1"/>
          <w:szCs w:val="16"/>
        </w:rPr>
        <w:t xml:space="preserve"> at home to help students improve their reading skill. The State Law, known as the Literacy-Based Promotion Act (LBPA), focuses on prevention and intervention to help children develop the reading skills required for long term success. </w:t>
      </w:r>
      <w:r w:rsidRPr="00781112">
        <w:rPr>
          <w:color w:val="000000" w:themeColor="text1"/>
          <w:szCs w:val="16"/>
        </w:rPr>
        <w:br/>
        <w:t xml:space="preserve"> SSIP literacy coaches will </w:t>
      </w:r>
      <w:proofErr w:type="gramStart"/>
      <w:r w:rsidRPr="00781112">
        <w:rPr>
          <w:color w:val="000000" w:themeColor="text1"/>
          <w:szCs w:val="16"/>
        </w:rPr>
        <w:t>held</w:t>
      </w:r>
      <w:proofErr w:type="gramEnd"/>
      <w:r w:rsidRPr="00781112">
        <w:rPr>
          <w:color w:val="000000" w:themeColor="text1"/>
          <w:szCs w:val="16"/>
        </w:rPr>
        <w:t xml:space="preserve"> Literacy Family Nights to provide training and resources to parents on how they can help their students at home in an effort to increase parental involvement and student outcomes.</w:t>
      </w:r>
      <w:r w:rsidRPr="00781112">
        <w:rPr>
          <w:color w:val="000000" w:themeColor="text1"/>
          <w:szCs w:val="16"/>
        </w:rPr>
        <w:br/>
        <w:t xml:space="preserve">The MDE OSE provides continuous support to LEAs and parents through the MDE OSE, Bureau Parent Engagement. The Bureau of Parent Engagement hosts an annual Parent conference in a </w:t>
      </w:r>
      <w:proofErr w:type="gramStart"/>
      <w:r w:rsidRPr="00781112">
        <w:rPr>
          <w:color w:val="000000" w:themeColor="text1"/>
          <w:szCs w:val="16"/>
        </w:rPr>
        <w:t>face to face</w:t>
      </w:r>
      <w:proofErr w:type="gramEnd"/>
      <w:r w:rsidRPr="00781112">
        <w:rPr>
          <w:color w:val="000000" w:themeColor="text1"/>
          <w:szCs w:val="16"/>
        </w:rPr>
        <w:t xml:space="preserve"> setting and virtually. This Conference provides parents with speakers that discuss strategies and supports for working with students with disabilities. This conference also provides an opportunity for parents to provide feedback to the OSE. Additionally, the MDE OSE has released the Family Guide to Special Education. The series has a guide dedicated to each IDEA eligibility category. The MDE OSE maintains a resource page for parents that can </w:t>
      </w:r>
      <w:proofErr w:type="gramStart"/>
      <w:r w:rsidRPr="00781112">
        <w:rPr>
          <w:color w:val="000000" w:themeColor="text1"/>
          <w:szCs w:val="16"/>
        </w:rPr>
        <w:t>be found</w:t>
      </w:r>
      <w:proofErr w:type="gramEnd"/>
      <w:r w:rsidRPr="00781112">
        <w:rPr>
          <w:color w:val="000000" w:themeColor="text1"/>
          <w:szCs w:val="16"/>
        </w:rPr>
        <w:t xml:space="preserve"> at: https://www.mdek12.org/OSE/Information-for-Families/Resources.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Stakeholder engagement meetings to solicit feedback </w:t>
      </w:r>
      <w:proofErr w:type="gramStart"/>
      <w:r w:rsidRPr="00781112">
        <w:rPr>
          <w:color w:val="000000" w:themeColor="text1"/>
          <w:szCs w:val="16"/>
        </w:rPr>
        <w:t>were conducted</w:t>
      </w:r>
      <w:proofErr w:type="gramEnd"/>
      <w:r w:rsidRPr="00781112">
        <w:rPr>
          <w:color w:val="000000" w:themeColor="text1"/>
          <w:szCs w:val="16"/>
        </w:rPr>
        <w:t xml:space="preserve"> throughout the 2021-2022 and 2022-2023 school year. All meetings </w:t>
      </w:r>
      <w:proofErr w:type="gramStart"/>
      <w:r w:rsidRPr="00781112">
        <w:rPr>
          <w:color w:val="000000" w:themeColor="text1"/>
          <w:szCs w:val="16"/>
        </w:rPr>
        <w:t>were advertised</w:t>
      </w:r>
      <w:proofErr w:type="gramEnd"/>
      <w:r w:rsidRPr="00781112">
        <w:rPr>
          <w:color w:val="000000" w:themeColor="text1"/>
          <w:szCs w:val="16"/>
        </w:rPr>
        <w:t xml:space="preserve"> MDE OSE website, and through listserves and public announcements.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The MDE OSE will make results of target setting, data analysis, development of the improvement strategies, and evaluation available to the public by posting the SPP/APR to the Public Reporting page on the MDE OSE's website within 30 days of the final submission of the SPP/APR. The MDE OSE will also share the results of target setting, data analysis, development of the improvement strategies, and evaluation with the Specail Education Advisory Panel which is open to the public on ongoing basis throughout the year. </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lastRenderedPageBreak/>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LEA performance data, the SPP, and other public reporting data is located on the MDE website at the following link: www.mdek12.org/ose/spp-apr. </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The State did not provide a description of the mechanisms and timelines for making the results of the target setting, data analysis, development of the improvement strategies, and evaluation available to the public. With the FFY 2021 APR, the State must provide a description of the mechanism and timelines for making the results of the stakeholder engagement in target setting, data analysis, development of the improvement strategies, and evaluation available to the public.</w:t>
      </w:r>
      <w:r w:rsidRPr="00781112">
        <w:rPr>
          <w:rFonts w:cs="Arial"/>
          <w:color w:val="000000" w:themeColor="text1"/>
          <w:szCs w:val="16"/>
        </w:rPr>
        <w:br/>
      </w:r>
      <w:r w:rsidRPr="00781112">
        <w:rPr>
          <w:rFonts w:cs="Arial"/>
          <w:color w:val="000000" w:themeColor="text1"/>
          <w:szCs w:val="16"/>
        </w:rPr>
        <w:br/>
        <w:t xml:space="preserve">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w:t>
      </w:r>
      <w:r w:rsidRPr="00781112">
        <w:rPr>
          <w:rFonts w:cs="Arial"/>
          <w:color w:val="000000" w:themeColor="text1"/>
          <w:szCs w:val="16"/>
        </w:rPr>
        <w:br/>
      </w:r>
      <w:r w:rsidRPr="00781112">
        <w:rPr>
          <w:rFonts w:cs="Arial"/>
          <w:color w:val="000000" w:themeColor="text1"/>
          <w:szCs w:val="16"/>
        </w:rPr>
        <w:br/>
        <w:t xml:space="preserve">The State must report, with its FFY 2021 SPP/APR submission, due February 1, 2023, on: (1) the technical assistance sources from which the State received assistance; and (2) the actions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 xml:space="preserve">The MDE OSE has worked with the following technical assistance centers. National Center for Systemic Improvement (NCSI), IDEA Data Center (IDEA) Center for IDEA Fiscal Reporting (CIFR), The Center for IDEA Early Childhood Data Systems (DaSy), The Early Childhood Technical Assistance Center (ECTA), Brustein and Manasevit, The Council of Chief State School Officers (CCSSO) State Collaboratives, WestEd, The Collaboration for Effective Educator Development, Accountability, and Reform Center (CEEDAR Center)and The National Association of State Directors of Special Education (NASDSE).  Based on collaborative work with each of these national technical assistance centers and organizations the MDE OSE has continued to strengthen its programmatic and fiscal monitoring systems to include results-based accountability and the implementation of a risk-based assessment. The MDE OSE has also worked with these centers to continue developing and implementing internal practices, procedures, and timelines. The MDE OSE has worked with DaSY to continuing to strengthen guidelines and practices for the implementation of the Child Outcomes Summary Process (COS) during the first year of the implementation . Through work with the CEEDAR Center, the MDE OSE has developed implemented a Special Education Teacher mentoring program. Through work with NCSI, the MDE OSE has continued work to collaboratively with offices within the MDE Agency, particularly the MDE Office of School Improvement to improve outcomes for children and their families. The MDE OSE has worked extensively with WestEd, IDC, and CIFR to develop significant disproportionality guidance and CEIS guidance for LEAs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build capacity at the LEA level. The MDE OSE has also worked extensively with IDC to develop data processes and procedures for the Office of Data and Compliance within the MDE Office of Special Education. </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2021 and 2022 were Needs Assistance. Pursuant to section 616(e)(1) of the IDEA and 34 C.F.R. § 300.604(a), OSEP's June 24, 2022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 xml:space="preserve">The State's IDEA Part B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The State must report, with its FFY 2022 SPP/APR submission, due February 1, 2024, on: (1) the technical assistance sources from which the State received assistance; and (2) the actions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 xml:space="preserve">Sampling </w:t>
      </w:r>
      <w:proofErr w:type="gramStart"/>
      <w:r w:rsidRPr="00781112">
        <w:rPr>
          <w:i/>
          <w:color w:val="000000" w:themeColor="text1"/>
        </w:rPr>
        <w:t>is not allowed</w:t>
      </w:r>
      <w:proofErr w:type="gramEnd"/>
      <w:r w:rsidRPr="00781112">
        <w:rPr>
          <w:i/>
          <w:color w:val="000000" w:themeColor="text1"/>
        </w:rPr>
        <w:t>.</w:t>
      </w:r>
    </w:p>
    <w:p w14:paraId="496A7DDE" w14:textId="60DA3384" w:rsidR="005F5514" w:rsidRPr="00781112" w:rsidRDefault="00815B9B" w:rsidP="003A6167">
      <w:pPr>
        <w:rPr>
          <w:rFonts w:cs="Arial"/>
          <w:color w:val="000000" w:themeColor="text1"/>
          <w:szCs w:val="16"/>
        </w:rPr>
      </w:pPr>
      <w:r w:rsidRPr="00781112">
        <w:t xml:space="preserve">Data for this indicator </w:t>
      </w:r>
      <w:proofErr w:type="gramStart"/>
      <w:r w:rsidRPr="00781112">
        <w:t>are</w:t>
      </w:r>
      <w:proofErr w:type="gramEnd"/>
      <w:r w:rsidRPr="00781112">
        <w:t xml:space="preserv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proofErr w:type="gramStart"/>
      <w:r w:rsidRPr="00781112">
        <w:t>Include</w:t>
      </w:r>
      <w:proofErr w:type="gramEnd"/>
      <w:r w:rsidRPr="00781112">
        <w:t xml:space="preserv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4766EE34" w:rsidR="005E59DB" w:rsidRPr="00781112" w:rsidRDefault="005E59DB" w:rsidP="00B65C2C">
      <w:pPr>
        <w:rPr>
          <w:b/>
          <w:color w:val="000000" w:themeColor="text1"/>
        </w:rPr>
      </w:pPr>
      <w:r w:rsidRPr="00781112">
        <w:rPr>
          <w:b/>
          <w:color w:val="000000" w:themeColor="text1"/>
        </w:rPr>
        <w:t>Historical Data</w:t>
      </w:r>
      <w:r w:rsidR="00CA360B">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2019</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42.15%</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81.00%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38.78%</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43.18%</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43.18%</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60.00%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34.68%</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36.39%</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38.37%</w:t>
            </w:r>
          </w:p>
        </w:tc>
        <w:tc>
          <w:tcPr>
            <w:tcW w:w="833" w:type="pct"/>
            <w:tcBorders>
              <w:bottom w:val="single" w:sz="4" w:space="0" w:color="auto"/>
            </w:tcBorders>
            <w:shd w:val="clear" w:color="auto" w:fill="auto"/>
            <w:vAlign w:val="center"/>
          </w:tcPr>
          <w:p w14:paraId="180CBFE9" w14:textId="32CD5E49" w:rsidR="007F24E2" w:rsidRPr="00781112" w:rsidRDefault="002B7490" w:rsidP="00E0321D">
            <w:pPr>
              <w:jc w:val="center"/>
              <w:rPr>
                <w:rFonts w:cs="Arial"/>
                <w:color w:val="000000" w:themeColor="text1"/>
                <w:szCs w:val="16"/>
              </w:rPr>
            </w:pPr>
            <w:r w:rsidRPr="00781112">
              <w:rPr>
                <w:rFonts w:cs="Arial"/>
                <w:color w:val="000000" w:themeColor="text1"/>
                <w:szCs w:val="16"/>
              </w:rPr>
              <w:t>42.</w:t>
            </w:r>
            <w:r w:rsidR="00354EED">
              <w:rPr>
                <w:rFonts w:cs="Arial"/>
                <w:color w:val="000000" w:themeColor="text1"/>
                <w:szCs w:val="16"/>
              </w:rPr>
              <w:t>2</w:t>
            </w:r>
            <w:r w:rsidRPr="00781112">
              <w:rPr>
                <w:rFonts w:cs="Arial"/>
                <w:color w:val="000000" w:themeColor="text1"/>
                <w:szCs w:val="16"/>
              </w:rPr>
              <w:t>%</w:t>
            </w:r>
            <w:r w:rsidR="00354EED">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65.50%</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62.00%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64.00%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66.00%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68.00%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70.00%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The Mississippi Department of Education solicited stakeholder feedback through multiple in person and virtual meetings with teachers, administrators, special education directors, representatives of parent advocacy groups, and parents as outlined in the Introduction. Stakeholder feedback </w:t>
      </w:r>
      <w:proofErr w:type="gramStart"/>
      <w:r w:rsidRPr="00781112">
        <w:rPr>
          <w:rFonts w:cs="Arial"/>
          <w:color w:val="000000" w:themeColor="text1"/>
          <w:szCs w:val="16"/>
        </w:rPr>
        <w:t>was also solicited</w:t>
      </w:r>
      <w:proofErr w:type="gramEnd"/>
      <w:r w:rsidRPr="00781112">
        <w:rPr>
          <w:rFonts w:cs="Arial"/>
          <w:color w:val="000000" w:themeColor="text1"/>
          <w:szCs w:val="16"/>
        </w:rPr>
        <w:t xml:space="preserve"> from the Special Education Advisory Panel. Because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baseline and targets were set last year based on stakeholder feedback, The MDE OSE did not seek feedback regarding updating targets or baseline. </w:t>
      </w:r>
      <w:proofErr w:type="gramStart"/>
      <w:r w:rsidRPr="00781112">
        <w:rPr>
          <w:rFonts w:cs="Arial"/>
          <w:color w:val="000000" w:themeColor="text1"/>
          <w:szCs w:val="16"/>
        </w:rPr>
        <w:t>Rather based</w:t>
      </w:r>
      <w:proofErr w:type="gramEnd"/>
      <w:r w:rsidRPr="00781112">
        <w:rPr>
          <w:rFonts w:cs="Arial"/>
          <w:color w:val="000000" w:themeColor="text1"/>
          <w:szCs w:val="16"/>
        </w:rPr>
        <w:t xml:space="preserve"> on stakeholder feedback, the MDE OSE determined that it would continue to report data to stakeholders and defer to stakeholders as to when updates or changes need to be made. Stakeholders would like to see </w:t>
      </w:r>
      <w:proofErr w:type="gramStart"/>
      <w:r w:rsidRPr="00781112">
        <w:rPr>
          <w:rFonts w:cs="Arial"/>
          <w:color w:val="000000" w:themeColor="text1"/>
          <w:szCs w:val="16"/>
        </w:rPr>
        <w:t>some</w:t>
      </w:r>
      <w:proofErr w:type="gramEnd"/>
      <w:r w:rsidRPr="00781112">
        <w:rPr>
          <w:rFonts w:cs="Arial"/>
          <w:color w:val="000000" w:themeColor="text1"/>
          <w:szCs w:val="16"/>
        </w:rPr>
        <w:t xml:space="preserve"> trend data prior to making changes. </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2,240</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693</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8</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445</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2,240</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3,386</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65.50%</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66.15%</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For FFY 2021 graduation data, all students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meet the requirements for graduation as set forth by the Mississippi State Board of Education. These requirements include earning a specified number of Carnegie Units depending on the type of diploma earned. These </w:t>
      </w:r>
      <w:proofErr w:type="gramStart"/>
      <w:r w:rsidRPr="00781112">
        <w:rPr>
          <w:rFonts w:cs="Arial"/>
          <w:color w:val="000000" w:themeColor="text1"/>
          <w:szCs w:val="16"/>
        </w:rPr>
        <w:t>are laid</w:t>
      </w:r>
      <w:proofErr w:type="gramEnd"/>
      <w:r w:rsidRPr="00781112">
        <w:rPr>
          <w:rFonts w:cs="Arial"/>
          <w:color w:val="000000" w:themeColor="text1"/>
          <w:szCs w:val="16"/>
        </w:rPr>
        <w:t xml:space="preserve"> out in Appedices A-1 through A-4 of the Mississippi Public School Accountability Standards 2021. These requirements are not different for students with disabilities. Mississippi Public School Accountability Standards 2021 can </w:t>
      </w:r>
      <w:proofErr w:type="gramStart"/>
      <w:r w:rsidRPr="00781112">
        <w:rPr>
          <w:rFonts w:cs="Arial"/>
          <w:color w:val="000000" w:themeColor="text1"/>
          <w:szCs w:val="16"/>
        </w:rPr>
        <w:t>be found</w:t>
      </w:r>
      <w:proofErr w:type="gramEnd"/>
      <w:r w:rsidRPr="00781112">
        <w:rPr>
          <w:rFonts w:cs="Arial"/>
          <w:color w:val="000000" w:themeColor="text1"/>
          <w:szCs w:val="16"/>
        </w:rPr>
        <w:t xml:space="preserve"> at https://www.mdek12.org/sites/default/files/mississippi_public_school_accountability_standards_2021_8.pdf</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 xml:space="preserve">Use same data source and measurement that the State used to report in its FFY 2010 SPP/APR that </w:t>
      </w:r>
      <w:proofErr w:type="gramStart"/>
      <w:r w:rsidRPr="00651E83">
        <w:rPr>
          <w:rFonts w:cs="Arial"/>
          <w:szCs w:val="16"/>
        </w:rPr>
        <w:t>was submitted</w:t>
      </w:r>
      <w:proofErr w:type="gramEnd"/>
      <w:r w:rsidRPr="00651E83">
        <w:rPr>
          <w:rFonts w:cs="Arial"/>
          <w:szCs w:val="16"/>
        </w:rPr>
        <w:t xml:space="preserve">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 xml:space="preserve">Sampling </w:t>
      </w:r>
      <w:proofErr w:type="gramStart"/>
      <w:r w:rsidRPr="00FE4C6C">
        <w:rPr>
          <w:rFonts w:cs="Arial"/>
          <w:i/>
          <w:iCs/>
          <w:szCs w:val="16"/>
        </w:rPr>
        <w:t>is not allowed</w:t>
      </w:r>
      <w:proofErr w:type="gramEnd"/>
      <w:r w:rsidRPr="00FE4C6C">
        <w:rPr>
          <w:rFonts w:cs="Arial"/>
          <w:i/>
          <w:iCs/>
          <w:szCs w:val="16"/>
        </w:rPr>
        <w:t>.</w:t>
      </w:r>
    </w:p>
    <w:p w14:paraId="66EE7631" w14:textId="77777777" w:rsidR="00820751" w:rsidRDefault="00820751" w:rsidP="00820751">
      <w:pPr>
        <w:rPr>
          <w:rFonts w:cs="Arial"/>
          <w:szCs w:val="16"/>
        </w:rPr>
      </w:pPr>
      <w:r w:rsidRPr="00937503">
        <w:rPr>
          <w:rFonts w:cs="Arial"/>
          <w:szCs w:val="16"/>
        </w:rPr>
        <w:t xml:space="preserve">Data for this indicator </w:t>
      </w:r>
      <w:proofErr w:type="gramStart"/>
      <w:r w:rsidRPr="00937503">
        <w:rPr>
          <w:rFonts w:cs="Arial"/>
          <w:szCs w:val="16"/>
        </w:rPr>
        <w:t>are</w:t>
      </w:r>
      <w:proofErr w:type="gramEnd"/>
      <w:r w:rsidRPr="00937503">
        <w:rPr>
          <w:rFonts w:cs="Arial"/>
          <w:szCs w:val="16"/>
        </w:rPr>
        <w:t xml:space="preserv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2011</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10.77%</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10.00%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10.00%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10.00%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10.00%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10.00%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9.09%</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9.72%</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11.10%</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13.05%</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8.48%</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10.00%</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10.00%</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10.00%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10.00%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10.00%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The Mississippi Department of Education solicited stakeholder feedback through multiple in person and virtual meetings with teachers, administrators, special education directors, representatives of parent advocacy groups, and parents as outlined in the Introduction. Stakeholder feedback </w:t>
      </w:r>
      <w:proofErr w:type="gramStart"/>
      <w:r w:rsidRPr="00781112">
        <w:rPr>
          <w:rFonts w:cs="Arial"/>
          <w:color w:val="000000" w:themeColor="text1"/>
          <w:szCs w:val="16"/>
        </w:rPr>
        <w:t>was also solicited</w:t>
      </w:r>
      <w:proofErr w:type="gramEnd"/>
      <w:r w:rsidRPr="00781112">
        <w:rPr>
          <w:rFonts w:cs="Arial"/>
          <w:color w:val="000000" w:themeColor="text1"/>
          <w:szCs w:val="16"/>
        </w:rPr>
        <w:t xml:space="preserve"> from the Special Education Advisory Panel. Because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baseline and targets were set last year based on stakeholder feedback, The MDE OSE did not seek feedback regarding updating targets or baseline. </w:t>
      </w:r>
      <w:proofErr w:type="gramStart"/>
      <w:r w:rsidRPr="00781112">
        <w:rPr>
          <w:rFonts w:cs="Arial"/>
          <w:color w:val="000000" w:themeColor="text1"/>
          <w:szCs w:val="16"/>
        </w:rPr>
        <w:t>Rather based</w:t>
      </w:r>
      <w:proofErr w:type="gramEnd"/>
      <w:r w:rsidRPr="00781112">
        <w:rPr>
          <w:rFonts w:cs="Arial"/>
          <w:color w:val="000000" w:themeColor="text1"/>
          <w:szCs w:val="16"/>
        </w:rPr>
        <w:t xml:space="preserve"> on stakeholder feedback, the MDE OSE determined that it would continue to report data to stakeholders and defer to stakeholders as to when updates or changes need to be made. Stakeholders would like to see </w:t>
      </w:r>
      <w:proofErr w:type="gramStart"/>
      <w:r w:rsidRPr="00781112">
        <w:rPr>
          <w:rFonts w:cs="Arial"/>
          <w:color w:val="000000" w:themeColor="text1"/>
          <w:szCs w:val="16"/>
        </w:rPr>
        <w:t>some</w:t>
      </w:r>
      <w:proofErr w:type="gramEnd"/>
      <w:r w:rsidRPr="00781112">
        <w:rPr>
          <w:rFonts w:cs="Arial"/>
          <w:color w:val="000000" w:themeColor="text1"/>
          <w:szCs w:val="16"/>
        </w:rPr>
        <w:t xml:space="preserve"> trend data prior to making changes. </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2,240</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693</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8</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445</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445</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3,386</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8.48%</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10.00%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13.14%</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8B37962" w14:textId="5B766A62" w:rsidR="000336AC" w:rsidRPr="00781112" w:rsidRDefault="00A869E9" w:rsidP="004369B2">
      <w:pPr>
        <w:rPr>
          <w:b/>
          <w:color w:val="000000" w:themeColor="text1"/>
        </w:rPr>
      </w:pPr>
      <w:r w:rsidRPr="00781112">
        <w:rPr>
          <w:b/>
          <w:color w:val="000000" w:themeColor="text1"/>
        </w:rPr>
        <w:t>Provide reasons for slippage, if applicable</w:t>
      </w:r>
    </w:p>
    <w:p w14:paraId="28607D64" w14:textId="1BA39541"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The MDE OSE attributes slippage in Indicator 2 to the elimination of virtual and hybrid learning options as well as the re-instatement of Statewide assessments. These factors along with learning gaps created during the COVID-19 Pandemic contributed to slippage. </w:t>
      </w:r>
    </w:p>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Definition of a Dropout: A dropout is an individual who:</w:t>
      </w:r>
      <w:r w:rsidRPr="00781112">
        <w:rPr>
          <w:rFonts w:cs="Arial"/>
          <w:color w:val="000000" w:themeColor="text1"/>
          <w:szCs w:val="16"/>
          <w:shd w:val="clear" w:color="auto" w:fill="FFFFFF"/>
        </w:rPr>
        <w:br/>
        <w:t>1.) was enrolled in school at some point during the previous school year;</w:t>
      </w:r>
      <w:r w:rsidRPr="00781112">
        <w:rPr>
          <w:rFonts w:cs="Arial"/>
          <w:color w:val="000000" w:themeColor="text1"/>
          <w:szCs w:val="16"/>
          <w:shd w:val="clear" w:color="auto" w:fill="FFFFFF"/>
        </w:rPr>
        <w:br/>
        <w:t>2.) was not enrolled at the beginning of the current school year;</w:t>
      </w:r>
      <w:r w:rsidRPr="00781112">
        <w:rPr>
          <w:rFonts w:cs="Arial"/>
          <w:color w:val="000000" w:themeColor="text1"/>
          <w:szCs w:val="16"/>
          <w:shd w:val="clear" w:color="auto" w:fill="FFFFFF"/>
        </w:rPr>
        <w:br/>
        <w:t>3.) has not graduated from high school or completed a State or LEA approved educational program; and</w:t>
      </w:r>
      <w:r w:rsidRPr="00781112">
        <w:rPr>
          <w:rFonts w:cs="Arial"/>
          <w:color w:val="000000" w:themeColor="text1"/>
          <w:szCs w:val="16"/>
          <w:shd w:val="clear" w:color="auto" w:fill="FFFFFF"/>
        </w:rPr>
        <w:br/>
        <w:t xml:space="preserve">4.) does not meet any of the following exclusionary conditions: transfer to another public school district, private school, or State or LEA approve educational Programs; temporary absence due to suspension or school approved illness or death.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For the </w:t>
      </w:r>
      <w:proofErr w:type="gramStart"/>
      <w:r w:rsidRPr="00781112">
        <w:rPr>
          <w:rFonts w:cs="Arial"/>
          <w:color w:val="000000" w:themeColor="text1"/>
          <w:szCs w:val="16"/>
          <w:shd w:val="clear" w:color="auto" w:fill="FFFFFF"/>
        </w:rPr>
        <w:t>purpose</w:t>
      </w:r>
      <w:proofErr w:type="gramEnd"/>
      <w:r w:rsidRPr="00781112">
        <w:rPr>
          <w:rFonts w:cs="Arial"/>
          <w:color w:val="000000" w:themeColor="text1"/>
          <w:szCs w:val="16"/>
          <w:shd w:val="clear" w:color="auto" w:fill="FFFFFF"/>
        </w:rPr>
        <w:t xml:space="preserve"> monthly reporting, a student who </w:t>
      </w:r>
      <w:proofErr w:type="gramStart"/>
      <w:r w:rsidRPr="00781112">
        <w:rPr>
          <w:rFonts w:cs="Arial"/>
          <w:color w:val="000000" w:themeColor="text1"/>
          <w:szCs w:val="16"/>
          <w:shd w:val="clear" w:color="auto" w:fill="FFFFFF"/>
        </w:rPr>
        <w:t>was enrolled</w:t>
      </w:r>
      <w:proofErr w:type="gramEnd"/>
      <w:r w:rsidRPr="00781112">
        <w:rPr>
          <w:rFonts w:cs="Arial"/>
          <w:color w:val="000000" w:themeColor="text1"/>
          <w:szCs w:val="16"/>
          <w:shd w:val="clear" w:color="auto" w:fill="FFFFFF"/>
        </w:rPr>
        <w:t xml:space="preserve"> at some point during the month, has not met one of the exclusionary conditions listed above and is no longer attending school will be reported on the monthly attendance report as a dropout. </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w:t>
      </w:r>
      <w:proofErr w:type="gramStart"/>
      <w:r w:rsidRPr="00781112">
        <w:rPr>
          <w:bCs/>
        </w:rPr>
        <w:t xml:space="preserve">.  </w:t>
      </w:r>
      <w:proofErr w:type="gramEnd"/>
      <w:r w:rsidRPr="00781112">
        <w:rPr>
          <w:bCs/>
        </w:rPr>
        <w:t>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95.51%</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92.09%</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96.97%</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95.44%</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91.91%</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96.00%</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97.00%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r>
    </w:tbl>
    <w:p w14:paraId="4FED9CA8" w14:textId="44F264E8" w:rsidR="007765EF" w:rsidRDefault="007765EF" w:rsidP="00480083">
      <w:pPr>
        <w:rPr>
          <w:b/>
          <w:color w:val="000000" w:themeColor="text1"/>
        </w:rPr>
      </w:pPr>
    </w:p>
    <w:p w14:paraId="361B382C" w14:textId="3C8B4143" w:rsidR="00480083" w:rsidRPr="00B83FD1" w:rsidRDefault="00480083" w:rsidP="00B83FD1">
      <w:pPr>
        <w:spacing w:before="0" w:after="200" w:line="276" w:lineRule="auto"/>
        <w:rPr>
          <w:b/>
          <w:color w:val="000000" w:themeColor="text1"/>
        </w:rPr>
      </w:pPr>
      <w:r w:rsidRPr="00781112">
        <w:rPr>
          <w:b/>
          <w:color w:val="000000" w:themeColor="text1"/>
        </w:rPr>
        <w:t xml:space="preserve">Targets: Description of Stakeholder Input </w:t>
      </w:r>
      <w:r w:rsidR="00B83FD1">
        <w:rPr>
          <w:b/>
          <w:color w:val="000000" w:themeColor="text1"/>
        </w:rPr>
        <w:br/>
      </w:r>
      <w:r w:rsidRPr="00781112">
        <w:rPr>
          <w:rFonts w:cs="Arial"/>
          <w:color w:val="000000" w:themeColor="text1"/>
          <w:szCs w:val="16"/>
        </w:rPr>
        <w:t xml:space="preserve">The Mississippi Department of Education solicited stakeholder feedback through multiple in person and virtual meetings with teachers, administrators, special education directors, representatives of parent advocacy groups, and parents as outlined in the Introduction. Stakeholder feedback </w:t>
      </w:r>
      <w:proofErr w:type="gramStart"/>
      <w:r w:rsidRPr="00781112">
        <w:rPr>
          <w:rFonts w:cs="Arial"/>
          <w:color w:val="000000" w:themeColor="text1"/>
          <w:szCs w:val="16"/>
        </w:rPr>
        <w:t>was also solicited</w:t>
      </w:r>
      <w:proofErr w:type="gramEnd"/>
      <w:r w:rsidRPr="00781112">
        <w:rPr>
          <w:rFonts w:cs="Arial"/>
          <w:color w:val="000000" w:themeColor="text1"/>
          <w:szCs w:val="16"/>
        </w:rPr>
        <w:t xml:space="preserve"> from the Special Education Advisory Panel. Because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baseline and targets were set last year based on stakeholder feedback, The MDE OSE did not seek feedback regarding updating targets or baseline. </w:t>
      </w:r>
      <w:proofErr w:type="gramStart"/>
      <w:r w:rsidRPr="00781112">
        <w:rPr>
          <w:rFonts w:cs="Arial"/>
          <w:color w:val="000000" w:themeColor="text1"/>
          <w:szCs w:val="16"/>
        </w:rPr>
        <w:t>Rather based</w:t>
      </w:r>
      <w:proofErr w:type="gramEnd"/>
      <w:r w:rsidRPr="00781112">
        <w:rPr>
          <w:rFonts w:cs="Arial"/>
          <w:color w:val="000000" w:themeColor="text1"/>
          <w:szCs w:val="16"/>
        </w:rPr>
        <w:t xml:space="preserve"> on stakeholder feedback, the MDE OSE determined that it would continue to report data to stakeholders and defer to stakeholders as to when updates or changes need to be made. Stakeholders would like to see </w:t>
      </w:r>
      <w:proofErr w:type="gramStart"/>
      <w:r w:rsidRPr="00781112">
        <w:rPr>
          <w:rFonts w:cs="Arial"/>
          <w:color w:val="000000" w:themeColor="text1"/>
          <w:szCs w:val="16"/>
        </w:rPr>
        <w:t>some</w:t>
      </w:r>
      <w:proofErr w:type="gramEnd"/>
      <w:r w:rsidRPr="00781112">
        <w:rPr>
          <w:rFonts w:cs="Arial"/>
          <w:color w:val="000000" w:themeColor="text1"/>
          <w:szCs w:val="16"/>
        </w:rPr>
        <w:t xml:space="preserve"> trend data prior to making changes. </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lastRenderedPageBreak/>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5,366</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5,146</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3,626</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1,006</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340</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185</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3,737</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3,999</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2,784</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512</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574</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589</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5,366</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5,150</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3,541</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1,002</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361</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233</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3,736</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3,976</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2,679</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514</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573</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553</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5,255</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5,366</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95.51%</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97.00%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97.93%</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4,913</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5,146</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92.09%</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97.00%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95.47%</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3,558</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3,626</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96.97%</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97.00%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98.12%</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5,252</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5,366</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95.44%</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97.00%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97.88%</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4,910</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5,150</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91.91%</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97.00%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95.34%</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3,465</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3,541</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96.00%</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97.00%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97.85%</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Links to public reports of assessment results can be found at www.mdek12.org/SPP-APR under the links titled: </w:t>
      </w:r>
      <w:r w:rsidRPr="00781112">
        <w:rPr>
          <w:rFonts w:cs="Arial"/>
          <w:color w:val="000000" w:themeColor="text1"/>
          <w:szCs w:val="16"/>
        </w:rPr>
        <w:br/>
      </w:r>
      <w:r w:rsidRPr="00781112">
        <w:rPr>
          <w:rFonts w:cs="Arial"/>
          <w:color w:val="000000" w:themeColor="text1"/>
          <w:szCs w:val="16"/>
        </w:rPr>
        <w:br/>
        <w:t>Assessment Public Reporting 2021-2022 Participation (https://www.mdek12.org/sites/default/files/2021-2022_alt_participation_posted.xlsx)</w:t>
      </w:r>
      <w:r w:rsidRPr="00781112">
        <w:rPr>
          <w:rFonts w:cs="Arial"/>
          <w:color w:val="000000" w:themeColor="text1"/>
          <w:szCs w:val="16"/>
        </w:rPr>
        <w:br/>
      </w:r>
      <w:r w:rsidRPr="00781112">
        <w:rPr>
          <w:rFonts w:cs="Arial"/>
          <w:color w:val="000000" w:themeColor="text1"/>
          <w:szCs w:val="16"/>
        </w:rPr>
        <w:br/>
        <w:t>Assessment Public Reporting 2021-2022 Alternate Proficiency (https://www.mdek12.org/sites/default/files/2021-22_alt_proficiency_posted.xlsx)</w:t>
      </w:r>
      <w:r w:rsidRPr="00781112">
        <w:rPr>
          <w:rFonts w:cs="Arial"/>
          <w:color w:val="000000" w:themeColor="text1"/>
          <w:szCs w:val="16"/>
        </w:rPr>
        <w:br/>
      </w:r>
      <w:r w:rsidRPr="00781112">
        <w:rPr>
          <w:rFonts w:cs="Arial"/>
          <w:color w:val="000000" w:themeColor="text1"/>
          <w:szCs w:val="16"/>
        </w:rPr>
        <w:br/>
        <w:t>Assessment Public Reporting 2021-2022 MAAP Participation (https://www.mdek12.org/sites/default/files/2021-2022_maap_participation_swd_accom_posted.xlsx)</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47286128" w14:textId="02FB1092" w:rsidR="00361CFA" w:rsidRPr="00781112" w:rsidRDefault="007639D7" w:rsidP="00361CFA">
      <w:pPr>
        <w:rPr>
          <w:color w:val="000000" w:themeColor="text1"/>
        </w:rPr>
      </w:pPr>
      <w:r>
        <w:rPr>
          <w:b/>
          <w:color w:val="000000" w:themeColor="text1"/>
        </w:rPr>
        <w:t>Response to actions required in FFY 2020 SPP/APR</w:t>
      </w:r>
      <w:r w:rsidR="00361CFA" w:rsidRPr="00781112">
        <w:rPr>
          <w:rFonts w:cs="Arial"/>
          <w:color w:val="000000" w:themeColor="text1"/>
          <w:szCs w:val="16"/>
        </w:rPr>
        <w:t xml:space="preserve"> </w:t>
      </w:r>
    </w:p>
    <w:p w14:paraId="7324288D" w14:textId="1285CFC6" w:rsidR="00361CFA" w:rsidRPr="00781112" w:rsidRDefault="00361CFA" w:rsidP="00361CFA">
      <w:pPr>
        <w:rPr>
          <w:rFonts w:cs="Arial"/>
          <w:color w:val="000000" w:themeColor="text1"/>
          <w:szCs w:val="16"/>
        </w:rPr>
      </w:pP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 xml:space="preserve">The State did not provide a Web link demonstrating that the State reported publicly on the participation of children with disabilities on statewide assessments with the same frequency and in the same detail as it reports on the assessments of nondisabled children, as required by 34 C.F.R. § 300.160(f). Specifically, the State has not reported the number of children with disabilities participating in regular assessments and alternate assessments based on alternate academic achievement standards, and the number of those children who were provided accommodations (that did not result in an invalid score) </w:t>
      </w:r>
      <w:proofErr w:type="gramStart"/>
      <w:r w:rsidRPr="00781112">
        <w:rPr>
          <w:rFonts w:cs="Arial"/>
          <w:color w:val="000000" w:themeColor="text1"/>
          <w:szCs w:val="16"/>
          <w:shd w:val="clear" w:color="auto" w:fill="FFFFFF"/>
        </w:rPr>
        <w:t>in order to</w:t>
      </w:r>
      <w:proofErr w:type="gramEnd"/>
      <w:r w:rsidRPr="00781112">
        <w:rPr>
          <w:rFonts w:cs="Arial"/>
          <w:color w:val="000000" w:themeColor="text1"/>
          <w:szCs w:val="16"/>
          <w:shd w:val="clear" w:color="auto" w:fill="FFFFFF"/>
        </w:rPr>
        <w:t xml:space="preserve"> participate in those assessments at the school level. The failure to publicly report as required under 34 C.F.R. § 300.160(f) is noncompliance.</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Within 90 days of the receipt of the State's 2023 determination letter, the State must provide to OSEP a Web link that demonstrates that it has reported, for FFY 2021, to the public, on the statewide assessments of children with disabilities in accordance with 34 C.F.R. § 300.160(f)</w:t>
      </w:r>
      <w:proofErr w:type="gramStart"/>
      <w:r w:rsidRPr="00781112">
        <w:rPr>
          <w:rFonts w:cs="Arial"/>
          <w:color w:val="000000" w:themeColor="text1"/>
          <w:szCs w:val="16"/>
          <w:shd w:val="clear" w:color="auto" w:fill="FFFFFF"/>
        </w:rPr>
        <w:t xml:space="preserve">.  </w:t>
      </w:r>
      <w:proofErr w:type="gramEnd"/>
      <w:r w:rsidRPr="00781112">
        <w:rPr>
          <w:rFonts w:cs="Arial"/>
          <w:color w:val="000000" w:themeColor="text1"/>
          <w:szCs w:val="16"/>
          <w:shd w:val="clear" w:color="auto" w:fill="FFFFFF"/>
        </w:rPr>
        <w:t xml:space="preserve">Specifically, the State has not reported the number of children with disabilities participating in regular assessments, and the number of those children who were provided accommodations (that did not result in an invalid score) </w:t>
      </w:r>
      <w:proofErr w:type="gramStart"/>
      <w:r w:rsidRPr="00781112">
        <w:rPr>
          <w:rFonts w:cs="Arial"/>
          <w:color w:val="000000" w:themeColor="text1"/>
          <w:szCs w:val="16"/>
          <w:shd w:val="clear" w:color="auto" w:fill="FFFFFF"/>
        </w:rPr>
        <w:t>in order to</w:t>
      </w:r>
      <w:proofErr w:type="gramEnd"/>
      <w:r w:rsidRPr="00781112">
        <w:rPr>
          <w:rFonts w:cs="Arial"/>
          <w:color w:val="000000" w:themeColor="text1"/>
          <w:szCs w:val="16"/>
          <w:shd w:val="clear" w:color="auto" w:fill="FFFFFF"/>
        </w:rPr>
        <w:t xml:space="preserve"> participate in those assessments at the school level. In addition, OSEP reminds the State that in the FFY 2022 SPP/APR, the State must include a Web link that demonstrates compliance with 34 C.F.R. § 300.160(f) for FFY 2022.</w:t>
      </w: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 xml:space="preserve">Proficiency rate percent = [(# of children with IEPs scoring at or above proficient against grade level academic achievement standards) divided by the (total # of children with IEPs who received a valid score and for whom a proficiency level </w:t>
      </w:r>
      <w:proofErr w:type="gramStart"/>
      <w:r w:rsidR="001B1437" w:rsidRPr="00781112">
        <w:rPr>
          <w:rFonts w:cs="Arial"/>
          <w:szCs w:val="16"/>
        </w:rPr>
        <w:t>was assigned</w:t>
      </w:r>
      <w:proofErr w:type="gramEnd"/>
      <w:r w:rsidR="001B1437" w:rsidRPr="00781112">
        <w:rPr>
          <w:rFonts w:cs="Arial"/>
          <w:szCs w:val="16"/>
        </w:rPr>
        <w:t xml:space="preserve">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16.22%</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8.19%</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7.78%</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15.12%</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8.58%</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7.42%</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23.00%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26.00%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28.00%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30.00%</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13.00%</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16.00%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23.00%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25.00%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13.00%</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16.00%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23.00%</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25.00%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22.00%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24.00%</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25.00%</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25.00%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12.00%</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16.00%</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18.00%</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12.00%</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16.00%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18.00%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The Mississippi Department of Education solicited stakeholder feedback through multiple in person and virtual meetings with teachers, administrators, special education directors, representatives of parent advocacy groups, and parents as outlined in the Introduction. Stakeholder feedback </w:t>
      </w:r>
      <w:proofErr w:type="gramStart"/>
      <w:r w:rsidRPr="00781112">
        <w:rPr>
          <w:rFonts w:cs="Arial"/>
          <w:color w:val="000000" w:themeColor="text1"/>
          <w:szCs w:val="16"/>
        </w:rPr>
        <w:t>was also solicited</w:t>
      </w:r>
      <w:proofErr w:type="gramEnd"/>
      <w:r w:rsidRPr="00781112">
        <w:rPr>
          <w:rFonts w:cs="Arial"/>
          <w:color w:val="000000" w:themeColor="text1"/>
          <w:szCs w:val="16"/>
        </w:rPr>
        <w:t xml:space="preserve"> from the Special Education Advisory Panel. Because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baseline and targets were set last year based on stakeholder feedback, The MDE OSE did not seek feedback regarding updating targets or baseline. </w:t>
      </w:r>
      <w:proofErr w:type="gramStart"/>
      <w:r w:rsidRPr="00781112">
        <w:rPr>
          <w:rFonts w:cs="Arial"/>
          <w:color w:val="000000" w:themeColor="text1"/>
          <w:szCs w:val="16"/>
        </w:rPr>
        <w:t>Rather based</w:t>
      </w:r>
      <w:proofErr w:type="gramEnd"/>
      <w:r w:rsidRPr="00781112">
        <w:rPr>
          <w:rFonts w:cs="Arial"/>
          <w:color w:val="000000" w:themeColor="text1"/>
          <w:szCs w:val="16"/>
        </w:rPr>
        <w:t xml:space="preserve"> on stakeholder feedback, the MDE OSE determined that it would continue to report data to stakeholders and defer to stakeholders as to when updates or changes need to be made. Stakeholders would like to see </w:t>
      </w:r>
      <w:proofErr w:type="gramStart"/>
      <w:r w:rsidRPr="00781112">
        <w:rPr>
          <w:rFonts w:cs="Arial"/>
          <w:color w:val="000000" w:themeColor="text1"/>
          <w:szCs w:val="16"/>
        </w:rPr>
        <w:t>some</w:t>
      </w:r>
      <w:proofErr w:type="gramEnd"/>
      <w:r w:rsidRPr="00781112">
        <w:rPr>
          <w:rFonts w:cs="Arial"/>
          <w:color w:val="000000" w:themeColor="text1"/>
          <w:szCs w:val="16"/>
        </w:rPr>
        <w:t xml:space="preserve"> trend data prior to making changes. </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5" w:name="_Toc392159273"/>
    </w:p>
    <w:p w14:paraId="2D480DA3" w14:textId="77777777" w:rsidR="00B83FD1" w:rsidRDefault="00B83FD1">
      <w:pPr>
        <w:spacing w:before="0" w:after="200" w:line="276" w:lineRule="auto"/>
        <w:rPr>
          <w:b/>
          <w:color w:val="000000" w:themeColor="text1"/>
        </w:rPr>
      </w:pPr>
      <w:r>
        <w:rPr>
          <w:b/>
          <w:color w:val="000000" w:themeColor="text1"/>
        </w:rPr>
        <w:br w:type="page"/>
      </w:r>
    </w:p>
    <w:p w14:paraId="2F64E7B3" w14:textId="455371F8" w:rsidR="00344AE0" w:rsidRPr="00781112" w:rsidRDefault="00FA33C9">
      <w:pPr>
        <w:rPr>
          <w:b/>
          <w:color w:val="000000" w:themeColor="text1"/>
        </w:rPr>
      </w:pPr>
      <w:r>
        <w:rPr>
          <w:b/>
          <w:color w:val="000000" w:themeColor="text1"/>
        </w:rPr>
        <w:lastRenderedPageBreak/>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Default="002B7490" w:rsidP="00552927">
      <w:pPr>
        <w:rPr>
          <w:rFonts w:cs="Arial"/>
          <w:color w:val="000000" w:themeColor="text1"/>
          <w:szCs w:val="16"/>
        </w:rPr>
      </w:pPr>
      <w:r w:rsidRPr="00781112">
        <w:rPr>
          <w:rFonts w:cs="Arial"/>
          <w:color w:val="000000" w:themeColor="text1"/>
          <w:szCs w:val="16"/>
        </w:rPr>
        <w:t>04/05/2023</w:t>
      </w:r>
    </w:p>
    <w:p w14:paraId="71211856" w14:textId="77777777" w:rsidR="00B83FD1" w:rsidRPr="00781112" w:rsidRDefault="00B83FD1" w:rsidP="00552927">
      <w:pPr>
        <w:rPr>
          <w:rFonts w:cs="Arial"/>
          <w:color w:val="000000" w:themeColor="text1"/>
          <w:szCs w:val="16"/>
        </w:rPr>
      </w:pP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4,743</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4,339</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2,969</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463</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82</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51</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407</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316</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298</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4,738</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4,337</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2,912</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515</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119</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109</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518</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450</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833</w:t>
            </w:r>
          </w:p>
        </w:tc>
      </w:tr>
      <w:bookmarkEnd w:id="15"/>
    </w:tbl>
    <w:p w14:paraId="1A4F8ED6" w14:textId="77777777" w:rsidR="00966232" w:rsidRDefault="00966232" w:rsidP="004369B2">
      <w:pPr>
        <w:rPr>
          <w:color w:val="000000" w:themeColor="text1"/>
        </w:rPr>
      </w:pPr>
    </w:p>
    <w:p w14:paraId="70B54695" w14:textId="77777777" w:rsidR="00B83FD1" w:rsidRPr="00781112" w:rsidRDefault="00B83FD1"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870</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4,743</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16.22%</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20.00%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18.34%</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398</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4,339</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8.19%</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13.00%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9.17%</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349</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2,969</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7.78%</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13.00%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11.75%</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lastRenderedPageBreak/>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1,033</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4,738</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15.12%</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20.00%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21.80%</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569</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4,337</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8.58%</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12.00%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13.12%</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942</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2,912</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7.42%</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12.00%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32.35%</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197C30C8" w14:textId="77777777" w:rsidR="00CF57A2" w:rsidRPr="00781112" w:rsidRDefault="00CF57A2" w:rsidP="00580134">
      <w:pPr>
        <w:rPr>
          <w:rFonts w:cs="Arial"/>
          <w:iCs/>
          <w:color w:val="000000" w:themeColor="text1"/>
          <w:szCs w:val="16"/>
        </w:rPr>
      </w:pPr>
    </w:p>
    <w:p w14:paraId="3C6B4961" w14:textId="37564748" w:rsidR="00497DE4" w:rsidRPr="00B83FD1" w:rsidRDefault="00497DE4" w:rsidP="00B83FD1">
      <w:pPr>
        <w:spacing w:before="0" w:after="200" w:line="276" w:lineRule="auto"/>
        <w:rPr>
          <w:color w:val="000000" w:themeColor="text1"/>
        </w:rPr>
      </w:pPr>
      <w:r w:rsidRPr="00781112">
        <w:rPr>
          <w:b/>
          <w:color w:val="000000" w:themeColor="text1"/>
        </w:rPr>
        <w:t>Regulatory Information</w:t>
      </w:r>
      <w:r w:rsidR="00B83FD1">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Links to public reports of assessment results can be found at www.mdek12.org/SPP-APR under the links titled: </w:t>
      </w:r>
      <w:r w:rsidRPr="00781112">
        <w:rPr>
          <w:rFonts w:cs="Arial"/>
          <w:color w:val="000000" w:themeColor="text1"/>
          <w:szCs w:val="16"/>
        </w:rPr>
        <w:br/>
      </w:r>
      <w:r w:rsidRPr="00781112">
        <w:rPr>
          <w:rFonts w:cs="Arial"/>
          <w:color w:val="000000" w:themeColor="text1"/>
          <w:szCs w:val="16"/>
        </w:rPr>
        <w:br/>
        <w:t>Assessment Public Reporting 2021-2022 Participation (https://www.mdek12.org/sites/default/files/2021-2022_alt_participation_posted.xlsx)</w:t>
      </w:r>
      <w:r w:rsidRPr="00781112">
        <w:rPr>
          <w:rFonts w:cs="Arial"/>
          <w:color w:val="000000" w:themeColor="text1"/>
          <w:szCs w:val="16"/>
        </w:rPr>
        <w:br/>
      </w:r>
      <w:r w:rsidRPr="00781112">
        <w:rPr>
          <w:rFonts w:cs="Arial"/>
          <w:color w:val="000000" w:themeColor="text1"/>
          <w:szCs w:val="16"/>
        </w:rPr>
        <w:br/>
        <w:t>Assessment Public Reporting 2021-2022 Alternate Proficiency (https://www.mdek12.org/sites/default/files/2021-22_alt_proficiency_posted.xlsx)</w:t>
      </w:r>
      <w:r w:rsidRPr="00781112">
        <w:rPr>
          <w:rFonts w:cs="Arial"/>
          <w:color w:val="000000" w:themeColor="text1"/>
          <w:szCs w:val="16"/>
        </w:rPr>
        <w:br/>
      </w:r>
      <w:r w:rsidRPr="00781112">
        <w:rPr>
          <w:rFonts w:cs="Arial"/>
          <w:color w:val="000000" w:themeColor="text1"/>
          <w:szCs w:val="16"/>
        </w:rPr>
        <w:br/>
        <w:t>Assessment Public Reporting 2021-2022 MAAP Participation (https://www.mdek12.org/sites/default/files/2021-2022_maap_participation_swd_accom_posted.xlsx)</w:t>
      </w:r>
    </w:p>
    <w:p w14:paraId="2BE473B4" w14:textId="77777777" w:rsidR="00053391" w:rsidRPr="00781112" w:rsidRDefault="00053391" w:rsidP="004369B2">
      <w:pPr>
        <w:rPr>
          <w:b/>
          <w:color w:val="000000" w:themeColor="text1"/>
        </w:rPr>
      </w:pPr>
      <w:bookmarkStart w:id="16" w:name="_Toc382082367"/>
      <w:bookmarkStart w:id="17"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0F1F889A" w14:textId="7DA352CF" w:rsidR="000A2C83" w:rsidRPr="00781112" w:rsidRDefault="007639D7" w:rsidP="004369B2">
      <w:pPr>
        <w:rPr>
          <w:color w:val="000000" w:themeColor="text1"/>
        </w:rPr>
      </w:pPr>
      <w:r>
        <w:rPr>
          <w:b/>
          <w:color w:val="000000" w:themeColor="text1"/>
        </w:rPr>
        <w:t>Response to actions required in FFY 2020 SPP/APR</w:t>
      </w:r>
      <w:r w:rsidR="00D22710" w:rsidRPr="00781112">
        <w:rPr>
          <w:rFonts w:cs="Arial"/>
          <w:color w:val="000000" w:themeColor="text1"/>
          <w:szCs w:val="16"/>
        </w:rPr>
        <w:t xml:space="preserve"> </w:t>
      </w:r>
    </w:p>
    <w:p w14:paraId="47C82FA5" w14:textId="5B5AA1ED" w:rsidR="000A2C83" w:rsidRPr="00781112" w:rsidRDefault="000A2C83" w:rsidP="000A2C83">
      <w:pPr>
        <w:rPr>
          <w:rFonts w:cs="Arial"/>
          <w:color w:val="000000" w:themeColor="text1"/>
          <w:szCs w:val="16"/>
        </w:rPr>
      </w:pP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 xml:space="preserve">The State did not provide a Web link demonstrating that the State reported publicly on the performance of children with disabilities on statewide assessments with the same frequency and in the same detail as it reports on the assessments of nondisabled children, as required by 34 C.F.R. § 300.160(f). Specifically, the State has not reported, compared with the achievement of all children, including children with disabilities, the performance results of children with disabilities on regular assessments, at the State, </w:t>
      </w:r>
      <w:proofErr w:type="gramStart"/>
      <w:r w:rsidRPr="00781112">
        <w:rPr>
          <w:rFonts w:cs="Arial"/>
          <w:color w:val="000000" w:themeColor="text1"/>
          <w:szCs w:val="16"/>
          <w:shd w:val="clear" w:color="auto" w:fill="FFFFFF"/>
        </w:rPr>
        <w:t>district</w:t>
      </w:r>
      <w:proofErr w:type="gramEnd"/>
      <w:r w:rsidRPr="00781112">
        <w:rPr>
          <w:rFonts w:cs="Arial"/>
          <w:color w:val="000000" w:themeColor="text1"/>
          <w:szCs w:val="16"/>
          <w:shd w:val="clear" w:color="auto" w:fill="FFFFFF"/>
        </w:rPr>
        <w:t xml:space="preserve"> and school levels. The failure to publicly report as required under 34 C.F.R. § 300.160(f) is noncompliance.</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 xml:space="preserve">Within 90 days of the receipt of the State's 2023 determination letter, the State must provide to OSEP a Web link that demonstrates that it has reported, for FFY 2021, to the public, on the statewide assessments of children with disabilities in accordance with 34 C.F.R. § 300.160(f). Specifically, the State has not reported, compared with the achievement of all children, including children with disabilities, the performance results of children with disabilities on regular assessments, at the State, </w:t>
      </w:r>
      <w:proofErr w:type="gramStart"/>
      <w:r w:rsidRPr="00781112">
        <w:rPr>
          <w:rFonts w:cs="Arial"/>
          <w:color w:val="000000" w:themeColor="text1"/>
          <w:szCs w:val="16"/>
          <w:shd w:val="clear" w:color="auto" w:fill="FFFFFF"/>
        </w:rPr>
        <w:t>district</w:t>
      </w:r>
      <w:proofErr w:type="gramEnd"/>
      <w:r w:rsidRPr="00781112">
        <w:rPr>
          <w:rFonts w:cs="Arial"/>
          <w:color w:val="000000" w:themeColor="text1"/>
          <w:szCs w:val="16"/>
          <w:shd w:val="clear" w:color="auto" w:fill="FFFFFF"/>
        </w:rPr>
        <w:t xml:space="preserve"> and school levels. In addition, OSEP reminds the State that in the FFY 2022 SPP/APR, the State must include a Web link that demonstrates compliance with 34 C.F.R. § 300.160(f) for FFY 2022.</w:t>
      </w: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6"/>
      <w:bookmarkEnd w:id="17"/>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8" w:name="_Toc384383330"/>
      <w:bookmarkStart w:id="19" w:name="_Toc392159282"/>
      <w:bookmarkStart w:id="20"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 xml:space="preserve">Proficiency rate percent = [(# of children with IEPs scoring at or above proficient against alternate academic achievement standards) divided by the (total # of children with IEPs who received a valid score and for whom a proficiency level </w:t>
      </w:r>
      <w:proofErr w:type="gramStart"/>
      <w:r w:rsidR="00385214" w:rsidRPr="00781112">
        <w:rPr>
          <w:rFonts w:cs="Arial"/>
          <w:szCs w:val="16"/>
        </w:rPr>
        <w:t>was assigned</w:t>
      </w:r>
      <w:proofErr w:type="gramEnd"/>
      <w:r w:rsidR="00385214" w:rsidRPr="00781112">
        <w:rPr>
          <w:rFonts w:cs="Arial"/>
          <w:szCs w:val="16"/>
        </w:rPr>
        <w:t xml:space="preserve"> for the alternate assessment)]. Calculate separately for reading and math</w:t>
      </w:r>
      <w:proofErr w:type="gramStart"/>
      <w:r w:rsidR="00385214" w:rsidRPr="00781112">
        <w:rPr>
          <w:rFonts w:cs="Arial"/>
          <w:szCs w:val="16"/>
        </w:rPr>
        <w:t xml:space="preserve">.  </w:t>
      </w:r>
      <w:proofErr w:type="gramEnd"/>
      <w:r w:rsidR="00385214" w:rsidRPr="00781112">
        <w:rPr>
          <w:rFonts w:cs="Arial"/>
          <w:szCs w:val="16"/>
        </w:rPr>
        <w:t>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34.15%</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48.38%</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52.22%</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36.63%</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41.68%</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31.03%</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37.00%</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39.00%</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41.00%</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43.00%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45.00%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52.00%</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54.00%</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56.00%</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58.00%</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60.00%</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52.00%</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54.00%</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56.00%</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58.00%</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60.00%</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42.00%</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44.00%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46.00%</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48.00%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50.00%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47.00%</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49.00%</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51.00%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53.00%</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55.00%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32.00%</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34.00%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36.00%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38.00%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40.00%</w:t>
            </w:r>
          </w:p>
        </w:tc>
      </w:tr>
    </w:tbl>
    <w:p w14:paraId="08B1A70A" w14:textId="28E3FB4B" w:rsidR="002D145D" w:rsidRPr="00B83FD1" w:rsidRDefault="00B83FD1" w:rsidP="00B83FD1">
      <w:pPr>
        <w:spacing w:before="0" w:after="200" w:line="276" w:lineRule="auto"/>
        <w:rPr>
          <w:b/>
          <w:color w:val="000000" w:themeColor="text1"/>
        </w:rPr>
      </w:pPr>
      <w:r>
        <w:rPr>
          <w:b/>
          <w:color w:val="000000" w:themeColor="text1"/>
        </w:rPr>
        <w:br/>
      </w:r>
      <w:r w:rsidR="002D145D" w:rsidRPr="00781112">
        <w:rPr>
          <w:b/>
          <w:color w:val="000000" w:themeColor="text1"/>
        </w:rPr>
        <w:t xml:space="preserve">Targets: Description of Stakeholder Input </w:t>
      </w:r>
      <w:r>
        <w:rPr>
          <w:b/>
          <w:color w:val="000000" w:themeColor="text1"/>
        </w:rPr>
        <w:br/>
      </w:r>
      <w:r w:rsidR="002B7490" w:rsidRPr="00781112">
        <w:rPr>
          <w:rFonts w:cs="Arial"/>
          <w:color w:val="000000" w:themeColor="text1"/>
          <w:szCs w:val="16"/>
        </w:rPr>
        <w:t xml:space="preserve">The Mississippi Department of Education solicited stakeholder feedback through multiple in person and virtual meetings with teachers, administrators, special education directors, representatives of parent advocacy groups, and parents as outlined in the Introduction. Stakeholder feedback </w:t>
      </w:r>
      <w:proofErr w:type="gramStart"/>
      <w:r w:rsidR="002B7490" w:rsidRPr="00781112">
        <w:rPr>
          <w:rFonts w:cs="Arial"/>
          <w:color w:val="000000" w:themeColor="text1"/>
          <w:szCs w:val="16"/>
        </w:rPr>
        <w:t>was also solicited</w:t>
      </w:r>
      <w:proofErr w:type="gramEnd"/>
      <w:r w:rsidR="002B7490" w:rsidRPr="00781112">
        <w:rPr>
          <w:rFonts w:cs="Arial"/>
          <w:color w:val="000000" w:themeColor="text1"/>
          <w:szCs w:val="16"/>
        </w:rPr>
        <w:t xml:space="preserve"> from the Special Education Advisory Panel. Because </w:t>
      </w:r>
      <w:proofErr w:type="gramStart"/>
      <w:r w:rsidR="002B7490" w:rsidRPr="00781112">
        <w:rPr>
          <w:rFonts w:cs="Arial"/>
          <w:color w:val="000000" w:themeColor="text1"/>
          <w:szCs w:val="16"/>
        </w:rPr>
        <w:t>Indicator</w:t>
      </w:r>
      <w:proofErr w:type="gramEnd"/>
      <w:r w:rsidR="002B7490" w:rsidRPr="00781112">
        <w:rPr>
          <w:rFonts w:cs="Arial"/>
          <w:color w:val="000000" w:themeColor="text1"/>
          <w:szCs w:val="16"/>
        </w:rPr>
        <w:t xml:space="preserve"> baseline and targets were set last year based on stakeholder feedback, The MDE OSE did not seek feedback regarding updating targets or baseline. </w:t>
      </w:r>
      <w:proofErr w:type="gramStart"/>
      <w:r w:rsidR="002B7490" w:rsidRPr="00781112">
        <w:rPr>
          <w:rFonts w:cs="Arial"/>
          <w:color w:val="000000" w:themeColor="text1"/>
          <w:szCs w:val="16"/>
        </w:rPr>
        <w:t>Rather based</w:t>
      </w:r>
      <w:proofErr w:type="gramEnd"/>
      <w:r w:rsidR="002B7490" w:rsidRPr="00781112">
        <w:rPr>
          <w:rFonts w:cs="Arial"/>
          <w:color w:val="000000" w:themeColor="text1"/>
          <w:szCs w:val="16"/>
        </w:rPr>
        <w:t xml:space="preserve"> on stakeholder feedback, the MDE OSE determined that it would continue to report data to stakeholders and defer to stakeholders as to when updates or changes need to be made. Stakeholders would like to see </w:t>
      </w:r>
      <w:proofErr w:type="gramStart"/>
      <w:r w:rsidR="002B7490" w:rsidRPr="00781112">
        <w:rPr>
          <w:rFonts w:cs="Arial"/>
          <w:color w:val="000000" w:themeColor="text1"/>
          <w:szCs w:val="16"/>
        </w:rPr>
        <w:t>some</w:t>
      </w:r>
      <w:proofErr w:type="gramEnd"/>
      <w:r w:rsidR="002B7490" w:rsidRPr="00781112">
        <w:rPr>
          <w:rFonts w:cs="Arial"/>
          <w:color w:val="000000" w:themeColor="text1"/>
          <w:szCs w:val="16"/>
        </w:rPr>
        <w:t xml:space="preserve"> trend data prior to making changes. </w:t>
      </w:r>
    </w:p>
    <w:p w14:paraId="4A15E54A" w14:textId="77777777" w:rsidR="00B8751C" w:rsidRPr="00781112" w:rsidRDefault="00B8751C">
      <w:pPr>
        <w:rPr>
          <w:b/>
          <w:color w:val="000000" w:themeColor="text1"/>
        </w:rPr>
      </w:pPr>
    </w:p>
    <w:p w14:paraId="34EE7E29" w14:textId="77777777" w:rsidR="00B83FD1" w:rsidRDefault="00B83FD1">
      <w:pPr>
        <w:spacing w:before="0" w:after="200" w:line="276" w:lineRule="auto"/>
        <w:rPr>
          <w:b/>
          <w:color w:val="000000" w:themeColor="text1"/>
        </w:rPr>
      </w:pPr>
      <w:r>
        <w:rPr>
          <w:b/>
          <w:color w:val="000000" w:themeColor="text1"/>
        </w:rPr>
        <w:br w:type="page"/>
      </w:r>
    </w:p>
    <w:p w14:paraId="01651096" w14:textId="4D2C3B5F" w:rsidR="000A5A2E" w:rsidRPr="00781112" w:rsidRDefault="00FA33C9">
      <w:pPr>
        <w:rPr>
          <w:b/>
          <w:color w:val="000000" w:themeColor="text1"/>
        </w:rPr>
      </w:pPr>
      <w:r>
        <w:rPr>
          <w:b/>
          <w:color w:val="000000" w:themeColor="text1"/>
        </w:rPr>
        <w:lastRenderedPageBreak/>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512</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574</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589</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143</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272</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250</w:t>
            </w:r>
          </w:p>
        </w:tc>
      </w:tr>
    </w:tbl>
    <w:p w14:paraId="634CFD08" w14:textId="77777777" w:rsidR="00B83FD1" w:rsidRDefault="00B83FD1" w:rsidP="00286BDF">
      <w:pPr>
        <w:rPr>
          <w:rFonts w:cs="Arial"/>
          <w:b/>
          <w:color w:val="000000" w:themeColor="text1"/>
          <w:szCs w:val="16"/>
        </w:rPr>
      </w:pPr>
    </w:p>
    <w:p w14:paraId="31899BDA" w14:textId="3C6AABC8"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Default="002B7490" w:rsidP="00286BDF">
      <w:pPr>
        <w:rPr>
          <w:rFonts w:cs="Arial"/>
          <w:color w:val="000000" w:themeColor="text1"/>
          <w:szCs w:val="16"/>
        </w:rPr>
      </w:pPr>
      <w:r w:rsidRPr="00781112">
        <w:rPr>
          <w:rFonts w:cs="Arial"/>
          <w:color w:val="000000" w:themeColor="text1"/>
          <w:szCs w:val="16"/>
        </w:rPr>
        <w:t>04/05/2023</w:t>
      </w:r>
    </w:p>
    <w:p w14:paraId="1AA59FC1" w14:textId="77777777" w:rsidR="00B83FD1" w:rsidRPr="00781112" w:rsidRDefault="00B83FD1" w:rsidP="00286BDF">
      <w:pPr>
        <w:rPr>
          <w:rFonts w:cs="Arial"/>
          <w:color w:val="000000" w:themeColor="text1"/>
          <w:szCs w:val="16"/>
        </w:rPr>
      </w:pP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514</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573</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553</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165</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200</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160</w:t>
            </w:r>
          </w:p>
        </w:tc>
      </w:tr>
    </w:tbl>
    <w:p w14:paraId="56C37F05" w14:textId="77777777" w:rsidR="00241BD0" w:rsidRDefault="00241BD0" w:rsidP="004369B2">
      <w:pPr>
        <w:rPr>
          <w:color w:val="000000" w:themeColor="text1"/>
        </w:rPr>
      </w:pPr>
    </w:p>
    <w:p w14:paraId="7B711F34" w14:textId="77777777" w:rsidR="00B83FD1" w:rsidRPr="00781112" w:rsidRDefault="00B83FD1"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143</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512</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34.15%</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37.00%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27.93%</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272</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574</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48.38%</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52.00%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47.39%</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250</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589</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52.22%</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52.00%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42.44%</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bl>
    <w:p w14:paraId="59662641" w14:textId="77777777" w:rsidR="00445640" w:rsidRPr="00781112" w:rsidRDefault="00445640" w:rsidP="00445640">
      <w:pPr>
        <w:rPr>
          <w:b/>
          <w:color w:val="000000" w:themeColor="text1"/>
        </w:rPr>
      </w:pPr>
      <w:r w:rsidRPr="00781112">
        <w:rPr>
          <w:b/>
          <w:color w:val="000000" w:themeColor="text1"/>
        </w:rPr>
        <w:t>Provide reasons for slippage for Group A, if applicable</w:t>
      </w:r>
    </w:p>
    <w:p w14:paraId="3ED6788F"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The MDE OSE attributes slippage to the continued impact lack of in-person instruction during the COVID-19 Pandemic. The MDE OSE will continue to review the trend data for this indicator and work across offices within the MDE to develop improvement strategies. </w:t>
      </w:r>
    </w:p>
    <w:p w14:paraId="030DB68B" w14:textId="77777777" w:rsidR="00445640" w:rsidRPr="00781112" w:rsidRDefault="00445640" w:rsidP="00445640">
      <w:pPr>
        <w:rPr>
          <w:b/>
          <w:color w:val="000000" w:themeColor="text1"/>
        </w:rPr>
      </w:pPr>
      <w:r w:rsidRPr="00781112">
        <w:rPr>
          <w:b/>
          <w:color w:val="000000" w:themeColor="text1"/>
        </w:rPr>
        <w:t>Provide reasons for slippage for Group C, if applicable</w:t>
      </w:r>
    </w:p>
    <w:p w14:paraId="402097F6"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The MDE OSE attributes slippage to the continued impact lack of in-person instruction during the COVID-19 Pandemic. The MDE OSE will continue to review the trend data for this indicator and work across offices within the MDE to develop improvement strategies. </w:t>
      </w:r>
    </w:p>
    <w:p w14:paraId="493A373E" w14:textId="77777777" w:rsidR="00445640" w:rsidRDefault="00445640" w:rsidP="000C3A20">
      <w:pPr>
        <w:rPr>
          <w:color w:val="000000" w:themeColor="text1"/>
        </w:rPr>
      </w:pPr>
    </w:p>
    <w:p w14:paraId="4B3B0A29" w14:textId="77777777" w:rsidR="00B83FD1" w:rsidRDefault="00B83FD1">
      <w:pPr>
        <w:spacing w:before="0" w:after="200" w:line="276" w:lineRule="auto"/>
        <w:rPr>
          <w:color w:val="000000" w:themeColor="text1"/>
        </w:rPr>
      </w:pPr>
      <w:r>
        <w:rPr>
          <w:color w:val="000000" w:themeColor="text1"/>
        </w:rPr>
        <w:br w:type="page"/>
      </w:r>
    </w:p>
    <w:p w14:paraId="73E73F7F" w14:textId="7BB433FA" w:rsidR="00BD7229" w:rsidRPr="00781112" w:rsidRDefault="0047313F" w:rsidP="004369B2">
      <w:pPr>
        <w:rPr>
          <w:b/>
          <w:color w:val="000000" w:themeColor="text1"/>
        </w:rPr>
      </w:pPr>
      <w:r>
        <w:rPr>
          <w:b/>
          <w:color w:val="000000" w:themeColor="text1"/>
        </w:rPr>
        <w:lastRenderedPageBreak/>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165</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514</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36.63%</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42.00%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32.10%</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200</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573</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41.68%</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47.00%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34.90%</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160</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553</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31.03%</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32.00%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28.93%</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bl>
    <w:p w14:paraId="5AEEFFF3" w14:textId="77777777" w:rsidR="00BC545C" w:rsidRPr="00781112" w:rsidRDefault="00BC545C" w:rsidP="00BC545C">
      <w:pPr>
        <w:rPr>
          <w:b/>
          <w:color w:val="000000" w:themeColor="text1"/>
        </w:rPr>
      </w:pPr>
      <w:r w:rsidRPr="00781112">
        <w:rPr>
          <w:b/>
          <w:color w:val="000000" w:themeColor="text1"/>
        </w:rPr>
        <w:t>Provide reasons for slippage for Group A, if applicable</w:t>
      </w:r>
    </w:p>
    <w:p w14:paraId="1DDE00F8" w14:textId="3D8E6705" w:rsidR="00BC545C" w:rsidRPr="00781112" w:rsidRDefault="00BC545C" w:rsidP="00BC545C">
      <w:pPr>
        <w:rPr>
          <w:rFonts w:cs="Arial"/>
          <w:color w:val="000000" w:themeColor="text1"/>
          <w:szCs w:val="16"/>
        </w:rPr>
      </w:pPr>
    </w:p>
    <w:p w14:paraId="3EF6DDB5" w14:textId="77777777" w:rsidR="00BC545C" w:rsidRPr="00781112" w:rsidRDefault="00BC545C" w:rsidP="00BC545C">
      <w:pPr>
        <w:rPr>
          <w:b/>
          <w:color w:val="000000" w:themeColor="text1"/>
        </w:rPr>
      </w:pPr>
      <w:r w:rsidRPr="00781112">
        <w:rPr>
          <w:b/>
          <w:color w:val="000000" w:themeColor="text1"/>
        </w:rPr>
        <w:t>Provide reasons for slippage for Group B, if applicable</w:t>
      </w:r>
    </w:p>
    <w:p w14:paraId="1FA44525" w14:textId="1B1302EF" w:rsidR="00BC545C" w:rsidRPr="00781112" w:rsidRDefault="00BC545C" w:rsidP="00BC545C">
      <w:pPr>
        <w:rPr>
          <w:rFonts w:cs="Arial"/>
          <w:color w:val="000000" w:themeColor="text1"/>
          <w:szCs w:val="16"/>
        </w:rPr>
      </w:pPr>
    </w:p>
    <w:p w14:paraId="3BD3EF8A" w14:textId="104C0C76" w:rsidR="00BC545C" w:rsidRPr="00B83FD1" w:rsidRDefault="00BC545C" w:rsidP="00BC545C">
      <w:pPr>
        <w:rPr>
          <w:b/>
          <w:color w:val="000000" w:themeColor="text1"/>
        </w:rPr>
      </w:pPr>
      <w:r w:rsidRPr="00781112">
        <w:rPr>
          <w:b/>
          <w:color w:val="000000" w:themeColor="text1"/>
        </w:rPr>
        <w:t>Provide reasons for slippage for Group C, if applicable</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Links to public reports of assessment results can be found at www.mdek12.org/SPP-APR under the links titled: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Assessment Public Reporting 2021-2022 Participation (https://www.mdek12.org/sites/default/files/2021-2022_alt_participation_posted.xlsx)</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Assessment Public Reporting 2021-2022 Alternate Proficiency (https://www.mdek12.org/sites/default/files/2021-22_alt_proficiency_posted.xlsx)</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Assessment Public Reporting 2021-2022 MAAP Participation (https://www.mdek12.org/sites/default/files/2021-2022_maap_participation_swd_accom_posted.xlsx)</w:t>
      </w:r>
    </w:p>
    <w:p w14:paraId="19728EE3" w14:textId="61BC4FBE" w:rsidR="00A869E9" w:rsidRPr="00B83FD1" w:rsidRDefault="00796DC0" w:rsidP="000E33D0">
      <w:pPr>
        <w:rPr>
          <w:b/>
          <w:color w:val="000000" w:themeColor="text1"/>
        </w:rPr>
      </w:pPr>
      <w:r w:rsidRPr="00781112">
        <w:rPr>
          <w:b/>
          <w:color w:val="000000" w:themeColor="text1"/>
        </w:rPr>
        <w:t>Provide additional information about this indicator (optional)</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0EFAA7F7" w14:textId="3301A8FA" w:rsidR="00247959" w:rsidRPr="00B83FD1" w:rsidRDefault="007639D7" w:rsidP="000A2C83">
      <w:pPr>
        <w:rPr>
          <w:b/>
          <w:color w:val="000000" w:themeColor="text1"/>
        </w:rPr>
      </w:pPr>
      <w:r>
        <w:rPr>
          <w:b/>
          <w:color w:val="000000" w:themeColor="text1"/>
        </w:rPr>
        <w:t>Response to actions required in FFY 2020 SPP/APR</w:t>
      </w: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 xml:space="preserve">The State's FFY 2021 data </w:t>
      </w:r>
      <w:proofErr w:type="gramStart"/>
      <w:r w:rsidRPr="00781112">
        <w:rPr>
          <w:rFonts w:cs="Arial"/>
          <w:color w:val="000000" w:themeColor="text1"/>
          <w:szCs w:val="16"/>
          <w:shd w:val="clear" w:color="auto" w:fill="FFFFFF"/>
        </w:rPr>
        <w:t>represent</w:t>
      </w:r>
      <w:proofErr w:type="gramEnd"/>
      <w:r w:rsidRPr="00781112">
        <w:rPr>
          <w:rFonts w:cs="Arial"/>
          <w:color w:val="000000" w:themeColor="text1"/>
          <w:szCs w:val="16"/>
          <w:shd w:val="clear" w:color="auto" w:fill="FFFFFF"/>
        </w:rPr>
        <w:t xml:space="preserve"> slippage from the FFY 2020 </w:t>
      </w:r>
      <w:proofErr w:type="gramStart"/>
      <w:r w:rsidRPr="00781112">
        <w:rPr>
          <w:rFonts w:cs="Arial"/>
          <w:color w:val="000000" w:themeColor="text1"/>
          <w:szCs w:val="16"/>
          <w:shd w:val="clear" w:color="auto" w:fill="FFFFFF"/>
        </w:rPr>
        <w:t>data</w:t>
      </w:r>
      <w:proofErr w:type="gramEnd"/>
      <w:r w:rsidRPr="00781112">
        <w:rPr>
          <w:rFonts w:cs="Arial"/>
          <w:color w:val="000000" w:themeColor="text1"/>
          <w:szCs w:val="16"/>
          <w:shd w:val="clear" w:color="auto" w:fill="FFFFFF"/>
        </w:rPr>
        <w:t xml:space="preserve"> and the State did not meet its FFY 2021 target for this indicator. The State did not, as required, provide the reasons for slippage for FFY 2021 Math Assessment Grades 4, 8, and HS.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did not provide a Web link demonstrating that the State reported publicly on the performance of children with disabilities on statewide assessments with the same frequency and in the same detail as it reports on the assessments of nondisabled children, as required by 34 C.F.R. § 300.160(f). Specifically, the State has not reported, compared with the achievement of all children, including children with disabilities, the performance results of children with disabilities on alternate assessments based on alternate academic achievement standards, at the school level. The failure to publicly report as required under 34 C.F.R. § 300.160(f) is noncompliance.</w:t>
      </w:r>
    </w:p>
    <w:p w14:paraId="0774F476" w14:textId="1E34BC77" w:rsidR="00796DC0" w:rsidRPr="00781112" w:rsidRDefault="00573F6C" w:rsidP="008645AD">
      <w:pPr>
        <w:pStyle w:val="Heading2"/>
      </w:pPr>
      <w:r w:rsidRPr="00781112">
        <w:t>3C - Required Actions</w:t>
      </w:r>
    </w:p>
    <w:p w14:paraId="5933CC1B" w14:textId="2E2B0B99" w:rsidR="00A63347" w:rsidRPr="00781112" w:rsidRDefault="003D7F56" w:rsidP="00B83FD1">
      <w:pPr>
        <w:rPr>
          <w:rFonts w:cs="Arial"/>
          <w:color w:val="000000" w:themeColor="text1"/>
          <w:szCs w:val="16"/>
          <w:shd w:val="clear" w:color="auto" w:fill="FFFFFF"/>
        </w:rPr>
      </w:pPr>
      <w:r w:rsidRPr="00781112">
        <w:rPr>
          <w:rFonts w:cs="Arial"/>
          <w:color w:val="000000" w:themeColor="text1"/>
          <w:szCs w:val="16"/>
          <w:shd w:val="clear" w:color="auto" w:fill="FFFFFF"/>
        </w:rPr>
        <w:t>Within 90 days of the receipt of the State's 2023 determination letter, the State must provide to OSEP a Web link that demonstrates that it has reported, for FFY 2021, to the public, on the statewide assessments of children with disabilities in accordance with 34 C.F.R. § 300.160(f). Specifically, the State has not reported, compared with the achievement of all children, including children with disabilities, the performance results of children with disabilities on alternate assessments based on alternate academic achievement standards, at the school level. In addition, OSEP reminds the State that in the FFY 2022 SPP/APR, the State must include a Web link that demonstrates compliance with 34 C.F.R. § 300.160(f) for FFY 2022.</w:t>
      </w:r>
      <w:r w:rsidR="00A63347"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20.99</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27.44</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27.01</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18.11</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25.68</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25.72</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17.00</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15.00</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13.00</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11.00</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9.00</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23.00</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21.00</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19.00</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17.00</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15.00</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23.00</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21.00</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19.00</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17.00</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15.00</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14.00</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12.00</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10.00</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8.00</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6.00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23.00</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21.00</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19.00</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17.00</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15.00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23.00</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21.00</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19.00</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17.00</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15.00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The Mississippi Department of Education solicited stakeholder feedback through multiple in person and virtual meetings with teachers, administrators, special education directors, representatives of parent advocacy groups, and parents as outlined in the Introduction. Stakeholder feedback </w:t>
      </w:r>
      <w:proofErr w:type="gramStart"/>
      <w:r w:rsidRPr="00781112">
        <w:rPr>
          <w:rFonts w:cs="Arial"/>
          <w:color w:val="000000" w:themeColor="text1"/>
          <w:szCs w:val="16"/>
        </w:rPr>
        <w:t>was also solicited</w:t>
      </w:r>
      <w:proofErr w:type="gramEnd"/>
      <w:r w:rsidRPr="00781112">
        <w:rPr>
          <w:rFonts w:cs="Arial"/>
          <w:color w:val="000000" w:themeColor="text1"/>
          <w:szCs w:val="16"/>
        </w:rPr>
        <w:t xml:space="preserve"> from the Special Education Advisory Panel. Because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baseline and targets were set last year based on stakeholder feedback, The MDE OSE did not seek feedback regarding updating targets or baseline. </w:t>
      </w:r>
      <w:proofErr w:type="gramStart"/>
      <w:r w:rsidRPr="00781112">
        <w:rPr>
          <w:rFonts w:cs="Arial"/>
          <w:color w:val="000000" w:themeColor="text1"/>
          <w:szCs w:val="16"/>
        </w:rPr>
        <w:t>Rather based</w:t>
      </w:r>
      <w:proofErr w:type="gramEnd"/>
      <w:r w:rsidRPr="00781112">
        <w:rPr>
          <w:rFonts w:cs="Arial"/>
          <w:color w:val="000000" w:themeColor="text1"/>
          <w:szCs w:val="16"/>
        </w:rPr>
        <w:t xml:space="preserve"> on stakeholder feedback, the MDE OSE determined that it would continue to report data to stakeholders and defer to stakeholders as to when updates or changes need to be made. Stakeholders would like to see </w:t>
      </w:r>
      <w:proofErr w:type="gramStart"/>
      <w:r w:rsidRPr="00781112">
        <w:rPr>
          <w:rFonts w:cs="Arial"/>
          <w:color w:val="000000" w:themeColor="text1"/>
          <w:szCs w:val="16"/>
        </w:rPr>
        <w:t>some</w:t>
      </w:r>
      <w:proofErr w:type="gramEnd"/>
      <w:r w:rsidRPr="00781112">
        <w:rPr>
          <w:rFonts w:cs="Arial"/>
          <w:color w:val="000000" w:themeColor="text1"/>
          <w:szCs w:val="16"/>
        </w:rPr>
        <w:t xml:space="preserve"> trend data prior to making changes. </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31,936</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34,062</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31,552</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4,743</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4,339</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2,969</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13,018</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11,050</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13,162</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979</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590</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555</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463</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82</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51</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407</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316</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298</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31,906</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35,575</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31,159</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4,738</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4,337</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2,912</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13,355</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15,025</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18,546</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1,161</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871</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1,296</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515</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119</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109</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518</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450</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833</w:t>
            </w:r>
          </w:p>
        </w:tc>
      </w:tr>
    </w:tbl>
    <w:p w14:paraId="1EA160DB" w14:textId="77777777" w:rsidR="00DD5B7A" w:rsidRPr="00781112" w:rsidRDefault="00DD5B7A" w:rsidP="00DD5B7A">
      <w:pPr>
        <w:rPr>
          <w:color w:val="000000" w:themeColor="text1"/>
        </w:rPr>
      </w:pPr>
    </w:p>
    <w:p w14:paraId="7EF6386B" w14:textId="77777777" w:rsidR="00B83FD1" w:rsidRDefault="00B83FD1">
      <w:pPr>
        <w:spacing w:before="0" w:after="200" w:line="276" w:lineRule="auto"/>
        <w:rPr>
          <w:b/>
          <w:color w:val="000000" w:themeColor="text1"/>
        </w:rPr>
      </w:pPr>
      <w:r>
        <w:rPr>
          <w:b/>
          <w:color w:val="000000" w:themeColor="text1"/>
        </w:rPr>
        <w:br w:type="page"/>
      </w:r>
    </w:p>
    <w:p w14:paraId="300D6CD4" w14:textId="4468AE5E" w:rsidR="00DD5B7A" w:rsidRPr="00781112" w:rsidRDefault="0047313F" w:rsidP="00DD5B7A">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18.34%</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43.83%</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20.99</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17.00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25.49</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9.17%</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34.17%</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27.40</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23.00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25.00</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11.75%</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43.47%</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27.01</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23.00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31.72</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bl>
    <w:p w14:paraId="0544CEF5" w14:textId="340F21D5" w:rsidR="00DD5B7A" w:rsidRPr="00781112" w:rsidRDefault="00DD5B7A" w:rsidP="00DD5B7A">
      <w:pPr>
        <w:rPr>
          <w:b/>
          <w:color w:val="000000" w:themeColor="text1"/>
        </w:rPr>
      </w:pPr>
      <w:r w:rsidRPr="00781112">
        <w:rPr>
          <w:b/>
          <w:color w:val="000000" w:themeColor="text1"/>
        </w:rPr>
        <w:t>Provide reasons for slippage for Group A, if applicable</w:t>
      </w:r>
    </w:p>
    <w:p w14:paraId="3BC42DAC" w14:textId="17CCCE54" w:rsidR="00DD5B7A" w:rsidRPr="00781112" w:rsidRDefault="00DD5B7A" w:rsidP="00DD5B7A">
      <w:pPr>
        <w:rPr>
          <w:rFonts w:cs="Arial"/>
          <w:color w:val="000000" w:themeColor="text1"/>
          <w:szCs w:val="16"/>
        </w:rPr>
      </w:pPr>
      <w:r w:rsidRPr="00781112">
        <w:rPr>
          <w:rFonts w:cs="Arial"/>
          <w:color w:val="000000" w:themeColor="text1"/>
          <w:szCs w:val="16"/>
        </w:rPr>
        <w:t xml:space="preserve">The MDE OSE attributes slippage to the continued impact lack of in-person instruction during the COVID-19 Pandemic. The MDE OSE will continue to review the trend data for this indicator and work across offices within the MDE to develop improvement strategies. </w:t>
      </w:r>
    </w:p>
    <w:p w14:paraId="40493524" w14:textId="77777777" w:rsidR="00DD5B7A" w:rsidRPr="00781112" w:rsidRDefault="00DD5B7A" w:rsidP="00DD5B7A">
      <w:pPr>
        <w:rPr>
          <w:b/>
          <w:color w:val="000000" w:themeColor="text1"/>
        </w:rPr>
      </w:pPr>
      <w:r w:rsidRPr="00781112">
        <w:rPr>
          <w:b/>
          <w:color w:val="000000" w:themeColor="text1"/>
        </w:rPr>
        <w:t>Provide reasons for slippage for Group C, if applicable</w:t>
      </w:r>
    </w:p>
    <w:p w14:paraId="5388895B" w14:textId="46419D14" w:rsidR="00DD5B7A" w:rsidRPr="00781112" w:rsidRDefault="00DD5B7A" w:rsidP="00DD5B7A">
      <w:pPr>
        <w:rPr>
          <w:rFonts w:cs="Arial"/>
          <w:color w:val="000000" w:themeColor="text1"/>
          <w:szCs w:val="16"/>
        </w:rPr>
      </w:pPr>
      <w:r w:rsidRPr="00781112">
        <w:rPr>
          <w:rFonts w:cs="Arial"/>
          <w:color w:val="000000" w:themeColor="text1"/>
          <w:szCs w:val="16"/>
        </w:rPr>
        <w:t xml:space="preserve">The MDE OSE attributes slippage to the continued impact lack of in-person instruction during the COVID-19 Pandemic. The MDE OSE will continue to review the trend data for this indicator and work across offices within the MDE to develop improvement strategies. </w:t>
      </w:r>
    </w:p>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21.80%</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45.50%</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18.11</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14.00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23.69</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13.12%</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44.68%</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25.68</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23.00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31.56</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32.35%</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63.68%</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25.72</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23.00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31.33</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bl>
    <w:p w14:paraId="128BD33F" w14:textId="79412CBF" w:rsidR="00DD5B7A" w:rsidRPr="00781112" w:rsidRDefault="00DD5B7A" w:rsidP="00DD5B7A">
      <w:pPr>
        <w:rPr>
          <w:b/>
          <w:color w:val="000000" w:themeColor="text1"/>
        </w:rPr>
      </w:pPr>
      <w:r w:rsidRPr="00781112">
        <w:rPr>
          <w:b/>
          <w:color w:val="000000" w:themeColor="text1"/>
        </w:rPr>
        <w:t>Provide reasons for slippage for Group A, if applicable</w:t>
      </w:r>
    </w:p>
    <w:p w14:paraId="1933D4BB" w14:textId="701E9B2A" w:rsidR="00DD5B7A" w:rsidRPr="00781112" w:rsidRDefault="00DD5B7A" w:rsidP="00DD5B7A">
      <w:pPr>
        <w:rPr>
          <w:rFonts w:cs="Arial"/>
          <w:color w:val="000000" w:themeColor="text1"/>
          <w:szCs w:val="16"/>
        </w:rPr>
      </w:pPr>
    </w:p>
    <w:p w14:paraId="4067963A" w14:textId="77777777" w:rsidR="00DD5B7A" w:rsidRPr="00781112" w:rsidRDefault="00DD5B7A" w:rsidP="00DD5B7A">
      <w:pPr>
        <w:rPr>
          <w:b/>
          <w:color w:val="000000" w:themeColor="text1"/>
        </w:rPr>
      </w:pPr>
      <w:r w:rsidRPr="00781112">
        <w:rPr>
          <w:b/>
          <w:color w:val="000000" w:themeColor="text1"/>
        </w:rPr>
        <w:t>Provide reasons for slippage for Group B, if applicable</w:t>
      </w:r>
    </w:p>
    <w:p w14:paraId="60FB05E9" w14:textId="1D3AC0FD" w:rsidR="00DD5B7A" w:rsidRPr="00781112" w:rsidRDefault="00DD5B7A" w:rsidP="00DD5B7A">
      <w:pPr>
        <w:rPr>
          <w:rFonts w:cs="Arial"/>
          <w:color w:val="000000" w:themeColor="text1"/>
          <w:szCs w:val="16"/>
        </w:rPr>
      </w:pPr>
    </w:p>
    <w:p w14:paraId="48590530" w14:textId="77777777" w:rsidR="00DD5B7A" w:rsidRPr="00781112" w:rsidRDefault="00DD5B7A" w:rsidP="00DD5B7A">
      <w:pPr>
        <w:rPr>
          <w:b/>
          <w:color w:val="000000" w:themeColor="text1"/>
        </w:rPr>
      </w:pPr>
      <w:r w:rsidRPr="00781112">
        <w:rPr>
          <w:b/>
          <w:color w:val="000000" w:themeColor="text1"/>
        </w:rPr>
        <w:t>Provide reasons for slippage for Group C, if applicable</w:t>
      </w:r>
    </w:p>
    <w:p w14:paraId="1A28E80B" w14:textId="44144509" w:rsidR="00DD5B7A" w:rsidRPr="00781112" w:rsidRDefault="00DD5B7A" w:rsidP="00DD5B7A">
      <w:pPr>
        <w:rPr>
          <w:rFonts w:cs="Arial"/>
          <w:color w:val="000000" w:themeColor="text1"/>
          <w:szCs w:val="16"/>
        </w:rPr>
      </w:pPr>
    </w:p>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 xml:space="preserve">Links to public reports of assessment results can be found at www.mdek12.org/SPP-APR under the links titled: </w:t>
      </w:r>
      <w:r w:rsidRPr="00781112">
        <w:rPr>
          <w:rFonts w:cs="Arial"/>
          <w:color w:val="000000" w:themeColor="text1"/>
          <w:szCs w:val="16"/>
        </w:rPr>
        <w:br/>
      </w:r>
      <w:r w:rsidRPr="00781112">
        <w:rPr>
          <w:rFonts w:cs="Arial"/>
          <w:color w:val="000000" w:themeColor="text1"/>
          <w:szCs w:val="16"/>
        </w:rPr>
        <w:br/>
        <w:t>Assessment Public Reporting 2021-2022 Participation (https://www.mdek12.org/sites/default/files/2021-2022_alt_participation_posted.xlsx)</w:t>
      </w:r>
      <w:r w:rsidRPr="00781112">
        <w:rPr>
          <w:rFonts w:cs="Arial"/>
          <w:color w:val="000000" w:themeColor="text1"/>
          <w:szCs w:val="16"/>
        </w:rPr>
        <w:br/>
      </w:r>
      <w:r w:rsidRPr="00781112">
        <w:rPr>
          <w:rFonts w:cs="Arial"/>
          <w:color w:val="000000" w:themeColor="text1"/>
          <w:szCs w:val="16"/>
        </w:rPr>
        <w:br/>
        <w:t>Assessment Public Reporting 2021-2022 Alternate Proficiency (https://www.mdek12.org/sites/default/files/2021-22_alt_proficiency_posted.xlsx)</w:t>
      </w:r>
      <w:r w:rsidRPr="00781112">
        <w:rPr>
          <w:rFonts w:cs="Arial"/>
          <w:color w:val="000000" w:themeColor="text1"/>
          <w:szCs w:val="16"/>
        </w:rPr>
        <w:br/>
      </w:r>
      <w:r w:rsidRPr="00781112">
        <w:rPr>
          <w:rFonts w:cs="Arial"/>
          <w:color w:val="000000" w:themeColor="text1"/>
          <w:szCs w:val="16"/>
        </w:rPr>
        <w:br/>
        <w:t>Assessment Public Reporting 2021-2022 MAAP Participation (https://www.mdek12.org/sites/default/files/2021-2022_maap_participation_swd_accom_posted.xlsx)</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With the FFY 2021 SPP/APR, the State must establish a baseline for 8th Grade Reading with accurate data and ensure its FFY 2025 target for 8th Grade Reading reflects improvement.</w:t>
      </w:r>
    </w:p>
    <w:p w14:paraId="47ABF9E7" w14:textId="76AF8E5D" w:rsidR="00764DDE" w:rsidRPr="00781112" w:rsidRDefault="007639D7" w:rsidP="00764DDE">
      <w:pPr>
        <w:rPr>
          <w:color w:val="000000" w:themeColor="text1"/>
        </w:rPr>
      </w:pPr>
      <w:r>
        <w:rPr>
          <w:b/>
          <w:color w:val="000000" w:themeColor="text1"/>
        </w:rPr>
        <w:t>Response to actions required in FFY 2020 SPP/APR</w:t>
      </w:r>
      <w:r w:rsidR="00764DDE" w:rsidRPr="00781112">
        <w:rPr>
          <w:rFonts w:cs="Arial"/>
          <w:color w:val="000000" w:themeColor="text1"/>
          <w:szCs w:val="16"/>
        </w:rPr>
        <w:t xml:space="preserve"> </w:t>
      </w:r>
    </w:p>
    <w:p w14:paraId="2B9EE617" w14:textId="322813AD" w:rsidR="00764DDE" w:rsidRPr="00781112" w:rsidRDefault="00764DDE" w:rsidP="00764DDE">
      <w:pPr>
        <w:rPr>
          <w:rFonts w:cs="Arial"/>
          <w:color w:val="000000" w:themeColor="text1"/>
          <w:szCs w:val="16"/>
        </w:rPr>
      </w:pPr>
    </w:p>
    <w:p w14:paraId="02AADAEE" w14:textId="09BE2C66" w:rsidR="00764DDE" w:rsidRPr="00781112" w:rsidRDefault="00764DDE" w:rsidP="00764DDE">
      <w:pPr>
        <w:pStyle w:val="Heading2"/>
      </w:pPr>
      <w:r w:rsidRPr="00781112">
        <w:lastRenderedPageBreak/>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 xml:space="preserve">The State's FFY 2021 data </w:t>
      </w:r>
      <w:proofErr w:type="gramStart"/>
      <w:r w:rsidRPr="00781112">
        <w:rPr>
          <w:rFonts w:cs="Arial"/>
          <w:color w:val="000000" w:themeColor="text1"/>
          <w:szCs w:val="16"/>
          <w:shd w:val="clear" w:color="auto" w:fill="FFFFFF"/>
        </w:rPr>
        <w:t>represent</w:t>
      </w:r>
      <w:proofErr w:type="gramEnd"/>
      <w:r w:rsidRPr="00781112">
        <w:rPr>
          <w:rFonts w:cs="Arial"/>
          <w:color w:val="000000" w:themeColor="text1"/>
          <w:szCs w:val="16"/>
          <w:shd w:val="clear" w:color="auto" w:fill="FFFFFF"/>
        </w:rPr>
        <w:t xml:space="preserve"> slippage from the FFY 2020 </w:t>
      </w:r>
      <w:proofErr w:type="gramStart"/>
      <w:r w:rsidRPr="00781112">
        <w:rPr>
          <w:rFonts w:cs="Arial"/>
          <w:color w:val="000000" w:themeColor="text1"/>
          <w:szCs w:val="16"/>
          <w:shd w:val="clear" w:color="auto" w:fill="FFFFFF"/>
        </w:rPr>
        <w:t>data</w:t>
      </w:r>
      <w:proofErr w:type="gramEnd"/>
      <w:r w:rsidRPr="00781112">
        <w:rPr>
          <w:rFonts w:cs="Arial"/>
          <w:color w:val="000000" w:themeColor="text1"/>
          <w:szCs w:val="16"/>
          <w:shd w:val="clear" w:color="auto" w:fill="FFFFFF"/>
        </w:rPr>
        <w:t xml:space="preserve"> and the State did not meet its FFY 2021 target for this indicator. The State did not, as required, provide the reasons for slippage for FFY 2021 Math Assessment Grades 4, 8, and HS.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OSEP's response to the State's FFY 2020 SPP/APR required the State, with the FFY 2021 SPP/APR, to establish a baseline for 8th Grade Reading with accurate data and ensure its FFY 2025 target for 8th Grade Reading reflects improvement. The State did not provide this data; therefore, OSEP is unable to accept the baseline and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did not, as required by the OSEP Response to the State's FFY 2020 SPP/APR, establish a baseline for 8th Grade Reading with accurate data and ensure its FFY 2025 target for 8th Grade Reading reflects improvement. In its FFY 2022 SPP/APR, the State must provide the required information.</w:t>
      </w: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8"/>
      <w:bookmarkEnd w:id="19"/>
    </w:p>
    <w:p w14:paraId="6B24B370" w14:textId="77777777" w:rsidR="006E5AE4" w:rsidRPr="00781112" w:rsidRDefault="006E5AE4" w:rsidP="00A018D4">
      <w:pPr>
        <w:rPr>
          <w:color w:val="000000" w:themeColor="text1"/>
          <w:szCs w:val="20"/>
        </w:rPr>
      </w:pPr>
      <w:bookmarkStart w:id="21" w:name="_Toc384383331"/>
      <w:bookmarkStart w:id="22"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22C5D4B" w14:textId="269C53BA" w:rsidR="004F019B" w:rsidRPr="00781112" w:rsidRDefault="004F019B" w:rsidP="004F019B">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2021-2022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3" w:name="_Toc384383332"/>
      <w:bookmarkStart w:id="24" w:name="_Toc392159284"/>
      <w:bookmarkEnd w:id="21"/>
      <w:bookmarkEnd w:id="22"/>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9.59%</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9.59%</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4.76%</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4.70%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10.27%</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12.06%</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0.00%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The Mississippi Department of Education solicited stakeholder feedback through multiple in person and virtual meetings with teachers, administrators, special education directors, representatives of parent advocacy groups, and parents as outlined in the Introduction. Stakeholder feedback </w:t>
      </w:r>
      <w:proofErr w:type="gramStart"/>
      <w:r w:rsidRPr="00781112">
        <w:rPr>
          <w:rFonts w:cs="Arial"/>
          <w:color w:val="000000" w:themeColor="text1"/>
          <w:szCs w:val="16"/>
        </w:rPr>
        <w:t>was also solicited</w:t>
      </w:r>
      <w:proofErr w:type="gramEnd"/>
      <w:r w:rsidRPr="00781112">
        <w:rPr>
          <w:rFonts w:cs="Arial"/>
          <w:color w:val="000000" w:themeColor="text1"/>
          <w:szCs w:val="16"/>
        </w:rPr>
        <w:t xml:space="preserve"> from the Special Education Advisory Panel. Because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baseline and targets were set last year based on stakeholder feedback, The MDE OSE did not seek feedback regarding updating targets or baseline. </w:t>
      </w:r>
      <w:proofErr w:type="gramStart"/>
      <w:r w:rsidRPr="00781112">
        <w:rPr>
          <w:rFonts w:cs="Arial"/>
          <w:color w:val="000000" w:themeColor="text1"/>
          <w:szCs w:val="16"/>
        </w:rPr>
        <w:t>Rather based</w:t>
      </w:r>
      <w:proofErr w:type="gramEnd"/>
      <w:r w:rsidRPr="00781112">
        <w:rPr>
          <w:rFonts w:cs="Arial"/>
          <w:color w:val="000000" w:themeColor="text1"/>
          <w:szCs w:val="16"/>
        </w:rPr>
        <w:t xml:space="preserve"> on stakeholder feedback, the MDE OSE determined that it would continue to report data to stakeholders and defer to stakeholders as to when updates or changes need to be made. Stakeholders would like to see </w:t>
      </w:r>
      <w:proofErr w:type="gramStart"/>
      <w:r w:rsidRPr="00781112">
        <w:rPr>
          <w:rFonts w:cs="Arial"/>
          <w:color w:val="000000" w:themeColor="text1"/>
          <w:szCs w:val="16"/>
        </w:rPr>
        <w:t>some</w:t>
      </w:r>
      <w:proofErr w:type="gramEnd"/>
      <w:r w:rsidRPr="00781112">
        <w:rPr>
          <w:rFonts w:cs="Arial"/>
          <w:color w:val="000000" w:themeColor="text1"/>
          <w:szCs w:val="16"/>
        </w:rPr>
        <w:t xml:space="preserve"> trend data prior to making changes.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 xml:space="preserve">The Mississippi Department of Education solicited stakeholder feed back through multiple in person and virtual meetings with teachers, administrators, special education directors, representatives of parent advocacy groups, and parents as outlined in the Introduction. Stakeholder feedback </w:t>
      </w:r>
      <w:proofErr w:type="gramStart"/>
      <w:r w:rsidRPr="00781112">
        <w:rPr>
          <w:rFonts w:cs="Arial"/>
          <w:color w:val="000000" w:themeColor="text1"/>
          <w:szCs w:val="16"/>
        </w:rPr>
        <w:t>was also solicited</w:t>
      </w:r>
      <w:proofErr w:type="gramEnd"/>
      <w:r w:rsidRPr="00781112">
        <w:rPr>
          <w:rFonts w:cs="Arial"/>
          <w:color w:val="000000" w:themeColor="text1"/>
          <w:szCs w:val="16"/>
        </w:rPr>
        <w:t xml:space="preserve"> from the Special Education Advisory Panel. The Mississippi Department of Education, Office of Special Education Data Team worked internally and with technical assistance providers to analyze Indicator 4A data to review baseline data. Stakeholders </w:t>
      </w:r>
      <w:proofErr w:type="gramStart"/>
      <w:r w:rsidRPr="00781112">
        <w:rPr>
          <w:rFonts w:cs="Arial"/>
          <w:color w:val="000000" w:themeColor="text1"/>
          <w:szCs w:val="16"/>
        </w:rPr>
        <w:t>were presented</w:t>
      </w:r>
      <w:proofErr w:type="gramEnd"/>
      <w:r w:rsidRPr="00781112">
        <w:rPr>
          <w:rFonts w:cs="Arial"/>
          <w:color w:val="000000" w:themeColor="text1"/>
          <w:szCs w:val="16"/>
        </w:rPr>
        <w:t xml:space="preserve"> with an overview of Indicator 4A, historical data for Indicator 4A and implementation of performance plans for improvement. Stakeholders </w:t>
      </w:r>
      <w:proofErr w:type="gramStart"/>
      <w:r w:rsidRPr="00781112">
        <w:rPr>
          <w:rFonts w:cs="Arial"/>
          <w:color w:val="000000" w:themeColor="text1"/>
          <w:szCs w:val="16"/>
        </w:rPr>
        <w:t>were asked</w:t>
      </w:r>
      <w:proofErr w:type="gramEnd"/>
      <w:r w:rsidRPr="00781112">
        <w:rPr>
          <w:rFonts w:cs="Arial"/>
          <w:color w:val="000000" w:themeColor="text1"/>
          <w:szCs w:val="16"/>
        </w:rPr>
        <w:t xml:space="preserve"> to evaluate the baseline data and determine if the FFY16 baseline data were reasonable or needed to be revised. Based on stakeholder feedback, the MDE OSE will continue to use the FFY16 baseline data. </w:t>
      </w:r>
    </w:p>
    <w:p w14:paraId="2AE297AB" w14:textId="77777777" w:rsidR="007E6F97" w:rsidRPr="00781112" w:rsidRDefault="007E6F97" w:rsidP="004369B2">
      <w:pPr>
        <w:rPr>
          <w:color w:val="000000" w:themeColor="text1"/>
        </w:rPr>
      </w:pPr>
    </w:p>
    <w:bookmarkEnd w:id="23"/>
    <w:bookmarkEnd w:id="24"/>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10</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142</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12.06%</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0.70%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State’s definition of “significant discrepancy” and methodology</w:t>
      </w:r>
      <w:r w:rsidRPr="00781112">
        <w:rPr>
          <w:rFonts w:cs="Arial"/>
          <w:color w:val="000000" w:themeColor="text1"/>
          <w:szCs w:val="16"/>
        </w:rPr>
        <w:br/>
        <w:t xml:space="preserve">Mississippi uses a rate difference calculation for Indicator 4. A "significant </w:t>
      </w:r>
      <w:proofErr w:type="gramStart"/>
      <w:r w:rsidRPr="00781112">
        <w:rPr>
          <w:rFonts w:cs="Arial"/>
          <w:color w:val="000000" w:themeColor="text1"/>
          <w:szCs w:val="16"/>
        </w:rPr>
        <w:t>discrepancy</w:t>
      </w:r>
      <w:proofErr w:type="gramEnd"/>
      <w:r w:rsidRPr="00781112">
        <w:rPr>
          <w:rFonts w:cs="Arial"/>
          <w:color w:val="000000" w:themeColor="text1"/>
          <w:szCs w:val="16"/>
        </w:rPr>
        <w:t xml:space="preserve"> is defined as having students with disabilities suspended and expelled at least 2 percentage points greater than the rate of suspension and expulsion for students without disabilities. Mississippi uses the following comparison methodology defined in 34 CFR §3000170(a). The rates of suspensions and expulsions of greater than 10 days in a school year for children with IEPs in each LEA compared to the rates for nondisabled children in the same LEA. When significant discrepancy is determined for an LEA the MDE OSE will require the LEA to conduct a self-review of policies, procedures, and practices to determine if they contributed to the significant discrepancy.</w:t>
      </w:r>
      <w:r w:rsidRPr="00781112">
        <w:rPr>
          <w:rFonts w:cs="Arial"/>
          <w:color w:val="000000" w:themeColor="text1"/>
          <w:szCs w:val="16"/>
        </w:rPr>
        <w:br/>
      </w:r>
      <w:r w:rsidRPr="00781112">
        <w:rPr>
          <w:rFonts w:cs="Arial"/>
          <w:color w:val="000000" w:themeColor="text1"/>
          <w:szCs w:val="16"/>
        </w:rPr>
        <w:br/>
        <w:t xml:space="preserve">Data on suspensions and expulsions </w:t>
      </w:r>
      <w:proofErr w:type="gramStart"/>
      <w:r w:rsidRPr="00781112">
        <w:rPr>
          <w:rFonts w:cs="Arial"/>
          <w:color w:val="000000" w:themeColor="text1"/>
          <w:szCs w:val="16"/>
        </w:rPr>
        <w:t>is gathered</w:t>
      </w:r>
      <w:proofErr w:type="gramEnd"/>
      <w:r w:rsidRPr="00781112">
        <w:rPr>
          <w:rFonts w:cs="Arial"/>
          <w:color w:val="000000" w:themeColor="text1"/>
          <w:szCs w:val="16"/>
        </w:rPr>
        <w:t xml:space="preserve"> from the State Database, Mississippi Student Information System (MSIS). The data pertaining to students with disabilities </w:t>
      </w:r>
      <w:proofErr w:type="gramStart"/>
      <w:r w:rsidRPr="00781112">
        <w:rPr>
          <w:rFonts w:cs="Arial"/>
          <w:color w:val="000000" w:themeColor="text1"/>
          <w:szCs w:val="16"/>
        </w:rPr>
        <w:t>is taken</w:t>
      </w:r>
      <w:proofErr w:type="gramEnd"/>
      <w:r w:rsidRPr="00781112">
        <w:rPr>
          <w:rFonts w:cs="Arial"/>
          <w:color w:val="000000" w:themeColor="text1"/>
          <w:szCs w:val="16"/>
        </w:rPr>
        <w:t xml:space="preserve"> from the 618 data collection, also reported to EDFacts in the Children with Disabilities (IDEA)Suspensions/Expulsions file submission. The data pertaining to students without disabilities is taken from the net membership enrollment numbers and the discipline records in MSIS.</w:t>
      </w:r>
      <w:r w:rsidRPr="00781112">
        <w:rPr>
          <w:rFonts w:cs="Arial"/>
          <w:color w:val="000000" w:themeColor="text1"/>
          <w:szCs w:val="16"/>
        </w:rPr>
        <w:br/>
      </w:r>
      <w:r w:rsidRPr="00781112">
        <w:rPr>
          <w:rFonts w:cs="Arial"/>
          <w:color w:val="000000" w:themeColor="text1"/>
          <w:szCs w:val="16"/>
        </w:rPr>
        <w:br/>
        <w:t xml:space="preserve">Mississippi used a minimum "n"size of </w:t>
      </w:r>
      <w:proofErr w:type="gramStart"/>
      <w:r w:rsidRPr="00781112">
        <w:rPr>
          <w:rFonts w:cs="Arial"/>
          <w:color w:val="000000" w:themeColor="text1"/>
          <w:szCs w:val="16"/>
        </w:rPr>
        <w:t>10</w:t>
      </w:r>
      <w:proofErr w:type="gramEnd"/>
      <w:r w:rsidRPr="00781112">
        <w:rPr>
          <w:rFonts w:cs="Arial"/>
          <w:color w:val="000000" w:themeColor="text1"/>
          <w:szCs w:val="16"/>
        </w:rPr>
        <w:t xml:space="preserve"> students with disabilities for Indicator 4. </w:t>
      </w:r>
      <w:proofErr w:type="gramStart"/>
      <w:r w:rsidRPr="00781112">
        <w:rPr>
          <w:rFonts w:cs="Arial"/>
          <w:color w:val="000000" w:themeColor="text1"/>
          <w:szCs w:val="16"/>
        </w:rPr>
        <w:t>10</w:t>
      </w:r>
      <w:proofErr w:type="gramEnd"/>
      <w:r w:rsidRPr="00781112">
        <w:rPr>
          <w:rFonts w:cs="Arial"/>
          <w:color w:val="000000" w:themeColor="text1"/>
          <w:szCs w:val="16"/>
        </w:rPr>
        <w:t xml:space="preserve"> districts were excluded from the calculation because they did not meet the minimum n/cell size. </w:t>
      </w:r>
    </w:p>
    <w:p w14:paraId="47F07052" w14:textId="77777777" w:rsidR="00BB504D" w:rsidRPr="00781112" w:rsidRDefault="00BB504D" w:rsidP="004369B2">
      <w:pPr>
        <w:rPr>
          <w:b/>
          <w:color w:val="000000" w:themeColor="text1"/>
        </w:rPr>
      </w:pPr>
      <w:bookmarkStart w:id="25" w:name="_Toc384383334"/>
      <w:bookmarkStart w:id="26"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25"/>
    <w:bookmarkEnd w:id="26"/>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The LEAs identified with a significant discrepancy must conduct a review to determine if inappropriate </w:t>
      </w:r>
      <w:proofErr w:type="gramStart"/>
      <w:r w:rsidRPr="00781112">
        <w:rPr>
          <w:rFonts w:cs="Arial"/>
          <w:color w:val="000000" w:themeColor="text1"/>
          <w:szCs w:val="16"/>
        </w:rPr>
        <w:t>policies</w:t>
      </w:r>
      <w:proofErr w:type="gramEnd"/>
      <w:r w:rsidRPr="00781112">
        <w:rPr>
          <w:rFonts w:cs="Arial"/>
          <w:color w:val="000000" w:themeColor="text1"/>
          <w:szCs w:val="16"/>
        </w:rPr>
        <w:t xml:space="preserve"> practices or procedures contributed to the significant discrepancy. </w:t>
      </w:r>
      <w:r w:rsidRPr="00781112">
        <w:rPr>
          <w:rFonts w:cs="Arial"/>
          <w:color w:val="000000" w:themeColor="text1"/>
          <w:szCs w:val="16"/>
        </w:rPr>
        <w:br/>
        <w:t xml:space="preserve">The LEA must provide a written response to the OSE that documents its review of policies practices and procedures and provides evidence to support the LEA's determination that the significant discrepancy was or was not the result of inappropriate policies, </w:t>
      </w:r>
      <w:proofErr w:type="gramStart"/>
      <w:r w:rsidRPr="00781112">
        <w:rPr>
          <w:rFonts w:cs="Arial"/>
          <w:color w:val="000000" w:themeColor="text1"/>
          <w:szCs w:val="16"/>
        </w:rPr>
        <w:t>practices</w:t>
      </w:r>
      <w:proofErr w:type="gramEnd"/>
      <w:r w:rsidRPr="00781112">
        <w:rPr>
          <w:rFonts w:cs="Arial"/>
          <w:color w:val="000000" w:themeColor="text1"/>
          <w:szCs w:val="16"/>
        </w:rPr>
        <w:t xml:space="preserve"> or procedures. The OSE provides a check list which includes a list of </w:t>
      </w:r>
      <w:proofErr w:type="gramStart"/>
      <w:r w:rsidRPr="00781112">
        <w:rPr>
          <w:rFonts w:cs="Arial"/>
          <w:color w:val="000000" w:themeColor="text1"/>
          <w:szCs w:val="16"/>
        </w:rPr>
        <w:t>various types</w:t>
      </w:r>
      <w:proofErr w:type="gramEnd"/>
      <w:r w:rsidRPr="00781112">
        <w:rPr>
          <w:rFonts w:cs="Arial"/>
          <w:color w:val="000000" w:themeColor="text1"/>
          <w:szCs w:val="16"/>
        </w:rPr>
        <w:t xml:space="preserve"> of information the LEA must review to make its determination. a completed checklist must </w:t>
      </w:r>
      <w:proofErr w:type="gramStart"/>
      <w:r w:rsidRPr="00781112">
        <w:rPr>
          <w:rFonts w:cs="Arial"/>
          <w:color w:val="000000" w:themeColor="text1"/>
          <w:szCs w:val="16"/>
        </w:rPr>
        <w:t>be submitted</w:t>
      </w:r>
      <w:proofErr w:type="gramEnd"/>
      <w:r w:rsidRPr="00781112">
        <w:rPr>
          <w:rFonts w:cs="Arial"/>
          <w:color w:val="000000" w:themeColor="text1"/>
          <w:szCs w:val="16"/>
        </w:rPr>
        <w:t xml:space="preserve"> with the LEA response. Whenever it is determined that inappropriate polices, practices or procedures contributed to a significant discrepancy, a finding of noncompliance will be issued to the LEA. The LEA </w:t>
      </w:r>
      <w:proofErr w:type="gramStart"/>
      <w:r w:rsidRPr="00781112">
        <w:rPr>
          <w:rFonts w:cs="Arial"/>
          <w:color w:val="000000" w:themeColor="text1"/>
          <w:szCs w:val="16"/>
        </w:rPr>
        <w:t>is expected</w:t>
      </w:r>
      <w:proofErr w:type="gramEnd"/>
      <w:r w:rsidRPr="00781112">
        <w:rPr>
          <w:rFonts w:cs="Arial"/>
          <w:color w:val="000000" w:themeColor="text1"/>
          <w:szCs w:val="16"/>
        </w:rPr>
        <w:t xml:space="preserve"> to correct noncompliance as soon as possible, but no later than one year from identification.</w:t>
      </w:r>
      <w:r w:rsidRPr="00781112">
        <w:rPr>
          <w:rFonts w:cs="Arial"/>
          <w:color w:val="000000" w:themeColor="text1"/>
          <w:szCs w:val="16"/>
        </w:rPr>
        <w:br/>
        <w:t xml:space="preserve">The SEA identified 1 LEA as having significant discrepancy in FFY21 based on FFY20 discipline data. Each LEA identified was required to review the LEA's policy, practices, and procedures relating to the development and implementation of IEPs, the use of positive behavioral interventions and </w:t>
      </w:r>
      <w:r w:rsidRPr="00781112">
        <w:rPr>
          <w:rFonts w:cs="Arial"/>
          <w:color w:val="000000" w:themeColor="text1"/>
          <w:szCs w:val="16"/>
        </w:rPr>
        <w:lastRenderedPageBreak/>
        <w:t xml:space="preserve">supports, and procedural safeguards to ensure compliance with the IDEA, as required by 34 CFR §300.170(b) for the LEAs identified with significant discrepancies in FFY21 based on FFY20 discipline data. LEAs submitted verification to the MDE OSE of its review of the LEA's policies, practices, and procedures relating to the development and implementation of IEPs, the use of positive behavioral interventions and supports and procedural safeguards to ensure compliance with the IDEA. The MDE OSE reviewed each LEA's verification. The MDE OSE verified that the identified significant discrepancy in each district was not due to inappropriate polices, practices or procedures and that all LEAs implemented positive behavioral interventions and procedural safeguards in compliance with IDEA. </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27" w:name="_Toc381956335"/>
      <w:bookmarkStart w:id="28" w:name="_Toc384383336"/>
      <w:bookmarkStart w:id="29"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 xml:space="preserve">The State must report, in the FFY 2021 SPP/APR, on the correction of noncompliance that the State identified in FFY 2020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t>
      </w:r>
      <w:proofErr w:type="gramStart"/>
      <w:r w:rsidRPr="00781112">
        <w:rPr>
          <w:rFonts w:cs="Arial"/>
          <w:color w:val="000000" w:themeColor="text1"/>
          <w:szCs w:val="16"/>
        </w:rPr>
        <w:t>were taken</w:t>
      </w:r>
      <w:proofErr w:type="gramEnd"/>
      <w:r w:rsidRPr="00781112">
        <w:rPr>
          <w:rFonts w:cs="Arial"/>
          <w:color w:val="000000" w:themeColor="text1"/>
          <w:szCs w:val="16"/>
        </w:rPr>
        <w:t xml:space="preserve"> to verify the correction.</w:t>
      </w:r>
      <w:r w:rsidRPr="00781112">
        <w:rPr>
          <w:rFonts w:cs="Arial"/>
          <w:color w:val="000000" w:themeColor="text1"/>
          <w:szCs w:val="16"/>
        </w:rPr>
        <w:br/>
      </w:r>
      <w:r w:rsidRPr="00781112">
        <w:rPr>
          <w:rFonts w:cs="Arial"/>
          <w:color w:val="000000" w:themeColor="text1"/>
          <w:szCs w:val="16"/>
        </w:rPr>
        <w:br/>
        <w:t xml:space="preserve">The State did not demonstrate that the LEA corrected the findings of noncompliance identified in FFY 2019. When reporting on the correction of this noncompliance, the State must demonstrate, in the FFY 2021 SPP/APR, that it has verified that each district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t>
      </w:r>
      <w:proofErr w:type="gramStart"/>
      <w:r w:rsidRPr="00781112">
        <w:rPr>
          <w:rFonts w:cs="Arial"/>
          <w:color w:val="000000" w:themeColor="text1"/>
          <w:szCs w:val="16"/>
        </w:rPr>
        <w:t>were taken</w:t>
      </w:r>
      <w:proofErr w:type="gramEnd"/>
      <w:r w:rsidRPr="00781112">
        <w:rPr>
          <w:rFonts w:cs="Arial"/>
          <w:color w:val="000000" w:themeColor="text1"/>
          <w:szCs w:val="16"/>
        </w:rPr>
        <w:t xml:space="preserve"> to verify the correction.</w:t>
      </w:r>
    </w:p>
    <w:p w14:paraId="54E863CC" w14:textId="77777777" w:rsidR="009B02BC" w:rsidRPr="00781112" w:rsidRDefault="009B02BC" w:rsidP="004E2151">
      <w:pPr>
        <w:rPr>
          <w:rFonts w:cs="Arial"/>
          <w:color w:val="000000" w:themeColor="text1"/>
          <w:szCs w:val="16"/>
        </w:rPr>
      </w:pPr>
    </w:p>
    <w:p w14:paraId="0FF6D321" w14:textId="46481A67" w:rsidR="004E2151" w:rsidRPr="00781112" w:rsidRDefault="007639D7" w:rsidP="004369B2">
      <w:pPr>
        <w:rPr>
          <w:b/>
          <w:color w:val="000000" w:themeColor="text1"/>
        </w:rPr>
      </w:pPr>
      <w:r>
        <w:rPr>
          <w:b/>
          <w:color w:val="000000" w:themeColor="text1"/>
        </w:rPr>
        <w:t>Response to actions required in FFY 2020 SPP/APR</w:t>
      </w:r>
    </w:p>
    <w:p w14:paraId="0B0E4F8A" w14:textId="671C6BE6" w:rsidR="004E2151" w:rsidRPr="00781112" w:rsidRDefault="002B7490" w:rsidP="004E2151">
      <w:pPr>
        <w:rPr>
          <w:rFonts w:cs="Arial"/>
          <w:color w:val="000000" w:themeColor="text1"/>
          <w:szCs w:val="16"/>
        </w:rPr>
      </w:pPr>
      <w:r w:rsidRPr="00781112">
        <w:rPr>
          <w:rFonts w:cs="Arial"/>
          <w:color w:val="000000" w:themeColor="text1"/>
          <w:szCs w:val="16"/>
        </w:rPr>
        <w:t xml:space="preserve">The MDE OSE needs to correct the data submitted for FFY2019 and FFY2020. While there were LEAs identified with significant discrepancy in FFY2019 and FFY2020, it has </w:t>
      </w:r>
      <w:proofErr w:type="gramStart"/>
      <w:r w:rsidRPr="00781112">
        <w:rPr>
          <w:rFonts w:cs="Arial"/>
          <w:color w:val="000000" w:themeColor="text1"/>
          <w:szCs w:val="16"/>
        </w:rPr>
        <w:t>been verified</w:t>
      </w:r>
      <w:proofErr w:type="gramEnd"/>
      <w:r w:rsidRPr="00781112">
        <w:rPr>
          <w:rFonts w:cs="Arial"/>
          <w:color w:val="000000" w:themeColor="text1"/>
          <w:szCs w:val="16"/>
        </w:rPr>
        <w:t xml:space="preserve"> by the MDE OSE that the significant discrepancy identified was not the result of inappropriate policies practices or procedures. Nor was due to the lack of implementation of those </w:t>
      </w:r>
      <w:proofErr w:type="gramStart"/>
      <w:r w:rsidRPr="00781112">
        <w:rPr>
          <w:rFonts w:cs="Arial"/>
          <w:color w:val="000000" w:themeColor="text1"/>
          <w:szCs w:val="16"/>
        </w:rPr>
        <w:t>policies</w:t>
      </w:r>
      <w:proofErr w:type="gramEnd"/>
      <w:r w:rsidRPr="00781112">
        <w:rPr>
          <w:rFonts w:cs="Arial"/>
          <w:color w:val="000000" w:themeColor="text1"/>
          <w:szCs w:val="16"/>
        </w:rPr>
        <w:t xml:space="preserve"> practices or procedures.</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D57DA" w:rsidP="00212954">
      <w:pPr>
        <w:rPr>
          <w:rFonts w:cs="Arial"/>
          <w:color w:val="000000" w:themeColor="text1"/>
          <w:szCs w:val="16"/>
        </w:rPr>
      </w:pP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7"/>
      <w:bookmarkEnd w:id="28"/>
      <w:bookmarkEnd w:id="29"/>
    </w:p>
    <w:p w14:paraId="1BA30D93" w14:textId="77777777" w:rsidR="008637F8" w:rsidRPr="00781112" w:rsidRDefault="008637F8" w:rsidP="00A018D4">
      <w:pPr>
        <w:rPr>
          <w:color w:val="000000" w:themeColor="text1"/>
          <w:szCs w:val="20"/>
        </w:rPr>
      </w:pPr>
      <w:bookmarkStart w:id="30" w:name="_Toc384383338"/>
      <w:bookmarkStart w:id="31"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537B541" w14:textId="1CD26E02" w:rsidR="00474DB4" w:rsidRPr="00781112" w:rsidRDefault="00474DB4" w:rsidP="00474DB4">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2020-2021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7F90EA9E" w14:textId="77777777" w:rsidR="00B83FD1" w:rsidRPr="00781112" w:rsidRDefault="00B83FD1"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Default="00CF0A73" w:rsidP="004369B2">
      <w:pPr>
        <w:rPr>
          <w:color w:val="000000" w:themeColor="text1"/>
        </w:rPr>
      </w:pPr>
    </w:p>
    <w:p w14:paraId="2541122C" w14:textId="77777777" w:rsidR="00B83FD1" w:rsidRPr="00781112" w:rsidRDefault="00B83FD1"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0"/>
    <w:bookmarkEnd w:id="31"/>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12</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140</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2"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Mississippi uses a rate difference calculation for Indicator 4. A "significant </w:t>
      </w:r>
      <w:proofErr w:type="gramStart"/>
      <w:r w:rsidRPr="00781112">
        <w:rPr>
          <w:rFonts w:cs="Arial"/>
          <w:color w:val="000000" w:themeColor="text1"/>
          <w:szCs w:val="16"/>
        </w:rPr>
        <w:t>discrepancy</w:t>
      </w:r>
      <w:proofErr w:type="gramEnd"/>
      <w:r w:rsidRPr="00781112">
        <w:rPr>
          <w:rFonts w:cs="Arial"/>
          <w:color w:val="000000" w:themeColor="text1"/>
          <w:szCs w:val="16"/>
        </w:rPr>
        <w:t xml:space="preserve"> is defined as having students with disabilities suspended and expelled at least 2 percentage points greater than the rate of suspension and expulsion for students without disabilities. Mississippi uses the following comparison methodology define in 34 CFR §300.170(a). The rates of suspensions and expulsions of greater than 10 days in a school year for children with IEPs from a racial/ethnic group in each LEA compared to the rates for </w:t>
      </w:r>
      <w:proofErr w:type="gramStart"/>
      <w:r w:rsidRPr="00781112">
        <w:rPr>
          <w:rFonts w:cs="Arial"/>
          <w:color w:val="000000" w:themeColor="text1"/>
          <w:szCs w:val="16"/>
        </w:rPr>
        <w:t>non disabled</w:t>
      </w:r>
      <w:proofErr w:type="gramEnd"/>
      <w:r w:rsidRPr="00781112">
        <w:rPr>
          <w:rFonts w:cs="Arial"/>
          <w:color w:val="000000" w:themeColor="text1"/>
          <w:szCs w:val="16"/>
        </w:rPr>
        <w:t xml:space="preserve"> children in the same LEA. When significant discrepancy is determined for an LEA, The MDE OSE will require the LEA to conduct self-review of policies, practices, and procedures to determine if the contributed to the significant discrepancy.</w:t>
      </w:r>
      <w:r w:rsidRPr="00781112">
        <w:rPr>
          <w:rFonts w:cs="Arial"/>
          <w:color w:val="000000" w:themeColor="text1"/>
          <w:szCs w:val="16"/>
        </w:rPr>
        <w:br/>
        <w:t xml:space="preserve">Data on suspensions and expulsions </w:t>
      </w:r>
      <w:proofErr w:type="gramStart"/>
      <w:r w:rsidRPr="00781112">
        <w:rPr>
          <w:rFonts w:cs="Arial"/>
          <w:color w:val="000000" w:themeColor="text1"/>
          <w:szCs w:val="16"/>
        </w:rPr>
        <w:t>is gathered</w:t>
      </w:r>
      <w:proofErr w:type="gramEnd"/>
      <w:r w:rsidRPr="00781112">
        <w:rPr>
          <w:rFonts w:cs="Arial"/>
          <w:color w:val="000000" w:themeColor="text1"/>
          <w:szCs w:val="16"/>
        </w:rPr>
        <w:t xml:space="preserve"> from the State data base, Mississippi Student Information System (MSIS). The data pertaining to students with disabilities taken from the 618 data collection, also reported to EDFacts in the Children with Disabilities (IDEA) Suspensions/Expulsions file submission. The data pertaining to students without disabilities </w:t>
      </w:r>
      <w:proofErr w:type="gramStart"/>
      <w:r w:rsidRPr="00781112">
        <w:rPr>
          <w:rFonts w:cs="Arial"/>
          <w:color w:val="000000" w:themeColor="text1"/>
          <w:szCs w:val="16"/>
        </w:rPr>
        <w:t>is taken</w:t>
      </w:r>
      <w:proofErr w:type="gramEnd"/>
      <w:r w:rsidRPr="00781112">
        <w:rPr>
          <w:rFonts w:cs="Arial"/>
          <w:color w:val="000000" w:themeColor="text1"/>
          <w:szCs w:val="16"/>
        </w:rPr>
        <w:t xml:space="preserve"> from the net membership enrollment numbers and discipline records in MSIS. The State uses a minimum n-size/cell size of </w:t>
      </w:r>
      <w:proofErr w:type="gramStart"/>
      <w:r w:rsidRPr="00781112">
        <w:rPr>
          <w:rFonts w:cs="Arial"/>
          <w:color w:val="000000" w:themeColor="text1"/>
          <w:szCs w:val="16"/>
        </w:rPr>
        <w:t>10</w:t>
      </w:r>
      <w:proofErr w:type="gramEnd"/>
      <w:r w:rsidRPr="00781112">
        <w:rPr>
          <w:rFonts w:cs="Arial"/>
          <w:color w:val="000000" w:themeColor="text1"/>
          <w:szCs w:val="16"/>
        </w:rPr>
        <w:t xml:space="preserve">. </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D57DA" w:rsidP="000E33D0">
      <w:pPr>
        <w:rPr>
          <w:rFonts w:cs="Arial"/>
          <w:color w:val="000000" w:themeColor="text1"/>
          <w:szCs w:val="16"/>
        </w:rPr>
      </w:pP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The LEAs identified with a significant discrepancy must conduct a review to determine if inappropriate </w:t>
      </w:r>
      <w:proofErr w:type="gramStart"/>
      <w:r w:rsidRPr="00781112">
        <w:rPr>
          <w:rFonts w:cs="Arial"/>
          <w:color w:val="000000" w:themeColor="text1"/>
          <w:szCs w:val="16"/>
        </w:rPr>
        <w:t>policies</w:t>
      </w:r>
      <w:proofErr w:type="gramEnd"/>
      <w:r w:rsidRPr="00781112">
        <w:rPr>
          <w:rFonts w:cs="Arial"/>
          <w:color w:val="000000" w:themeColor="text1"/>
          <w:szCs w:val="16"/>
        </w:rPr>
        <w:t xml:space="preserve"> practices or procedures contributed to the significant discrepancy. </w:t>
      </w:r>
      <w:r w:rsidRPr="00781112">
        <w:rPr>
          <w:rFonts w:cs="Arial"/>
          <w:color w:val="000000" w:themeColor="text1"/>
          <w:szCs w:val="16"/>
        </w:rPr>
        <w:br/>
        <w:t xml:space="preserve">The LEA must provide a written response to the OSE that documents its review of policies practices and procedures and provides evidence to support the LEA's determination that the significant discrepancy was or was not the result of inappropriate policies, </w:t>
      </w:r>
      <w:proofErr w:type="gramStart"/>
      <w:r w:rsidRPr="00781112">
        <w:rPr>
          <w:rFonts w:cs="Arial"/>
          <w:color w:val="000000" w:themeColor="text1"/>
          <w:szCs w:val="16"/>
        </w:rPr>
        <w:t>practices</w:t>
      </w:r>
      <w:proofErr w:type="gramEnd"/>
      <w:r w:rsidRPr="00781112">
        <w:rPr>
          <w:rFonts w:cs="Arial"/>
          <w:color w:val="000000" w:themeColor="text1"/>
          <w:szCs w:val="16"/>
        </w:rPr>
        <w:t xml:space="preserve"> or procedures. The OSE provides a check list which includes a list of </w:t>
      </w:r>
      <w:proofErr w:type="gramStart"/>
      <w:r w:rsidRPr="00781112">
        <w:rPr>
          <w:rFonts w:cs="Arial"/>
          <w:color w:val="000000" w:themeColor="text1"/>
          <w:szCs w:val="16"/>
        </w:rPr>
        <w:t>various types</w:t>
      </w:r>
      <w:proofErr w:type="gramEnd"/>
      <w:r w:rsidRPr="00781112">
        <w:rPr>
          <w:rFonts w:cs="Arial"/>
          <w:color w:val="000000" w:themeColor="text1"/>
          <w:szCs w:val="16"/>
        </w:rPr>
        <w:t xml:space="preserve"> of information the LEA must review to make its determination. a completed checklist must </w:t>
      </w:r>
      <w:proofErr w:type="gramStart"/>
      <w:r w:rsidRPr="00781112">
        <w:rPr>
          <w:rFonts w:cs="Arial"/>
          <w:color w:val="000000" w:themeColor="text1"/>
          <w:szCs w:val="16"/>
        </w:rPr>
        <w:t>submitted</w:t>
      </w:r>
      <w:proofErr w:type="gramEnd"/>
      <w:r w:rsidRPr="00781112">
        <w:rPr>
          <w:rFonts w:cs="Arial"/>
          <w:color w:val="000000" w:themeColor="text1"/>
          <w:szCs w:val="16"/>
        </w:rPr>
        <w:t xml:space="preserve"> with the LEA response. Whenever it is determined that inappropriate polices, practices or procedures contributed to a significant discrepancy, a finding of noncompliance will be issued to the LEA. The LEA is expected to correct noncompliance as soon as possible, but no later than one year from identification</w:t>
      </w:r>
      <w:r w:rsidRPr="00781112">
        <w:rPr>
          <w:rFonts w:cs="Arial"/>
          <w:color w:val="000000" w:themeColor="text1"/>
          <w:szCs w:val="16"/>
        </w:rPr>
        <w:br/>
        <w:t xml:space="preserve">The SEA identified </w:t>
      </w:r>
      <w:proofErr w:type="gramStart"/>
      <w:r w:rsidRPr="00781112">
        <w:rPr>
          <w:rFonts w:cs="Arial"/>
          <w:color w:val="000000" w:themeColor="text1"/>
          <w:szCs w:val="16"/>
        </w:rPr>
        <w:t>6</w:t>
      </w:r>
      <w:proofErr w:type="gramEnd"/>
      <w:r w:rsidRPr="00781112">
        <w:rPr>
          <w:rFonts w:cs="Arial"/>
          <w:color w:val="000000" w:themeColor="text1"/>
          <w:szCs w:val="16"/>
        </w:rPr>
        <w:t xml:space="preserve"> districts as having significant discrepancy in FFY21 based on FFY20 discipline data. Each LEA identified was required to review </w:t>
      </w:r>
      <w:r w:rsidRPr="00781112">
        <w:rPr>
          <w:rFonts w:cs="Arial"/>
          <w:color w:val="000000" w:themeColor="text1"/>
          <w:szCs w:val="16"/>
        </w:rPr>
        <w:lastRenderedPageBreak/>
        <w:t xml:space="preserve">the LEA's policy, practices, and procedures relating to the development and implementation of IEPs, the use of positive behavioral interventions and supports, and procedural safeguards to ensure compliance with the IDEA, as required by 34 CFR §300.170(b) for the LEAs identified with significant discrepancies in FFY 21 based on FFY20 discipline data. LEAs submitted verification to the MDE OSE of its review of the LEA's policies, practices, and procedures relating to the development and implementation of IEPs, the use of positive behavioral interventions and supports and procedural safeguards to ensure compliance with the IDEA. The MDE OSE reviewed each LEA's verification. The MDE OSE verified that the identified significant discrepancy in each district was not due to inappropriate polices, practices or procedures and that all LEAs implemented positive behavioral interventions and procedural safeguards in compliance with IDEA. </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389" w:type="pct"/>
            <w:shd w:val="clear" w:color="auto" w:fill="auto"/>
          </w:tcPr>
          <w:p w14:paraId="27669B26" w14:textId="57CAFD92" w:rsidR="009A755E" w:rsidRPr="00781112" w:rsidRDefault="002B7490">
            <w:pPr>
              <w:jc w:val="center"/>
              <w:rPr>
                <w:rFonts w:cs="Arial"/>
                <w:noProof/>
                <w:color w:val="000000" w:themeColor="text1"/>
                <w:szCs w:val="16"/>
              </w:rPr>
            </w:pPr>
            <w:r w:rsidRPr="00781112">
              <w:rPr>
                <w:rFonts w:cs="Arial"/>
                <w:color w:val="000000" w:themeColor="text1"/>
                <w:szCs w:val="16"/>
              </w:rPr>
              <w:t>29</w:t>
            </w: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 xml:space="preserve">The State must report, in the FFY 2021 SPP/APR, on the correction of noncompliance that the State identified in FFY 2020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t>
      </w:r>
      <w:proofErr w:type="gramStart"/>
      <w:r w:rsidRPr="00781112">
        <w:rPr>
          <w:rFonts w:cs="Arial"/>
          <w:color w:val="000000" w:themeColor="text1"/>
          <w:szCs w:val="16"/>
        </w:rPr>
        <w:t>were taken</w:t>
      </w:r>
      <w:proofErr w:type="gramEnd"/>
      <w:r w:rsidRPr="00781112">
        <w:rPr>
          <w:rFonts w:cs="Arial"/>
          <w:color w:val="000000" w:themeColor="text1"/>
          <w:szCs w:val="16"/>
        </w:rPr>
        <w:t xml:space="preserve"> to verify the correction.</w:t>
      </w:r>
      <w:r w:rsidRPr="00781112">
        <w:rPr>
          <w:rFonts w:cs="Arial"/>
          <w:color w:val="000000" w:themeColor="text1"/>
          <w:szCs w:val="16"/>
        </w:rPr>
        <w:br/>
      </w:r>
      <w:r w:rsidRPr="00781112">
        <w:rPr>
          <w:rFonts w:cs="Arial"/>
          <w:color w:val="000000" w:themeColor="text1"/>
          <w:szCs w:val="16"/>
        </w:rPr>
        <w:br/>
        <w:t xml:space="preserve">The State did not demonstrate that the LEA corrected the findings of noncompliance identified in FFY 2019. When reporting on the correction of this noncompliance, the State must demonstrate, in the FFY 2021 SPP/APR, that it has verified that each district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t>
      </w:r>
      <w:proofErr w:type="gramStart"/>
      <w:r w:rsidRPr="00781112">
        <w:rPr>
          <w:rFonts w:cs="Arial"/>
          <w:color w:val="000000" w:themeColor="text1"/>
          <w:szCs w:val="16"/>
        </w:rPr>
        <w:t>were taken</w:t>
      </w:r>
      <w:proofErr w:type="gramEnd"/>
      <w:r w:rsidRPr="00781112">
        <w:rPr>
          <w:rFonts w:cs="Arial"/>
          <w:color w:val="000000" w:themeColor="text1"/>
          <w:szCs w:val="16"/>
        </w:rPr>
        <w:t xml:space="preserve"> to verify the correction.</w:t>
      </w:r>
    </w:p>
    <w:p w14:paraId="739A1EFB" w14:textId="4730C597" w:rsidR="004E2151" w:rsidRPr="00781112" w:rsidRDefault="007639D7" w:rsidP="004369B2">
      <w:pPr>
        <w:rPr>
          <w:b/>
          <w:color w:val="000000" w:themeColor="text1"/>
        </w:rPr>
      </w:pPr>
      <w:r>
        <w:rPr>
          <w:b/>
          <w:color w:val="000000" w:themeColor="text1"/>
        </w:rPr>
        <w:t>Response to actions required in FFY 2020 SPP/APR</w:t>
      </w:r>
    </w:p>
    <w:p w14:paraId="7AA3834F" w14:textId="729EC2A3" w:rsidR="004E2151" w:rsidRPr="00781112" w:rsidRDefault="002B7490" w:rsidP="004E2151">
      <w:pPr>
        <w:rPr>
          <w:rFonts w:cs="Arial"/>
          <w:color w:val="000000" w:themeColor="text1"/>
          <w:szCs w:val="16"/>
        </w:rPr>
      </w:pPr>
      <w:r w:rsidRPr="00781112">
        <w:rPr>
          <w:rFonts w:cs="Arial"/>
          <w:color w:val="000000" w:themeColor="text1"/>
          <w:szCs w:val="16"/>
        </w:rPr>
        <w:t xml:space="preserve">The MDE OSE needs to correct the data submitted for FFY2019 and FFY2020. While there were LEAs identified with significant discrepancy in FFY2019 and FFY2020, it has </w:t>
      </w:r>
      <w:proofErr w:type="gramStart"/>
      <w:r w:rsidRPr="00781112">
        <w:rPr>
          <w:rFonts w:cs="Arial"/>
          <w:color w:val="000000" w:themeColor="text1"/>
          <w:szCs w:val="16"/>
        </w:rPr>
        <w:t>been verified</w:t>
      </w:r>
      <w:proofErr w:type="gramEnd"/>
      <w:r w:rsidRPr="00781112">
        <w:rPr>
          <w:rFonts w:cs="Arial"/>
          <w:color w:val="000000" w:themeColor="text1"/>
          <w:szCs w:val="16"/>
        </w:rPr>
        <w:t xml:space="preserve"> by the MDE OSE that the significant discrepancy identified was not the result of inappropriate policies practices or procedures. Nor was due to the lack of implementation of those </w:t>
      </w:r>
      <w:proofErr w:type="gramStart"/>
      <w:r w:rsidRPr="00781112">
        <w:rPr>
          <w:rFonts w:cs="Arial"/>
          <w:color w:val="000000" w:themeColor="text1"/>
          <w:szCs w:val="16"/>
        </w:rPr>
        <w:t>policies</w:t>
      </w:r>
      <w:proofErr w:type="gramEnd"/>
      <w:r w:rsidRPr="00781112">
        <w:rPr>
          <w:rFonts w:cs="Arial"/>
          <w:color w:val="000000" w:themeColor="text1"/>
          <w:szCs w:val="16"/>
        </w:rPr>
        <w:t xml:space="preserve"> practices or procedures.</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 xml:space="preserve">The State reported that it has established a minimum n size of </w:t>
      </w:r>
      <w:proofErr w:type="gramStart"/>
      <w:r w:rsidRPr="00781112">
        <w:rPr>
          <w:rFonts w:cs="Arial"/>
          <w:color w:val="000000" w:themeColor="text1"/>
          <w:szCs w:val="16"/>
        </w:rPr>
        <w:t>10</w:t>
      </w:r>
      <w:proofErr w:type="gramEnd"/>
      <w:r w:rsidRPr="00781112">
        <w:rPr>
          <w:rFonts w:cs="Arial"/>
          <w:color w:val="000000" w:themeColor="text1"/>
          <w:szCs w:val="16"/>
        </w:rPr>
        <w:t xml:space="preserve">. However, OSEP notes that the State did not provide a description of what this value represents, which is information that would enable OSEP to determine whether the State’s methodology is </w:t>
      </w:r>
      <w:proofErr w:type="gramStart"/>
      <w:r w:rsidRPr="00781112">
        <w:rPr>
          <w:rFonts w:cs="Arial"/>
          <w:color w:val="000000" w:themeColor="text1"/>
          <w:szCs w:val="16"/>
        </w:rPr>
        <w:t>reasonably designed</w:t>
      </w:r>
      <w:proofErr w:type="gramEnd"/>
      <w:r w:rsidRPr="00781112">
        <w:rPr>
          <w:rFonts w:cs="Arial"/>
          <w:color w:val="000000" w:themeColor="text1"/>
          <w:szCs w:val="16"/>
        </w:rPr>
        <w:t xml:space="preserve"> to identify significant discrepancies in its LEAs. OSEP encourages the State to provide this information in the FFY 2022 SPP/APR.</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The State reported that noncompliance identified in FFY 2019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it conducted pursuant to 34 C.F.R. §300.170(b) was not corrected. When reporting on the correction of this noncompliance, the State must demonstrate, in the FFY 2022 SPP/APR, that it has verified that each district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t>
      </w:r>
      <w:proofErr w:type="gramStart"/>
      <w:r w:rsidRPr="00781112">
        <w:rPr>
          <w:rFonts w:cs="Arial"/>
          <w:color w:val="000000" w:themeColor="text1"/>
          <w:szCs w:val="16"/>
        </w:rPr>
        <w:t>were taken</w:t>
      </w:r>
      <w:proofErr w:type="gramEnd"/>
      <w:r w:rsidRPr="00781112">
        <w:rPr>
          <w:rFonts w:cs="Arial"/>
          <w:color w:val="000000" w:themeColor="text1"/>
          <w:szCs w:val="16"/>
        </w:rPr>
        <w:t xml:space="preserve"> to verify the correction.</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0"/>
      <w:bookmarkEnd w:id="32"/>
    </w:p>
    <w:p w14:paraId="52AD89A1" w14:textId="77777777" w:rsidR="00775845" w:rsidRPr="00781112" w:rsidRDefault="00775845" w:rsidP="00A018D4">
      <w:pPr>
        <w:rPr>
          <w:color w:val="000000" w:themeColor="text1"/>
          <w:szCs w:val="20"/>
        </w:rPr>
      </w:pPr>
      <w:bookmarkStart w:id="33"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proofErr w:type="gramStart"/>
      <w:r w:rsidR="001E6A41" w:rsidRPr="00781112">
        <w:rPr>
          <w:rFonts w:cs="Arial"/>
          <w:szCs w:val="16"/>
        </w:rPr>
        <w:t>5</w:t>
      </w:r>
      <w:proofErr w:type="gramEnd"/>
      <w:r w:rsidR="001E6A41" w:rsidRPr="00781112">
        <w:rPr>
          <w:rFonts w:cs="Arial"/>
          <w:szCs w:val="16"/>
        </w:rPr>
        <w:t xml:space="preserve">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07ABAC1" w14:textId="68EE8BDF" w:rsidR="001F6A28" w:rsidRPr="00781112" w:rsidRDefault="007072DC" w:rsidP="00BB7BC9">
      <w:pPr>
        <w:rPr>
          <w:rFonts w:cs="Arial"/>
          <w:color w:val="000000" w:themeColor="text1"/>
          <w:szCs w:val="16"/>
        </w:rPr>
      </w:pPr>
      <w:r w:rsidRPr="00781112">
        <w:rPr>
          <w:rFonts w:cs="Arial"/>
          <w:szCs w:val="16"/>
        </w:rPr>
        <w:t xml:space="preserve">States must report five-year-old children with disabilities who </w:t>
      </w:r>
      <w:proofErr w:type="gramStart"/>
      <w:r w:rsidRPr="00781112">
        <w:rPr>
          <w:rFonts w:cs="Arial"/>
          <w:szCs w:val="16"/>
        </w:rPr>
        <w:t>are enrolled</w:t>
      </w:r>
      <w:proofErr w:type="gramEnd"/>
      <w:r w:rsidRPr="00781112">
        <w:rPr>
          <w:rFonts w:cs="Arial"/>
          <w:szCs w:val="16"/>
        </w:rPr>
        <w:t xml:space="preserve"> in kindergarten in this indicator. Five-year-old children with disabilities who </w:t>
      </w:r>
      <w:proofErr w:type="gramStart"/>
      <w:r w:rsidRPr="00781112">
        <w:rPr>
          <w:rFonts w:cs="Arial"/>
          <w:szCs w:val="16"/>
        </w:rPr>
        <w:t>are enrolled</w:t>
      </w:r>
      <w:proofErr w:type="gramEnd"/>
      <w:r w:rsidRPr="00781112">
        <w:rPr>
          <w:rFonts w:cs="Arial"/>
          <w:szCs w:val="16"/>
        </w:rPr>
        <w:t xml:space="preserve">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3"/>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60.97%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61.47%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61.97%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61.97%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77.00%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77.52%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63.01%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65.28%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70.27%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76.42%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77.52%</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14.48%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13.98%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13.48%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13.48%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13.00%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11.47%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15.09%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13.89%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12.22%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11.22%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11.47%</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2.04%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1.00%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1.87%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1.92%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1.88%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1.70%</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78.00%</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80.00%</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82.00%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83.00%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85.00%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12.00%</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11.00%</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10.00%</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10.00%</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10.00%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1.00%</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1.00%</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1.00%</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1.00%</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1.00%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The Mississippi Department of Education solicited stakeholder feedback through multiple in person and virtual meetings with teachers, administrators, special education directors, representatives of parent advocacy groups, and parents as outlined in the Introduction. Stakeholder feedback </w:t>
      </w:r>
      <w:proofErr w:type="gramStart"/>
      <w:r w:rsidRPr="00781112">
        <w:rPr>
          <w:rFonts w:cs="Arial"/>
          <w:color w:val="000000" w:themeColor="text1"/>
          <w:szCs w:val="16"/>
        </w:rPr>
        <w:t>was also solicited</w:t>
      </w:r>
      <w:proofErr w:type="gramEnd"/>
      <w:r w:rsidRPr="00781112">
        <w:rPr>
          <w:rFonts w:cs="Arial"/>
          <w:color w:val="000000" w:themeColor="text1"/>
          <w:szCs w:val="16"/>
        </w:rPr>
        <w:t xml:space="preserve"> from the Special Education Advisory Panel. Because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baseline and targets were set last year based on stakeholder feedback, The MDE OSE did not seek feedback regarding updating targets or baseline. </w:t>
      </w:r>
      <w:proofErr w:type="gramStart"/>
      <w:r w:rsidRPr="00781112">
        <w:rPr>
          <w:rFonts w:cs="Arial"/>
          <w:color w:val="000000" w:themeColor="text1"/>
          <w:szCs w:val="16"/>
        </w:rPr>
        <w:t>Rather based</w:t>
      </w:r>
      <w:proofErr w:type="gramEnd"/>
      <w:r w:rsidRPr="00781112">
        <w:rPr>
          <w:rFonts w:cs="Arial"/>
          <w:color w:val="000000" w:themeColor="text1"/>
          <w:szCs w:val="16"/>
        </w:rPr>
        <w:t xml:space="preserve"> on stakeholder feedback, the MDE OSE determined that it would continue to report data to stakeholders and defer to stakeholders as to when updates or changes need to be made. Stakeholders would like to see </w:t>
      </w:r>
      <w:proofErr w:type="gramStart"/>
      <w:r w:rsidRPr="00781112">
        <w:rPr>
          <w:rFonts w:cs="Arial"/>
          <w:color w:val="000000" w:themeColor="text1"/>
          <w:szCs w:val="16"/>
        </w:rPr>
        <w:t>some</w:t>
      </w:r>
      <w:proofErr w:type="gramEnd"/>
      <w:r w:rsidRPr="00781112">
        <w:rPr>
          <w:rFonts w:cs="Arial"/>
          <w:color w:val="000000" w:themeColor="text1"/>
          <w:szCs w:val="16"/>
        </w:rPr>
        <w:t xml:space="preserve"> trend data prior to making changes. </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63,751</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lastRenderedPageBreak/>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50,248</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7,236</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465</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112</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418</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r w:rsidRPr="00781112">
              <w:rPr>
                <w:b/>
                <w:color w:val="000000" w:themeColor="text1"/>
              </w:rPr>
              <w:t xml:space="preserve">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50,248</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63,751</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77.52%</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78.82%</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7,236</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63,751</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11.47%</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12.00%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11.35%</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995</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63,751</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1.70%</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1.00%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1.56%</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4"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w:t>
      </w:r>
      <w:proofErr w:type="gramStart"/>
      <w:r w:rsidR="000B1A1B" w:rsidRPr="00781112">
        <w:rPr>
          <w:rFonts w:cs="Arial"/>
          <w:color w:val="000000" w:themeColor="text1"/>
          <w:szCs w:val="16"/>
        </w:rPr>
        <w:t>5</w:t>
      </w:r>
      <w:proofErr w:type="gramEnd"/>
      <w:r w:rsidR="000B1A1B" w:rsidRPr="00781112">
        <w:rPr>
          <w:rFonts w:cs="Arial"/>
          <w:color w:val="000000" w:themeColor="text1"/>
          <w:szCs w:val="16"/>
        </w:rPr>
        <w:t xml:space="preserve">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4451A4DB" w14:textId="77777777" w:rsidR="00426EC6" w:rsidRPr="00781112" w:rsidRDefault="00426EC6" w:rsidP="00426EC6">
      <w:pPr>
        <w:rPr>
          <w:rFonts w:cs="Arial"/>
          <w:szCs w:val="16"/>
        </w:rPr>
      </w:pPr>
      <w:r w:rsidRPr="00781112">
        <w:rPr>
          <w:rFonts w:cs="Arial"/>
          <w:szCs w:val="16"/>
        </w:rPr>
        <w:t xml:space="preserve">States must report </w:t>
      </w:r>
      <w:proofErr w:type="gramStart"/>
      <w:r w:rsidRPr="00781112">
        <w:rPr>
          <w:rFonts w:cs="Arial"/>
          <w:szCs w:val="16"/>
        </w:rPr>
        <w:t>five</w:t>
      </w:r>
      <w:proofErr w:type="gramEnd"/>
      <w:r w:rsidRPr="00781112">
        <w:rPr>
          <w:rFonts w:cs="Arial"/>
          <w:szCs w:val="16"/>
        </w:rPr>
        <w:t xml:space="preserve">-year-old children with disabilities who </w:t>
      </w:r>
      <w:proofErr w:type="gramStart"/>
      <w:r w:rsidRPr="00781112">
        <w:rPr>
          <w:rFonts w:cs="Arial"/>
          <w:szCs w:val="16"/>
        </w:rPr>
        <w:t>are enrolled</w:t>
      </w:r>
      <w:proofErr w:type="gramEnd"/>
      <w:r w:rsidRPr="00781112">
        <w:rPr>
          <w:rFonts w:cs="Arial"/>
          <w:szCs w:val="16"/>
        </w:rPr>
        <w:t xml:space="preserve"> in preschool programs in this indicator. Five-year-old children with disabilities who </w:t>
      </w:r>
      <w:proofErr w:type="gramStart"/>
      <w:r w:rsidRPr="00781112">
        <w:rPr>
          <w:rFonts w:cs="Arial"/>
          <w:szCs w:val="16"/>
        </w:rPr>
        <w:t>are enrolled</w:t>
      </w:r>
      <w:proofErr w:type="gramEnd"/>
      <w:r w:rsidRPr="00781112">
        <w:rPr>
          <w:rFonts w:cs="Arial"/>
          <w:szCs w:val="16"/>
        </w:rPr>
        <w:t xml:space="preserve">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 xml:space="preserve">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w:t>
      </w:r>
      <w:proofErr w:type="gramStart"/>
      <w:r w:rsidRPr="00781112">
        <w:rPr>
          <w:rFonts w:cs="Arial"/>
          <w:szCs w:val="16"/>
        </w:rPr>
        <w:t>10</w:t>
      </w:r>
      <w:proofErr w:type="gramEnd"/>
      <w:r w:rsidRPr="00781112">
        <w:rPr>
          <w:rFonts w:cs="Arial"/>
          <w:szCs w:val="16"/>
        </w:rPr>
        <w:t xml:space="preserve"> or greater, States are required to develop </w:t>
      </w:r>
      <w:proofErr w:type="gramStart"/>
      <w:r w:rsidRPr="00781112">
        <w:rPr>
          <w:rFonts w:cs="Arial"/>
          <w:szCs w:val="16"/>
        </w:rPr>
        <w:t>baseline</w:t>
      </w:r>
      <w:proofErr w:type="gramEnd"/>
      <w:r w:rsidRPr="00781112">
        <w:rPr>
          <w:rFonts w:cs="Arial"/>
          <w:szCs w:val="16"/>
        </w:rPr>
        <w:t xml:space="preserv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IDEA section 618, explain.</w:t>
      </w:r>
    </w:p>
    <w:bookmarkEnd w:id="34"/>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64.95%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65.00%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65.05%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65.05%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60.00%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62.49%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58.42%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59.16%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59.58%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45.04%</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14.87%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14.82%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14.77%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14.77%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16.00%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16.93%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17.32%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16.27%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16.65%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24.96%</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The Mississippi Department of Education solicited stakeholder feedback through multiple in person and virtual meetings with teachers, administrators, special education directors, representatives of parent advocacy groups, and parents as outlined in the Introduction. Stakeholder feedback </w:t>
      </w:r>
      <w:proofErr w:type="gramStart"/>
      <w:r w:rsidRPr="00781112">
        <w:rPr>
          <w:rFonts w:cs="Arial"/>
          <w:color w:val="000000" w:themeColor="text1"/>
          <w:szCs w:val="16"/>
        </w:rPr>
        <w:t>was also solicited</w:t>
      </w:r>
      <w:proofErr w:type="gramEnd"/>
      <w:r w:rsidRPr="00781112">
        <w:rPr>
          <w:rFonts w:cs="Arial"/>
          <w:color w:val="000000" w:themeColor="text1"/>
          <w:szCs w:val="16"/>
        </w:rPr>
        <w:t xml:space="preserve"> from the Special Education Advisory Panel. Because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baseline and targets were set last year based on stakeholder feedback, The MDE OSE did not seek feedback regarding updating targets or baseline. </w:t>
      </w:r>
      <w:proofErr w:type="gramStart"/>
      <w:r w:rsidRPr="00781112">
        <w:rPr>
          <w:rFonts w:cs="Arial"/>
          <w:color w:val="000000" w:themeColor="text1"/>
          <w:szCs w:val="16"/>
        </w:rPr>
        <w:t>Rather based</w:t>
      </w:r>
      <w:proofErr w:type="gramEnd"/>
      <w:r w:rsidRPr="00781112">
        <w:rPr>
          <w:rFonts w:cs="Arial"/>
          <w:color w:val="000000" w:themeColor="text1"/>
          <w:szCs w:val="16"/>
        </w:rPr>
        <w:t xml:space="preserve"> on stakeholder feedback, the MDE OSE determined that it would continue to report data to stakeholders and defer to stakeholders as to when updates or changes need to be made. Stakeholders would like to see </w:t>
      </w:r>
      <w:proofErr w:type="gramStart"/>
      <w:r w:rsidRPr="00781112">
        <w:rPr>
          <w:rFonts w:cs="Arial"/>
          <w:color w:val="000000" w:themeColor="text1"/>
          <w:szCs w:val="16"/>
        </w:rPr>
        <w:t>some</w:t>
      </w:r>
      <w:proofErr w:type="gramEnd"/>
      <w:r w:rsidRPr="00781112">
        <w:rPr>
          <w:rFonts w:cs="Arial"/>
          <w:color w:val="000000" w:themeColor="text1"/>
          <w:szCs w:val="16"/>
        </w:rPr>
        <w:t xml:space="preserve"> trend data prior to making changes. </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w:t>
      </w:r>
      <w:proofErr w:type="gramStart"/>
      <w:r w:rsidRPr="001C443D">
        <w:rPr>
          <w:b/>
          <w:bCs/>
        </w:rPr>
        <w:t>baseline</w:t>
      </w:r>
      <w:proofErr w:type="gramEnd"/>
      <w:r w:rsidRPr="001C443D">
        <w:rPr>
          <w:b/>
          <w:bCs/>
        </w:rPr>
        <w:t xml:space="preserv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45.04%</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24.96%</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0.95%</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61.00%</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62.00%</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63.00%</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64.00%</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65.00%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14.00%</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13.00%</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12.00%</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11.00%</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10.00%</w:t>
            </w:r>
          </w:p>
        </w:tc>
      </w:tr>
    </w:tbl>
    <w:p w14:paraId="27170CED" w14:textId="772C81FC" w:rsidR="00E428BD" w:rsidRDefault="00E428BD" w:rsidP="004369B2">
      <w:pPr>
        <w:rPr>
          <w:color w:val="000000" w:themeColor="text1"/>
        </w:rPr>
      </w:pPr>
      <w:bookmarkStart w:id="35" w:name="_Toc382082378"/>
      <w:bookmarkStart w:id="36"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1.00%</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1.00%</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1.00%</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1.00%</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1.00%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1,055</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2,054</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712</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3,821</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331</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1,009</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346</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1,686</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258</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418</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180</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856</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63</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75</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22</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160</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28</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27</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5</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60</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1,686</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3,821</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45.04%</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44.12%</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1,016</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3,821</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24.96%</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14.00%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26.59%</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lastRenderedPageBreak/>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60</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3,821</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0.95%</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1.00%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1.57%</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Slippage</w:t>
            </w:r>
          </w:p>
        </w:tc>
      </w:tr>
    </w:tbl>
    <w:p w14:paraId="21FD52FD" w14:textId="53DF3EF1" w:rsidR="002441FF" w:rsidRDefault="002441FF" w:rsidP="004369B2">
      <w:pPr>
        <w:rPr>
          <w:b/>
          <w:color w:val="000000" w:themeColor="text1"/>
        </w:rPr>
      </w:pPr>
    </w:p>
    <w:p w14:paraId="10A47196" w14:textId="24AB3FD2" w:rsidR="006B39BD" w:rsidRPr="00781112" w:rsidRDefault="006B39BD" w:rsidP="006B39BD">
      <w:pPr>
        <w:rPr>
          <w:b/>
          <w:color w:val="000000" w:themeColor="text1"/>
        </w:rPr>
      </w:pPr>
      <w:r w:rsidRPr="00781112">
        <w:rPr>
          <w:b/>
          <w:color w:val="000000" w:themeColor="text1"/>
        </w:rPr>
        <w:t>Provide reasons for slippage for Group B aged 3 through 5, if applicable</w:t>
      </w:r>
    </w:p>
    <w:p w14:paraId="0FA6349A" w14:textId="2ADE5DA0" w:rsidR="006B39BD" w:rsidRPr="00781112" w:rsidRDefault="006B39BD" w:rsidP="006B39BD">
      <w:pPr>
        <w:rPr>
          <w:rFonts w:cs="Arial"/>
          <w:color w:val="000000" w:themeColor="text1"/>
          <w:szCs w:val="16"/>
        </w:rPr>
      </w:pPr>
      <w:r w:rsidRPr="00781112">
        <w:rPr>
          <w:rFonts w:cs="Arial"/>
          <w:color w:val="000000" w:themeColor="text1"/>
          <w:szCs w:val="16"/>
        </w:rPr>
        <w:t xml:space="preserve">The MDE OSE attributes slippage in Indicator 6B to increasesd learning gaps for preschool students due to limited Head Start and Early intervention services caused by the COVID-19 pandemic. </w:t>
      </w:r>
      <w:proofErr w:type="gramStart"/>
      <w:r w:rsidRPr="00781112">
        <w:rPr>
          <w:rFonts w:cs="Arial"/>
          <w:color w:val="000000" w:themeColor="text1"/>
          <w:szCs w:val="16"/>
        </w:rPr>
        <w:t>This</w:t>
      </w:r>
      <w:proofErr w:type="gramEnd"/>
      <w:r w:rsidRPr="00781112">
        <w:rPr>
          <w:rFonts w:cs="Arial"/>
          <w:color w:val="000000" w:themeColor="text1"/>
          <w:szCs w:val="16"/>
        </w:rPr>
        <w:t xml:space="preserve"> learning gaps required students to require more intensive and specialized instruction. However, as Head Start and other Early Intervention services have returned to pre-pandemic operations, along with the fact that there are more Early Childhood programs on school campuses than there have ever been, the MDE OSE fully expects to see the targets met for this indicator in the future.</w:t>
      </w:r>
    </w:p>
    <w:p w14:paraId="763CB8C1" w14:textId="360436FE" w:rsidR="006B39BD" w:rsidRPr="00781112" w:rsidRDefault="006B39BD" w:rsidP="006B39BD">
      <w:pPr>
        <w:rPr>
          <w:b/>
          <w:color w:val="000000" w:themeColor="text1"/>
        </w:rPr>
      </w:pPr>
      <w:r w:rsidRPr="00781112">
        <w:rPr>
          <w:b/>
          <w:color w:val="000000" w:themeColor="text1"/>
        </w:rPr>
        <w:t>Provide reasons for slippage for Group C aged 3 through 5, if applicable</w:t>
      </w:r>
    </w:p>
    <w:p w14:paraId="1288C8E4" w14:textId="2FBA7D1F" w:rsidR="006B39BD" w:rsidRPr="00781112" w:rsidRDefault="006B39BD" w:rsidP="006B39BD">
      <w:pPr>
        <w:rPr>
          <w:rFonts w:cs="Arial"/>
          <w:color w:val="000000" w:themeColor="text1"/>
          <w:szCs w:val="16"/>
        </w:rPr>
      </w:pPr>
      <w:r w:rsidRPr="00781112">
        <w:rPr>
          <w:rFonts w:cs="Arial"/>
          <w:color w:val="000000" w:themeColor="text1"/>
          <w:szCs w:val="16"/>
        </w:rPr>
        <w:t xml:space="preserve">The MDE OSE believes that post-pandemic </w:t>
      </w:r>
      <w:proofErr w:type="gramStart"/>
      <w:r w:rsidRPr="00781112">
        <w:rPr>
          <w:rFonts w:cs="Arial"/>
          <w:color w:val="000000" w:themeColor="text1"/>
          <w:szCs w:val="16"/>
        </w:rPr>
        <w:t>many</w:t>
      </w:r>
      <w:proofErr w:type="gramEnd"/>
      <w:r w:rsidRPr="00781112">
        <w:rPr>
          <w:rFonts w:cs="Arial"/>
          <w:color w:val="000000" w:themeColor="text1"/>
          <w:szCs w:val="16"/>
        </w:rPr>
        <w:t xml:space="preserve"> parents of students with disabilities and significant health issues have determined that the safest option for their student receiving services is to receive those services in the home. </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5"/>
      <w:bookmarkEnd w:id="36"/>
    </w:p>
    <w:p w14:paraId="1404DCF9" w14:textId="77777777" w:rsidR="00531E54" w:rsidRPr="00781112" w:rsidRDefault="00531E54" w:rsidP="00A018D4">
      <w:pPr>
        <w:rPr>
          <w:color w:val="000000" w:themeColor="text1"/>
          <w:szCs w:val="20"/>
        </w:rPr>
      </w:pPr>
      <w:bookmarkStart w:id="37"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xml:space="preserve"> Of those preschool children who entered the preschool program below age expectations in each Outcome,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w:t>
      </w:r>
      <w:proofErr w:type="gramStart"/>
      <w:r w:rsidRPr="00781112">
        <w:rPr>
          <w:rFonts w:cs="Arial"/>
          <w:color w:val="000000" w:themeColor="text1"/>
          <w:szCs w:val="16"/>
        </w:rPr>
        <w:t>is allowed</w:t>
      </w:r>
      <w:proofErr w:type="gramEnd"/>
      <w:r w:rsidRPr="00781112">
        <w:rPr>
          <w:rFonts w:cs="Arial"/>
          <w:color w:val="000000" w:themeColor="text1"/>
          <w:szCs w:val="16"/>
        </w:rPr>
        <w:t xml:space="preserve">. When sampling </w:t>
      </w:r>
      <w:proofErr w:type="gramStart"/>
      <w:r w:rsidRPr="00781112">
        <w:rPr>
          <w:rFonts w:cs="Arial"/>
          <w:color w:val="000000" w:themeColor="text1"/>
          <w:szCs w:val="16"/>
        </w:rPr>
        <w:t>is used</w:t>
      </w:r>
      <w:proofErr w:type="gramEnd"/>
      <w:r w:rsidRPr="00781112">
        <w:rPr>
          <w:rFonts w:cs="Arial"/>
          <w:color w:val="000000" w:themeColor="text1"/>
          <w:szCs w:val="16"/>
        </w:rPr>
        <w:t>,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Describe the results of the calculations and compare the results to the targets. States will use the progress categories for each of the three Outcomes to calculate and </w:t>
      </w:r>
      <w:proofErr w:type="gramStart"/>
      <w:r w:rsidRPr="00781112">
        <w:rPr>
          <w:rFonts w:cs="Arial"/>
          <w:color w:val="000000" w:themeColor="text1"/>
          <w:szCs w:val="16"/>
        </w:rPr>
        <w:t>report</w:t>
      </w:r>
      <w:proofErr w:type="gramEnd"/>
      <w:r w:rsidRPr="00781112">
        <w:rPr>
          <w:rFonts w:cs="Arial"/>
          <w:color w:val="000000" w:themeColor="text1"/>
          <w:szCs w:val="16"/>
        </w:rPr>
        <w:t xml:space="preserve">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In presenting results, provide the criteria for defining “comparable to same-aged peers.” If a State is using the Early Childhood Outcomes Center (ECO) Child Outcomes Summary (COS), then the criteria for defining “comparable to same-aged peers” has </w:t>
      </w:r>
      <w:proofErr w:type="gramStart"/>
      <w:r w:rsidRPr="00781112">
        <w:rPr>
          <w:rFonts w:cs="Arial"/>
          <w:color w:val="000000" w:themeColor="text1"/>
          <w:szCs w:val="16"/>
        </w:rPr>
        <w:t>been defined</w:t>
      </w:r>
      <w:proofErr w:type="gramEnd"/>
      <w:r w:rsidRPr="00781112">
        <w:rPr>
          <w:rFonts w:cs="Arial"/>
          <w:color w:val="000000" w:themeColor="text1"/>
          <w:szCs w:val="16"/>
        </w:rPr>
        <w:t xml:space="preserve">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7"/>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62.00%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56.99%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49.80%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48.25%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47.30%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50.19%</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87.00%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81.74%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78.44%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75.40%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76.58%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77.78%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75.82%</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69.00%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64.01%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61.60%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53.54%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60.98%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60.82%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56.05%</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79.00%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74.37%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72.43%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67.45%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70.83%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71.21%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68.54%</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46.00%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47.00%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47.00%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47.00%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42.24%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38.06%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32.94%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40.05%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39.47%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36.42%</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77.00%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71.78%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70.68%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64.90%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69.57%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70.72%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66.57%</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62.00%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62.00%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62.00%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62.00%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62.00%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87.00%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87.00%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87.00%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87.00%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87.00%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69.00%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69.00%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69.00%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69.00%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69.00%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79.00%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79.00%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79.00%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79.00%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79.00%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47.00%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47.00%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47.00%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47.00%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47.00%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77.00%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77.00%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77.00%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77.00%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77.00%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The Mississippi Department of Education solicited stakeholder feedback through multiple in person and virtual meetings with teachers, administrators, special education directors, representatives of parent advocacy groups, and parents as outlined in the Introduction. Stakeholder feedback </w:t>
      </w:r>
      <w:proofErr w:type="gramStart"/>
      <w:r w:rsidRPr="00781112">
        <w:rPr>
          <w:rFonts w:cs="Arial"/>
          <w:color w:val="000000" w:themeColor="text1"/>
          <w:szCs w:val="16"/>
        </w:rPr>
        <w:t>was also solicited</w:t>
      </w:r>
      <w:proofErr w:type="gramEnd"/>
      <w:r w:rsidRPr="00781112">
        <w:rPr>
          <w:rFonts w:cs="Arial"/>
          <w:color w:val="000000" w:themeColor="text1"/>
          <w:szCs w:val="16"/>
        </w:rPr>
        <w:t xml:space="preserve"> from the Special Education Advisory Panel. Because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baseline and targets were set last year based on stakeholder feedback, The MDE OSE did not seek feedback regarding updating targets or baseline. </w:t>
      </w:r>
      <w:proofErr w:type="gramStart"/>
      <w:r w:rsidRPr="00781112">
        <w:rPr>
          <w:rFonts w:cs="Arial"/>
          <w:color w:val="000000" w:themeColor="text1"/>
          <w:szCs w:val="16"/>
        </w:rPr>
        <w:t>Rather based</w:t>
      </w:r>
      <w:proofErr w:type="gramEnd"/>
      <w:r w:rsidRPr="00781112">
        <w:rPr>
          <w:rFonts w:cs="Arial"/>
          <w:color w:val="000000" w:themeColor="text1"/>
          <w:szCs w:val="16"/>
        </w:rPr>
        <w:t xml:space="preserve"> on stakeholder feedback, the MDE OSE determined that it would continue to report data to stakeholders and defer to stakeholders as to when updates or changes need to be made. Stakeholders would like to see </w:t>
      </w:r>
      <w:proofErr w:type="gramStart"/>
      <w:r w:rsidRPr="00781112">
        <w:rPr>
          <w:rFonts w:cs="Arial"/>
          <w:color w:val="000000" w:themeColor="text1"/>
          <w:szCs w:val="16"/>
        </w:rPr>
        <w:t>some</w:t>
      </w:r>
      <w:proofErr w:type="gramEnd"/>
      <w:r w:rsidRPr="00781112">
        <w:rPr>
          <w:rFonts w:cs="Arial"/>
          <w:color w:val="000000" w:themeColor="text1"/>
          <w:szCs w:val="16"/>
        </w:rPr>
        <w:t xml:space="preserve"> trend data prior to making changes. </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54</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0.00%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4</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7.41%</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11</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20.37%</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13</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24.07%</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26</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48.15%</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w:t>
            </w:r>
            <w:r w:rsidRPr="00781112">
              <w:rPr>
                <w:rFonts w:cs="Arial"/>
                <w:color w:val="000000" w:themeColor="text1"/>
                <w:szCs w:val="16"/>
              </w:rPr>
              <w:lastRenderedPageBreak/>
              <w:t xml:space="preserve">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lastRenderedPageBreak/>
              <w:t>24</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28</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50.19%</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62.00%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85.71%</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39</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54</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75.82%</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87.00%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72.22%</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1.85%</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16.67%</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12.96%</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37</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68.52%</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16</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17</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56.05%</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94.12%</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44</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54</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68.54%</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81.48%</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1.85%</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11.11%</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14.81%</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24</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44.44%</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15</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27.78%</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lastRenderedPageBreak/>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 xml:space="preserve">C1. Of those children who entered or exited the program below age expectations in Outcome C,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32</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39</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36.42%</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47.00%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82.05%</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w:t>
            </w:r>
            <w:proofErr w:type="gramStart"/>
            <w:r w:rsidRPr="0075451F">
              <w:rPr>
                <w:rFonts w:cs="Arial"/>
                <w:i/>
                <w:iCs/>
                <w:color w:val="C00000"/>
                <w:szCs w:val="16"/>
                <w:lang w:val="es-ES"/>
              </w:rPr>
              <w:t>e)/</w:t>
            </w:r>
            <w:proofErr w:type="gramEnd"/>
            <w:r w:rsidRPr="0075451F">
              <w:rPr>
                <w:rFonts w:cs="Arial"/>
                <w:i/>
                <w:iCs/>
                <w:color w:val="C00000"/>
                <w:szCs w:val="16"/>
                <w:lang w:val="es-ES"/>
              </w:rPr>
              <w:t>(a+b+c+d+e)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39</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54</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66.57%</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72.22%</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C5A03FF" w14:textId="77777777" w:rsidTr="003138F9">
        <w:tc>
          <w:tcPr>
            <w:tcW w:w="375" w:type="pct"/>
            <w:vAlign w:val="center"/>
          </w:tcPr>
          <w:p w14:paraId="1B7D7510" w14:textId="77777777" w:rsidR="005033CE" w:rsidRPr="00781112" w:rsidRDefault="005033CE" w:rsidP="004369B2">
            <w:pPr>
              <w:jc w:val="center"/>
              <w:rPr>
                <w:b/>
                <w:color w:val="000000" w:themeColor="text1"/>
              </w:rPr>
            </w:pPr>
            <w:r w:rsidRPr="00781112">
              <w:rPr>
                <w:b/>
                <w:color w:val="000000" w:themeColor="text1"/>
              </w:rPr>
              <w:t>A2</w:t>
            </w:r>
          </w:p>
        </w:tc>
        <w:tc>
          <w:tcPr>
            <w:tcW w:w="4625" w:type="pct"/>
            <w:shd w:val="clear" w:color="auto" w:fill="auto"/>
          </w:tcPr>
          <w:p w14:paraId="370094D2" w14:textId="465BB469" w:rsidR="005033CE" w:rsidRPr="00781112" w:rsidRDefault="008C5922" w:rsidP="00E21107">
            <w:pPr>
              <w:rPr>
                <w:rFonts w:cs="Arial"/>
                <w:color w:val="000000" w:themeColor="text1"/>
                <w:szCs w:val="16"/>
              </w:rPr>
            </w:pPr>
            <w:r w:rsidRPr="00781112">
              <w:rPr>
                <w:rFonts w:cs="Arial"/>
                <w:color w:val="000000" w:themeColor="text1"/>
                <w:szCs w:val="16"/>
              </w:rPr>
              <w:t xml:space="preserve">The MDE OSE attributes slippage in this area to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factors. Head Start facilities that </w:t>
            </w:r>
            <w:proofErr w:type="gramStart"/>
            <w:r w:rsidRPr="00781112">
              <w:rPr>
                <w:rFonts w:cs="Arial"/>
                <w:color w:val="000000" w:themeColor="text1"/>
                <w:szCs w:val="16"/>
              </w:rPr>
              <w:t>were closed</w:t>
            </w:r>
            <w:proofErr w:type="gramEnd"/>
            <w:r w:rsidRPr="00781112">
              <w:rPr>
                <w:rFonts w:cs="Arial"/>
                <w:color w:val="000000" w:themeColor="text1"/>
                <w:szCs w:val="16"/>
              </w:rPr>
              <w:t xml:space="preserve"> during the pandemic had difficulty re-opening due to staff shortages. Slippage can also </w:t>
            </w:r>
            <w:proofErr w:type="gramStart"/>
            <w:r w:rsidRPr="00781112">
              <w:rPr>
                <w:rFonts w:cs="Arial"/>
                <w:color w:val="000000" w:themeColor="text1"/>
                <w:szCs w:val="16"/>
              </w:rPr>
              <w:t>be attributed</w:t>
            </w:r>
            <w:proofErr w:type="gramEnd"/>
            <w:r w:rsidRPr="00781112">
              <w:rPr>
                <w:rFonts w:cs="Arial"/>
                <w:color w:val="000000" w:themeColor="text1"/>
                <w:szCs w:val="16"/>
              </w:rPr>
              <w:t xml:space="preserve"> to the impact the lack of in-person instruction due to the COVID-19 pandemic had on preschool children.</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8" w:name="_Toc382082381"/>
      <w:bookmarkStart w:id="39"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List the instruments and procedures used to gather data for this indicator.</w:t>
      </w:r>
      <w:r w:rsidRPr="00781112">
        <w:rPr>
          <w:rFonts w:cs="Arial"/>
          <w:color w:val="000000" w:themeColor="text1"/>
          <w:szCs w:val="16"/>
        </w:rPr>
        <w:br/>
        <w:t xml:space="preserve">The Battle Developmental Inventor 2nd Edition (BDI-2) is a comprehensive assessment that </w:t>
      </w:r>
      <w:proofErr w:type="gramStart"/>
      <w:r w:rsidRPr="00781112">
        <w:rPr>
          <w:rFonts w:cs="Arial"/>
          <w:color w:val="000000" w:themeColor="text1"/>
          <w:szCs w:val="16"/>
        </w:rPr>
        <w:t>is designed</w:t>
      </w:r>
      <w:proofErr w:type="gramEnd"/>
      <w:r w:rsidRPr="00781112">
        <w:rPr>
          <w:rFonts w:cs="Arial"/>
          <w:color w:val="000000" w:themeColor="text1"/>
          <w:szCs w:val="16"/>
        </w:rPr>
        <w:t xml:space="preserve"> for children from birth through seven years. It </w:t>
      </w:r>
      <w:proofErr w:type="gramStart"/>
      <w:r w:rsidRPr="00781112">
        <w:rPr>
          <w:rFonts w:cs="Arial"/>
          <w:color w:val="000000" w:themeColor="text1"/>
          <w:szCs w:val="16"/>
        </w:rPr>
        <w:t>was specifically developed</w:t>
      </w:r>
      <w:proofErr w:type="gramEnd"/>
      <w:r w:rsidRPr="00781112">
        <w:rPr>
          <w:rFonts w:cs="Arial"/>
          <w:color w:val="000000" w:themeColor="text1"/>
          <w:szCs w:val="16"/>
        </w:rPr>
        <w:t xml:space="preserve"> for identification of children who may benefit from special services, ongoing progress monitoring, and outcomes assessments. The BDI-2 domains align to the 2 Early Childhood Outcomes (ECO) as follows:</w:t>
      </w:r>
      <w:r w:rsidRPr="00781112">
        <w:rPr>
          <w:rFonts w:cs="Arial"/>
          <w:color w:val="000000" w:themeColor="text1"/>
          <w:szCs w:val="16"/>
        </w:rPr>
        <w:br/>
        <w:t>ECO Outcome BDI-2 domain</w:t>
      </w:r>
      <w:r w:rsidRPr="00781112">
        <w:rPr>
          <w:rFonts w:cs="Arial"/>
          <w:color w:val="000000" w:themeColor="text1"/>
          <w:szCs w:val="16"/>
        </w:rPr>
        <w:br/>
        <w:t>Positive social-emotional skills</w:t>
      </w:r>
      <w:r w:rsidRPr="00781112">
        <w:rPr>
          <w:rFonts w:cs="Arial"/>
          <w:color w:val="000000" w:themeColor="text1"/>
          <w:szCs w:val="16"/>
        </w:rPr>
        <w:br/>
        <w:t>persona-social (including social relationships)</w:t>
      </w:r>
      <w:r w:rsidRPr="00781112">
        <w:rPr>
          <w:rFonts w:cs="Arial"/>
          <w:color w:val="000000" w:themeColor="text1"/>
          <w:szCs w:val="16"/>
        </w:rPr>
        <w:br/>
        <w:t>Acquiring and using knowledge and skills</w:t>
      </w:r>
      <w:r w:rsidRPr="00781112">
        <w:rPr>
          <w:rFonts w:cs="Arial"/>
          <w:color w:val="000000" w:themeColor="text1"/>
          <w:szCs w:val="16"/>
        </w:rPr>
        <w:br/>
        <w:t>Communications and cognitive</w:t>
      </w:r>
      <w:r w:rsidRPr="00781112">
        <w:rPr>
          <w:rFonts w:cs="Arial"/>
          <w:color w:val="000000" w:themeColor="text1"/>
          <w:szCs w:val="16"/>
        </w:rPr>
        <w:br/>
        <w:t>Taking appropriate action to meet needs</w:t>
      </w:r>
      <w:r w:rsidRPr="00781112">
        <w:rPr>
          <w:rFonts w:cs="Arial"/>
          <w:color w:val="000000" w:themeColor="text1"/>
          <w:szCs w:val="16"/>
        </w:rPr>
        <w:br/>
        <w:t>Adaptive and motor</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 xml:space="preserve">The MDE OSE implemented the COS Process in July 2021. This is the first year of complete data for the COS process. The MDE OSE has invested </w:t>
      </w:r>
      <w:proofErr w:type="gramStart"/>
      <w:r w:rsidRPr="00781112">
        <w:rPr>
          <w:rFonts w:cs="Arial"/>
          <w:color w:val="000000" w:themeColor="text1"/>
          <w:szCs w:val="16"/>
        </w:rPr>
        <w:t>significant time</w:t>
      </w:r>
      <w:proofErr w:type="gramEnd"/>
      <w:r w:rsidRPr="00781112">
        <w:rPr>
          <w:rFonts w:cs="Arial"/>
          <w:color w:val="000000" w:themeColor="text1"/>
          <w:szCs w:val="16"/>
        </w:rPr>
        <w:t xml:space="preserve"> and professional development in preparing LEAs for this change and in the implementation of the COS process. Every district </w:t>
      </w:r>
      <w:proofErr w:type="gramStart"/>
      <w:r w:rsidRPr="00781112">
        <w:rPr>
          <w:rFonts w:cs="Arial"/>
          <w:color w:val="000000" w:themeColor="text1"/>
          <w:szCs w:val="16"/>
        </w:rPr>
        <w:t>was given</w:t>
      </w:r>
      <w:proofErr w:type="gramEnd"/>
      <w:r w:rsidRPr="00781112">
        <w:rPr>
          <w:rFonts w:cs="Arial"/>
          <w:color w:val="000000" w:themeColor="text1"/>
          <w:szCs w:val="16"/>
        </w:rPr>
        <w:t xml:space="preserve"> individualized feedback on the first several Entry assessments that were completed using the COS process. The MDE OSE and MDE Office of Early Childhood has provided comprehensive guidance and support to LEAs regarding the COS process. That guidance and support can </w:t>
      </w:r>
      <w:proofErr w:type="gramStart"/>
      <w:r w:rsidRPr="00781112">
        <w:rPr>
          <w:rFonts w:cs="Arial"/>
          <w:color w:val="000000" w:themeColor="text1"/>
          <w:szCs w:val="16"/>
        </w:rPr>
        <w:t>be found</w:t>
      </w:r>
      <w:proofErr w:type="gramEnd"/>
      <w:r w:rsidRPr="00781112">
        <w:rPr>
          <w:rFonts w:cs="Arial"/>
          <w:color w:val="000000" w:themeColor="text1"/>
          <w:szCs w:val="16"/>
        </w:rPr>
        <w:t xml:space="preserve"> here: https://www.mdek12.org/OSE/EC/ecse-indicator-7. As the COS process continues to </w:t>
      </w:r>
      <w:proofErr w:type="gramStart"/>
      <w:r w:rsidRPr="00781112">
        <w:rPr>
          <w:rFonts w:cs="Arial"/>
          <w:color w:val="000000" w:themeColor="text1"/>
          <w:szCs w:val="16"/>
        </w:rPr>
        <w:t>be implemented</w:t>
      </w:r>
      <w:proofErr w:type="gramEnd"/>
      <w:r w:rsidRPr="00781112">
        <w:rPr>
          <w:rFonts w:cs="Arial"/>
          <w:color w:val="000000" w:themeColor="text1"/>
          <w:szCs w:val="16"/>
        </w:rPr>
        <w:t xml:space="preserve"> the MDE OSE fully expects to see the data stabilize. </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the number of preschool children aged 3 through 5 with IEPs who </w:t>
      </w:r>
      <w:proofErr w:type="gramStart"/>
      <w:r w:rsidRPr="00781112">
        <w:rPr>
          <w:rFonts w:cs="Arial"/>
          <w:color w:val="000000" w:themeColor="text1"/>
          <w:szCs w:val="16"/>
        </w:rPr>
        <w:t>were assessed</w:t>
      </w:r>
      <w:proofErr w:type="gramEnd"/>
      <w:r w:rsidRPr="00781112">
        <w:rPr>
          <w:rFonts w:cs="Arial"/>
          <w:color w:val="000000" w:themeColor="text1"/>
          <w:szCs w:val="16"/>
        </w:rPr>
        <w:t>, as required by the measurement table.</w:t>
      </w:r>
    </w:p>
    <w:p w14:paraId="342951AE" w14:textId="530DEEBF" w:rsidR="00B1280F" w:rsidRPr="00781112" w:rsidRDefault="00B1280F" w:rsidP="000A2C83">
      <w:pPr>
        <w:rPr>
          <w:rFonts w:cs="Arial"/>
          <w:color w:val="000000" w:themeColor="text1"/>
          <w:szCs w:val="16"/>
        </w:rPr>
      </w:pPr>
    </w:p>
    <w:p w14:paraId="311D27F5" w14:textId="0BABA79B" w:rsidR="000A2C83" w:rsidRPr="00B83FD1" w:rsidRDefault="007639D7" w:rsidP="000A2C83">
      <w:pPr>
        <w:rPr>
          <w:b/>
          <w:color w:val="000000" w:themeColor="text1"/>
        </w:rPr>
      </w:pPr>
      <w:r>
        <w:rPr>
          <w:b/>
          <w:color w:val="000000" w:themeColor="text1"/>
        </w:rPr>
        <w:t>Response to actions required in FFY 2020 SPP/APR</w:t>
      </w:r>
      <w:r w:rsidR="000A2C83" w:rsidRPr="00781112">
        <w:rPr>
          <w:rFonts w:cs="Arial"/>
          <w:color w:val="000000" w:themeColor="text1"/>
          <w:szCs w:val="16"/>
        </w:rPr>
        <w:t xml:space="preserve"> </w:t>
      </w:r>
    </w:p>
    <w:p w14:paraId="408E3220" w14:textId="5349938A" w:rsidR="009B37A2" w:rsidRPr="00B83FD1" w:rsidRDefault="00C96236" w:rsidP="00B83FD1">
      <w:pPr>
        <w:pStyle w:val="Heading2"/>
      </w:pPr>
      <w:r w:rsidRPr="00781112">
        <w:t>7 - OSEP Response</w:t>
      </w: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8"/>
      <w:bookmarkEnd w:id="39"/>
    </w:p>
    <w:p w14:paraId="66FBCA03" w14:textId="77777777" w:rsidR="00B654C1" w:rsidRPr="00781112" w:rsidRDefault="00B654C1" w:rsidP="00A018D4">
      <w:pPr>
        <w:rPr>
          <w:color w:val="000000" w:themeColor="text1"/>
          <w:szCs w:val="20"/>
        </w:rPr>
      </w:pPr>
      <w:bookmarkStart w:id="40"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 xml:space="preserve">of parents from whom response </w:t>
      </w:r>
      <w:proofErr w:type="gramStart"/>
      <w:r w:rsidRPr="00781112">
        <w:rPr>
          <w:rFonts w:cs="Arial"/>
          <w:b/>
          <w:bCs/>
          <w:i/>
          <w:iCs/>
          <w:color w:val="000000" w:themeColor="text1"/>
          <w:szCs w:val="16"/>
        </w:rPr>
        <w:t>is requested</w:t>
      </w:r>
      <w:proofErr w:type="gramEnd"/>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 xml:space="preserve">When sampling </w:t>
      </w:r>
      <w:proofErr w:type="gramStart"/>
      <w:r w:rsidRPr="00781112">
        <w:rPr>
          <w:rFonts w:cs="Arial"/>
          <w:i/>
          <w:iCs/>
          <w:color w:val="000000" w:themeColor="text1"/>
          <w:szCs w:val="16"/>
        </w:rPr>
        <w:t>is used</w:t>
      </w:r>
      <w:proofErr w:type="gramEnd"/>
      <w:r w:rsidRPr="00781112">
        <w:rPr>
          <w:rFonts w:cs="Arial"/>
          <w:i/>
          <w:iCs/>
          <w:color w:val="000000" w:themeColor="text1"/>
          <w:szCs w:val="16"/>
        </w:rPr>
        <w:t>,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w:t>
      </w:r>
      <w:proofErr w:type="gramStart"/>
      <w:r w:rsidRPr="00781112">
        <w:rPr>
          <w:rFonts w:cs="Arial"/>
          <w:color w:val="000000" w:themeColor="text1"/>
          <w:szCs w:val="16"/>
        </w:rPr>
        <w:t>reliable</w:t>
      </w:r>
      <w:proofErr w:type="gramEnd"/>
      <w:r w:rsidRPr="00781112">
        <w:rPr>
          <w:rFonts w:cs="Arial"/>
          <w:color w:val="000000" w:themeColor="text1"/>
          <w:szCs w:val="16"/>
        </w:rPr>
        <w:t>.</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While a survey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t>
      </w:r>
      <w:proofErr w:type="gramStart"/>
      <w:r w:rsidRPr="00781112">
        <w:rPr>
          <w:rFonts w:cs="Arial"/>
          <w:color w:val="000000" w:themeColor="text1"/>
          <w:szCs w:val="16"/>
        </w:rPr>
        <w:t>were distributed</w:t>
      </w:r>
      <w:proofErr w:type="gramEnd"/>
      <w:r w:rsidRPr="00781112">
        <w:rPr>
          <w:rFonts w:cs="Arial"/>
          <w:color w:val="000000" w:themeColor="text1"/>
          <w:szCs w:val="16"/>
        </w:rPr>
        <w:t xml:space="preserve"> </w:t>
      </w:r>
      <w:r w:rsidR="004A6352" w:rsidRPr="00781112">
        <w:rPr>
          <w:rFonts w:cs="Arial"/>
          <w:szCs w:val="16"/>
        </w:rPr>
        <w:t xml:space="preserve">and the number of respondent parents. The survey response rate </w:t>
      </w:r>
      <w:proofErr w:type="gramStart"/>
      <w:r w:rsidR="004A6352" w:rsidRPr="00781112">
        <w:rPr>
          <w:rFonts w:cs="Arial"/>
          <w:szCs w:val="16"/>
        </w:rPr>
        <w:t>is automatically calculated</w:t>
      </w:r>
      <w:proofErr w:type="gramEnd"/>
      <w:r w:rsidR="004A6352" w:rsidRPr="00781112">
        <w:rPr>
          <w:rFonts w:cs="Arial"/>
          <w:szCs w:val="16"/>
        </w:rPr>
        <w:t xml:space="preserve">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1"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t>
      </w:r>
      <w:proofErr w:type="gramStart"/>
      <w:r>
        <w:t>were collected</w:t>
      </w:r>
      <w:proofErr w:type="gramEnd"/>
      <w:r>
        <w:t xml:space="preserve">. </w:t>
      </w:r>
    </w:p>
    <w:p w14:paraId="4D74BEFB" w14:textId="7AC91DF2" w:rsidR="00DF5951" w:rsidRPr="00781112" w:rsidRDefault="00DF5951" w:rsidP="009C74BD">
      <w:pPr>
        <w:rPr>
          <w:rFonts w:cs="Arial"/>
          <w:szCs w:val="16"/>
        </w:rPr>
      </w:pPr>
      <w:r>
        <w:t xml:space="preserve">States </w:t>
      </w:r>
      <w:proofErr w:type="gramStart"/>
      <w:r>
        <w:t>are encouraged</w:t>
      </w:r>
      <w:proofErr w:type="gramEnd"/>
      <w:r>
        <w:t xml:space="preserve"> to work in collaboration with their OSEP-funded parent centers in collecting data.</w:t>
      </w:r>
    </w:p>
    <w:bookmarkEnd w:id="41"/>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0"/>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The Mississippi Department of Education solicited stakeholder feedback through multiple in person and virtual meetings with teachers, administrators, special education directors, representatives of parent advocacy groups, and parents as outlined in the Introduction. Stakeholder feedback </w:t>
      </w:r>
      <w:proofErr w:type="gramStart"/>
      <w:r w:rsidRPr="00781112">
        <w:rPr>
          <w:rFonts w:cs="Arial"/>
          <w:color w:val="000000" w:themeColor="text1"/>
          <w:szCs w:val="16"/>
        </w:rPr>
        <w:t>was also solicited</w:t>
      </w:r>
      <w:proofErr w:type="gramEnd"/>
      <w:r w:rsidRPr="00781112">
        <w:rPr>
          <w:rFonts w:cs="Arial"/>
          <w:color w:val="000000" w:themeColor="text1"/>
          <w:szCs w:val="16"/>
        </w:rPr>
        <w:t xml:space="preserve"> from the Special Education Advisory Panel. Because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baseline and targets were set last year based on stakeholder feedback, The MDE OSE did not seek feedback regarding updating targets or baseline. </w:t>
      </w:r>
      <w:proofErr w:type="gramStart"/>
      <w:r w:rsidRPr="00781112">
        <w:rPr>
          <w:rFonts w:cs="Arial"/>
          <w:color w:val="000000" w:themeColor="text1"/>
          <w:szCs w:val="16"/>
        </w:rPr>
        <w:t>Rather based</w:t>
      </w:r>
      <w:proofErr w:type="gramEnd"/>
      <w:r w:rsidRPr="00781112">
        <w:rPr>
          <w:rFonts w:cs="Arial"/>
          <w:color w:val="000000" w:themeColor="text1"/>
          <w:szCs w:val="16"/>
        </w:rPr>
        <w:t xml:space="preserve"> on stakeholder feedback, the MDE OSE determined that it would continue to report data to stakeholders and defer to stakeholders as to when updates or changes need to be made. Stakeholders would like to see </w:t>
      </w:r>
      <w:proofErr w:type="gramStart"/>
      <w:r w:rsidRPr="00781112">
        <w:rPr>
          <w:rFonts w:cs="Arial"/>
          <w:color w:val="000000" w:themeColor="text1"/>
          <w:szCs w:val="16"/>
        </w:rPr>
        <w:t>some</w:t>
      </w:r>
      <w:proofErr w:type="gramEnd"/>
      <w:r w:rsidRPr="00781112">
        <w:rPr>
          <w:rFonts w:cs="Arial"/>
          <w:color w:val="000000" w:themeColor="text1"/>
          <w:szCs w:val="16"/>
        </w:rPr>
        <w:t xml:space="preserve"> trend data prior to making changes. </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2019</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96.47%</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83.46%</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85.46%</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87.46%</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87.46%</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97.00%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97.19%</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97.23%</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97.31%</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96.47%</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96.41%</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97.00%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97.00%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97.00%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97.00%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97.00%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25,864</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27,078</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96.41%</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97.00%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95.52%</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 xml:space="preserve">Since the State did not report preschool children separately, discuss the procedures used to combine data from school age and preschool surveys in a manner that is valid and </w:t>
      </w:r>
      <w:proofErr w:type="gramStart"/>
      <w:r w:rsidRPr="00781112">
        <w:rPr>
          <w:rFonts w:cs="Arial"/>
          <w:b/>
          <w:color w:val="000000" w:themeColor="text1"/>
          <w:szCs w:val="16"/>
        </w:rPr>
        <w:t>reliable</w:t>
      </w:r>
      <w:proofErr w:type="gramEnd"/>
      <w:r w:rsidRPr="00781112">
        <w:rPr>
          <w:rFonts w:cs="Arial"/>
          <w:b/>
          <w:color w:val="000000" w:themeColor="text1"/>
          <w:szCs w:val="16"/>
        </w:rPr>
        <w:t>.</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The State collected data for preschool children using the same survey and data collection method. Therefore, the data </w:t>
      </w:r>
      <w:proofErr w:type="gramStart"/>
      <w:r w:rsidRPr="00781112">
        <w:rPr>
          <w:rFonts w:cs="Arial"/>
          <w:color w:val="000000" w:themeColor="text1"/>
          <w:szCs w:val="16"/>
        </w:rPr>
        <w:t>was collected</w:t>
      </w:r>
      <w:proofErr w:type="gramEnd"/>
      <w:r w:rsidRPr="00781112">
        <w:rPr>
          <w:rFonts w:cs="Arial"/>
          <w:color w:val="000000" w:themeColor="text1"/>
          <w:szCs w:val="16"/>
        </w:rPr>
        <w:t xml:space="preserve"> in the same survey and not combined. </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 xml:space="preserve">The number of parents to whom the surveys </w:t>
      </w:r>
      <w:proofErr w:type="gramStart"/>
      <w:r w:rsidRPr="00781112">
        <w:rPr>
          <w:rFonts w:cs="Arial"/>
          <w:b/>
          <w:color w:val="000000" w:themeColor="text1"/>
          <w:szCs w:val="16"/>
        </w:rPr>
        <w:t>were distributed</w:t>
      </w:r>
      <w:proofErr w:type="gramEnd"/>
      <w:r w:rsidRPr="00781112">
        <w:rPr>
          <w:rFonts w:cs="Arial"/>
          <w:b/>
          <w:color w:val="000000" w:themeColor="text1"/>
          <w:szCs w:val="16"/>
        </w:rPr>
        <w:t>.</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67,572</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40.07%</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2"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36.32%</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40.07%</w:t>
            </w:r>
          </w:p>
        </w:tc>
      </w:tr>
      <w:bookmarkEnd w:id="42"/>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 xml:space="preserve">Describe strategies that will </w:t>
      </w:r>
      <w:proofErr w:type="gramStart"/>
      <w:r w:rsidRPr="0061205F">
        <w:rPr>
          <w:rFonts w:cs="Arial"/>
          <w:b/>
          <w:color w:val="000000" w:themeColor="text1"/>
          <w:szCs w:val="16"/>
        </w:rPr>
        <w:t>be implemented</w:t>
      </w:r>
      <w:proofErr w:type="gramEnd"/>
      <w:r w:rsidRPr="0061205F">
        <w:rPr>
          <w:rFonts w:cs="Arial"/>
          <w:b/>
          <w:color w:val="000000" w:themeColor="text1"/>
          <w:szCs w:val="16"/>
        </w:rPr>
        <w:t xml:space="preserve">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The survey used to collect this data are available to LEA staff only. LEA staff </w:t>
      </w:r>
      <w:proofErr w:type="gramStart"/>
      <w:r w:rsidRPr="0061205F">
        <w:rPr>
          <w:rFonts w:cs="Arial"/>
          <w:bCs/>
          <w:color w:val="000000" w:themeColor="text1"/>
          <w:szCs w:val="16"/>
        </w:rPr>
        <w:t>are trained</w:t>
      </w:r>
      <w:proofErr w:type="gramEnd"/>
      <w:r w:rsidRPr="0061205F">
        <w:rPr>
          <w:rFonts w:cs="Arial"/>
          <w:bCs/>
          <w:color w:val="000000" w:themeColor="text1"/>
          <w:szCs w:val="16"/>
        </w:rPr>
        <w:t xml:space="preserve"> to administer the survey to parents during on-site and virtual meetings such as IEP meetings, open houses, etc. IP addresses, survey times and other data collected from the survey are m monitored to detect any </w:t>
      </w:r>
      <w:proofErr w:type="gramStart"/>
      <w:r w:rsidRPr="0061205F">
        <w:rPr>
          <w:rFonts w:cs="Arial"/>
          <w:bCs/>
          <w:color w:val="000000" w:themeColor="text1"/>
          <w:szCs w:val="16"/>
        </w:rPr>
        <w:t>possible data</w:t>
      </w:r>
      <w:proofErr w:type="gramEnd"/>
      <w:r w:rsidRPr="0061205F">
        <w:rPr>
          <w:rFonts w:cs="Arial"/>
          <w:bCs/>
          <w:color w:val="000000" w:themeColor="text1"/>
          <w:szCs w:val="16"/>
        </w:rPr>
        <w:t xml:space="preserve"> anomalies or discrepancies. In order to increase the response </w:t>
      </w:r>
      <w:proofErr w:type="gramStart"/>
      <w:r w:rsidRPr="0061205F">
        <w:rPr>
          <w:rFonts w:cs="Arial"/>
          <w:bCs/>
          <w:color w:val="000000" w:themeColor="text1"/>
          <w:szCs w:val="16"/>
        </w:rPr>
        <w:t>rate</w:t>
      </w:r>
      <w:proofErr w:type="gramEnd"/>
      <w:r w:rsidRPr="0061205F">
        <w:rPr>
          <w:rFonts w:cs="Arial"/>
          <w:bCs/>
          <w:color w:val="000000" w:themeColor="text1"/>
          <w:szCs w:val="16"/>
        </w:rPr>
        <w:t xml:space="preserve"> the MDE OSE sends weekly updates beginning in April to the special education director of each LEA. These updates provide directors with the percentage of participation for each district. Another step that has </w:t>
      </w:r>
      <w:proofErr w:type="gramStart"/>
      <w:r w:rsidRPr="0061205F">
        <w:rPr>
          <w:rFonts w:cs="Arial"/>
          <w:bCs/>
          <w:color w:val="000000" w:themeColor="text1"/>
          <w:szCs w:val="16"/>
        </w:rPr>
        <w:t>been taken</w:t>
      </w:r>
      <w:proofErr w:type="gramEnd"/>
      <w:r w:rsidRPr="0061205F">
        <w:rPr>
          <w:rFonts w:cs="Arial"/>
          <w:bCs/>
          <w:color w:val="000000" w:themeColor="text1"/>
          <w:szCs w:val="16"/>
        </w:rPr>
        <w:t xml:space="preserve"> to increase </w:t>
      </w:r>
      <w:proofErr w:type="gramStart"/>
      <w:r w:rsidRPr="0061205F">
        <w:rPr>
          <w:rFonts w:cs="Arial"/>
          <w:bCs/>
          <w:color w:val="000000" w:themeColor="text1"/>
          <w:szCs w:val="16"/>
        </w:rPr>
        <w:t>response</w:t>
      </w:r>
      <w:proofErr w:type="gramEnd"/>
      <w:r w:rsidRPr="0061205F">
        <w:rPr>
          <w:rFonts w:cs="Arial"/>
          <w:bCs/>
          <w:color w:val="000000" w:themeColor="text1"/>
          <w:szCs w:val="16"/>
        </w:rPr>
        <w:t xml:space="preserve"> rate is to allow the survey to be administered in multiple formats. LEAs can provide hard copies of the survey, verbally administer the </w:t>
      </w:r>
      <w:proofErr w:type="gramStart"/>
      <w:r w:rsidRPr="0061205F">
        <w:rPr>
          <w:rFonts w:cs="Arial"/>
          <w:bCs/>
          <w:color w:val="000000" w:themeColor="text1"/>
          <w:szCs w:val="16"/>
        </w:rPr>
        <w:t>survey</w:t>
      </w:r>
      <w:proofErr w:type="gramEnd"/>
      <w:r w:rsidRPr="0061205F">
        <w:rPr>
          <w:rFonts w:cs="Arial"/>
          <w:bCs/>
          <w:color w:val="000000" w:themeColor="text1"/>
          <w:szCs w:val="16"/>
        </w:rPr>
        <w:t xml:space="preserve"> or provide parents with the link to the survey online. These steps will continue to </w:t>
      </w:r>
      <w:proofErr w:type="gramStart"/>
      <w:r w:rsidRPr="0061205F">
        <w:rPr>
          <w:rFonts w:cs="Arial"/>
          <w:bCs/>
          <w:color w:val="000000" w:themeColor="text1"/>
          <w:szCs w:val="16"/>
        </w:rPr>
        <w:t>be implemented</w:t>
      </w:r>
      <w:proofErr w:type="gramEnd"/>
      <w:r w:rsidRPr="0061205F">
        <w:rPr>
          <w:rFonts w:cs="Arial"/>
          <w:bCs/>
          <w:color w:val="000000" w:themeColor="text1"/>
          <w:szCs w:val="16"/>
        </w:rPr>
        <w:t xml:space="preserve">. </w:t>
      </w:r>
      <w:proofErr w:type="gramStart"/>
      <w:r w:rsidRPr="0061205F">
        <w:rPr>
          <w:rFonts w:cs="Arial"/>
          <w:bCs/>
          <w:color w:val="000000" w:themeColor="text1"/>
          <w:szCs w:val="16"/>
        </w:rPr>
        <w:t>In order to</w:t>
      </w:r>
      <w:proofErr w:type="gramEnd"/>
      <w:r w:rsidRPr="0061205F">
        <w:rPr>
          <w:rFonts w:cs="Arial"/>
          <w:bCs/>
          <w:color w:val="000000" w:themeColor="text1"/>
          <w:szCs w:val="16"/>
        </w:rPr>
        <w:t xml:space="preserve"> address underrepresentation, the parent survey participation report that is provided to districts will be broken down by racial and ethnic groups and eligibility so that LEAs can monitor the participation of each group.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3" w:name="_Hlk81486999"/>
      <w:r w:rsidRPr="0061205F">
        <w:rPr>
          <w:rFonts w:cs="Arial"/>
          <w:b/>
          <w:color w:val="000000" w:themeColor="text1"/>
          <w:szCs w:val="16"/>
        </w:rPr>
        <w:t xml:space="preserve">of the response rate including any nonresponse bias that </w:t>
      </w:r>
      <w:proofErr w:type="gramStart"/>
      <w:r w:rsidRPr="0061205F">
        <w:rPr>
          <w:rFonts w:cs="Arial"/>
          <w:b/>
          <w:color w:val="000000" w:themeColor="text1"/>
          <w:szCs w:val="16"/>
        </w:rPr>
        <w:t>was identified</w:t>
      </w:r>
      <w:proofErr w:type="gramEnd"/>
      <w:r w:rsidRPr="0061205F">
        <w:rPr>
          <w:rFonts w:cs="Arial"/>
          <w:b/>
          <w:color w:val="000000" w:themeColor="text1"/>
          <w:szCs w:val="16"/>
        </w:rPr>
        <w:t>,</w:t>
      </w:r>
      <w:bookmarkEnd w:id="43"/>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proofErr w:type="gramStart"/>
      <w:r>
        <w:rPr>
          <w:rFonts w:cs="Arial"/>
          <w:szCs w:val="16"/>
        </w:rPr>
        <w:t>Thee</w:t>
      </w:r>
      <w:proofErr w:type="gramEnd"/>
      <w:r>
        <w:rPr>
          <w:rFonts w:cs="Arial"/>
          <w:szCs w:val="16"/>
        </w:rPr>
        <w:t xml:space="preserve"> MDE OSE will continue to distribute the Parent Survey to LEA staff and allow multiple formats for parents to access the survey. By ensuring that all LEAs have access to the survey and work toward having all parents complete the survey, the MDE OSE will continue to work towards ensuring the survey reaches a broad cross section of parents and will continue to do so. </w:t>
      </w:r>
      <w:proofErr w:type="gramStart"/>
      <w:r>
        <w:rPr>
          <w:rFonts w:cs="Arial"/>
          <w:szCs w:val="16"/>
        </w:rPr>
        <w:t>In order to</w:t>
      </w:r>
      <w:proofErr w:type="gramEnd"/>
      <w:r>
        <w:rPr>
          <w:rFonts w:cs="Arial"/>
          <w:szCs w:val="16"/>
        </w:rPr>
        <w:t xml:space="preserve"> address underrepresentation, the parent survey participation report that is provided to districts will be broken down by racial and ethnic groups and eligibility so that LEAs can monitor the participation of each group. Additionally in the Spring, the MDE OSE will host a series of data analysis meetings with LEAs to analyze their parent survey participation and develop action plans to increase participation across a broad and representative cross-section of parents. </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4" w:name="_Hlk112070690"/>
      <w:bookmarkStart w:id="45"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4"/>
    <w:bookmarkEnd w:id="45"/>
    <w:p w14:paraId="513A1FE6" w14:textId="77777777" w:rsidR="00090132" w:rsidRDefault="00090132" w:rsidP="006F6351">
      <w:pPr>
        <w:rPr>
          <w:b/>
          <w:bCs/>
        </w:rPr>
      </w:pPr>
      <w:r w:rsidRPr="000A2B9F">
        <w:rPr>
          <w:bCs/>
          <w:color w:val="000000" w:themeColor="text1"/>
        </w:rPr>
        <w:t>In the area of gender, MDE found that the male group was underrepresented (-1.12%) and the female group was overrepresented (1.12%).</w:t>
      </w:r>
      <w:r w:rsidRPr="000A2B9F">
        <w:rPr>
          <w:bCs/>
          <w:color w:val="000000" w:themeColor="text1"/>
        </w:rPr>
        <w:br/>
      </w:r>
      <w:r w:rsidRPr="000A2B9F">
        <w:rPr>
          <w:bCs/>
          <w:color w:val="000000" w:themeColor="text1"/>
        </w:rPr>
        <w:br/>
        <w:t xml:space="preserve">In the area of race, the following races had underrepresentation: </w:t>
      </w:r>
      <w:r w:rsidRPr="000A2B9F">
        <w:rPr>
          <w:bCs/>
          <w:color w:val="000000" w:themeColor="text1"/>
        </w:rPr>
        <w:br/>
        <w:t>Asian (-0.01%),</w:t>
      </w:r>
      <w:r w:rsidRPr="000A2B9F">
        <w:rPr>
          <w:bCs/>
          <w:color w:val="000000" w:themeColor="text1"/>
        </w:rPr>
        <w:br/>
        <w:t xml:space="preserve">Black/African American (-3.33%), </w:t>
      </w:r>
      <w:r w:rsidRPr="000A2B9F">
        <w:rPr>
          <w:bCs/>
          <w:color w:val="000000" w:themeColor="text1"/>
        </w:rPr>
        <w:br/>
        <w:t>Hispanic/Latino (-0.18%), and</w:t>
      </w:r>
      <w:r w:rsidRPr="000A2B9F">
        <w:rPr>
          <w:bCs/>
          <w:color w:val="000000" w:themeColor="text1"/>
        </w:rPr>
        <w:br/>
        <w:t>Two or More Races (-0.83%).</w:t>
      </w:r>
      <w:r w:rsidRPr="000A2B9F">
        <w:rPr>
          <w:bCs/>
          <w:color w:val="000000" w:themeColor="text1"/>
        </w:rPr>
        <w:br/>
      </w:r>
      <w:r w:rsidRPr="000A2B9F">
        <w:rPr>
          <w:bCs/>
          <w:color w:val="000000" w:themeColor="text1"/>
        </w:rPr>
        <w:br/>
        <w:t xml:space="preserve">The following races had overrepresentation: </w:t>
      </w:r>
      <w:r w:rsidRPr="000A2B9F">
        <w:rPr>
          <w:bCs/>
          <w:color w:val="000000" w:themeColor="text1"/>
        </w:rPr>
        <w:br/>
        <w:t>Native American (0.01),</w:t>
      </w:r>
      <w:r w:rsidRPr="000A2B9F">
        <w:rPr>
          <w:bCs/>
          <w:color w:val="000000" w:themeColor="text1"/>
        </w:rPr>
        <w:br/>
        <w:t xml:space="preserve">Pacific Islander (0.03), and </w:t>
      </w:r>
      <w:r w:rsidRPr="000A2B9F">
        <w:rPr>
          <w:bCs/>
          <w:color w:val="000000" w:themeColor="text1"/>
        </w:rPr>
        <w:br/>
        <w:t>White (4.30%).</w:t>
      </w:r>
      <w:r w:rsidRPr="000A2B9F">
        <w:rPr>
          <w:bCs/>
          <w:color w:val="000000" w:themeColor="text1"/>
        </w:rPr>
        <w:br/>
      </w:r>
      <w:r w:rsidRPr="000A2B9F">
        <w:rPr>
          <w:bCs/>
          <w:color w:val="000000" w:themeColor="text1"/>
        </w:rPr>
        <w:br/>
        <w:t>In the area of disabilities, the following disabilities had underrepresentation:</w:t>
      </w:r>
      <w:r w:rsidRPr="000A2B9F">
        <w:rPr>
          <w:bCs/>
          <w:color w:val="000000" w:themeColor="text1"/>
        </w:rPr>
        <w:br/>
        <w:t>Autism (-1.97%),</w:t>
      </w:r>
      <w:r w:rsidRPr="000A2B9F">
        <w:rPr>
          <w:bCs/>
          <w:color w:val="000000" w:themeColor="text1"/>
        </w:rPr>
        <w:br/>
        <w:t>Deaf-Blind (-0.09%)</w:t>
      </w:r>
      <w:r w:rsidRPr="000A2B9F">
        <w:rPr>
          <w:bCs/>
          <w:color w:val="000000" w:themeColor="text1"/>
        </w:rPr>
        <w:br/>
        <w:t>Developmentally Delayed (-1.13%),</w:t>
      </w:r>
      <w:r w:rsidRPr="000A2B9F">
        <w:rPr>
          <w:bCs/>
          <w:color w:val="000000" w:themeColor="text1"/>
        </w:rPr>
        <w:br/>
        <w:t xml:space="preserve">Intellectual Disability (-0.02%), </w:t>
      </w:r>
      <w:r w:rsidRPr="000A2B9F">
        <w:rPr>
          <w:bCs/>
          <w:color w:val="000000" w:themeColor="text1"/>
        </w:rPr>
        <w:br/>
        <w:t xml:space="preserve">Language/Speech Impaired (-0.05%), </w:t>
      </w:r>
      <w:r w:rsidRPr="000A2B9F">
        <w:rPr>
          <w:bCs/>
          <w:color w:val="000000" w:themeColor="text1"/>
        </w:rPr>
        <w:br/>
        <w:t>Multiple Disabilities (-0.15%),</w:t>
      </w:r>
      <w:r w:rsidRPr="000A2B9F">
        <w:rPr>
          <w:bCs/>
          <w:color w:val="000000" w:themeColor="text1"/>
        </w:rPr>
        <w:br/>
      </w:r>
      <w:r w:rsidRPr="000A2B9F">
        <w:rPr>
          <w:bCs/>
          <w:color w:val="000000" w:themeColor="text1"/>
        </w:rPr>
        <w:lastRenderedPageBreak/>
        <w:t xml:space="preserve"> Other Health Impairment (-14.61%),</w:t>
      </w:r>
      <w:r w:rsidRPr="000A2B9F">
        <w:rPr>
          <w:bCs/>
          <w:color w:val="000000" w:themeColor="text1"/>
        </w:rPr>
        <w:br/>
        <w:t xml:space="preserve"> Specific Learning Disability (-0.28%)</w:t>
      </w:r>
      <w:r w:rsidRPr="000A2B9F">
        <w:rPr>
          <w:bCs/>
          <w:color w:val="000000" w:themeColor="text1"/>
        </w:rPr>
        <w:br/>
        <w:t>Traumatic Brain Injury (-0.07%) and</w:t>
      </w:r>
      <w:r w:rsidRPr="000A2B9F">
        <w:rPr>
          <w:bCs/>
          <w:color w:val="000000" w:themeColor="text1"/>
        </w:rPr>
        <w:br/>
        <w:t>Visually Impaired (-0.08%).</w:t>
      </w:r>
      <w:r w:rsidRPr="000A2B9F">
        <w:rPr>
          <w:bCs/>
          <w:color w:val="000000" w:themeColor="text1"/>
        </w:rPr>
        <w:br/>
      </w:r>
      <w:r w:rsidRPr="000A2B9F">
        <w:rPr>
          <w:bCs/>
          <w:color w:val="000000" w:themeColor="text1"/>
        </w:rPr>
        <w:br/>
        <w:t xml:space="preserve">The following disabilities had overrepresentation: </w:t>
      </w:r>
      <w:r w:rsidRPr="000A2B9F">
        <w:rPr>
          <w:bCs/>
          <w:color w:val="000000" w:themeColor="text1"/>
        </w:rPr>
        <w:br/>
        <w:t xml:space="preserve">Emotional Disability (1.0%), </w:t>
      </w:r>
      <w:r w:rsidRPr="000A2B9F">
        <w:rPr>
          <w:bCs/>
          <w:color w:val="000000" w:themeColor="text1"/>
        </w:rPr>
        <w:br/>
        <w:t>Hearing Impaired (0.01%), and</w:t>
      </w:r>
      <w:r w:rsidRPr="000A2B9F">
        <w:rPr>
          <w:bCs/>
          <w:color w:val="000000" w:themeColor="text1"/>
        </w:rPr>
        <w:br/>
        <w:t>Orthopedic Impairment (17.44%).</w:t>
      </w:r>
      <w:r w:rsidRPr="000A2B9F">
        <w:rPr>
          <w:bCs/>
          <w:color w:val="000000" w:themeColor="text1"/>
        </w:rPr>
        <w:br/>
      </w:r>
      <w:r w:rsidRPr="000A2B9F">
        <w:rPr>
          <w:bCs/>
          <w:color w:val="000000" w:themeColor="text1"/>
        </w:rPr>
        <w:br/>
      </w:r>
      <w:r w:rsidRPr="000A2B9F">
        <w:rPr>
          <w:bCs/>
          <w:color w:val="000000" w:themeColor="text1"/>
        </w:rPr>
        <w:br/>
      </w:r>
      <w:r w:rsidRPr="000A2B9F">
        <w:rPr>
          <w:bCs/>
          <w:color w:val="000000" w:themeColor="text1"/>
        </w:rPr>
        <w:br/>
        <w:t>Areas of review that had overrepresentation or underrepresentation of more than 3% are:</w:t>
      </w:r>
      <w:r w:rsidRPr="000A2B9F">
        <w:rPr>
          <w:bCs/>
          <w:color w:val="000000" w:themeColor="text1"/>
        </w:rPr>
        <w:br/>
        <w:t>Orthopedic Impairment overrepresented by 17.44%</w:t>
      </w:r>
      <w:r w:rsidRPr="000A2B9F">
        <w:rPr>
          <w:bCs/>
          <w:color w:val="000000" w:themeColor="text1"/>
        </w:rPr>
        <w:br/>
        <w:t>Other Health Impairment underrepresented by -14.61%</w:t>
      </w:r>
      <w:r w:rsidRPr="000A2B9F">
        <w:rPr>
          <w:bCs/>
          <w:color w:val="000000" w:themeColor="text1"/>
        </w:rPr>
        <w:br/>
        <w:t>Black/African American underrepresented by -3.33%</w:t>
      </w:r>
      <w:r w:rsidRPr="000A2B9F">
        <w:rPr>
          <w:bCs/>
          <w:color w:val="000000" w:themeColor="text1"/>
        </w:rPr>
        <w:br/>
        <w:t>White overrepresented by 4.30%</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 </w:t>
      </w:r>
      <w:proofErr w:type="gramStart"/>
      <w:r w:rsidRPr="000A2B9F">
        <w:rPr>
          <w:b w:val="0"/>
          <w:bCs/>
        </w:rPr>
        <w:t>3%</w:t>
      </w:r>
      <w:proofErr w:type="gramEnd"/>
      <w:r w:rsidRPr="000A2B9F">
        <w:rPr>
          <w:b w:val="0"/>
          <w:bCs/>
        </w:rPr>
        <w:t xml:space="preserve"> discrepancy in the proportion of responders compared to target group</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did not analyze the response rate to identify potential nonresponse bias or identify steps taken to reduce any identified bias to promote response from parents of children receiving special education services in the State, as required by the Measurement Table.</w:t>
      </w:r>
      <w:r w:rsidRPr="00781112">
        <w:rPr>
          <w:rFonts w:cs="Arial"/>
          <w:color w:val="000000" w:themeColor="text1"/>
          <w:szCs w:val="16"/>
        </w:rPr>
        <w:br/>
      </w:r>
      <w:r w:rsidRPr="00781112">
        <w:rPr>
          <w:rFonts w:cs="Arial"/>
          <w:color w:val="000000" w:themeColor="text1"/>
          <w:szCs w:val="16"/>
        </w:rPr>
        <w:br/>
        <w:t>The State reported that the response data for this indicator were representative of the demographics of children receiving special education services in the State. However, in its narrative, the State reported "Areas of review that had overrepresentation or underrepresentation of more than 3% are: Orthopedic Impairment overrepresented by 17.44%; Other Health Impairment underrepresented by -14.61%; Black/African American underrepresented by -3.33%; and White overrepresented by 4.30%". Therefore, OSEP cannot determine whether the response data was representative. OSEP notes that the State did not describe the strategies to address this issue in the future.</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In the FFY 2022 SPP/APR, the State must analyze the response rate to identify potential nonresponse bias and report on steps taken to reduce any identified bias and promote response from a broad cross section of parents of children with disabilities.</w:t>
      </w:r>
      <w:r w:rsidRPr="00781112">
        <w:rPr>
          <w:rFonts w:cs="Arial"/>
          <w:color w:val="000000" w:themeColor="text1"/>
          <w:szCs w:val="16"/>
        </w:rPr>
        <w:br/>
      </w:r>
      <w:r w:rsidRPr="00781112">
        <w:rPr>
          <w:rFonts w:cs="Arial"/>
          <w:color w:val="000000" w:themeColor="text1"/>
          <w:szCs w:val="16"/>
        </w:rPr>
        <w:br/>
        <w:t xml:space="preserve">The State reported that the response data for this indicator were representative of the demographics of children receiving special education services using the metric of +/-3%. However, in its narrative, the State reported "Areas of review that had overrepresentation or underrepresentation of more than 3% are: Orthopedic Impairment overrepresented by 17.44%; Other Health Impairment underrepresented by -14.61%; Black/African American underrepresented by -3.33%; and White overrepresented by 4.30%". 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6" w:name="_Toc384383343"/>
      <w:bookmarkStart w:id="47"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w:t>
      </w:r>
      <w:proofErr w:type="gramStart"/>
      <w:r w:rsidRPr="00781112">
        <w:rPr>
          <w:rFonts w:cs="Arial"/>
          <w:color w:val="000000" w:themeColor="text1"/>
          <w:szCs w:val="16"/>
        </w:rPr>
        <w:t>services that</w:t>
      </w:r>
      <w:proofErr w:type="gramEnd"/>
      <w:r w:rsidRPr="00781112">
        <w:rPr>
          <w:rFonts w:cs="Arial"/>
          <w:color w:val="000000" w:themeColor="text1"/>
          <w:szCs w:val="16"/>
        </w:rPr>
        <w:t xml:space="preserve">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proofErr w:type="gramStart"/>
      <w:r w:rsidR="00071D42" w:rsidRPr="00781112">
        <w:rPr>
          <w:rFonts w:cs="Arial"/>
        </w:rPr>
        <w:t>5</w:t>
      </w:r>
      <w:proofErr w:type="gramEnd"/>
      <w:r w:rsidR="00071D42" w:rsidRPr="00781112">
        <w:rPr>
          <w:rFonts w:cs="Arial"/>
        </w:rPr>
        <w:t xml:space="preserve">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8" w:name="_Toc384383344"/>
      <w:bookmarkStart w:id="49" w:name="_Toc392159312"/>
      <w:bookmarkEnd w:id="46"/>
      <w:bookmarkEnd w:id="47"/>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tbl>
    <w:bookmarkEnd w:id="48"/>
    <w:bookmarkEnd w:id="49"/>
    <w:p w14:paraId="77101B89" w14:textId="6B13A014" w:rsidR="00D03701" w:rsidRPr="00781112" w:rsidRDefault="0047313F">
      <w:pPr>
        <w:rPr>
          <w:b/>
          <w:color w:val="000000" w:themeColor="text1"/>
        </w:rPr>
      </w:pPr>
      <w:r>
        <w:rPr>
          <w:b/>
          <w:color w:val="000000" w:themeColor="text1"/>
        </w:rPr>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lastRenderedPageBreak/>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2</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147</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47BF71EC" w:rsidR="004B2A77" w:rsidRPr="00781112" w:rsidRDefault="008946B4" w:rsidP="00A018D4">
            <w:pPr>
              <w:jc w:val="center"/>
              <w:rPr>
                <w:rFonts w:cs="Arial"/>
                <w:color w:val="000000" w:themeColor="text1"/>
                <w:szCs w:val="16"/>
              </w:rPr>
            </w:pPr>
            <w:r>
              <w:rPr>
                <w:rFonts w:cs="Arial"/>
                <w:color w:val="000000" w:themeColor="text1"/>
                <w:szCs w:val="16"/>
              </w:rPr>
              <w:t>NVR</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0" w:name="_Hlk494459610"/>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r w:rsidRPr="00781112">
        <w:rPr>
          <w:rFonts w:cs="Arial"/>
          <w:color w:val="000000" w:themeColor="text1"/>
          <w:szCs w:val="16"/>
        </w:rPr>
        <w:b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r w:rsidRPr="00781112">
        <w:rPr>
          <w:rFonts w:cs="Arial"/>
          <w:color w:val="000000" w:themeColor="text1"/>
          <w:szCs w:val="16"/>
        </w:rPr>
        <w:br/>
        <w:t xml:space="preserve">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2021 reporting period (i.e., after June 30, 2022).</w:t>
      </w:r>
    </w:p>
    <w:bookmarkEnd w:id="50"/>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LEAs identified with disproportionality must conduct a review to determine if inappropriate policies, practices, and/or  procedures contributed to the disproportionality. Whenever it is determined that disproportionate representation is the result of inappropriate identification, a finding of noncompliance will be issued to the LEA.</w:t>
      </w:r>
      <w:r w:rsidRPr="00781112">
        <w:rPr>
          <w:rFonts w:cs="Arial"/>
          <w:color w:val="000000" w:themeColor="text1"/>
          <w:szCs w:val="16"/>
        </w:rPr>
        <w:br/>
      </w:r>
      <w:r w:rsidRPr="00781112">
        <w:rPr>
          <w:rFonts w:cs="Arial"/>
          <w:color w:val="000000" w:themeColor="text1"/>
          <w:szCs w:val="16"/>
        </w:rPr>
        <w:br/>
        <w:t xml:space="preserve">For the 2 LEAs identified as having disproportionate representation of racial and ethnic groups in special education and related services, MDE required the district to provide written response to the OSE that documents its review of policies, practices and procedures, and provides evidence to support the LEA's determination that the disproportionality was or was not the result of inappropriate identification. The OSE provides a self-assessment for disproportionality which includes a list of </w:t>
      </w:r>
      <w:proofErr w:type="gramStart"/>
      <w:r w:rsidRPr="00781112">
        <w:rPr>
          <w:rFonts w:cs="Arial"/>
          <w:color w:val="000000" w:themeColor="text1"/>
          <w:szCs w:val="16"/>
        </w:rPr>
        <w:t>various types</w:t>
      </w:r>
      <w:proofErr w:type="gramEnd"/>
      <w:r w:rsidRPr="00781112">
        <w:rPr>
          <w:rFonts w:cs="Arial"/>
          <w:color w:val="000000" w:themeColor="text1"/>
          <w:szCs w:val="16"/>
        </w:rPr>
        <w:t xml:space="preserve"> of information the district must review to make its determination. The completed assessment must </w:t>
      </w:r>
      <w:proofErr w:type="gramStart"/>
      <w:r w:rsidRPr="00781112">
        <w:rPr>
          <w:rFonts w:cs="Arial"/>
          <w:color w:val="000000" w:themeColor="text1"/>
          <w:szCs w:val="16"/>
        </w:rPr>
        <w:t>be included</w:t>
      </w:r>
      <w:proofErr w:type="gramEnd"/>
      <w:r w:rsidRPr="00781112">
        <w:rPr>
          <w:rFonts w:cs="Arial"/>
          <w:color w:val="000000" w:themeColor="text1"/>
          <w:szCs w:val="16"/>
        </w:rPr>
        <w:t xml:space="preserve"> in the LEA's response. </w:t>
      </w:r>
      <w:r w:rsidRPr="00781112">
        <w:rPr>
          <w:rFonts w:cs="Arial"/>
          <w:color w:val="000000" w:themeColor="text1"/>
          <w:szCs w:val="16"/>
        </w:rPr>
        <w:br/>
        <w:t>Based on its review of the data submitted in the self-assessment, MDE determined that the disproportionate representation was not the result of inappropriate identification.</w:t>
      </w:r>
    </w:p>
    <w:p w14:paraId="3B71A72A" w14:textId="77777777" w:rsidR="00DF1529" w:rsidRPr="00781112" w:rsidRDefault="00DF1529" w:rsidP="00DF1529">
      <w:pPr>
        <w:rPr>
          <w:rFonts w:cs="Arial"/>
          <w:b/>
          <w:color w:val="000000" w:themeColor="text1"/>
          <w:szCs w:val="16"/>
        </w:rPr>
      </w:pPr>
      <w:bookmarkStart w:id="51" w:name="_Toc381956337"/>
      <w:bookmarkStart w:id="52" w:name="_Toc384383347"/>
      <w:bookmarkStart w:id="53"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lastRenderedPageBreak/>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The State's FFY 2019 data reflected 100% compliance, but the State reported that it identified and corrected one finding of noncompliance</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If noncompliance was identified in FFY 2019, the State must demonstrate, in the FFY 2021 SPP/APR, that the State verified that each district with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t>
      </w:r>
      <w:proofErr w:type="gramStart"/>
      <w:r w:rsidRPr="00781112">
        <w:rPr>
          <w:rFonts w:cs="Arial"/>
          <w:color w:val="000000" w:themeColor="text1"/>
          <w:szCs w:val="16"/>
        </w:rPr>
        <w:t>were taken</w:t>
      </w:r>
      <w:proofErr w:type="gramEnd"/>
      <w:r w:rsidRPr="00781112">
        <w:rPr>
          <w:rFonts w:cs="Arial"/>
          <w:color w:val="000000" w:themeColor="text1"/>
          <w:szCs w:val="16"/>
        </w:rPr>
        <w:t xml:space="preserve"> to verify the correction.</w:t>
      </w:r>
    </w:p>
    <w:p w14:paraId="7A2A42E5" w14:textId="77777777" w:rsidR="00591597" w:rsidRPr="00781112" w:rsidRDefault="00591597" w:rsidP="004E2151">
      <w:pPr>
        <w:rPr>
          <w:rFonts w:cs="Arial"/>
          <w:color w:val="000000" w:themeColor="text1"/>
          <w:szCs w:val="16"/>
        </w:rPr>
      </w:pPr>
    </w:p>
    <w:p w14:paraId="45E24452" w14:textId="4F967F1C" w:rsidR="004E2151" w:rsidRPr="00781112" w:rsidRDefault="007639D7" w:rsidP="004369B2">
      <w:pPr>
        <w:rPr>
          <w:b/>
          <w:color w:val="000000" w:themeColor="text1"/>
        </w:rPr>
      </w:pPr>
      <w:r>
        <w:rPr>
          <w:b/>
          <w:color w:val="000000" w:themeColor="text1"/>
        </w:rPr>
        <w:t>Response to actions required in FFY 2020 SPP/APR</w:t>
      </w:r>
    </w:p>
    <w:p w14:paraId="1463C666" w14:textId="6EC072C3" w:rsidR="004E2151" w:rsidRPr="00781112" w:rsidRDefault="002B7490" w:rsidP="004E2151">
      <w:pPr>
        <w:rPr>
          <w:rFonts w:cs="Arial"/>
          <w:color w:val="000000" w:themeColor="text1"/>
          <w:szCs w:val="16"/>
        </w:rPr>
      </w:pPr>
      <w:r w:rsidRPr="00781112">
        <w:rPr>
          <w:rFonts w:cs="Arial"/>
          <w:color w:val="000000" w:themeColor="text1"/>
          <w:szCs w:val="16"/>
        </w:rPr>
        <w:t xml:space="preserve">The MDE OSE needs to correct the data submitted for FFY2019. While there were LEAs identified with disproportionate representation in FFY2019, it has </w:t>
      </w:r>
      <w:proofErr w:type="gramStart"/>
      <w:r w:rsidRPr="00781112">
        <w:rPr>
          <w:rFonts w:cs="Arial"/>
          <w:color w:val="000000" w:themeColor="text1"/>
          <w:szCs w:val="16"/>
        </w:rPr>
        <w:t>been verified</w:t>
      </w:r>
      <w:proofErr w:type="gramEnd"/>
      <w:r w:rsidRPr="00781112">
        <w:rPr>
          <w:rFonts w:cs="Arial"/>
          <w:color w:val="000000" w:themeColor="text1"/>
          <w:szCs w:val="16"/>
        </w:rPr>
        <w:t xml:space="preserve"> by the MDE OSE that the disproportionate representation identified was not the result of inappropriate policies practices or procedures. Nor was due to the lack of implementation of those </w:t>
      </w:r>
      <w:proofErr w:type="gramStart"/>
      <w:r w:rsidRPr="00781112">
        <w:rPr>
          <w:rFonts w:cs="Arial"/>
          <w:color w:val="000000" w:themeColor="text1"/>
          <w:szCs w:val="16"/>
        </w:rPr>
        <w:t>policies</w:t>
      </w:r>
      <w:proofErr w:type="gramEnd"/>
      <w:r w:rsidRPr="00781112">
        <w:rPr>
          <w:rFonts w:cs="Arial"/>
          <w:color w:val="000000" w:themeColor="text1"/>
          <w:szCs w:val="16"/>
        </w:rPr>
        <w:t xml:space="preserve"> practices or procedures.</w:t>
      </w: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 xml:space="preserve">The State did not provide valid and reliable data. The State reported that 147 districts met the minimum n size requirement, and five districts did not meet the minimum n size requirement and </w:t>
      </w:r>
      <w:proofErr w:type="gramStart"/>
      <w:r w:rsidRPr="00781112">
        <w:rPr>
          <w:rFonts w:cs="Arial"/>
          <w:color w:val="000000" w:themeColor="text1"/>
          <w:szCs w:val="16"/>
        </w:rPr>
        <w:t>were excluded</w:t>
      </w:r>
      <w:proofErr w:type="gramEnd"/>
      <w:r w:rsidRPr="00781112">
        <w:rPr>
          <w:rFonts w:cs="Arial"/>
          <w:color w:val="000000" w:themeColor="text1"/>
          <w:szCs w:val="16"/>
        </w:rPr>
        <w:t xml:space="preserve"> from the calculation. The number of districts excluded from the calculation because they do not meet the minimum “n” size, plus the number of districts that met the State-established minimum “n” size, does not equal the total number of districts the State reported in the FFY 2021 Introduction. Therefore, OSEP could not determine whether the State met its target.</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2B7490" w:rsidP="00212954">
      <w:pPr>
        <w:rPr>
          <w:rFonts w:cs="Arial"/>
          <w:color w:val="000000" w:themeColor="text1"/>
          <w:szCs w:val="16"/>
        </w:rPr>
      </w:pPr>
      <w:r w:rsidRPr="00781112">
        <w:rPr>
          <w:rFonts w:cs="Arial"/>
          <w:color w:val="000000" w:themeColor="text1"/>
          <w:szCs w:val="16"/>
        </w:rPr>
        <w:t>The State did not provide valid and reliable data for FFY 2021. The State must provide valid and reliable data for FFY 2022 in the FFY 2022 SPP/APR.</w:t>
      </w: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1"/>
      <w:bookmarkEnd w:id="52"/>
      <w:bookmarkEnd w:id="53"/>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4" w:name="_Toc384383348"/>
      <w:bookmarkStart w:id="55"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specific disability </w:t>
      </w:r>
      <w:proofErr w:type="gramStart"/>
      <w:r w:rsidRPr="00781112">
        <w:rPr>
          <w:rFonts w:cs="Arial"/>
          <w:color w:val="000000" w:themeColor="text1"/>
          <w:szCs w:val="16"/>
        </w:rPr>
        <w:t>categories that</w:t>
      </w:r>
      <w:proofErr w:type="gramEnd"/>
      <w:r w:rsidRPr="00781112">
        <w:rPr>
          <w:rFonts w:cs="Arial"/>
          <w:color w:val="000000" w:themeColor="text1"/>
          <w:szCs w:val="16"/>
        </w:rPr>
        <w:t xml:space="preserve">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 xml:space="preserve">aged </w:t>
      </w:r>
      <w:proofErr w:type="gramStart"/>
      <w:r w:rsidR="00522BEA" w:rsidRPr="00522BEA">
        <w:rPr>
          <w:rFonts w:cs="Arial"/>
          <w:color w:val="000000" w:themeColor="text1"/>
          <w:szCs w:val="16"/>
        </w:rPr>
        <w:t>5</w:t>
      </w:r>
      <w:proofErr w:type="gramEnd"/>
      <w:r w:rsidR="00522BEA" w:rsidRPr="00522BEA">
        <w:rPr>
          <w:rFonts w:cs="Arial"/>
          <w:color w:val="000000" w:themeColor="text1"/>
          <w:szCs w:val="16"/>
        </w:rPr>
        <w:t xml:space="preserve">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541FF358" w14:textId="77777777" w:rsidR="00B83FD1" w:rsidRPr="00781112" w:rsidRDefault="00B83FD1" w:rsidP="00286BDF">
      <w:pPr>
        <w:rPr>
          <w:rFonts w:cs="Arial"/>
          <w:color w:val="000000" w:themeColor="text1"/>
          <w:szCs w:val="16"/>
        </w:rPr>
      </w:pPr>
    </w:p>
    <w:p w14:paraId="307820E6" w14:textId="2418F86F" w:rsidR="00B70FBF" w:rsidRPr="00781112" w:rsidRDefault="009F64D5" w:rsidP="008645AD">
      <w:pPr>
        <w:pStyle w:val="Heading2"/>
      </w:pPr>
      <w:bookmarkStart w:id="56" w:name="_Toc384383349"/>
      <w:bookmarkStart w:id="57" w:name="_Toc392159317"/>
      <w:bookmarkEnd w:id="54"/>
      <w:bookmarkEnd w:id="55"/>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NVR</w:t>
            </w:r>
          </w:p>
        </w:tc>
      </w:tr>
      <w:bookmarkEnd w:id="56"/>
      <w:bookmarkEnd w:id="57"/>
    </w:tbl>
    <w:p w14:paraId="1840A66A" w14:textId="77777777" w:rsidR="00BA687C" w:rsidRDefault="00BA687C" w:rsidP="004369B2">
      <w:pPr>
        <w:rPr>
          <w:color w:val="000000" w:themeColor="text1"/>
        </w:rPr>
      </w:pPr>
    </w:p>
    <w:p w14:paraId="7EE6B90F" w14:textId="77777777" w:rsidR="00B83FD1" w:rsidRPr="00781112" w:rsidRDefault="00B83FD1"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8" w:name="_Hlk20258880"/>
      <w:r w:rsidRPr="00781112">
        <w:rPr>
          <w:rFonts w:cs="Arial"/>
          <w:color w:val="000000" w:themeColor="text1"/>
          <w:szCs w:val="16"/>
        </w:rPr>
        <w:t>YES</w:t>
      </w:r>
    </w:p>
    <w:bookmarkEnd w:id="58"/>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145</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NVR</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Data analysis was </w:t>
      </w:r>
      <w:proofErr w:type="gramStart"/>
      <w:r w:rsidRPr="00781112">
        <w:rPr>
          <w:rFonts w:cs="Arial"/>
          <w:color w:val="000000" w:themeColor="text1"/>
          <w:szCs w:val="16"/>
        </w:rPr>
        <w:t>conduced</w:t>
      </w:r>
      <w:proofErr w:type="gramEnd"/>
      <w:r w:rsidRPr="00781112">
        <w:rPr>
          <w:rFonts w:cs="Arial"/>
          <w:color w:val="000000" w:themeColor="text1"/>
          <w:szCs w:val="16"/>
        </w:rPr>
        <w:t xml:space="preserve"> to investigate disproportionate representation of seven racial/ethnic groups. The alternate risk ratio </w:t>
      </w:r>
      <w:proofErr w:type="gramStart"/>
      <w:r w:rsidRPr="00781112">
        <w:rPr>
          <w:rFonts w:cs="Arial"/>
          <w:color w:val="000000" w:themeColor="text1"/>
          <w:szCs w:val="16"/>
        </w:rPr>
        <w:t>is calculated</w:t>
      </w:r>
      <w:proofErr w:type="gramEnd"/>
      <w:r w:rsidRPr="00781112">
        <w:rPr>
          <w:rFonts w:cs="Arial"/>
          <w:color w:val="000000" w:themeColor="text1"/>
          <w:szCs w:val="16"/>
        </w:rPr>
        <w:t xml:space="preserve"> only when the number of students in the racial/ethnic group for the LEA is greater than or equal to 10 . The equation used to calculate the alternate risk ratio is:</w:t>
      </w:r>
      <w:r w:rsidRPr="00781112">
        <w:rPr>
          <w:rFonts w:cs="Arial"/>
          <w:color w:val="000000" w:themeColor="text1"/>
          <w:szCs w:val="16"/>
        </w:rPr>
        <w:br/>
        <w:t>· Alternate risk ratio = LEA-level risk for racial/ethnic group for disability or educational environment category  divided by State-level risk for comparison group for disability or educational environment category</w:t>
      </w:r>
      <w:r w:rsidRPr="00781112">
        <w:rPr>
          <w:rFonts w:cs="Arial"/>
          <w:color w:val="000000" w:themeColor="text1"/>
          <w:szCs w:val="16"/>
        </w:rPr>
        <w:br/>
      </w:r>
      <w:r w:rsidRPr="00781112">
        <w:rPr>
          <w:rFonts w:cs="Arial"/>
          <w:color w:val="000000" w:themeColor="text1"/>
          <w:szCs w:val="16"/>
        </w:rPr>
        <w:br/>
        <w:t>The equation used to calculate LEA-level risk is:</w:t>
      </w:r>
      <w:r w:rsidRPr="00781112">
        <w:rPr>
          <w:rFonts w:cs="Arial"/>
          <w:color w:val="000000" w:themeColor="text1"/>
          <w:szCs w:val="16"/>
        </w:rPr>
        <w:br/>
        <w:t>· (The number of students in a specific race/ethnicity and disability category divided by the total number of students enrolled with the same specific</w:t>
      </w:r>
      <w:r w:rsidRPr="00781112">
        <w:rPr>
          <w:rFonts w:cs="Arial"/>
          <w:color w:val="000000" w:themeColor="text1"/>
          <w:szCs w:val="16"/>
        </w:rPr>
        <w:br/>
        <w:t>race/ethnicity) times 100</w:t>
      </w:r>
      <w:r w:rsidRPr="00781112">
        <w:rPr>
          <w:rFonts w:cs="Arial"/>
          <w:color w:val="000000" w:themeColor="text1"/>
          <w:szCs w:val="16"/>
        </w:rPr>
        <w:br/>
      </w:r>
      <w:r w:rsidRPr="00781112">
        <w:rPr>
          <w:rFonts w:cs="Arial"/>
          <w:color w:val="000000" w:themeColor="text1"/>
          <w:szCs w:val="16"/>
        </w:rPr>
        <w:br/>
        <w:t>The equation used to calculate State-level risk is:</w:t>
      </w:r>
      <w:r w:rsidRPr="00781112">
        <w:rPr>
          <w:rFonts w:cs="Arial"/>
          <w:color w:val="000000" w:themeColor="text1"/>
          <w:szCs w:val="16"/>
        </w:rPr>
        <w:br/>
        <w:t>· (The number of students in all race/ethnicity categories excluding the race/ethnicity being examined and a specific disability category divided by the total number of students enrolled in all race/ethnicity categories excluding the race/ethnicity being examined) times 100</w:t>
      </w:r>
      <w:r w:rsidRPr="00781112">
        <w:rPr>
          <w:rFonts w:cs="Arial"/>
          <w:color w:val="000000" w:themeColor="text1"/>
          <w:szCs w:val="16"/>
        </w:rPr>
        <w:br/>
      </w:r>
      <w:r w:rsidRPr="00781112">
        <w:rPr>
          <w:rFonts w:cs="Arial"/>
          <w:color w:val="000000" w:themeColor="text1"/>
          <w:szCs w:val="16"/>
        </w:rPr>
        <w:br/>
        <w:t xml:space="preserve">For example, to determine if disproportionate representation exists for Black students in the disability category of ID, the calculation is: </w:t>
      </w:r>
      <w:r w:rsidRPr="00781112">
        <w:rPr>
          <w:rFonts w:cs="Arial"/>
          <w:color w:val="000000" w:themeColor="text1"/>
          <w:szCs w:val="16"/>
        </w:rPr>
        <w:br/>
        <w:t>(# of non-Black ID students in the State / # of non-Black students enrolled in the State) * 100</w:t>
      </w:r>
      <w:r w:rsidRPr="00781112">
        <w:rPr>
          <w:rFonts w:cs="Arial"/>
          <w:color w:val="000000" w:themeColor="text1"/>
          <w:szCs w:val="16"/>
        </w:rPr>
        <w:br/>
      </w:r>
      <w:r w:rsidRPr="00781112">
        <w:rPr>
          <w:rFonts w:cs="Arial"/>
          <w:color w:val="000000" w:themeColor="text1"/>
          <w:szCs w:val="16"/>
        </w:rPr>
        <w:br/>
        <w:t>The number of students in each disability and race/ethnicity category is taken from the December 1, 2019  Child Count Data, also known as 618 Table 1 data.</w:t>
      </w:r>
      <w:r w:rsidRPr="00781112">
        <w:rPr>
          <w:rFonts w:cs="Arial"/>
          <w:color w:val="000000" w:themeColor="text1"/>
          <w:szCs w:val="16"/>
        </w:rPr>
        <w:br/>
      </w:r>
      <w:r w:rsidRPr="00781112">
        <w:rPr>
          <w:rFonts w:cs="Arial"/>
          <w:color w:val="000000" w:themeColor="text1"/>
          <w:szCs w:val="16"/>
        </w:rPr>
        <w:br/>
        <w:t xml:space="preserve">The enrollment numbers are taken from the Month 1 Net Membership data in the State database. A single year of data was used and the State's minumum cell and n-size is </w:t>
      </w:r>
      <w:proofErr w:type="gramStart"/>
      <w:r w:rsidRPr="00781112">
        <w:rPr>
          <w:rFonts w:cs="Arial"/>
          <w:color w:val="000000" w:themeColor="text1"/>
          <w:szCs w:val="16"/>
        </w:rPr>
        <w:t>10</w:t>
      </w:r>
      <w:proofErr w:type="gramEnd"/>
      <w:r w:rsidRPr="00781112">
        <w:rPr>
          <w:rFonts w:cs="Arial"/>
          <w:color w:val="000000" w:themeColor="text1"/>
          <w:szCs w:val="16"/>
        </w:rPr>
        <w:t xml:space="preserve">. Five  districts did not meet the minimum “n” size  and </w:t>
      </w:r>
      <w:proofErr w:type="gramStart"/>
      <w:r w:rsidRPr="00781112">
        <w:rPr>
          <w:rFonts w:cs="Arial"/>
          <w:color w:val="000000" w:themeColor="text1"/>
          <w:szCs w:val="16"/>
        </w:rPr>
        <w:t>were excluded</w:t>
      </w:r>
      <w:proofErr w:type="gramEnd"/>
      <w:r w:rsidRPr="00781112">
        <w:rPr>
          <w:rFonts w:cs="Arial"/>
          <w:color w:val="000000" w:themeColor="text1"/>
          <w:szCs w:val="16"/>
        </w:rPr>
        <w:t xml:space="preserve"> from the calculation. Mississippi also reviewed the Southeast Equity Assistance Center definition which states that disproportionality exists when a group is represented at a</w:t>
      </w:r>
      <w:r w:rsidRPr="00781112">
        <w:rPr>
          <w:rFonts w:cs="Arial"/>
          <w:color w:val="000000" w:themeColor="text1"/>
          <w:szCs w:val="16"/>
        </w:rPr>
        <w:br/>
        <w:t>disproportionate rate higher than the group’s representation in the population; all groups should be represented in proportion to the make-up of the population</w:t>
      </w:r>
      <w:r w:rsidRPr="00781112">
        <w:rPr>
          <w:rFonts w:cs="Arial"/>
          <w:color w:val="000000" w:themeColor="text1"/>
          <w:szCs w:val="16"/>
        </w:rPr>
        <w:br/>
        <w:t>being considered.</w:t>
      </w:r>
      <w:r w:rsidRPr="00781112">
        <w:rPr>
          <w:rFonts w:cs="Arial"/>
          <w:color w:val="000000" w:themeColor="text1"/>
          <w:szCs w:val="16"/>
        </w:rPr>
        <w:br/>
      </w:r>
      <w:r w:rsidRPr="00781112">
        <w:rPr>
          <w:rFonts w:cs="Arial"/>
          <w:color w:val="000000" w:themeColor="text1"/>
          <w:szCs w:val="16"/>
        </w:rPr>
        <w:br/>
        <w:t xml:space="preserve">The determination of noncompliance as it relates to disproportionate representation is a two-step process. First, each LEA’s data </w:t>
      </w:r>
      <w:proofErr w:type="gramStart"/>
      <w:r w:rsidRPr="00781112">
        <w:rPr>
          <w:rFonts w:cs="Arial"/>
          <w:color w:val="000000" w:themeColor="text1"/>
          <w:szCs w:val="16"/>
        </w:rPr>
        <w:t>is examined</w:t>
      </w:r>
      <w:proofErr w:type="gramEnd"/>
      <w:r w:rsidRPr="00781112">
        <w:rPr>
          <w:rFonts w:cs="Arial"/>
          <w:color w:val="000000" w:themeColor="text1"/>
          <w:szCs w:val="16"/>
        </w:rPr>
        <w:t xml:space="preserve"> to determine if</w:t>
      </w:r>
      <w:r w:rsidRPr="00781112">
        <w:rPr>
          <w:rFonts w:cs="Arial"/>
          <w:color w:val="000000" w:themeColor="text1"/>
          <w:szCs w:val="16"/>
        </w:rPr>
        <w:br/>
        <w:t xml:space="preserve">disproportionate representation is identified in the population of students. The second step is to determine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the disproportionate representation</w:t>
      </w:r>
      <w:r w:rsidRPr="00781112">
        <w:rPr>
          <w:rFonts w:cs="Arial"/>
          <w:color w:val="000000" w:themeColor="text1"/>
          <w:szCs w:val="16"/>
        </w:rPr>
        <w:br/>
        <w:t>is the result of inappropriate identification. Noncompliance is only existent when inappropriate identification is the cause for the disproportionate</w:t>
      </w:r>
      <w:r w:rsidRPr="00781112">
        <w:rPr>
          <w:rFonts w:cs="Arial"/>
          <w:color w:val="000000" w:themeColor="text1"/>
          <w:szCs w:val="16"/>
        </w:rPr>
        <w:br/>
        <w:t>representation.</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Districts identified with disproportionality must conduct a review to determine if inappropriate policies, procedures, and/or practices contributed to the disproportionality. Whenever it is determined that disproportionate representation is the result of inappropriate identification, a finding of noncompliance will be issued to the district. </w:t>
      </w:r>
      <w:r w:rsidRPr="00781112">
        <w:rPr>
          <w:rFonts w:cs="Arial"/>
          <w:color w:val="000000" w:themeColor="text1"/>
          <w:szCs w:val="16"/>
        </w:rPr>
        <w:br/>
      </w:r>
      <w:r w:rsidRPr="00781112">
        <w:rPr>
          <w:rFonts w:cs="Arial"/>
          <w:color w:val="000000" w:themeColor="text1"/>
          <w:szCs w:val="16"/>
        </w:rPr>
        <w:br/>
        <w:t xml:space="preserve">For each of the </w:t>
      </w:r>
      <w:proofErr w:type="gramStart"/>
      <w:r w:rsidRPr="00781112">
        <w:rPr>
          <w:rFonts w:cs="Arial"/>
          <w:color w:val="000000" w:themeColor="text1"/>
          <w:szCs w:val="16"/>
        </w:rPr>
        <w:t>12</w:t>
      </w:r>
      <w:proofErr w:type="gramEnd"/>
      <w:r w:rsidRPr="00781112">
        <w:rPr>
          <w:rFonts w:cs="Arial"/>
          <w:color w:val="000000" w:themeColor="text1"/>
          <w:szCs w:val="16"/>
        </w:rPr>
        <w:t xml:space="preserve"> districts, MDE required the district to provide a written response to the OSE that documents its review of policies, procedures, and practices and provides evidence to support the district’s determination that the disproportionality was or was not the result of inappropriate identification. </w:t>
      </w:r>
      <w:r w:rsidRPr="00781112">
        <w:rPr>
          <w:rFonts w:cs="Arial"/>
          <w:color w:val="000000" w:themeColor="text1"/>
          <w:szCs w:val="16"/>
        </w:rPr>
        <w:lastRenderedPageBreak/>
        <w:t xml:space="preserve">The OSE has </w:t>
      </w:r>
      <w:proofErr w:type="gramStart"/>
      <w:r w:rsidRPr="00781112">
        <w:rPr>
          <w:rFonts w:cs="Arial"/>
          <w:color w:val="000000" w:themeColor="text1"/>
          <w:szCs w:val="16"/>
        </w:rPr>
        <w:t>provides</w:t>
      </w:r>
      <w:proofErr w:type="gramEnd"/>
      <w:r w:rsidRPr="00781112">
        <w:rPr>
          <w:rFonts w:cs="Arial"/>
          <w:color w:val="000000" w:themeColor="text1"/>
          <w:szCs w:val="16"/>
        </w:rPr>
        <w:t xml:space="preserve"> a self-assessment for disproportionality which includes a list of various types of information the district must review to make its determination. This completed self-assessment must </w:t>
      </w:r>
      <w:proofErr w:type="gramStart"/>
      <w:r w:rsidRPr="00781112">
        <w:rPr>
          <w:rFonts w:cs="Arial"/>
          <w:color w:val="000000" w:themeColor="text1"/>
          <w:szCs w:val="16"/>
        </w:rPr>
        <w:t>be included</w:t>
      </w:r>
      <w:proofErr w:type="gramEnd"/>
      <w:r w:rsidRPr="00781112">
        <w:rPr>
          <w:rFonts w:cs="Arial"/>
          <w:color w:val="000000" w:themeColor="text1"/>
          <w:szCs w:val="16"/>
        </w:rPr>
        <w:t xml:space="preserve"> in the district’s response. </w:t>
      </w:r>
      <w:r w:rsidRPr="00781112">
        <w:rPr>
          <w:rFonts w:cs="Arial"/>
          <w:color w:val="000000" w:themeColor="text1"/>
          <w:szCs w:val="16"/>
        </w:rPr>
        <w:br/>
      </w:r>
      <w:r w:rsidRPr="00781112">
        <w:rPr>
          <w:rFonts w:cs="Arial"/>
          <w:color w:val="000000" w:themeColor="text1"/>
          <w:szCs w:val="16"/>
        </w:rPr>
        <w:br/>
        <w:t>Based on its review of the data submitted in the self assessment, MDE determined that the disproportionate representation was not the result of inappropriate identification</w:t>
      </w:r>
    </w:p>
    <w:p w14:paraId="1FCF1BF3" w14:textId="77777777" w:rsidR="00DF1529" w:rsidRPr="00781112" w:rsidRDefault="00DF1529" w:rsidP="00DF1529">
      <w:pPr>
        <w:rPr>
          <w:rFonts w:cs="Arial"/>
          <w:b/>
          <w:color w:val="000000" w:themeColor="text1"/>
          <w:szCs w:val="16"/>
        </w:rPr>
      </w:pPr>
      <w:bookmarkStart w:id="59" w:name="_Toc381956338"/>
      <w:bookmarkStart w:id="60" w:name="_Toc384383352"/>
      <w:bookmarkStart w:id="61"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2A8B007E"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 xml:space="preserve">The State did not provide data for FFY 2020; therefore, OSEP cannot determine if the State's FFY 2020 data are valid and reliable . The State must provide the required data for FFY 2021 in the FFY 2021 SPP/APR. </w:t>
      </w:r>
      <w:r w:rsidRPr="00781112">
        <w:rPr>
          <w:rFonts w:cs="Arial"/>
          <w:color w:val="000000" w:themeColor="text1"/>
          <w:szCs w:val="16"/>
        </w:rPr>
        <w:br/>
      </w:r>
      <w:r w:rsidRPr="00781112">
        <w:rPr>
          <w:rFonts w:cs="Arial"/>
          <w:color w:val="000000" w:themeColor="text1"/>
          <w:szCs w:val="16"/>
        </w:rPr>
        <w:br/>
        <w:t xml:space="preserve">The State's FFY 2019 data reflected 100% compliance, but the State reported that it identified and corrected twelve findings of noncompliance. In the FFY 2021 SPP/APR, the State must provide an explanation of the discrepancy. If noncompliance was identified in FFY 2019, the State must demonstrate, in the FFY 2021 SPP/APR, that the State verified that each district with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t>
      </w:r>
      <w:proofErr w:type="gramStart"/>
      <w:r w:rsidRPr="00781112">
        <w:rPr>
          <w:rFonts w:cs="Arial"/>
          <w:color w:val="000000" w:themeColor="text1"/>
          <w:szCs w:val="16"/>
        </w:rPr>
        <w:t>were taken</w:t>
      </w:r>
      <w:proofErr w:type="gramEnd"/>
      <w:r w:rsidRPr="00781112">
        <w:rPr>
          <w:rFonts w:cs="Arial"/>
          <w:color w:val="000000" w:themeColor="text1"/>
          <w:szCs w:val="16"/>
        </w:rPr>
        <w:t xml:space="preserve"> to verify the correction.</w:t>
      </w:r>
    </w:p>
    <w:p w14:paraId="7C7C5568" w14:textId="77777777" w:rsidR="009F69E7" w:rsidRPr="00781112" w:rsidRDefault="009F69E7" w:rsidP="004E2151">
      <w:pPr>
        <w:rPr>
          <w:rFonts w:cs="Arial"/>
          <w:color w:val="000000" w:themeColor="text1"/>
          <w:szCs w:val="16"/>
        </w:rPr>
      </w:pPr>
    </w:p>
    <w:p w14:paraId="5DF0DC37" w14:textId="2D4BF8DA" w:rsidR="004E2151" w:rsidRPr="00781112" w:rsidRDefault="007639D7" w:rsidP="004369B2">
      <w:pPr>
        <w:rPr>
          <w:b/>
          <w:color w:val="000000" w:themeColor="text1"/>
        </w:rPr>
      </w:pPr>
      <w:r>
        <w:rPr>
          <w:b/>
          <w:color w:val="000000" w:themeColor="text1"/>
        </w:rPr>
        <w:t>Response to actions required in FFY 2020 SPP/APR</w:t>
      </w:r>
    </w:p>
    <w:p w14:paraId="16241B8F" w14:textId="77777777" w:rsidR="009F69E7" w:rsidRPr="00781112" w:rsidRDefault="002B7490" w:rsidP="004E2151">
      <w:pPr>
        <w:rPr>
          <w:rFonts w:cs="Arial"/>
          <w:color w:val="000000" w:themeColor="text1"/>
          <w:szCs w:val="16"/>
        </w:rPr>
      </w:pPr>
      <w:r w:rsidRPr="00781112">
        <w:rPr>
          <w:rFonts w:cs="Arial"/>
          <w:color w:val="000000" w:themeColor="text1"/>
          <w:szCs w:val="16"/>
        </w:rPr>
        <w:t xml:space="preserve">The MDE OSE needs to correct the data submitted for FFY2019. While there were LEAs identified with disproportionate representation in FFY2019, it has </w:t>
      </w:r>
      <w:proofErr w:type="gramStart"/>
      <w:r w:rsidRPr="00781112">
        <w:rPr>
          <w:rFonts w:cs="Arial"/>
          <w:color w:val="000000" w:themeColor="text1"/>
          <w:szCs w:val="16"/>
        </w:rPr>
        <w:t>been verified</w:t>
      </w:r>
      <w:proofErr w:type="gramEnd"/>
      <w:r w:rsidRPr="00781112">
        <w:rPr>
          <w:rFonts w:cs="Arial"/>
          <w:color w:val="000000" w:themeColor="text1"/>
          <w:szCs w:val="16"/>
        </w:rPr>
        <w:t xml:space="preserve"> by the MDE OSE that the disproportionate representation identified was not the result of inappropriate policies practices or procedures. Nor was due to the lack of implementation of those </w:t>
      </w:r>
      <w:proofErr w:type="gramStart"/>
      <w:r w:rsidRPr="00781112">
        <w:rPr>
          <w:rFonts w:cs="Arial"/>
          <w:color w:val="000000" w:themeColor="text1"/>
          <w:szCs w:val="16"/>
        </w:rPr>
        <w:t>policies</w:t>
      </w:r>
      <w:proofErr w:type="gramEnd"/>
      <w:r w:rsidRPr="00781112">
        <w:rPr>
          <w:rFonts w:cs="Arial"/>
          <w:color w:val="000000" w:themeColor="text1"/>
          <w:szCs w:val="16"/>
        </w:rPr>
        <w:t xml:space="preserve"> practices or procedures.</w:t>
      </w: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9"/>
      <w:bookmarkEnd w:id="60"/>
      <w:bookmarkEnd w:id="61"/>
    </w:p>
    <w:p w14:paraId="4F5D642D" w14:textId="77777777" w:rsidR="00E119B0" w:rsidRPr="00781112" w:rsidRDefault="00E119B0" w:rsidP="00A018D4">
      <w:pPr>
        <w:rPr>
          <w:color w:val="000000" w:themeColor="text1"/>
          <w:szCs w:val="20"/>
        </w:rPr>
      </w:pPr>
      <w:bookmarkStart w:id="62" w:name="_Toc384383353"/>
      <w:bookmarkStart w:id="63"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a. # of children for whom parental consent to evaluate </w:t>
      </w:r>
      <w:proofErr w:type="gramStart"/>
      <w:r w:rsidRPr="00781112">
        <w:rPr>
          <w:rFonts w:eastAsia="Times New Roman" w:cs="Arial"/>
          <w:color w:val="000000" w:themeColor="text1"/>
          <w:szCs w:val="16"/>
        </w:rPr>
        <w:t>was received</w:t>
      </w:r>
      <w:proofErr w:type="gramEnd"/>
      <w:r w:rsidRPr="00781112">
        <w:rPr>
          <w:rFonts w:eastAsia="Times New Roman" w:cs="Arial"/>
          <w:color w:val="000000" w:themeColor="text1"/>
          <w:szCs w:val="16"/>
        </w:rPr>
        <w:t>.</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b. # of children whose evaluations </w:t>
      </w:r>
      <w:proofErr w:type="gramStart"/>
      <w:r w:rsidRPr="00781112">
        <w:rPr>
          <w:rFonts w:eastAsia="Times New Roman" w:cs="Arial"/>
          <w:color w:val="000000" w:themeColor="text1"/>
          <w:szCs w:val="16"/>
        </w:rPr>
        <w:t>were completed</w:t>
      </w:r>
      <w:proofErr w:type="gramEnd"/>
      <w:r w:rsidRPr="00781112">
        <w:rPr>
          <w:rFonts w:eastAsia="Times New Roman" w:cs="Arial"/>
          <w:color w:val="000000" w:themeColor="text1"/>
          <w:szCs w:val="16"/>
        </w:rPr>
        <w:t xml:space="preserve">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proofErr w:type="gramStart"/>
      <w:r w:rsidRPr="00781112">
        <w:rPr>
          <w:rFonts w:eastAsia="Times New Roman" w:cs="Arial"/>
          <w:color w:val="000000" w:themeColor="text1"/>
          <w:szCs w:val="16"/>
        </w:rPr>
        <w:t>Account</w:t>
      </w:r>
      <w:proofErr w:type="gramEnd"/>
      <w:r w:rsidRPr="00781112">
        <w:rPr>
          <w:rFonts w:eastAsia="Times New Roman" w:cs="Arial"/>
          <w:color w:val="000000" w:themeColor="text1"/>
          <w:szCs w:val="16"/>
        </w:rPr>
        <w:t xml:space="preserve"> for children included in (a), but not included in (b). Indicate the range of days beyond the timeline when the evaluation </w:t>
      </w:r>
      <w:proofErr w:type="gramStart"/>
      <w:r w:rsidRPr="00781112">
        <w:rPr>
          <w:rFonts w:eastAsia="Times New Roman" w:cs="Arial"/>
          <w:color w:val="000000" w:themeColor="text1"/>
          <w:szCs w:val="16"/>
        </w:rPr>
        <w:t>was completed</w:t>
      </w:r>
      <w:proofErr w:type="gramEnd"/>
      <w:r w:rsidRPr="00781112">
        <w:rPr>
          <w:rFonts w:eastAsia="Times New Roman" w:cs="Arial"/>
          <w:color w:val="000000" w:themeColor="text1"/>
          <w:szCs w:val="16"/>
        </w:rPr>
        <w:t xml:space="preserve">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53468DF8" w14:textId="569695B1" w:rsidR="003356F1"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CB71D7F" w14:textId="77777777" w:rsidR="00B83FD1" w:rsidRPr="00781112" w:rsidRDefault="00B83FD1" w:rsidP="00286BDF">
      <w:pPr>
        <w:rPr>
          <w:rFonts w:cs="Arial"/>
          <w:color w:val="000000" w:themeColor="text1"/>
          <w:szCs w:val="16"/>
        </w:rPr>
      </w:pPr>
    </w:p>
    <w:p w14:paraId="4CA3F78B" w14:textId="72C271DF" w:rsidR="00DB20BC" w:rsidRPr="00781112" w:rsidRDefault="00C22B92" w:rsidP="00123D76">
      <w:pPr>
        <w:pStyle w:val="Heading2"/>
      </w:pPr>
      <w:bookmarkStart w:id="64" w:name="_Toc384383354"/>
      <w:bookmarkStart w:id="65" w:name="_Toc392159322"/>
      <w:bookmarkEnd w:id="62"/>
      <w:bookmarkEnd w:id="63"/>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70.92%</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99.73%</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99.96%</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99.95%</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98.08%</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99.68%</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4"/>
    <w:bookmarkEnd w:id="65"/>
    <w:p w14:paraId="5B0F1498" w14:textId="77777777" w:rsidR="00B83FD1" w:rsidRDefault="00B83FD1">
      <w:pPr>
        <w:spacing w:before="0" w:after="200" w:line="276" w:lineRule="auto"/>
        <w:rPr>
          <w:b/>
          <w:color w:val="000000" w:themeColor="text1"/>
        </w:rPr>
      </w:pPr>
      <w:r>
        <w:rPr>
          <w:b/>
          <w:color w:val="000000" w:themeColor="text1"/>
        </w:rPr>
        <w:br w:type="page"/>
      </w:r>
    </w:p>
    <w:p w14:paraId="3FAEB3AB" w14:textId="25D798D6"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(a) Number of children for whom parental consent to evaluate </w:t>
            </w:r>
            <w:proofErr w:type="gramStart"/>
            <w:r w:rsidRPr="00781112">
              <w:rPr>
                <w:rFonts w:cs="Arial"/>
                <w:b/>
                <w:color w:val="000000" w:themeColor="text1"/>
                <w:szCs w:val="16"/>
              </w:rPr>
              <w:t>was received</w:t>
            </w:r>
            <w:proofErr w:type="gramEnd"/>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(b) Number of children whose evaluations </w:t>
            </w:r>
            <w:proofErr w:type="gramStart"/>
            <w:r w:rsidRPr="00781112">
              <w:rPr>
                <w:rFonts w:cs="Arial"/>
                <w:b/>
                <w:color w:val="000000" w:themeColor="text1"/>
                <w:szCs w:val="16"/>
              </w:rPr>
              <w:t>were completed</w:t>
            </w:r>
            <w:proofErr w:type="gramEnd"/>
            <w:r w:rsidRPr="00781112">
              <w:rPr>
                <w:rFonts w:cs="Arial"/>
                <w:b/>
                <w:color w:val="000000" w:themeColor="text1"/>
                <w:szCs w:val="16"/>
              </w:rPr>
              <w:t xml:space="preserve">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8,829</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8,803</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99.68%</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99.71%</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26</w:t>
      </w:r>
    </w:p>
    <w:p w14:paraId="59300647" w14:textId="301BC4BA" w:rsidR="00E418E6" w:rsidRPr="00781112" w:rsidRDefault="00481536" w:rsidP="006A01BD">
      <w:pPr>
        <w:rPr>
          <w:b/>
          <w:color w:val="000000" w:themeColor="text1"/>
        </w:rPr>
      </w:pPr>
      <w:proofErr w:type="gramStart"/>
      <w:r w:rsidRPr="00781112">
        <w:rPr>
          <w:b/>
          <w:color w:val="000000" w:themeColor="text1"/>
        </w:rPr>
        <w:t>Account</w:t>
      </w:r>
      <w:proofErr w:type="gramEnd"/>
      <w:r w:rsidRPr="00781112">
        <w:rPr>
          <w:b/>
          <w:color w:val="000000" w:themeColor="text1"/>
        </w:rPr>
        <w:t xml:space="preserve"> for children included in (a) but not included in (b). Indicate the range of days beyond the timeline when the evaluation </w:t>
      </w:r>
      <w:proofErr w:type="gramStart"/>
      <w:r w:rsidRPr="00781112">
        <w:rPr>
          <w:b/>
          <w:color w:val="000000" w:themeColor="text1"/>
        </w:rPr>
        <w:t>was completed</w:t>
      </w:r>
      <w:proofErr w:type="gramEnd"/>
      <w:r w:rsidRPr="00781112">
        <w:rPr>
          <w:b/>
          <w:color w:val="000000" w:themeColor="text1"/>
        </w:rPr>
        <w:t xml:space="preserve">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The range of days beyond the timeline when the evaluation </w:t>
      </w:r>
      <w:proofErr w:type="gramStart"/>
      <w:r w:rsidRPr="00781112">
        <w:rPr>
          <w:color w:val="000000" w:themeColor="text1"/>
        </w:rPr>
        <w:t>was completed</w:t>
      </w:r>
      <w:proofErr w:type="gramEnd"/>
      <w:r w:rsidRPr="00781112">
        <w:rPr>
          <w:color w:val="000000" w:themeColor="text1"/>
        </w:rPr>
        <w:t xml:space="preserve"> ranged from *1 days to 127* days. The </w:t>
      </w:r>
      <w:proofErr w:type="gramStart"/>
      <w:r w:rsidRPr="00781112">
        <w:rPr>
          <w:color w:val="000000" w:themeColor="text1"/>
        </w:rPr>
        <w:t>reasons</w:t>
      </w:r>
      <w:proofErr w:type="gramEnd"/>
      <w:r w:rsidRPr="00781112">
        <w:rPr>
          <w:color w:val="000000" w:themeColor="text1"/>
        </w:rPr>
        <w:t xml:space="preserve"> for the delays includes the following:</w:t>
      </w:r>
      <w:r w:rsidRPr="00781112">
        <w:rPr>
          <w:color w:val="000000" w:themeColor="text1"/>
        </w:rPr>
        <w:br/>
      </w:r>
      <w:r w:rsidRPr="00781112">
        <w:rPr>
          <w:color w:val="000000" w:themeColor="text1"/>
        </w:rPr>
        <w:br/>
        <w:t>1. Staff delays due to absences or turnover</w:t>
      </w:r>
      <w:r w:rsidRPr="00781112">
        <w:rPr>
          <w:color w:val="000000" w:themeColor="text1"/>
        </w:rPr>
        <w:br/>
      </w:r>
      <w:proofErr w:type="gramStart"/>
      <w:r w:rsidRPr="00781112">
        <w:rPr>
          <w:color w:val="000000" w:themeColor="text1"/>
        </w:rPr>
        <w:t>2</w:t>
      </w:r>
      <w:proofErr w:type="gramEnd"/>
      <w:r w:rsidRPr="00781112">
        <w:rPr>
          <w:color w:val="000000" w:themeColor="text1"/>
        </w:rPr>
        <w:t>. Difficulty obtaining records</w:t>
      </w:r>
      <w:r w:rsidRPr="00781112">
        <w:rPr>
          <w:color w:val="000000" w:themeColor="text1"/>
        </w:rPr>
        <w:br/>
      </w:r>
      <w:proofErr w:type="gramStart"/>
      <w:r w:rsidRPr="00781112">
        <w:rPr>
          <w:color w:val="000000" w:themeColor="text1"/>
        </w:rPr>
        <w:t>3</w:t>
      </w:r>
      <w:proofErr w:type="gramEnd"/>
      <w:r w:rsidRPr="00781112">
        <w:rPr>
          <w:color w:val="000000" w:themeColor="text1"/>
        </w:rPr>
        <w:t>. Parents not providing sufficient information</w:t>
      </w:r>
      <w:r w:rsidRPr="00781112">
        <w:rPr>
          <w:color w:val="000000" w:themeColor="text1"/>
        </w:rPr>
        <w:br/>
      </w:r>
      <w:proofErr w:type="gramStart"/>
      <w:r w:rsidRPr="00781112">
        <w:rPr>
          <w:color w:val="000000" w:themeColor="text1"/>
        </w:rPr>
        <w:t>4</w:t>
      </w:r>
      <w:proofErr w:type="gramEnd"/>
      <w:r w:rsidRPr="00781112">
        <w:rPr>
          <w:color w:val="000000" w:themeColor="text1"/>
        </w:rPr>
        <w:t xml:space="preserve">. Due to health and safety concerns related to COVID-19, there were school and classroom closures throughout the school year. </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used the </w:t>
      </w:r>
      <w:proofErr w:type="gramStart"/>
      <w:r w:rsidRPr="00781112">
        <w:rPr>
          <w:rFonts w:cs="Arial"/>
          <w:color w:val="000000" w:themeColor="text1"/>
          <w:szCs w:val="16"/>
        </w:rPr>
        <w:t>60 day</w:t>
      </w:r>
      <w:proofErr w:type="gramEnd"/>
      <w:r w:rsidRPr="00781112">
        <w:rPr>
          <w:rFonts w:cs="Arial"/>
          <w:color w:val="000000" w:themeColor="text1"/>
          <w:szCs w:val="16"/>
        </w:rPr>
        <w:t xml:space="preserve">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Data for Indicator 11 </w:t>
      </w:r>
      <w:proofErr w:type="gramStart"/>
      <w:r w:rsidRPr="00781112">
        <w:rPr>
          <w:rFonts w:cs="Arial"/>
          <w:color w:val="000000" w:themeColor="text1"/>
          <w:szCs w:val="16"/>
        </w:rPr>
        <w:t>were obtained</w:t>
      </w:r>
      <w:proofErr w:type="gramEnd"/>
      <w:r w:rsidRPr="00781112">
        <w:rPr>
          <w:rFonts w:cs="Arial"/>
          <w:color w:val="000000" w:themeColor="text1"/>
          <w:szCs w:val="16"/>
        </w:rPr>
        <w:t xml:space="preserve"> from the State database, MSIS. Data </w:t>
      </w:r>
      <w:proofErr w:type="gramStart"/>
      <w:r w:rsidRPr="00781112">
        <w:rPr>
          <w:rFonts w:cs="Arial"/>
          <w:color w:val="000000" w:themeColor="text1"/>
          <w:szCs w:val="16"/>
        </w:rPr>
        <w:t>were collected</w:t>
      </w:r>
      <w:proofErr w:type="gramEnd"/>
      <w:r w:rsidRPr="00781112">
        <w:rPr>
          <w:rFonts w:cs="Arial"/>
          <w:color w:val="000000" w:themeColor="text1"/>
          <w:szCs w:val="16"/>
        </w:rPr>
        <w:t xml:space="preserve"> and analyzed for the period from July 1, 2020to June 30, 2021. Data for children for whom consent to conduct an initial evaluation was received during FFY 2019, but the timeline for completing the evaluation elapsed after the end of FFY 2020 were not included in the FFY 2020 data analysis and will be included in the FFY 2021 APR data collection.</w:t>
      </w:r>
      <w:r w:rsidRPr="00781112">
        <w:rPr>
          <w:rFonts w:cs="Arial"/>
          <w:color w:val="000000" w:themeColor="text1"/>
          <w:szCs w:val="16"/>
        </w:rPr>
        <w:br/>
      </w:r>
      <w:r w:rsidRPr="00781112">
        <w:rPr>
          <w:rFonts w:cs="Arial"/>
          <w:color w:val="000000" w:themeColor="text1"/>
          <w:szCs w:val="16"/>
        </w:rPr>
        <w:br/>
        <w:t>Steps for data collection, determination of noncompliance, and issuance of findings:</w:t>
      </w:r>
      <w:r w:rsidRPr="00781112">
        <w:rPr>
          <w:rFonts w:cs="Arial"/>
          <w:color w:val="000000" w:themeColor="text1"/>
          <w:szCs w:val="16"/>
        </w:rPr>
        <w:br/>
        <w:t>Step 1: Gather data from the State database after the end of the 2020-2021 school year. All records are reviewed.</w:t>
      </w:r>
      <w:r w:rsidRPr="00781112">
        <w:rPr>
          <w:rFonts w:cs="Arial"/>
          <w:color w:val="000000" w:themeColor="text1"/>
          <w:szCs w:val="16"/>
        </w:rPr>
        <w:br/>
        <w:t>Step 2: Identify LEAs who appear noncompliant and give them the opportunity to clarify their data and/or provide allowable exceptions.</w:t>
      </w:r>
      <w:r w:rsidRPr="00781112">
        <w:rPr>
          <w:rFonts w:cs="Arial"/>
          <w:color w:val="000000" w:themeColor="text1"/>
          <w:szCs w:val="16"/>
        </w:rPr>
        <w:br/>
        <w:t>Step 3: Review the responses and identify noncompliance (missed timelines that did not meet one of the allowable exceptions).</w:t>
      </w:r>
      <w:r w:rsidRPr="00781112">
        <w:rPr>
          <w:rFonts w:cs="Arial"/>
          <w:color w:val="000000" w:themeColor="text1"/>
          <w:szCs w:val="16"/>
        </w:rPr>
        <w:br/>
        <w:t>Step 4: Determine if LEAs with identified noncompliance have met both prongs of verification of correction of noncompliance, consistent with OSEP</w:t>
      </w:r>
      <w:r w:rsidRPr="00781112">
        <w:rPr>
          <w:rFonts w:cs="Arial"/>
          <w:color w:val="000000" w:themeColor="text1"/>
          <w:szCs w:val="16"/>
        </w:rPr>
        <w:br/>
        <w:t>Memorandum 09-02.</w:t>
      </w:r>
      <w:r w:rsidRPr="00781112">
        <w:rPr>
          <w:rFonts w:cs="Arial"/>
          <w:color w:val="000000" w:themeColor="text1"/>
          <w:szCs w:val="16"/>
        </w:rPr>
        <w:br/>
        <w:t>· Step 4a: Determine if the LEA has corrected original cases of noncompliance by completing the evaluations and eligibility determinations, although</w:t>
      </w:r>
      <w:r w:rsidRPr="00781112">
        <w:rPr>
          <w:rFonts w:cs="Arial"/>
          <w:color w:val="000000" w:themeColor="text1"/>
          <w:szCs w:val="16"/>
        </w:rPr>
        <w:br/>
        <w:t>outside of the 60-day timeframe, prior to the finding being issued (Prong 1) and has subsequent data, obtained from the LEA or through MSIS, demonstrating ongoing compliance (Prong 2).</w:t>
      </w:r>
      <w:r w:rsidRPr="00781112">
        <w:rPr>
          <w:rFonts w:cs="Arial"/>
          <w:color w:val="000000" w:themeColor="text1"/>
          <w:szCs w:val="16"/>
        </w:rPr>
        <w:br/>
        <w:t>Step 5: Issue findings to those LEAs who were identified with noncompliance for the 2020-2021 school year and who did not meet both prongs of verification of correction of noncompliance prior to the findings being issued</w:t>
      </w:r>
    </w:p>
    <w:p w14:paraId="4F981BFF" w14:textId="77777777" w:rsidR="00C86164" w:rsidRPr="00781112" w:rsidRDefault="00C86164" w:rsidP="00C86164">
      <w:pPr>
        <w:rPr>
          <w:rFonts w:cs="Arial"/>
          <w:b/>
          <w:color w:val="000000" w:themeColor="text1"/>
          <w:szCs w:val="16"/>
        </w:rPr>
      </w:pPr>
      <w:bookmarkStart w:id="66" w:name="_Toc381956339"/>
      <w:bookmarkStart w:id="67" w:name="_Toc384383357"/>
      <w:bookmarkStart w:id="68"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25</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25</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The MDE OSE utilized the Mississippi Student Information System (MSIS) to conduct monthly reviews of Indicator data for each LEA identified as noncompliant. A review of this updated data showed that all evaluation timelines were compliant and that regulatory requirements were </w:t>
      </w:r>
      <w:proofErr w:type="gramStart"/>
      <w:r w:rsidRPr="00781112">
        <w:rPr>
          <w:rFonts w:cs="Arial"/>
          <w:color w:val="000000" w:themeColor="text1"/>
          <w:szCs w:val="16"/>
        </w:rPr>
        <w:t>being implemented</w:t>
      </w:r>
      <w:proofErr w:type="gramEnd"/>
      <w:r w:rsidRPr="00781112">
        <w:rPr>
          <w:rFonts w:cs="Arial"/>
          <w:color w:val="000000" w:themeColor="text1"/>
          <w:szCs w:val="16"/>
        </w:rPr>
        <w:t>.</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For the cases of individual noncompliance, the LEA </w:t>
      </w:r>
      <w:proofErr w:type="gramStart"/>
      <w:r w:rsidRPr="00781112">
        <w:rPr>
          <w:rFonts w:cs="Arial"/>
          <w:color w:val="000000" w:themeColor="text1"/>
          <w:szCs w:val="16"/>
        </w:rPr>
        <w:t>was required</w:t>
      </w:r>
      <w:proofErr w:type="gramEnd"/>
      <w:r w:rsidRPr="00781112">
        <w:rPr>
          <w:rFonts w:cs="Arial"/>
          <w:color w:val="000000" w:themeColor="text1"/>
          <w:szCs w:val="16"/>
        </w:rPr>
        <w:t xml:space="preserve"> to submit documentation of eligibility determination and/or IEPs, Prior Written Notices, and assessment team reports to the MDE OSE via SharePoint. MDE OSE reviewed the eligibility reports and additional supporting documentation (IEPs, Prior Written Notices, and Assessment Team reports) for each of the students to verify that even though the eligibility determination was beyond the </w:t>
      </w:r>
      <w:proofErr w:type="gramStart"/>
      <w:r w:rsidRPr="00781112">
        <w:rPr>
          <w:rFonts w:cs="Arial"/>
          <w:color w:val="000000" w:themeColor="text1"/>
          <w:szCs w:val="16"/>
        </w:rPr>
        <w:t>60 day</w:t>
      </w:r>
      <w:proofErr w:type="gramEnd"/>
      <w:r w:rsidRPr="00781112">
        <w:rPr>
          <w:rFonts w:cs="Arial"/>
          <w:color w:val="000000" w:themeColor="text1"/>
          <w:szCs w:val="16"/>
        </w:rPr>
        <w:t xml:space="preserve"> timeline, eligibility had been determined by the LEA and noncompliance corrected. If a student </w:t>
      </w:r>
      <w:proofErr w:type="gramStart"/>
      <w:r w:rsidRPr="00781112">
        <w:rPr>
          <w:rFonts w:cs="Arial"/>
          <w:color w:val="000000" w:themeColor="text1"/>
          <w:szCs w:val="16"/>
        </w:rPr>
        <w:t>was</w:t>
      </w:r>
      <w:proofErr w:type="gramEnd"/>
      <w:r w:rsidRPr="00781112">
        <w:rPr>
          <w:rFonts w:cs="Arial"/>
          <w:color w:val="000000" w:themeColor="text1"/>
          <w:szCs w:val="16"/>
        </w:rPr>
        <w:t xml:space="preserve"> no longer in the jurisdiction of the LEA and eligibility could not be determined by the LEA, the LEA had to submit documentation of the student's withdrawal from the LEA. The MDE OSE verified this data using the Mississippi Student Information System.</w:t>
      </w:r>
    </w:p>
    <w:p w14:paraId="47B6C111" w14:textId="77777777" w:rsidR="008227D4" w:rsidRPr="00781112" w:rsidRDefault="008227D4" w:rsidP="004369B2">
      <w:pPr>
        <w:rPr>
          <w:color w:val="000000" w:themeColor="text1"/>
        </w:rPr>
      </w:pPr>
    </w:p>
    <w:p w14:paraId="5024C3BB" w14:textId="77777777" w:rsidR="00B83FD1" w:rsidRDefault="00B83FD1" w:rsidP="004369B2">
      <w:pPr>
        <w:rPr>
          <w:b/>
          <w:color w:val="000000" w:themeColor="text1"/>
        </w:rPr>
      </w:pPr>
    </w:p>
    <w:p w14:paraId="3D219E0E" w14:textId="6C95F6AA"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6"/>
      <w:bookmarkEnd w:id="67"/>
      <w:bookmarkEnd w:id="68"/>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9" w:name="_Toc384383358"/>
      <w:bookmarkStart w:id="70"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a. # of children who have </w:t>
      </w:r>
      <w:proofErr w:type="gramStart"/>
      <w:r w:rsidRPr="00781112">
        <w:rPr>
          <w:rFonts w:eastAsia="Times New Roman" w:cs="Arial"/>
          <w:color w:val="000000" w:themeColor="text1"/>
          <w:szCs w:val="16"/>
        </w:rPr>
        <w:t>been served</w:t>
      </w:r>
      <w:proofErr w:type="gramEnd"/>
      <w:r w:rsidRPr="00781112">
        <w:rPr>
          <w:rFonts w:eastAsia="Times New Roman" w:cs="Arial"/>
          <w:color w:val="000000" w:themeColor="text1"/>
          <w:szCs w:val="16"/>
        </w:rPr>
        <w:t xml:space="preserve">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 xml:space="preserve">Category f is to </w:t>
      </w:r>
      <w:proofErr w:type="gramStart"/>
      <w:r w:rsidRPr="00781112">
        <w:rPr>
          <w:rFonts w:cs="Arial"/>
          <w:color w:val="000000" w:themeColor="text1"/>
          <w:szCs w:val="16"/>
        </w:rPr>
        <w:t>be used</w:t>
      </w:r>
      <w:proofErr w:type="gramEnd"/>
      <w:r w:rsidRPr="00781112">
        <w:rPr>
          <w:rFonts w:cs="Arial"/>
          <w:color w:val="000000" w:themeColor="text1"/>
          <w:szCs w:val="16"/>
        </w:rPr>
        <w:t xml:space="preserve">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1" w:name="_Toc384383359"/>
      <w:bookmarkStart w:id="72" w:name="_Toc392159327"/>
      <w:bookmarkEnd w:id="69"/>
      <w:bookmarkEnd w:id="70"/>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51.00%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1"/>
          <w:bookmarkEnd w:id="72"/>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58.54%</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89.50%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95.20%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80.53%</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87.24%</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w:t>
            </w:r>
            <w:proofErr w:type="gramStart"/>
            <w:r w:rsidRPr="00781112">
              <w:rPr>
                <w:rFonts w:cs="Arial"/>
                <w:color w:val="000000" w:themeColor="text1"/>
                <w:szCs w:val="16"/>
              </w:rPr>
              <w:t>been served</w:t>
            </w:r>
            <w:proofErr w:type="gramEnd"/>
            <w:r w:rsidRPr="00781112">
              <w:rPr>
                <w:rFonts w:cs="Arial"/>
                <w:color w:val="000000" w:themeColor="text1"/>
                <w:szCs w:val="16"/>
              </w:rPr>
              <w:t xml:space="preserve">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1,286</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125</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427</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369</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t>
            </w:r>
            <w:proofErr w:type="gramStart"/>
            <w:r w:rsidRPr="00781112">
              <w:rPr>
                <w:rFonts w:cs="Arial"/>
                <w:color w:val="000000" w:themeColor="text1"/>
                <w:szCs w:val="16"/>
              </w:rPr>
              <w:t>were referred</w:t>
            </w:r>
            <w:proofErr w:type="gramEnd"/>
            <w:r w:rsidRPr="00781112">
              <w:rPr>
                <w:rFonts w:cs="Arial"/>
                <w:color w:val="000000" w:themeColor="text1"/>
                <w:szCs w:val="16"/>
              </w:rPr>
              <w:t xml:space="preserve">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 xml:space="preserve">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427</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792</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87.24%</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53.91%</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6E881701" w14:textId="244CA8FB" w:rsidR="001F2870" w:rsidRPr="00781112" w:rsidRDefault="00326C0B" w:rsidP="001F2870">
      <w:pPr>
        <w:rPr>
          <w:rFonts w:cs="Arial"/>
          <w:b/>
          <w:color w:val="000000" w:themeColor="text1"/>
          <w:szCs w:val="16"/>
        </w:rPr>
      </w:pPr>
      <w:r w:rsidRPr="00781112">
        <w:rPr>
          <w:rFonts w:cs="Arial"/>
          <w:b/>
          <w:color w:val="000000" w:themeColor="text1"/>
          <w:szCs w:val="16"/>
        </w:rPr>
        <w:t>Provide reasons for slippage, if applicable</w:t>
      </w:r>
    </w:p>
    <w:p w14:paraId="534101C3" w14:textId="6012D052" w:rsidR="00326C0B" w:rsidRPr="00781112" w:rsidRDefault="002B7490" w:rsidP="007D435F">
      <w:pPr>
        <w:rPr>
          <w:rFonts w:cs="Arial"/>
          <w:color w:val="000000" w:themeColor="text1"/>
          <w:szCs w:val="16"/>
        </w:rPr>
      </w:pPr>
      <w:r w:rsidRPr="00781112">
        <w:rPr>
          <w:rFonts w:cs="Arial"/>
          <w:color w:val="000000" w:themeColor="text1"/>
          <w:szCs w:val="16"/>
        </w:rPr>
        <w:t xml:space="preserve">The MDE OSE attributes slippage in this indicator to significant issues with Part C's data system. The part C data system continues to include students that </w:t>
      </w:r>
      <w:proofErr w:type="gramStart"/>
      <w:r w:rsidRPr="00781112">
        <w:rPr>
          <w:rFonts w:cs="Arial"/>
          <w:color w:val="000000" w:themeColor="text1"/>
          <w:szCs w:val="16"/>
        </w:rPr>
        <w:t>were referred</w:t>
      </w:r>
      <w:proofErr w:type="gramEnd"/>
      <w:r w:rsidRPr="00781112">
        <w:rPr>
          <w:rFonts w:cs="Arial"/>
          <w:color w:val="000000" w:themeColor="text1"/>
          <w:szCs w:val="16"/>
        </w:rPr>
        <w:t xml:space="preserve"> to Part C and are no longer receiving services or never received services due to lack of delay. These students no longer have active records with Part </w:t>
      </w:r>
      <w:proofErr w:type="gramStart"/>
      <w:r w:rsidRPr="00781112">
        <w:rPr>
          <w:rFonts w:cs="Arial"/>
          <w:color w:val="000000" w:themeColor="text1"/>
          <w:szCs w:val="16"/>
        </w:rPr>
        <w:t>C</w:t>
      </w:r>
      <w:proofErr w:type="gramEnd"/>
      <w:r w:rsidRPr="00781112">
        <w:rPr>
          <w:rFonts w:cs="Arial"/>
          <w:color w:val="000000" w:themeColor="text1"/>
          <w:szCs w:val="16"/>
        </w:rPr>
        <w:t xml:space="preserve"> and it is very difficult to contact parents without updated information. Part C Data system has not been sending Part C to B files to MDE on a consistent basis. Finally, Part C has not been identifying the district of residence for students which is problematic when attempting to ensure the correct district receives the referral. Additionally, Part C has an extreme shortage of Early Intervention Coordinators which is very problematic for LEAs. It is difficult to get timely referrals from Part C due to lack of staff. </w:t>
      </w:r>
    </w:p>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 xml:space="preserve">Number of children who served in Part C and referred to Part B for eligibility determination that </w:t>
      </w:r>
      <w:proofErr w:type="gramStart"/>
      <w:r w:rsidRPr="00781112">
        <w:rPr>
          <w:rFonts w:cs="Arial"/>
          <w:b/>
          <w:color w:val="000000" w:themeColor="text1"/>
          <w:szCs w:val="16"/>
        </w:rPr>
        <w:t>are not included</w:t>
      </w:r>
      <w:proofErr w:type="gramEnd"/>
      <w:r w:rsidRPr="00781112">
        <w:rPr>
          <w:rFonts w:cs="Arial"/>
          <w:b/>
          <w:color w:val="000000" w:themeColor="text1"/>
          <w:szCs w:val="16"/>
        </w:rPr>
        <w:t xml:space="preserve">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365</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3365 students </w:t>
      </w:r>
      <w:proofErr w:type="gramStart"/>
      <w:r w:rsidRPr="00781112">
        <w:rPr>
          <w:bCs/>
          <w:color w:val="000000" w:themeColor="text1"/>
        </w:rPr>
        <w:t>were included</w:t>
      </w:r>
      <w:proofErr w:type="gramEnd"/>
      <w:r w:rsidRPr="00781112">
        <w:rPr>
          <w:bCs/>
          <w:color w:val="000000" w:themeColor="text1"/>
        </w:rPr>
        <w:t xml:space="preserve"> in (a) but not b, c, d, e, or f. The days beyond the students' third birthday range from two (2) days to two hundred sixty-two (262) days. The reason for the delays </w:t>
      </w:r>
      <w:proofErr w:type="gramStart"/>
      <w:r w:rsidRPr="00781112">
        <w:rPr>
          <w:bCs/>
          <w:color w:val="000000" w:themeColor="text1"/>
        </w:rPr>
        <w:t>include</w:t>
      </w:r>
      <w:proofErr w:type="gramEnd"/>
      <w:r w:rsidRPr="00781112">
        <w:rPr>
          <w:bCs/>
          <w:color w:val="000000" w:themeColor="text1"/>
        </w:rPr>
        <w:t>:</w:t>
      </w:r>
      <w:r w:rsidRPr="00781112">
        <w:rPr>
          <w:bCs/>
          <w:color w:val="000000" w:themeColor="text1"/>
        </w:rPr>
        <w:br/>
      </w:r>
      <w:r w:rsidRPr="00781112">
        <w:rPr>
          <w:bCs/>
          <w:color w:val="000000" w:themeColor="text1"/>
        </w:rPr>
        <w:br/>
        <w:t>1. The district being unaware of the student</w:t>
      </w:r>
      <w:r w:rsidRPr="00781112">
        <w:rPr>
          <w:bCs/>
          <w:color w:val="000000" w:themeColor="text1"/>
        </w:rPr>
        <w:br/>
      </w:r>
      <w:proofErr w:type="gramStart"/>
      <w:r w:rsidRPr="00781112">
        <w:rPr>
          <w:bCs/>
          <w:color w:val="000000" w:themeColor="text1"/>
        </w:rPr>
        <w:t>2</w:t>
      </w:r>
      <w:proofErr w:type="gramEnd"/>
      <w:r w:rsidRPr="00781112">
        <w:rPr>
          <w:bCs/>
          <w:color w:val="000000" w:themeColor="text1"/>
        </w:rPr>
        <w:t>. Unable to get information from parents</w:t>
      </w:r>
      <w:r w:rsidRPr="00781112">
        <w:rPr>
          <w:bCs/>
          <w:color w:val="000000" w:themeColor="text1"/>
        </w:rPr>
        <w:br/>
      </w:r>
      <w:proofErr w:type="gramStart"/>
      <w:r w:rsidRPr="00781112">
        <w:rPr>
          <w:bCs/>
          <w:color w:val="000000" w:themeColor="text1"/>
        </w:rPr>
        <w:t>3</w:t>
      </w:r>
      <w:proofErr w:type="gramEnd"/>
      <w:r w:rsidRPr="00781112">
        <w:rPr>
          <w:bCs/>
          <w:color w:val="000000" w:themeColor="text1"/>
        </w:rPr>
        <w:t>. School closures due to  COVID-19</w:t>
      </w:r>
      <w:r w:rsidRPr="00781112">
        <w:rPr>
          <w:bCs/>
          <w:color w:val="000000" w:themeColor="text1"/>
        </w:rPr>
        <w:br/>
      </w:r>
      <w:proofErr w:type="gramStart"/>
      <w:r w:rsidRPr="00781112">
        <w:rPr>
          <w:bCs/>
          <w:color w:val="000000" w:themeColor="text1"/>
        </w:rPr>
        <w:t>4</w:t>
      </w:r>
      <w:proofErr w:type="gramEnd"/>
      <w:r w:rsidRPr="00781112">
        <w:rPr>
          <w:bCs/>
          <w:color w:val="000000" w:themeColor="text1"/>
        </w:rPr>
        <w:t>. Student was dismissed from Part C with no delays present</w:t>
      </w:r>
      <w:r w:rsidRPr="00781112">
        <w:rPr>
          <w:bCs/>
          <w:color w:val="000000" w:themeColor="text1"/>
        </w:rPr>
        <w:br/>
      </w:r>
      <w:proofErr w:type="gramStart"/>
      <w:r w:rsidRPr="00781112">
        <w:rPr>
          <w:bCs/>
          <w:color w:val="000000" w:themeColor="text1"/>
        </w:rPr>
        <w:t>5</w:t>
      </w:r>
      <w:proofErr w:type="gramEnd"/>
      <w:r w:rsidRPr="00781112">
        <w:rPr>
          <w:bCs/>
          <w:color w:val="000000" w:themeColor="text1"/>
        </w:rPr>
        <w:t>. Referred to Part C but never received early intervention services due to lack of delay</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3" w:name="_Hlk20318414"/>
      <w:bookmarkEnd w:id="73"/>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Data for Indicator 12 </w:t>
      </w:r>
      <w:proofErr w:type="gramStart"/>
      <w:r w:rsidRPr="00781112">
        <w:rPr>
          <w:rFonts w:cs="Arial"/>
          <w:color w:val="000000" w:themeColor="text1"/>
          <w:szCs w:val="16"/>
        </w:rPr>
        <w:t>were obtained</w:t>
      </w:r>
      <w:proofErr w:type="gramEnd"/>
      <w:r w:rsidRPr="00781112">
        <w:rPr>
          <w:rFonts w:cs="Arial"/>
          <w:color w:val="000000" w:themeColor="text1"/>
          <w:szCs w:val="16"/>
        </w:rPr>
        <w:t xml:space="preserve"> from the State database, MSIS. Data was collected and analyzed for the period from July 1, </w:t>
      </w:r>
      <w:proofErr w:type="gramStart"/>
      <w:r w:rsidRPr="00781112">
        <w:rPr>
          <w:rFonts w:cs="Arial"/>
          <w:color w:val="000000" w:themeColor="text1"/>
          <w:szCs w:val="16"/>
        </w:rPr>
        <w:t>2020</w:t>
      </w:r>
      <w:proofErr w:type="gramEnd"/>
      <w:r w:rsidRPr="00781112">
        <w:rPr>
          <w:rFonts w:cs="Arial"/>
          <w:color w:val="000000" w:themeColor="text1"/>
          <w:szCs w:val="16"/>
        </w:rPr>
        <w:t xml:space="preserve"> to June 30, 2021. OSE continuously works with the Lead Agency for Part C, Mississippi Department of Health (MDH) to coordinate the electronic data systems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collect accurate information relative to this Indicator. Daily files </w:t>
      </w:r>
      <w:proofErr w:type="gramStart"/>
      <w:r w:rsidRPr="00781112">
        <w:rPr>
          <w:rFonts w:cs="Arial"/>
          <w:color w:val="000000" w:themeColor="text1"/>
          <w:szCs w:val="16"/>
        </w:rPr>
        <w:t>were submitted</w:t>
      </w:r>
      <w:proofErr w:type="gramEnd"/>
      <w:r w:rsidRPr="00781112">
        <w:rPr>
          <w:rFonts w:cs="Arial"/>
          <w:color w:val="000000" w:themeColor="text1"/>
          <w:szCs w:val="16"/>
        </w:rPr>
        <w:t xml:space="preserve"> from MDH that allowed OSE to load the files into MSIS and run a matching procedure to determine how many students being served under Part C were now being served under Part B. The OSE was able to provide data to LEAs that included a listing of eligible students receiving services at age 3 and those children currently </w:t>
      </w:r>
      <w:proofErr w:type="gramStart"/>
      <w:r w:rsidRPr="00781112">
        <w:rPr>
          <w:rFonts w:cs="Arial"/>
          <w:color w:val="000000" w:themeColor="text1"/>
          <w:szCs w:val="16"/>
        </w:rPr>
        <w:t>being served</w:t>
      </w:r>
      <w:proofErr w:type="gramEnd"/>
      <w:r w:rsidRPr="00781112">
        <w:rPr>
          <w:rFonts w:cs="Arial"/>
          <w:color w:val="000000" w:themeColor="text1"/>
          <w:szCs w:val="16"/>
        </w:rPr>
        <w:t xml:space="preserve"> by Part C who were referred to Part B. The LEAs in turn reported to OSE the status of each student in the reports. Once all the data was reported, OSE ran a process to pull data to indicate if all the students had IEPs developed and implemented by their third birthdays.</w:t>
      </w:r>
      <w:r w:rsidRPr="00781112">
        <w:rPr>
          <w:rFonts w:cs="Arial"/>
          <w:color w:val="000000" w:themeColor="text1"/>
          <w:szCs w:val="16"/>
        </w:rPr>
        <w:br/>
      </w:r>
      <w:r w:rsidRPr="00781112">
        <w:rPr>
          <w:rFonts w:cs="Arial"/>
          <w:color w:val="000000" w:themeColor="text1"/>
          <w:szCs w:val="16"/>
        </w:rPr>
        <w:br/>
        <w:t>Steps for data collection, determination of noncompliance, and issuance of findings:</w:t>
      </w:r>
      <w:r w:rsidRPr="00781112">
        <w:rPr>
          <w:rFonts w:cs="Arial"/>
          <w:color w:val="000000" w:themeColor="text1"/>
          <w:szCs w:val="16"/>
        </w:rPr>
        <w:br/>
      </w:r>
      <w:r w:rsidRPr="00781112">
        <w:rPr>
          <w:rFonts w:cs="Arial"/>
          <w:color w:val="000000" w:themeColor="text1"/>
          <w:szCs w:val="16"/>
        </w:rPr>
        <w:br/>
        <w:t>Step 1: Gather data from the State database after the end of the 2020-2021 school year. All records are reviewed.</w:t>
      </w:r>
      <w:r w:rsidRPr="00781112">
        <w:rPr>
          <w:rFonts w:cs="Arial"/>
          <w:color w:val="000000" w:themeColor="text1"/>
          <w:szCs w:val="16"/>
        </w:rPr>
        <w:br/>
      </w:r>
      <w:r w:rsidRPr="00781112">
        <w:rPr>
          <w:rFonts w:cs="Arial"/>
          <w:color w:val="000000" w:themeColor="text1"/>
          <w:szCs w:val="16"/>
        </w:rPr>
        <w:br/>
        <w:t>Step 2: Identify LEAs who appear noncompliant and give them the opportunity to clarify their data and/or provide allowable exceptions.</w:t>
      </w:r>
      <w:r w:rsidRPr="00781112">
        <w:rPr>
          <w:rFonts w:cs="Arial"/>
          <w:color w:val="000000" w:themeColor="text1"/>
          <w:szCs w:val="16"/>
        </w:rPr>
        <w:br/>
      </w:r>
      <w:r w:rsidRPr="00781112">
        <w:rPr>
          <w:rFonts w:cs="Arial"/>
          <w:color w:val="000000" w:themeColor="text1"/>
          <w:szCs w:val="16"/>
        </w:rPr>
        <w:br/>
        <w:t>Step 3: Review the responses and identify noncompliance (missed timelines that did not meet one of the allowable exceptions).</w:t>
      </w:r>
      <w:r w:rsidRPr="00781112">
        <w:rPr>
          <w:rFonts w:cs="Arial"/>
          <w:color w:val="000000" w:themeColor="text1"/>
          <w:szCs w:val="16"/>
        </w:rPr>
        <w:br/>
      </w:r>
      <w:r w:rsidRPr="00781112">
        <w:rPr>
          <w:rFonts w:cs="Arial"/>
          <w:color w:val="000000" w:themeColor="text1"/>
          <w:szCs w:val="16"/>
        </w:rPr>
        <w:br/>
        <w:t>Step 4: Determine if LEAs with identified noncompliance have met both prongs of verification of correction of noncompliance, consistent with OSEP Memorandum 09-02.</w:t>
      </w:r>
      <w:r w:rsidRPr="00781112">
        <w:rPr>
          <w:rFonts w:cs="Arial"/>
          <w:color w:val="000000" w:themeColor="text1"/>
          <w:szCs w:val="16"/>
        </w:rPr>
        <w:br/>
      </w:r>
      <w:r w:rsidRPr="00781112">
        <w:rPr>
          <w:rFonts w:cs="Arial"/>
          <w:color w:val="000000" w:themeColor="text1"/>
          <w:szCs w:val="16"/>
        </w:rPr>
        <w:br/>
        <w:t>· Step 4a: Determine if the LEA has already corrected original cases of noncompliance by developing and implementing the IEP, although after the third birthday (Prong 1).</w:t>
      </w:r>
      <w:r w:rsidRPr="00781112">
        <w:rPr>
          <w:rFonts w:cs="Arial"/>
          <w:color w:val="000000" w:themeColor="text1"/>
          <w:szCs w:val="16"/>
        </w:rPr>
        <w:br/>
      </w:r>
      <w:r w:rsidRPr="00781112">
        <w:rPr>
          <w:rFonts w:cs="Arial"/>
          <w:color w:val="000000" w:themeColor="text1"/>
          <w:szCs w:val="16"/>
        </w:rPr>
        <w:br/>
        <w:t>· Step 4b: Gather data from the State database for the 2020-2021 school year to determine if LEA is correctly implementing the specific regulatory requirements and has achieved 100% compliance based on the review of this updated data. (Prong 2)</w:t>
      </w:r>
      <w:r w:rsidRPr="00781112">
        <w:rPr>
          <w:rFonts w:cs="Arial"/>
          <w:color w:val="000000" w:themeColor="text1"/>
          <w:szCs w:val="16"/>
        </w:rPr>
        <w:br/>
      </w:r>
      <w:r w:rsidRPr="00781112">
        <w:rPr>
          <w:rFonts w:cs="Arial"/>
          <w:color w:val="000000" w:themeColor="text1"/>
          <w:szCs w:val="16"/>
        </w:rPr>
        <w:br/>
        <w:t xml:space="preserve">Step 5: Issue findings to those LEAs who </w:t>
      </w:r>
      <w:proofErr w:type="gramStart"/>
      <w:r w:rsidRPr="00781112">
        <w:rPr>
          <w:rFonts w:cs="Arial"/>
          <w:color w:val="000000" w:themeColor="text1"/>
          <w:szCs w:val="16"/>
        </w:rPr>
        <w:t>were identified</w:t>
      </w:r>
      <w:proofErr w:type="gramEnd"/>
      <w:r w:rsidRPr="00781112">
        <w:rPr>
          <w:rFonts w:cs="Arial"/>
          <w:color w:val="000000" w:themeColor="text1"/>
          <w:szCs w:val="16"/>
        </w:rPr>
        <w:t xml:space="preserve"> with noncompliance for the 2020-2021 school year and who did not meet both prongs of </w:t>
      </w:r>
      <w:r w:rsidRPr="00781112">
        <w:rPr>
          <w:rFonts w:cs="Arial"/>
          <w:color w:val="000000" w:themeColor="text1"/>
          <w:szCs w:val="16"/>
        </w:rPr>
        <w:lastRenderedPageBreak/>
        <w:t>verification of correction of noncompliance prior to the findings being issued.</w:t>
      </w:r>
      <w:r w:rsidRPr="00781112">
        <w:rPr>
          <w:rFonts w:cs="Arial"/>
          <w:color w:val="000000" w:themeColor="text1"/>
          <w:szCs w:val="16"/>
        </w:rPr>
        <w:br/>
        <w:t xml:space="preserve">Provide additional </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85</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85</w:t>
            </w:r>
          </w:p>
        </w:tc>
        <w:tc>
          <w:tcPr>
            <w:tcW w:w="1231" w:type="pct"/>
            <w:shd w:val="clear" w:color="auto" w:fill="auto"/>
          </w:tcPr>
          <w:p w14:paraId="36D48FD7" w14:textId="2F6E80E6" w:rsidR="009A755E" w:rsidRPr="00781112" w:rsidRDefault="009A755E" w:rsidP="00A018D4">
            <w:pPr>
              <w:jc w:val="center"/>
              <w:rPr>
                <w:rFonts w:cs="Arial"/>
                <w:color w:val="000000" w:themeColor="text1"/>
                <w:szCs w:val="16"/>
              </w:rPr>
            </w:pP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The MDE OSE utilized the Mississippi Student Information System (MSIS) to review 2020-2021 Month 03 Part C to B transition data for each LEA identified as </w:t>
      </w:r>
      <w:proofErr w:type="gramStart"/>
      <w:r w:rsidRPr="00781112">
        <w:rPr>
          <w:rFonts w:cs="Arial"/>
          <w:color w:val="000000" w:themeColor="text1"/>
          <w:szCs w:val="16"/>
        </w:rPr>
        <w:t>non compliant</w:t>
      </w:r>
      <w:proofErr w:type="gramEnd"/>
      <w:r w:rsidRPr="00781112">
        <w:rPr>
          <w:rFonts w:cs="Arial"/>
          <w:color w:val="000000" w:themeColor="text1"/>
          <w:szCs w:val="16"/>
        </w:rPr>
        <w:t xml:space="preserve">. A review of each noncompliant LEA's Part C to B MSIS report showed that all timelines for students eligible for Part B services in Month 03 were compliant and that regulatory requirements were </w:t>
      </w:r>
      <w:proofErr w:type="gramStart"/>
      <w:r w:rsidRPr="00781112">
        <w:rPr>
          <w:rFonts w:cs="Arial"/>
          <w:color w:val="000000" w:themeColor="text1"/>
          <w:szCs w:val="16"/>
        </w:rPr>
        <w:t>being implemented</w:t>
      </w:r>
      <w:proofErr w:type="gramEnd"/>
      <w:r w:rsidRPr="00781112">
        <w:rPr>
          <w:rFonts w:cs="Arial"/>
          <w:color w:val="000000" w:themeColor="text1"/>
          <w:szCs w:val="16"/>
        </w:rPr>
        <w:t>.</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br/>
        <w:t xml:space="preserve">For the cases of individual noncompliance, the LEA was required to submit via SharePoint eligibility determination and student IEPs, as evidence that the student had an IEP in place although it was after the student's </w:t>
      </w:r>
      <w:proofErr w:type="gramStart"/>
      <w:r w:rsidRPr="00781112">
        <w:rPr>
          <w:rFonts w:cs="Arial"/>
          <w:color w:val="000000" w:themeColor="text1"/>
          <w:szCs w:val="16"/>
        </w:rPr>
        <w:t>3rd</w:t>
      </w:r>
      <w:proofErr w:type="gramEnd"/>
      <w:r w:rsidRPr="00781112">
        <w:rPr>
          <w:rFonts w:cs="Arial"/>
          <w:color w:val="000000" w:themeColor="text1"/>
          <w:szCs w:val="16"/>
        </w:rPr>
        <w:t xml:space="preserve"> birthday.  The MDE OSE confirmed correction of noncompliance by reviewing eligibility determination and student IEPs and supporting documentation. If a student was no longer in the jurisdiction of the LEA and an IEP could not be implemented, the LEA was required to submit documentation of the student's withdrawal from </w:t>
      </w:r>
      <w:proofErr w:type="gramStart"/>
      <w:r w:rsidRPr="00781112">
        <w:rPr>
          <w:rFonts w:cs="Arial"/>
          <w:color w:val="000000" w:themeColor="text1"/>
          <w:szCs w:val="16"/>
        </w:rPr>
        <w:t>he</w:t>
      </w:r>
      <w:proofErr w:type="gramEnd"/>
      <w:r w:rsidRPr="00781112">
        <w:rPr>
          <w:rFonts w:cs="Arial"/>
          <w:color w:val="000000" w:themeColor="text1"/>
          <w:szCs w:val="16"/>
        </w:rPr>
        <w:t xml:space="preserve"> LEA. The MDE OSE verified this data using the Mississippi Student Information System. </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4E2151" w:rsidP="004E2151">
      <w:pPr>
        <w:rPr>
          <w:rFonts w:cs="Arial"/>
          <w:color w:val="000000" w:themeColor="text1"/>
          <w:szCs w:val="16"/>
        </w:rPr>
      </w:pP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4" w:name="_Toc384383363"/>
      <w:bookmarkStart w:id="75"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6" w:name="_Toc384383364"/>
      <w:bookmarkStart w:id="77" w:name="_Toc392159332"/>
      <w:bookmarkEnd w:id="74"/>
      <w:bookmarkEnd w:id="75"/>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100.00%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99.93%</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99.99%</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99.73%</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99.96%</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6"/>
    <w:bookmarkEnd w:id="77"/>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20,607</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20,616</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99.96%</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99.96%</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The MDE OSE utilized the Mississippi Student Information System (MSIS) to review 2021-2022 Month 03 Transition data for each LEA identified as </w:t>
      </w:r>
      <w:proofErr w:type="gramStart"/>
      <w:r w:rsidRPr="00781112">
        <w:rPr>
          <w:rFonts w:cs="Arial"/>
          <w:color w:val="000000" w:themeColor="text1"/>
          <w:szCs w:val="16"/>
        </w:rPr>
        <w:t>non compliant</w:t>
      </w:r>
      <w:proofErr w:type="gramEnd"/>
      <w:r w:rsidRPr="00781112">
        <w:rPr>
          <w:rFonts w:cs="Arial"/>
          <w:color w:val="000000" w:themeColor="text1"/>
          <w:szCs w:val="16"/>
        </w:rPr>
        <w:t xml:space="preserve">. A review of each noncompliant LEA's transition report in MSIS showed that all students aged </w:t>
      </w:r>
      <w:proofErr w:type="gramStart"/>
      <w:r w:rsidRPr="00781112">
        <w:rPr>
          <w:rFonts w:cs="Arial"/>
          <w:color w:val="000000" w:themeColor="text1"/>
          <w:szCs w:val="16"/>
        </w:rPr>
        <w:t>14</w:t>
      </w:r>
      <w:proofErr w:type="gramEnd"/>
      <w:r w:rsidRPr="00781112">
        <w:rPr>
          <w:rFonts w:cs="Arial"/>
          <w:color w:val="000000" w:themeColor="text1"/>
          <w:szCs w:val="16"/>
        </w:rPr>
        <w:t xml:space="preserve"> and older in Month 03 had transition plans in place and that regulatory requirements were being implemented.</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 xml:space="preserve">If yes, did the State choose to include youth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14</w:t>
            </w:r>
          </w:p>
        </w:tc>
      </w:tr>
    </w:tbl>
    <w:p w14:paraId="735DB55A" w14:textId="18C77FF1" w:rsidR="00644AC8" w:rsidRPr="00781112" w:rsidRDefault="00644AC8" w:rsidP="005F442C">
      <w:pPr>
        <w:rPr>
          <w:rFonts w:cs="Arial"/>
          <w:b/>
          <w:color w:val="000000" w:themeColor="text1"/>
          <w:szCs w:val="16"/>
        </w:rPr>
      </w:pPr>
      <w:bookmarkStart w:id="78"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13</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13</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The MDE OSE utilized the Mississippi Student Information System (MSIS) to review 2019-2020 Month 03 Transition data for each LEA identified as </w:t>
      </w:r>
      <w:proofErr w:type="gramStart"/>
      <w:r w:rsidRPr="00781112">
        <w:rPr>
          <w:rFonts w:cs="Arial"/>
          <w:color w:val="000000" w:themeColor="text1"/>
          <w:szCs w:val="16"/>
        </w:rPr>
        <w:t>non compliant</w:t>
      </w:r>
      <w:proofErr w:type="gramEnd"/>
      <w:r w:rsidRPr="00781112">
        <w:rPr>
          <w:rFonts w:cs="Arial"/>
          <w:color w:val="000000" w:themeColor="text1"/>
          <w:szCs w:val="16"/>
        </w:rPr>
        <w:t xml:space="preserve">. A review of each noncompliant LEA's transition report in MSIS showed that all students aged </w:t>
      </w:r>
      <w:proofErr w:type="gramStart"/>
      <w:r w:rsidRPr="00781112">
        <w:rPr>
          <w:rFonts w:cs="Arial"/>
          <w:color w:val="000000" w:themeColor="text1"/>
          <w:szCs w:val="16"/>
        </w:rPr>
        <w:t>14</w:t>
      </w:r>
      <w:proofErr w:type="gramEnd"/>
      <w:r w:rsidRPr="00781112">
        <w:rPr>
          <w:rFonts w:cs="Arial"/>
          <w:color w:val="000000" w:themeColor="text1"/>
          <w:szCs w:val="16"/>
        </w:rPr>
        <w:t xml:space="preserve"> and older in Month 03 had transition plans in place and that regulatory requirements were being implemented.</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br/>
        <w:t xml:space="preserve">For each individual case of noncompliance, the LEA </w:t>
      </w:r>
      <w:proofErr w:type="gramStart"/>
      <w:r w:rsidRPr="00781112">
        <w:rPr>
          <w:rFonts w:cs="Arial"/>
          <w:color w:val="000000" w:themeColor="text1"/>
          <w:szCs w:val="16"/>
        </w:rPr>
        <w:t>was required</w:t>
      </w:r>
      <w:proofErr w:type="gramEnd"/>
      <w:r w:rsidRPr="00781112">
        <w:rPr>
          <w:rFonts w:cs="Arial"/>
          <w:color w:val="000000" w:themeColor="text1"/>
          <w:szCs w:val="16"/>
        </w:rPr>
        <w:t xml:space="preserve"> to submit documentation of each student's IEP including a completed transition plan, although past the student's 14th birthday. The MDE OSE reviewed each transition plan using an Indicator 13 checklist to ensure all components of the transition plan </w:t>
      </w:r>
      <w:proofErr w:type="gramStart"/>
      <w:r w:rsidRPr="00781112">
        <w:rPr>
          <w:rFonts w:cs="Arial"/>
          <w:color w:val="000000" w:themeColor="text1"/>
          <w:szCs w:val="16"/>
        </w:rPr>
        <w:t>were included</w:t>
      </w:r>
      <w:proofErr w:type="gramEnd"/>
      <w:r w:rsidRPr="00781112">
        <w:rPr>
          <w:rFonts w:cs="Arial"/>
          <w:color w:val="000000" w:themeColor="text1"/>
          <w:szCs w:val="16"/>
        </w:rPr>
        <w:t xml:space="preserve">. Once MDE reviewed each transition plan and verified that it met the requirements of the Indicator 13 checklist, noncompliance </w:t>
      </w:r>
      <w:proofErr w:type="gramStart"/>
      <w:r w:rsidRPr="00781112">
        <w:rPr>
          <w:rFonts w:cs="Arial"/>
          <w:color w:val="000000" w:themeColor="text1"/>
          <w:szCs w:val="16"/>
        </w:rPr>
        <w:t>was considered</w:t>
      </w:r>
      <w:proofErr w:type="gramEnd"/>
      <w:r w:rsidRPr="00781112">
        <w:rPr>
          <w:rFonts w:cs="Arial"/>
          <w:color w:val="000000" w:themeColor="text1"/>
          <w:szCs w:val="16"/>
        </w:rPr>
        <w:t xml:space="preserve"> corrected. If a student was no longer in the jurisdiction of the LEA and an IEP could not be implemented, the LEA was required to submit documentation of the student's withdrawal from </w:t>
      </w:r>
      <w:proofErr w:type="gramStart"/>
      <w:r w:rsidRPr="00781112">
        <w:rPr>
          <w:rFonts w:cs="Arial"/>
          <w:color w:val="000000" w:themeColor="text1"/>
          <w:szCs w:val="16"/>
        </w:rPr>
        <w:t>he</w:t>
      </w:r>
      <w:proofErr w:type="gramEnd"/>
      <w:r w:rsidRPr="00781112">
        <w:rPr>
          <w:rFonts w:cs="Arial"/>
          <w:color w:val="000000" w:themeColor="text1"/>
          <w:szCs w:val="16"/>
        </w:rPr>
        <w:t xml:space="preserve"> LEA. The MDE OSE verified this data using the Mississippi Student Information System.</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lastRenderedPageBreak/>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8"/>
    </w:p>
    <w:p w14:paraId="22761492" w14:textId="77777777" w:rsidR="005C50DB" w:rsidRPr="00781112" w:rsidRDefault="005C50DB" w:rsidP="00A018D4">
      <w:pPr>
        <w:rPr>
          <w:szCs w:val="20"/>
        </w:rPr>
      </w:pPr>
      <w:bookmarkStart w:id="79"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 xml:space="preserve">C. Enrolled in higher education or in </w:t>
      </w:r>
      <w:proofErr w:type="gramStart"/>
      <w:r w:rsidRPr="00781112">
        <w:rPr>
          <w:rFonts w:cs="Arial"/>
          <w:szCs w:val="16"/>
        </w:rPr>
        <w:t>some</w:t>
      </w:r>
      <w:proofErr w:type="gramEnd"/>
      <w:r w:rsidRPr="00781112">
        <w:rPr>
          <w:rFonts w:cs="Arial"/>
          <w:szCs w:val="16"/>
        </w:rPr>
        <w:t xml:space="preserv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w:t>
      </w:r>
      <w:proofErr w:type="gramStart"/>
      <w:r w:rsidRPr="00781112">
        <w:rPr>
          <w:rFonts w:eastAsia="Times New Roman" w:cs="Arial"/>
          <w:i/>
          <w:iCs/>
          <w:szCs w:val="16"/>
        </w:rPr>
        <w:t>is allowed</w:t>
      </w:r>
      <w:proofErr w:type="gramEnd"/>
      <w:r w:rsidRPr="00781112">
        <w:rPr>
          <w:rFonts w:eastAsia="Times New Roman" w:cs="Arial"/>
          <w:i/>
          <w:iCs/>
          <w:szCs w:val="16"/>
        </w:rPr>
        <w:t xml:space="preserve">. When sampling </w:t>
      </w:r>
      <w:proofErr w:type="gramStart"/>
      <w:r w:rsidRPr="00781112">
        <w:rPr>
          <w:rFonts w:eastAsia="Times New Roman" w:cs="Arial"/>
          <w:i/>
          <w:iCs/>
          <w:szCs w:val="16"/>
        </w:rPr>
        <w:t>is used</w:t>
      </w:r>
      <w:proofErr w:type="gramEnd"/>
      <w:r w:rsidRPr="00781112">
        <w:rPr>
          <w:rFonts w:eastAsia="Times New Roman" w:cs="Arial"/>
          <w:i/>
          <w:iCs/>
          <w:szCs w:val="16"/>
        </w:rPr>
        <w:t>,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 xml:space="preserve">Collect data by September 2022 on students who left school during 2020-2021, timing the data collection so that at least one year has passed since the students left school. Include students who dropped out during 2020-2021 or who </w:t>
      </w:r>
      <w:proofErr w:type="gramStart"/>
      <w:r w:rsidRPr="00781112">
        <w:rPr>
          <w:rFonts w:eastAsia="Times New Roman" w:cs="Arial"/>
          <w:szCs w:val="16"/>
        </w:rPr>
        <w:t>were expected</w:t>
      </w:r>
      <w:proofErr w:type="gramEnd"/>
      <w:r w:rsidRPr="00781112">
        <w:rPr>
          <w:rFonts w:eastAsia="Times New Roman" w:cs="Arial"/>
          <w:szCs w:val="16"/>
        </w:rPr>
        <w:t xml:space="preserve"> to return but did not return for the current school year. This includes all youth who had an IEP in effect at the time they left school, including those who graduated with a regular diploma or </w:t>
      </w:r>
      <w:proofErr w:type="gramStart"/>
      <w:r w:rsidRPr="00781112">
        <w:rPr>
          <w:rFonts w:eastAsia="Times New Roman" w:cs="Arial"/>
          <w:szCs w:val="16"/>
        </w:rPr>
        <w:t>some</w:t>
      </w:r>
      <w:proofErr w:type="gramEnd"/>
      <w:r w:rsidRPr="00781112">
        <w:rPr>
          <w:rFonts w:eastAsia="Times New Roman" w:cs="Arial"/>
          <w:szCs w:val="16"/>
        </w:rPr>
        <w:t xml:space="preserv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proofErr w:type="gramStart"/>
      <w:r w:rsidRPr="00781112">
        <w:rPr>
          <w:rFonts w:eastAsia="Times New Roman" w:cs="Arial"/>
          <w:i/>
          <w:iCs/>
          <w:szCs w:val="16"/>
        </w:rPr>
        <w:t>Some</w:t>
      </w:r>
      <w:proofErr w:type="gramEnd"/>
      <w:r w:rsidRPr="00781112">
        <w:rPr>
          <w:rFonts w:eastAsia="Times New Roman" w:cs="Arial"/>
          <w:i/>
          <w:iCs/>
          <w:szCs w:val="16"/>
        </w:rPr>
        <w:t xml:space="preserve"> other employment</w:t>
      </w:r>
      <w:r w:rsidRPr="00781112">
        <w:rPr>
          <w:rFonts w:eastAsia="Times New Roman" w:cs="Arial"/>
          <w:szCs w:val="16"/>
        </w:rPr>
        <w:t xml:space="preserve"> as used in measure C means youth have worked for pay or been self-employed for a period of at least 90 days at any time in the year since leaving high school. This includes working in a family business (e.g., farm, store, fishing, ranching, catering services, </w:t>
      </w:r>
      <w:proofErr w:type="gramStart"/>
      <w:r w:rsidRPr="00781112">
        <w:rPr>
          <w:rFonts w:eastAsia="Times New Roman" w:cs="Arial"/>
          <w:szCs w:val="16"/>
        </w:rPr>
        <w:t>etc.</w:t>
      </w:r>
      <w:proofErr w:type="gramEnd"/>
      <w:r w:rsidRPr="00781112">
        <w:rPr>
          <w:rFonts w:eastAsia="Times New Roman" w:cs="Arial"/>
          <w:szCs w:val="16"/>
        </w:rPr>
        <w:t>).</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 xml:space="preserve">4. In </w:t>
      </w:r>
      <w:proofErr w:type="gramStart"/>
      <w:r w:rsidRPr="00781112">
        <w:rPr>
          <w:rFonts w:eastAsia="Times New Roman" w:cs="Arial"/>
          <w:szCs w:val="16"/>
        </w:rPr>
        <w:t>some</w:t>
      </w:r>
      <w:proofErr w:type="gramEnd"/>
      <w:r w:rsidRPr="00781112">
        <w:rPr>
          <w:rFonts w:eastAsia="Times New Roman" w:cs="Arial"/>
          <w:szCs w:val="16"/>
        </w:rPr>
        <w:t xml:space="preserv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w:t>
      </w:r>
      <w:proofErr w:type="gramStart"/>
      <w:r w:rsidRPr="00781112">
        <w:rPr>
          <w:rFonts w:eastAsia="Times New Roman" w:cs="Arial"/>
          <w:szCs w:val="16"/>
        </w:rPr>
        <w:t>be counted</w:t>
      </w:r>
      <w:proofErr w:type="gramEnd"/>
      <w:r w:rsidRPr="00781112">
        <w:rPr>
          <w:rFonts w:eastAsia="Times New Roman" w:cs="Arial"/>
          <w:szCs w:val="16"/>
        </w:rPr>
        <w:t xml:space="preserve"> in one of the above categories, and the categories are organized hierarchically. So, for example, “leavers” who are enrolled in full- or part-time higher education within one year of leaving high school should only be reported in category </w:t>
      </w:r>
      <w:proofErr w:type="gramStart"/>
      <w:r w:rsidRPr="00781112">
        <w:rPr>
          <w:rFonts w:eastAsia="Times New Roman" w:cs="Arial"/>
          <w:szCs w:val="16"/>
        </w:rPr>
        <w:t>1</w:t>
      </w:r>
      <w:proofErr w:type="gramEnd"/>
      <w:r w:rsidRPr="00781112">
        <w:rPr>
          <w:rFonts w:eastAsia="Times New Roman" w:cs="Arial"/>
          <w:szCs w:val="16"/>
        </w:rPr>
        <w:t xml:space="preserve">,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xml:space="preserve">, but who are competitively employed, should only be reported under category </w:t>
      </w:r>
      <w:proofErr w:type="gramStart"/>
      <w:r w:rsidRPr="00781112">
        <w:rPr>
          <w:rFonts w:eastAsia="Times New Roman" w:cs="Arial"/>
          <w:color w:val="000000" w:themeColor="text1"/>
          <w:szCs w:val="16"/>
        </w:rPr>
        <w:t>2</w:t>
      </w:r>
      <w:proofErr w:type="gramEnd"/>
      <w:r w:rsidRPr="00781112">
        <w:rPr>
          <w:rFonts w:eastAsia="Times New Roman" w:cs="Arial"/>
          <w:color w:val="000000" w:themeColor="text1"/>
          <w:szCs w:val="16"/>
        </w:rPr>
        <w:t>,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Targets must </w:t>
      </w:r>
      <w:proofErr w:type="gramStart"/>
      <w:r w:rsidRPr="00781112">
        <w:rPr>
          <w:rFonts w:eastAsia="Times New Roman" w:cs="Arial"/>
          <w:color w:val="000000" w:themeColor="text1"/>
          <w:szCs w:val="16"/>
        </w:rPr>
        <w:t>be established</w:t>
      </w:r>
      <w:proofErr w:type="gramEnd"/>
      <w:r w:rsidRPr="00781112">
        <w:rPr>
          <w:rFonts w:eastAsia="Times New Roman" w:cs="Arial"/>
          <w:color w:val="000000" w:themeColor="text1"/>
          <w:szCs w:val="16"/>
        </w:rPr>
        <w:t xml:space="preserve">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A: For purposes of reporting on the measures/indicators, please note that any youth enrolled in an institution of higher education (that meets any definition of this term in the Higher Education Act (HEA)) within one year of leaving high school must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A. This could include youth who also happen to be competitively employed, or in </w:t>
      </w:r>
      <w:proofErr w:type="gramStart"/>
      <w:r w:rsidRPr="00781112">
        <w:rPr>
          <w:rFonts w:eastAsia="Times New Roman" w:cs="Arial"/>
          <w:color w:val="000000" w:themeColor="text1"/>
          <w:szCs w:val="16"/>
        </w:rPr>
        <w:t>some</w:t>
      </w:r>
      <w:proofErr w:type="gramEnd"/>
      <w:r w:rsidRPr="00781112">
        <w:rPr>
          <w:rFonts w:eastAsia="Times New Roman" w:cs="Arial"/>
          <w:color w:val="000000" w:themeColor="text1"/>
          <w:szCs w:val="16"/>
        </w:rPr>
        <w:t xml:space="preserv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B: All youth reported under measure A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C: All youth reported under measures A and B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0"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0"/>
    <w:p w14:paraId="3FE9961A" w14:textId="1EDBA086" w:rsidR="000301BA" w:rsidRPr="00781112" w:rsidRDefault="00172058" w:rsidP="00123D76">
      <w:pPr>
        <w:pStyle w:val="Heading2"/>
      </w:pPr>
      <w:r w:rsidRPr="00781112">
        <w:t>14 - Indicator Data</w:t>
      </w:r>
    </w:p>
    <w:bookmarkEnd w:id="79"/>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27.79%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28.79%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29.79%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29.79%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26.00%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25.81%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27.79%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25.04%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27.25%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25.81%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32.95%</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67.12%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69.12%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69.12%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69.12%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61.00%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67.12%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60.79%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61.31%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60.09%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68.53%</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85.09%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87.09%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89.09%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89.09%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75.00%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74.27%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85.09%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77.75%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76.26%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74.27%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83.75%</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28.00%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30.00%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32.00%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34.00%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35.00%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62.00%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64.00%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66.00%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68.00%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70.00%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75.00%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75.00%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75.00%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75.00%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75.00%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The Mississippi Department of Education solicited stakeholder feedback through multiple in person and virtual meetings with teachers, administrators, special education directors, representatives of parent advocacy groups, and parents as outlined in the Introduction. Stakeholder feedback </w:t>
      </w:r>
      <w:proofErr w:type="gramStart"/>
      <w:r w:rsidRPr="00781112">
        <w:rPr>
          <w:rFonts w:cs="Arial"/>
          <w:color w:val="000000" w:themeColor="text1"/>
          <w:szCs w:val="16"/>
        </w:rPr>
        <w:t>was also solicited</w:t>
      </w:r>
      <w:proofErr w:type="gramEnd"/>
      <w:r w:rsidRPr="00781112">
        <w:rPr>
          <w:rFonts w:cs="Arial"/>
          <w:color w:val="000000" w:themeColor="text1"/>
          <w:szCs w:val="16"/>
        </w:rPr>
        <w:t xml:space="preserve"> from the Special Education Advisory Panel. Because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baseline and targets were set last year based on stakeholder feedback, The MDE OSE did not seek feedback regarding updating targets or baseline. </w:t>
      </w:r>
      <w:proofErr w:type="gramStart"/>
      <w:r w:rsidRPr="00781112">
        <w:rPr>
          <w:rFonts w:cs="Arial"/>
          <w:color w:val="000000" w:themeColor="text1"/>
          <w:szCs w:val="16"/>
        </w:rPr>
        <w:t>Rather based</w:t>
      </w:r>
      <w:proofErr w:type="gramEnd"/>
      <w:r w:rsidRPr="00781112">
        <w:rPr>
          <w:rFonts w:cs="Arial"/>
          <w:color w:val="000000" w:themeColor="text1"/>
          <w:szCs w:val="16"/>
        </w:rPr>
        <w:t xml:space="preserve"> on stakeholder feedback, the MDE OSE determined that it would continue to report data to stakeholders and defer to stakeholders as to when updates or changes need to be made. Stakeholders would like to see </w:t>
      </w:r>
      <w:proofErr w:type="gramStart"/>
      <w:r w:rsidRPr="00781112">
        <w:rPr>
          <w:rFonts w:cs="Arial"/>
          <w:color w:val="000000" w:themeColor="text1"/>
          <w:szCs w:val="16"/>
        </w:rPr>
        <w:t>some</w:t>
      </w:r>
      <w:proofErr w:type="gramEnd"/>
      <w:r w:rsidRPr="00781112">
        <w:rPr>
          <w:rFonts w:cs="Arial"/>
          <w:color w:val="000000" w:themeColor="text1"/>
          <w:szCs w:val="16"/>
        </w:rPr>
        <w:t xml:space="preserve"> trend data prior to making changes. </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81" w:name="_Toc392159337"/>
    </w:p>
    <w:bookmarkEnd w:id="81"/>
    <w:p w14:paraId="167BEC6B" w14:textId="77777777" w:rsidR="00B83FD1" w:rsidRDefault="00B83FD1" w:rsidP="004369B2">
      <w:pPr>
        <w:rPr>
          <w:b/>
          <w:color w:val="000000" w:themeColor="text1"/>
        </w:rPr>
      </w:pPr>
    </w:p>
    <w:p w14:paraId="70B5C31B" w14:textId="77777777" w:rsidR="00B83FD1" w:rsidRDefault="00B83FD1" w:rsidP="004369B2">
      <w:pPr>
        <w:rPr>
          <w:b/>
          <w:color w:val="000000" w:themeColor="text1"/>
        </w:rPr>
      </w:pPr>
    </w:p>
    <w:p w14:paraId="4202DC3A" w14:textId="2B29768D" w:rsidR="00A03EFA"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2,327</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2,061</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88.57%</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727</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766</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3. Number of respondent youth enrolled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94</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4. Number of respondent youth who are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181</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727</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2,061</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32.95%</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28.00%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35.27%</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1,493</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2,061</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68.53%</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72.44%</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 xml:space="preserve">C. Enrolled in higher education, or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1,768</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2,061</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83.75%</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85.78%</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 xml:space="preserve">Option 2: Report in alignment with the term “competitive integrated employment” and its definition, in section 7(5) of the Rehabilitation Act, as amended by Workforce Innovation and Opportunity Act (WIOA), and 34 CFR §361.5(c)(9). </w:t>
      </w:r>
      <w:proofErr w:type="gramStart"/>
      <w:r w:rsidRPr="00781112">
        <w:rPr>
          <w:rFonts w:cs="Arial"/>
          <w:color w:val="000000" w:themeColor="text1"/>
          <w:szCs w:val="16"/>
        </w:rPr>
        <w:t>For the purpose of</w:t>
      </w:r>
      <w:proofErr w:type="gramEnd"/>
      <w:r w:rsidRPr="00781112">
        <w:rPr>
          <w:rFonts w:cs="Arial"/>
          <w:color w:val="000000" w:themeColor="text1"/>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89.93%</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88.57%</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 xml:space="preserve">Describe strategies that will </w:t>
      </w:r>
      <w:proofErr w:type="gramStart"/>
      <w:r w:rsidRPr="00002B33">
        <w:rPr>
          <w:b/>
          <w:bCs/>
        </w:rPr>
        <w:t>be implemented</w:t>
      </w:r>
      <w:proofErr w:type="gramEnd"/>
      <w:r w:rsidRPr="00002B33">
        <w:rPr>
          <w:b/>
          <w:bCs/>
        </w:rPr>
        <w:t xml:space="preserve"> which are expected to increase the response rate year over year, particularly for those groups that are underrepresented.</w:t>
      </w:r>
    </w:p>
    <w:p w14:paraId="054F9DF8" w14:textId="77777777" w:rsidR="00090132" w:rsidRPr="00B551F2" w:rsidRDefault="00090132" w:rsidP="00090132">
      <w:r w:rsidRPr="00B551F2">
        <w:t xml:space="preserve">Describe strategies that will </w:t>
      </w:r>
      <w:proofErr w:type="gramStart"/>
      <w:r w:rsidRPr="00B551F2">
        <w:t>be implemented</w:t>
      </w:r>
      <w:proofErr w:type="gramEnd"/>
      <w:r w:rsidRPr="00B551F2">
        <w:t xml:space="preserve"> which are expected to increase the response rate year over year, particularly for those groups that are underrepresented.</w:t>
      </w:r>
      <w:r w:rsidRPr="00B551F2">
        <w:br/>
        <w:t>LEAs may choose the method by which data for Indicator 14 are collected and are responsible for entering data into the Mississippi Student Information System. The MDE OSE will issue data reports and reminders to ensure LEAs are reaching out to students and their families to collect this data. The MDE OSE will also provide guidance and suggestions for increasing responsiveness.</w:t>
      </w:r>
    </w:p>
    <w:p w14:paraId="5A6BE78B" w14:textId="77777777" w:rsidR="00090132" w:rsidRPr="00002B33" w:rsidRDefault="00090132" w:rsidP="00090132">
      <w:pPr>
        <w:rPr>
          <w:b/>
          <w:bCs/>
        </w:rPr>
      </w:pPr>
      <w:r w:rsidRPr="00002B33">
        <w:rPr>
          <w:b/>
          <w:bCs/>
        </w:rPr>
        <w:lastRenderedPageBreak/>
        <w:t xml:space="preserve">Describe the analysis of the response rate including any nonresponse bias that </w:t>
      </w:r>
      <w:proofErr w:type="gramStart"/>
      <w:r w:rsidRPr="00002B33">
        <w:rPr>
          <w:b/>
          <w:bCs/>
        </w:rPr>
        <w:t>was identified</w:t>
      </w:r>
      <w:proofErr w:type="gramEnd"/>
      <w:r w:rsidRPr="00002B33">
        <w:rPr>
          <w:b/>
          <w:bCs/>
        </w:rPr>
        <w:t>,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br/>
        <w:t>The MDE OSE did not identify any nonresponse bias. The MDE OSE will continue to encourage LEA staff  to allow multiple formats for students and parents to provide Indicator 14 data. By ensuring that all LEAs have access to data reports and work toward having all parents and students provide Indicator 14, the MDE OSE is confident that responsiveness will increase.</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In the areas of Gender, Exit Type, LEP indicator, Race, and Disability, MS saw no greater than 2.5 percentage point difference in respondents and leavers for any category.</w:t>
      </w:r>
      <w:r w:rsidRPr="008D51F2">
        <w:br/>
      </w:r>
      <w:r w:rsidRPr="008D51F2">
        <w:br/>
        <w:t>In the area of gender, MDE found that the female group was underrepresented (0.26%) and the male group was overrepresented (-0.26%).</w:t>
      </w:r>
      <w:r w:rsidRPr="008D51F2">
        <w:br/>
      </w:r>
      <w:r w:rsidRPr="008D51F2">
        <w:br/>
        <w:t>In the area of exit code, the following exit codes had underrepresentation:</w:t>
      </w:r>
      <w:r w:rsidRPr="008D51F2">
        <w:br/>
      </w:r>
      <w:r w:rsidRPr="008D51F2">
        <w:br/>
        <w:t>Dropped Out (-0.47%) and</w:t>
      </w:r>
      <w:r w:rsidRPr="008D51F2">
        <w:br/>
        <w:t>Graduated with Regular High School Diploma (-1.96%)</w:t>
      </w:r>
      <w:r w:rsidRPr="008D51F2">
        <w:br/>
      </w:r>
      <w:r w:rsidRPr="008D51F2">
        <w:br/>
        <w:t>The following exit codes were overrepresented:</w:t>
      </w:r>
      <w:r w:rsidRPr="008D51F2">
        <w:br/>
      </w:r>
      <w:r w:rsidRPr="008D51F2">
        <w:br/>
        <w:t>Graduated High School with Special Diploma (0.02%) and</w:t>
      </w:r>
      <w:r w:rsidRPr="008D51F2">
        <w:br/>
        <w:t>Reached Maximum Age (2.41%).</w:t>
      </w:r>
      <w:r w:rsidRPr="008D51F2">
        <w:br/>
        <w:t>.</w:t>
      </w:r>
      <w:r w:rsidRPr="008D51F2">
        <w:br/>
      </w:r>
      <w:r w:rsidRPr="008D51F2">
        <w:br/>
      </w:r>
      <w:r w:rsidRPr="008D51F2">
        <w:br/>
        <w:t xml:space="preserve">In the area of race, the following races had underrepresentation: </w:t>
      </w:r>
      <w:r w:rsidRPr="008D51F2">
        <w:br/>
        <w:t>Asian (-0.03%),</w:t>
      </w:r>
      <w:r w:rsidRPr="008D51F2">
        <w:br/>
        <w:t>White (-1.07%) and</w:t>
      </w:r>
      <w:r w:rsidRPr="008D51F2">
        <w:br/>
        <w:t>Two or More Races (-0.01%).</w:t>
      </w:r>
      <w:r w:rsidRPr="008D51F2">
        <w:br/>
      </w:r>
      <w:r w:rsidRPr="008D51F2">
        <w:br/>
        <w:t xml:space="preserve">The following race had overrepresentation: </w:t>
      </w:r>
      <w:r w:rsidRPr="008D51F2">
        <w:br/>
        <w:t>Black/African American (0.70%),</w:t>
      </w:r>
      <w:r w:rsidRPr="008D51F2">
        <w:br/>
        <w:t>Hispanic/Latino (0.35%), and</w:t>
      </w:r>
      <w:r w:rsidRPr="008D51F2">
        <w:br/>
        <w:t>Pacific Islander (0.04%).</w:t>
      </w:r>
      <w:r w:rsidRPr="008D51F2">
        <w:br/>
      </w:r>
      <w:r w:rsidRPr="008D51F2">
        <w:br/>
      </w:r>
      <w:r w:rsidRPr="008D51F2">
        <w:br/>
        <w:t>In the area of disabilities, the following disabilities had overrepresentation:</w:t>
      </w:r>
      <w:r w:rsidRPr="008D51F2">
        <w:br/>
        <w:t xml:space="preserve">Emotional Disability (0.32%), </w:t>
      </w:r>
      <w:r w:rsidRPr="008D51F2">
        <w:br/>
        <w:t>Orthopedic Impairment (0.02),</w:t>
      </w:r>
      <w:r w:rsidRPr="008D51F2">
        <w:br/>
        <w:t>Specific Learning Disability (0.14%),</w:t>
      </w:r>
      <w:r w:rsidRPr="008D51F2">
        <w:br/>
        <w:t>Traumatic Brain Injury (0.06), and</w:t>
      </w:r>
      <w:r w:rsidRPr="008D51F2">
        <w:br/>
        <w:t>Autism (0.17%).</w:t>
      </w:r>
      <w:r w:rsidRPr="008D51F2">
        <w:br/>
        <w:t xml:space="preserve"> </w:t>
      </w:r>
      <w:r w:rsidRPr="008D51F2">
        <w:br/>
      </w:r>
      <w:r w:rsidRPr="008D51F2">
        <w:br/>
        <w:t xml:space="preserve">The following disabilities had underrepresentation: </w:t>
      </w:r>
      <w:r w:rsidRPr="008D51F2">
        <w:br/>
      </w:r>
      <w:r w:rsidRPr="008D51F2">
        <w:br/>
        <w:t>Other Health Impairment (-0.22%),</w:t>
      </w:r>
      <w:r w:rsidRPr="008D51F2">
        <w:br/>
        <w:t xml:space="preserve">Intellectual Disability (-0.17%), </w:t>
      </w:r>
      <w:r w:rsidRPr="008D51F2">
        <w:br/>
        <w:t xml:space="preserve">Language/Speech Impaired (-0.11%), </w:t>
      </w:r>
      <w:r w:rsidRPr="008D51F2">
        <w:br/>
        <w:t>Multiple Disabilities (-0.14%), and</w:t>
      </w:r>
      <w:r w:rsidRPr="008D51F2">
        <w:br/>
        <w:t>Visually Impaired (-0.08%).</w:t>
      </w:r>
      <w:r w:rsidRPr="008D51F2">
        <w:br/>
      </w:r>
      <w:r w:rsidRPr="008D51F2">
        <w:br/>
        <w:t>In the area of LEP indicator, the Y LEP indicators were overrepresented (0.16%) and the N LEP Indicators were underrepresented by (-0.16%).</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 xml:space="preserve">If </w:t>
      </w:r>
      <w:proofErr w:type="gramStart"/>
      <w:r w:rsidRPr="005C202C">
        <w:rPr>
          <w:b/>
          <w:bCs/>
        </w:rPr>
        <w:t>no</w:t>
      </w:r>
      <w:proofErr w:type="gramEnd"/>
      <w:r w:rsidRPr="005C202C">
        <w:rPr>
          <w:b/>
          <w:bCs/>
        </w:rPr>
        <w:t>,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 </w:t>
      </w:r>
      <w:proofErr w:type="gramStart"/>
      <w:r w:rsidRPr="008D51F2">
        <w:rPr>
          <w:b w:val="0"/>
        </w:rPr>
        <w:t>3%</w:t>
      </w:r>
      <w:proofErr w:type="gramEnd"/>
      <w:r w:rsidRPr="008D51F2">
        <w:rPr>
          <w:b w:val="0"/>
        </w:rPr>
        <w:t xml:space="preserve"> discrepancy in the proportion of responders compared to target group,</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lastRenderedPageBreak/>
              <w:t>If yes, is it a new or revised survey?</w:t>
            </w:r>
          </w:p>
        </w:tc>
        <w:tc>
          <w:tcPr>
            <w:tcW w:w="1151" w:type="pct"/>
            <w:shd w:val="clear" w:color="auto" w:fill="auto"/>
          </w:tcPr>
          <w:p w14:paraId="53803AF8" w14:textId="54EB33AD" w:rsidR="00BC4655" w:rsidRPr="00781112" w:rsidRDefault="00BC4655" w:rsidP="00A018D4">
            <w:pPr>
              <w:jc w:val="center"/>
              <w:rPr>
                <w:rFonts w:cs="Arial"/>
                <w:color w:val="000000" w:themeColor="text1"/>
                <w:szCs w:val="16"/>
              </w:rPr>
            </w:pPr>
          </w:p>
        </w:tc>
      </w:tr>
    </w:tbl>
    <w:p w14:paraId="62361D73" w14:textId="77777777" w:rsidR="00644AC8" w:rsidRPr="00781112" w:rsidRDefault="00644AC8" w:rsidP="00644AC8">
      <w:pPr>
        <w:rPr>
          <w:rFonts w:cs="Arial"/>
          <w:b/>
          <w:color w:val="000000" w:themeColor="text1"/>
          <w:szCs w:val="16"/>
        </w:rPr>
      </w:pPr>
      <w:bookmarkStart w:id="82" w:name="_Toc382082390"/>
      <w:bookmarkStart w:id="83"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2"/>
      <w:bookmarkEnd w:id="83"/>
    </w:p>
    <w:p w14:paraId="7EA31497" w14:textId="77777777" w:rsidR="005B0B58" w:rsidRPr="00781112" w:rsidRDefault="005B0B58" w:rsidP="00A018D4">
      <w:pPr>
        <w:rPr>
          <w:color w:val="000000" w:themeColor="text1"/>
          <w:szCs w:val="20"/>
        </w:rPr>
      </w:pPr>
      <w:bookmarkStart w:id="84" w:name="_Toc381786822"/>
      <w:bookmarkStart w:id="85" w:name="_Toc382731911"/>
      <w:bookmarkStart w:id="86" w:name="_Toc382731912"/>
      <w:bookmarkStart w:id="87" w:name="_Toc392159340"/>
      <w:bookmarkEnd w:id="84"/>
      <w:bookmarkEnd w:id="85"/>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t>
      </w:r>
      <w:proofErr w:type="gramStart"/>
      <w:r w:rsidRPr="00781112">
        <w:rPr>
          <w:rFonts w:cs="Arial"/>
          <w:color w:val="000000" w:themeColor="text1"/>
          <w:szCs w:val="16"/>
        </w:rPr>
        <w:t>were resolved</w:t>
      </w:r>
      <w:proofErr w:type="gramEnd"/>
      <w:r w:rsidRPr="00781112">
        <w:rPr>
          <w:rFonts w:cs="Arial"/>
          <w:color w:val="000000" w:themeColor="text1"/>
          <w:szCs w:val="16"/>
        </w:rPr>
        <w:t xml:space="preserve">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resolution sessions is less than 10. In a reporting period when the number of resolution sessions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6"/>
    <w:bookmarkEnd w:id="87"/>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5</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5</w:t>
            </w:r>
          </w:p>
        </w:tc>
      </w:tr>
    </w:tbl>
    <w:p w14:paraId="162CEFB3" w14:textId="55A4ED3A" w:rsidR="004A33CD" w:rsidRPr="00781112" w:rsidRDefault="00E31E29">
      <w:pPr>
        <w:rPr>
          <w:b/>
          <w:color w:val="000000" w:themeColor="text1"/>
        </w:rPr>
      </w:pPr>
      <w:bookmarkStart w:id="88" w:name="_Toc382731913"/>
      <w:bookmarkStart w:id="89" w:name="_Toc392159341"/>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The Mississippi Department of Education solicited stakeholder feedback through multiple in person and virtual meetings with teachers, administrators, special education directors, representatives of parent advocacy groups, and parents as outlined in the Introduction. Stakeholder feedback </w:t>
      </w:r>
      <w:proofErr w:type="gramStart"/>
      <w:r w:rsidRPr="00781112">
        <w:rPr>
          <w:rFonts w:cs="Arial"/>
          <w:color w:val="000000" w:themeColor="text1"/>
          <w:szCs w:val="16"/>
        </w:rPr>
        <w:t>was also solicited</w:t>
      </w:r>
      <w:proofErr w:type="gramEnd"/>
      <w:r w:rsidRPr="00781112">
        <w:rPr>
          <w:rFonts w:cs="Arial"/>
          <w:color w:val="000000" w:themeColor="text1"/>
          <w:szCs w:val="16"/>
        </w:rPr>
        <w:t xml:space="preserve"> from the Special Education Advisory Panel. Because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baseline and targets were set last year based on stakeholder feedback, The MDE OSE did not seek feedback regarding updating targets or baseline. </w:t>
      </w:r>
      <w:proofErr w:type="gramStart"/>
      <w:r w:rsidRPr="00781112">
        <w:rPr>
          <w:rFonts w:cs="Arial"/>
          <w:color w:val="000000" w:themeColor="text1"/>
          <w:szCs w:val="16"/>
        </w:rPr>
        <w:t>Rather based</w:t>
      </w:r>
      <w:proofErr w:type="gramEnd"/>
      <w:r w:rsidRPr="00781112">
        <w:rPr>
          <w:rFonts w:cs="Arial"/>
          <w:color w:val="000000" w:themeColor="text1"/>
          <w:szCs w:val="16"/>
        </w:rPr>
        <w:t xml:space="preserve"> on stakeholder feedback, the MDE OSE determined that it would continue to report data to stakeholders and defer to stakeholders as to when updates or changes need to be made. Stakeholders would like to see </w:t>
      </w:r>
      <w:proofErr w:type="gramStart"/>
      <w:r w:rsidRPr="00781112">
        <w:rPr>
          <w:rFonts w:cs="Arial"/>
          <w:color w:val="000000" w:themeColor="text1"/>
          <w:szCs w:val="16"/>
        </w:rPr>
        <w:t>some</w:t>
      </w:r>
      <w:proofErr w:type="gramEnd"/>
      <w:r w:rsidRPr="00781112">
        <w:rPr>
          <w:rFonts w:cs="Arial"/>
          <w:color w:val="000000" w:themeColor="text1"/>
          <w:szCs w:val="16"/>
        </w:rPr>
        <w:t xml:space="preserve"> trend data prior to making changes. </w:t>
      </w:r>
    </w:p>
    <w:p w14:paraId="43B1695A" w14:textId="2970A905" w:rsidR="000A2C83" w:rsidRPr="00781112" w:rsidRDefault="000A2C83" w:rsidP="000A2C83">
      <w:pPr>
        <w:rPr>
          <w:rFonts w:cs="Arial"/>
          <w:color w:val="000000" w:themeColor="text1"/>
          <w:szCs w:val="16"/>
        </w:rPr>
      </w:pPr>
    </w:p>
    <w:bookmarkEnd w:id="88"/>
    <w:bookmarkEnd w:id="89"/>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100.00%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10.00%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26.67%</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p>
        </w:tc>
        <w:tc>
          <w:tcPr>
            <w:tcW w:w="849" w:type="pct"/>
          </w:tcPr>
          <w:p w14:paraId="57B3A075" w14:textId="21F2B25E" w:rsidR="00B14519" w:rsidRPr="00781112" w:rsidRDefault="00B14519" w:rsidP="008D24E3">
            <w:pPr>
              <w:spacing w:before="0" w:after="200" w:line="276" w:lineRule="auto"/>
              <w:jc w:val="center"/>
            </w:pPr>
          </w:p>
        </w:tc>
        <w:tc>
          <w:tcPr>
            <w:tcW w:w="849" w:type="pct"/>
          </w:tcPr>
          <w:p w14:paraId="211F936E" w14:textId="58F0DC2F" w:rsidR="00B14519" w:rsidRPr="00781112" w:rsidRDefault="00B14519" w:rsidP="008D24E3">
            <w:pPr>
              <w:spacing w:before="0" w:after="200" w:line="276" w:lineRule="auto"/>
              <w:jc w:val="center"/>
            </w:pPr>
          </w:p>
        </w:tc>
        <w:tc>
          <w:tcPr>
            <w:tcW w:w="849" w:type="pct"/>
          </w:tcPr>
          <w:p w14:paraId="53679E27" w14:textId="6773FF8D" w:rsidR="00B14519" w:rsidRPr="00781112" w:rsidRDefault="00B14519" w:rsidP="008D24E3">
            <w:pPr>
              <w:spacing w:before="0" w:after="200" w:line="276" w:lineRule="auto"/>
              <w:jc w:val="center"/>
            </w:pPr>
          </w:p>
        </w:tc>
        <w:tc>
          <w:tcPr>
            <w:tcW w:w="849" w:type="pct"/>
          </w:tcPr>
          <w:p w14:paraId="492B2B0A" w14:textId="258B9D99" w:rsidR="00B14519" w:rsidRPr="00781112" w:rsidRDefault="00B14519" w:rsidP="008D24E3">
            <w:pPr>
              <w:spacing w:before="0" w:after="200" w:line="276" w:lineRule="auto"/>
              <w:jc w:val="center"/>
            </w:pPr>
          </w:p>
        </w:tc>
      </w:tr>
    </w:tbl>
    <w:p w14:paraId="25B7ED55" w14:textId="77777777" w:rsidR="00CE0C68" w:rsidRPr="00781112" w:rsidRDefault="00CE0C68" w:rsidP="004369B2">
      <w:pPr>
        <w:rPr>
          <w:color w:val="000000" w:themeColor="text1"/>
        </w:rPr>
      </w:pPr>
    </w:p>
    <w:p w14:paraId="59EF63A0" w14:textId="080AD261" w:rsidR="00127006" w:rsidRPr="00B83FD1" w:rsidRDefault="0047313F" w:rsidP="004369B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resolution sessions held in FFY 2021. The State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to provide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0" w:name="_Toc382731916"/>
      <w:bookmarkStart w:id="91"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1C92AE0D" w14:textId="422BE377" w:rsidR="00B83FD1"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90"/>
    <w:bookmarkEnd w:id="91"/>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4</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bl>
    <w:p w14:paraId="2C4CE14C" w14:textId="5AC27D72" w:rsidR="00E8514E" w:rsidRPr="00781112" w:rsidRDefault="007D219D">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The Mississippi Department of Education solicited stakeholder feedback through multiple in person and virtual meetings with teachers, administrators, special education directors, representatives of parent advocacy groups, and parents as outlined in the Introduction. Stakeholder feedback </w:t>
      </w:r>
      <w:proofErr w:type="gramStart"/>
      <w:r w:rsidRPr="00781112">
        <w:rPr>
          <w:rFonts w:cs="Arial"/>
          <w:color w:val="000000" w:themeColor="text1"/>
          <w:szCs w:val="16"/>
        </w:rPr>
        <w:t>was also solicited</w:t>
      </w:r>
      <w:proofErr w:type="gramEnd"/>
      <w:r w:rsidRPr="00781112">
        <w:rPr>
          <w:rFonts w:cs="Arial"/>
          <w:color w:val="000000" w:themeColor="text1"/>
          <w:szCs w:val="16"/>
        </w:rPr>
        <w:t xml:space="preserve"> from the Special Education Advisory Panel. Because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baseline and targets were set last year based on stakeholder feedback, The MDE OSE did not seek feedback regarding updating targets or baseline. </w:t>
      </w:r>
      <w:proofErr w:type="gramStart"/>
      <w:r w:rsidRPr="00781112">
        <w:rPr>
          <w:rFonts w:cs="Arial"/>
          <w:color w:val="000000" w:themeColor="text1"/>
          <w:szCs w:val="16"/>
        </w:rPr>
        <w:t>Rather based</w:t>
      </w:r>
      <w:proofErr w:type="gramEnd"/>
      <w:r w:rsidRPr="00781112">
        <w:rPr>
          <w:rFonts w:cs="Arial"/>
          <w:color w:val="000000" w:themeColor="text1"/>
          <w:szCs w:val="16"/>
        </w:rPr>
        <w:t xml:space="preserve"> on stakeholder feedback, the MDE OSE determined that it would continue to report data to stakeholders and defer to stakeholders as to when updates or changes need to be made. Stakeholders would like to see </w:t>
      </w:r>
      <w:proofErr w:type="gramStart"/>
      <w:r w:rsidRPr="00781112">
        <w:rPr>
          <w:rFonts w:cs="Arial"/>
          <w:color w:val="000000" w:themeColor="text1"/>
          <w:szCs w:val="16"/>
        </w:rPr>
        <w:t>some</w:t>
      </w:r>
      <w:proofErr w:type="gramEnd"/>
      <w:r w:rsidRPr="00781112">
        <w:rPr>
          <w:rFonts w:cs="Arial"/>
          <w:color w:val="000000" w:themeColor="text1"/>
          <w:szCs w:val="16"/>
        </w:rPr>
        <w:t xml:space="preserve"> trend data prior to making changes. </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69.56%</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75.00%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86.96%</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17.65%</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18.18%</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25.00%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25.00%</w:t>
            </w:r>
          </w:p>
        </w:tc>
      </w:tr>
    </w:tbl>
    <w:p w14:paraId="7D2A0D5F" w14:textId="77777777" w:rsidR="00B83FD1" w:rsidRPr="00781112" w:rsidRDefault="00B83FD1">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p>
        </w:tc>
        <w:tc>
          <w:tcPr>
            <w:tcW w:w="916" w:type="pct"/>
          </w:tcPr>
          <w:p w14:paraId="2C484D83" w14:textId="77BCE060" w:rsidR="006D0A52" w:rsidRPr="00781112" w:rsidRDefault="006D0A52" w:rsidP="00C91F30">
            <w:pPr>
              <w:jc w:val="center"/>
              <w:rPr>
                <w:rFonts w:cs="Arial"/>
                <w:color w:val="000000" w:themeColor="text1"/>
                <w:szCs w:val="16"/>
              </w:rPr>
            </w:pPr>
          </w:p>
        </w:tc>
        <w:tc>
          <w:tcPr>
            <w:tcW w:w="916" w:type="pct"/>
          </w:tcPr>
          <w:p w14:paraId="6CD274F3" w14:textId="076582AE" w:rsidR="006D0A52" w:rsidRPr="00781112" w:rsidRDefault="006D0A52" w:rsidP="00C91F30">
            <w:pPr>
              <w:jc w:val="center"/>
              <w:rPr>
                <w:rFonts w:cs="Arial"/>
                <w:color w:val="000000" w:themeColor="text1"/>
                <w:szCs w:val="16"/>
              </w:rPr>
            </w:pPr>
          </w:p>
        </w:tc>
        <w:tc>
          <w:tcPr>
            <w:tcW w:w="916" w:type="pct"/>
          </w:tcPr>
          <w:p w14:paraId="60DD90BA" w14:textId="5816204A" w:rsidR="006D0A52" w:rsidRPr="00781112" w:rsidRDefault="006D0A52" w:rsidP="00C91F30">
            <w:pPr>
              <w:jc w:val="center"/>
              <w:rPr>
                <w:rFonts w:cs="Arial"/>
                <w:color w:val="000000" w:themeColor="text1"/>
                <w:szCs w:val="16"/>
              </w:rPr>
            </w:pPr>
          </w:p>
        </w:tc>
        <w:tc>
          <w:tcPr>
            <w:tcW w:w="916" w:type="pct"/>
          </w:tcPr>
          <w:p w14:paraId="2F06128D" w14:textId="63E3880D" w:rsidR="006D0A52" w:rsidRPr="00781112" w:rsidRDefault="006D0A52" w:rsidP="00C91F30">
            <w:pPr>
              <w:jc w:val="center"/>
              <w:rPr>
                <w:rFonts w:cs="Arial"/>
                <w:color w:val="000000" w:themeColor="text1"/>
                <w:szCs w:val="16"/>
              </w:rPr>
            </w:pPr>
          </w:p>
        </w:tc>
      </w:tr>
    </w:tbl>
    <w:p w14:paraId="3BC65958" w14:textId="77777777" w:rsidR="00DA3157" w:rsidRPr="00781112" w:rsidRDefault="00DA3157" w:rsidP="004369B2">
      <w:pPr>
        <w:rPr>
          <w:color w:val="000000" w:themeColor="text1"/>
        </w:rPr>
      </w:pPr>
    </w:p>
    <w:p w14:paraId="29FDEA16" w14:textId="333AA980" w:rsidR="008E31C4"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2</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2</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4</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25.00%</w:t>
            </w:r>
          </w:p>
        </w:tc>
        <w:tc>
          <w:tcPr>
            <w:tcW w:w="760" w:type="pct"/>
            <w:shd w:val="clear" w:color="auto" w:fill="auto"/>
          </w:tcPr>
          <w:p w14:paraId="2530D239" w14:textId="21181E1F" w:rsidR="00ED71A6" w:rsidRPr="00781112"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mediations held in FFY 2021. The State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to provide targets until any fiscal year in which ten or more mediations were held.</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 xml:space="preserve">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w:t>
      </w:r>
      <w:proofErr w:type="gramStart"/>
      <w:r w:rsidRPr="00781112">
        <w:rPr>
          <w:rFonts w:cs="Arial"/>
          <w:szCs w:val="16"/>
        </w:rPr>
        <w:t>be included</w:t>
      </w:r>
      <w:proofErr w:type="gramEnd"/>
      <w:r w:rsidRPr="00781112">
        <w:rPr>
          <w:rFonts w:cs="Arial"/>
          <w:szCs w:val="16"/>
        </w:rPr>
        <w:t xml:space="preserve">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 xml:space="preserve">Phase III should only include information from Phase I or Phase II if </w:t>
      </w:r>
      <w:proofErr w:type="gramStart"/>
      <w:r w:rsidRPr="00781112">
        <w:t>changes or revisions are being made by the State</w:t>
      </w:r>
      <w:proofErr w:type="gramEnd"/>
      <w:r w:rsidRPr="00781112">
        <w:t xml:space="preserv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 xml:space="preserve">As required in the Instructions for the Indicator/Measurement, in its FFYs 2021 through 2025 SPP/APR, the State must report data for that specific FFY (expressed as actual numbers and percentages) that </w:t>
      </w:r>
      <w:proofErr w:type="gramStart"/>
      <w:r w:rsidRPr="00781112">
        <w:rPr>
          <w:rFonts w:cs="Arial"/>
          <w:szCs w:val="16"/>
        </w:rPr>
        <w:t>are aligned</w:t>
      </w:r>
      <w:proofErr w:type="gramEnd"/>
      <w:r w:rsidRPr="00781112">
        <w:rPr>
          <w:rFonts w:cs="Arial"/>
          <w:szCs w:val="16"/>
        </w:rPr>
        <w:t xml:space="preserve"> with the SiMR. The State must report on whether the State met its target. In addition, the State may report on any additional data (e.g., progress monitoring data) that </w:t>
      </w:r>
      <w:proofErr w:type="gramStart"/>
      <w:r w:rsidRPr="00781112">
        <w:rPr>
          <w:rFonts w:cs="Arial"/>
          <w:szCs w:val="16"/>
        </w:rPr>
        <w:t>were collected</w:t>
      </w:r>
      <w:proofErr w:type="gramEnd"/>
      <w:r w:rsidRPr="00781112">
        <w:rPr>
          <w:rFonts w:cs="Arial"/>
          <w:szCs w:val="16"/>
        </w:rPr>
        <w:t xml:space="preserve"> and analyzed that would suggest progress toward the SiMR. States using a subset of the population from the indicator (e.g., a sample, cohort model) should describe how data </w:t>
      </w:r>
      <w:proofErr w:type="gramStart"/>
      <w:r w:rsidRPr="00781112">
        <w:rPr>
          <w:rFonts w:cs="Arial"/>
          <w:szCs w:val="16"/>
        </w:rPr>
        <w:t>are collected</w:t>
      </w:r>
      <w:proofErr w:type="gramEnd"/>
      <w:r w:rsidRPr="00781112">
        <w:rPr>
          <w:rFonts w:cs="Arial"/>
          <w:szCs w:val="16"/>
        </w:rPr>
        <w:t xml:space="preserve">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t>
      </w:r>
      <w:proofErr w:type="gramStart"/>
      <w:r w:rsidRPr="00781112">
        <w:t>were implemented</w:t>
      </w:r>
      <w:proofErr w:type="gramEnd"/>
      <w:r w:rsidRPr="00781112">
        <w:t xml:space="preserve">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t>
      </w:r>
      <w:proofErr w:type="gramStart"/>
      <w:r w:rsidRPr="00781112">
        <w:t>were implemented</w:t>
      </w:r>
      <w:proofErr w:type="gramEnd"/>
      <w:r w:rsidRPr="00781112">
        <w:t xml:space="preserve">,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t>
      </w:r>
      <w:proofErr w:type="gramStart"/>
      <w:r w:rsidRPr="00781112">
        <w:t>were implemented</w:t>
      </w:r>
      <w:proofErr w:type="gramEnd"/>
      <w:r w:rsidRPr="00781112">
        <w:t xml:space="preserve"> and the strategies or activities that supported their selection and ensured their use with fidelity. Describe how the evidence-based practices, and activities or strategies that support their use, </w:t>
      </w:r>
      <w:proofErr w:type="gramStart"/>
      <w:r w:rsidRPr="00781112">
        <w:t>are intended</w:t>
      </w:r>
      <w:proofErr w:type="gramEnd"/>
      <w:r w:rsidRPr="00781112">
        <w:t xml:space="preserve"> to impact the SiMR by changing program/district policies, procedures, and/or practices, teacher/provider practices (i.e., behaviors), parent/caregiver outcomes, </w:t>
      </w:r>
      <w:r w:rsidRPr="00781112">
        <w:lastRenderedPageBreak/>
        <w:t xml:space="preserve">and/or child outcomes. Describe any additional data (i.e., progress monitoring data) that </w:t>
      </w:r>
      <w:proofErr w:type="gramStart"/>
      <w:r w:rsidRPr="00781112">
        <w:t>was collected</w:t>
      </w:r>
      <w:proofErr w:type="gramEnd"/>
      <w:r w:rsidRPr="00781112">
        <w:t xml:space="preserve">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Increase the percentage of third grade students with Specific Learning Disability (SLD) and Language/Speech (LS) rulings in targeted districts who score proficient or higher on the general statewide reading assessment to 32 percent by FFY 2025.</w:t>
      </w:r>
    </w:p>
    <w:p w14:paraId="43CABCA3" w14:textId="77777777" w:rsidR="00AE1972" w:rsidRPr="00781112" w:rsidRDefault="00AE1972" w:rsidP="00AE1972">
      <w:pPr>
        <w:rPr>
          <w:b/>
          <w:bCs/>
        </w:rPr>
      </w:pPr>
      <w:bookmarkStart w:id="92" w:name="_Hlk85195358"/>
      <w:r w:rsidRPr="00781112">
        <w:rPr>
          <w:b/>
          <w:bCs/>
        </w:rPr>
        <w:t>Has the SiMR changed since the last SSIP submission? (yes/no)</w:t>
      </w:r>
    </w:p>
    <w:p w14:paraId="53B392AE" w14:textId="5D60E4A2" w:rsidR="00AE1972" w:rsidRDefault="00AE1972" w:rsidP="00AE1972">
      <w:r w:rsidRPr="00781112">
        <w:t>NO</w:t>
      </w:r>
    </w:p>
    <w:bookmarkEnd w:id="92"/>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Grade three (3) students with disabilities who have an eligibility of SLD or LS.</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https://www.mdek12.org/sites/default/files/Offices/MDE/OAE/OSE/SPP-APR/ssip_theory_of_action.pdf </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2014</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16.00%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24.00%</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26.00%</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28.00%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30.00%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32.00%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 xml:space="preserve">Number of </w:t>
            </w:r>
            <w:proofErr w:type="gramStart"/>
            <w:r w:rsidRPr="00781112">
              <w:rPr>
                <w:b/>
                <w:bCs/>
                <w:color w:val="000000" w:themeColor="text1"/>
                <w:szCs w:val="16"/>
              </w:rPr>
              <w:t>subset</w:t>
            </w:r>
            <w:proofErr w:type="gramEnd"/>
            <w:r w:rsidRPr="00781112">
              <w:rPr>
                <w:b/>
                <w:bCs/>
                <w:color w:val="000000" w:themeColor="text1"/>
                <w:szCs w:val="16"/>
              </w:rPr>
              <w:t xml:space="preserve"> scoring proficient</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 xml:space="preserve">Number of </w:t>
            </w:r>
            <w:proofErr w:type="gramStart"/>
            <w:r w:rsidRPr="00781112">
              <w:rPr>
                <w:b/>
                <w:bCs/>
                <w:color w:val="000000" w:themeColor="text1"/>
                <w:szCs w:val="16"/>
              </w:rPr>
              <w:t>subset</w:t>
            </w:r>
            <w:proofErr w:type="gramEnd"/>
            <w:r w:rsidRPr="00781112">
              <w:rPr>
                <w:b/>
                <w:bCs/>
                <w:color w:val="000000" w:themeColor="text1"/>
                <w:szCs w:val="16"/>
              </w:rPr>
              <w:t xml:space="preserve"> assessed</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15</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50</w:t>
            </w: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24.00%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30.00%</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Mississippi Academic Assessment Program (MAAP) English Language Arts</w:t>
      </w:r>
    </w:p>
    <w:p w14:paraId="17AAB1A6" w14:textId="2D1007DB" w:rsidR="00AE1972" w:rsidRPr="00781112" w:rsidRDefault="00AE1972" w:rsidP="00AE1972">
      <w:r w:rsidRPr="00781112">
        <w:rPr>
          <w:b/>
          <w:bCs/>
        </w:rPr>
        <w:t xml:space="preserve">Please describe how data </w:t>
      </w:r>
      <w:proofErr w:type="gramStart"/>
      <w:r w:rsidRPr="00781112">
        <w:rPr>
          <w:b/>
          <w:bCs/>
        </w:rPr>
        <w:t>are collected</w:t>
      </w:r>
      <w:proofErr w:type="gramEnd"/>
      <w:r w:rsidRPr="00781112">
        <w:rPr>
          <w:b/>
          <w:bCs/>
        </w:rPr>
        <w:t xml:space="preserve">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The Office of Technology and Strategic Services (OTSS) disaggregated the data into the following categories:</w:t>
      </w:r>
      <w:r w:rsidRPr="00781112">
        <w:rPr>
          <w:color w:val="000000" w:themeColor="text1"/>
        </w:rPr>
        <w:br/>
        <w:t>Percentage of students statewide who scored a level 4 or 5 on the grade three (3) MAAP ELA</w:t>
      </w:r>
      <w:r w:rsidRPr="00781112">
        <w:rPr>
          <w:color w:val="000000" w:themeColor="text1"/>
        </w:rPr>
        <w:br/>
        <w:t>Percentage of grade three (3) students statewide with an SLD and Speech/Language ruling who scored a level 4 or 5 on the MAAP ELA</w:t>
      </w:r>
      <w:r w:rsidRPr="00781112">
        <w:rPr>
          <w:color w:val="000000" w:themeColor="text1"/>
        </w:rPr>
        <w:br/>
        <w:t>Percentage of grade three (3) students in targeted districts with an SLD and Speech/Language ruling who scored a level 4 or 5 on the MAAP ELA</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lastRenderedPageBreak/>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 xml:space="preserve">Mississippi districts </w:t>
      </w:r>
      <w:proofErr w:type="gramStart"/>
      <w:r w:rsidRPr="00781112">
        <w:rPr>
          <w:color w:val="000000" w:themeColor="text1"/>
        </w:rPr>
        <w:t>are allowed</w:t>
      </w:r>
      <w:proofErr w:type="gramEnd"/>
      <w:r w:rsidRPr="00781112">
        <w:rPr>
          <w:color w:val="000000" w:themeColor="text1"/>
        </w:rPr>
        <w:t xml:space="preserve"> to select an MDE approved Universal Reading Screener. The screeners are administered </w:t>
      </w:r>
      <w:proofErr w:type="gramStart"/>
      <w:r w:rsidRPr="00781112">
        <w:rPr>
          <w:color w:val="000000" w:themeColor="text1"/>
        </w:rPr>
        <w:t>3</w:t>
      </w:r>
      <w:proofErr w:type="gramEnd"/>
      <w:r w:rsidRPr="00781112">
        <w:rPr>
          <w:color w:val="000000" w:themeColor="text1"/>
        </w:rPr>
        <w:t xml:space="preserve"> times a year to provide a critical “first look” at the individual literacy needs of students. Screener data is used to target specific student deficits in reading, In addition, Learning Walks were conducted as an opportunity for administrators and the literacy coaches to obtain a brief snapshot of instruction and learning in the classroom</w:t>
      </w:r>
      <w:proofErr w:type="gramStart"/>
      <w:r w:rsidRPr="00781112">
        <w:rPr>
          <w:color w:val="000000" w:themeColor="text1"/>
        </w:rPr>
        <w:t xml:space="preserve">.  </w:t>
      </w:r>
      <w:proofErr w:type="gramEnd"/>
      <w:r w:rsidRPr="00781112">
        <w:rPr>
          <w:color w:val="000000" w:themeColor="text1"/>
        </w:rPr>
        <w:t>Observation data was collected using the MDE Learning Walk protocol which includes the following elements: 1) instruction (application of concepts), 2) instruction (instructional strategies), 3) classroom atmosphere and preparation/planning, 4) writing and literacy centers.</w:t>
      </w:r>
      <w:r w:rsidRPr="00781112">
        <w:rPr>
          <w:color w:val="000000" w:themeColor="text1"/>
        </w:rPr>
        <w:br/>
        <w:t>Classroom observations are conducted to obtain a brief snapshot of the interaction between the classroom teacher(s), SSIP literacy coaches, and students where appropriate.</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w:t>
      </w:r>
      <w:proofErr w:type="gramStart"/>
      <w:r w:rsidRPr="00781112">
        <w:rPr>
          <w:rFonts w:cs="Arial"/>
          <w:b/>
          <w:bCs/>
        </w:rPr>
        <w:t>that</w:t>
      </w:r>
      <w:proofErr w:type="gramEnd"/>
      <w:r w:rsidRPr="00781112">
        <w:rPr>
          <w:rFonts w:cs="Arial"/>
          <w:b/>
          <w:bCs/>
        </w:rPr>
        <w:t xml:space="preserve">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 xml:space="preserve">Did the State identify any data quality concerns </w:t>
      </w:r>
      <w:proofErr w:type="gramStart"/>
      <w:r w:rsidRPr="00781112">
        <w:rPr>
          <w:b/>
          <w:bCs/>
        </w:rPr>
        <w:t>directly related</w:t>
      </w:r>
      <w:proofErr w:type="gramEnd"/>
      <w:r w:rsidRPr="00781112">
        <w:rPr>
          <w:b/>
          <w:bCs/>
        </w:rPr>
        <w:t xml:space="preserve">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https://www.mdek12.org/sites/default/files/Offices/MDE/OAE/OSE/SPP-APR/ssip_evaluation_activities.pdf</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The evaluation plan was updated to reflect an SSIP Advisory Board that will help to determine needed revisions or changes to the evaluation plan</w:t>
      </w:r>
      <w:proofErr w:type="gramStart"/>
      <w:r w:rsidRPr="00781112">
        <w:rPr>
          <w:color w:val="000000" w:themeColor="text1"/>
        </w:rPr>
        <w:t xml:space="preserve">.  </w:t>
      </w:r>
      <w:proofErr w:type="gramEnd"/>
      <w:r w:rsidRPr="00781112">
        <w:rPr>
          <w:color w:val="000000" w:themeColor="text1"/>
        </w:rPr>
        <w:t xml:space="preserve">It also reflects updates to SSIP literacy coaches that </w:t>
      </w:r>
      <w:proofErr w:type="gramStart"/>
      <w:r w:rsidRPr="00781112">
        <w:rPr>
          <w:color w:val="000000" w:themeColor="text1"/>
        </w:rPr>
        <w:t>hired</w:t>
      </w:r>
      <w:proofErr w:type="gramEnd"/>
      <w:r w:rsidRPr="00781112">
        <w:rPr>
          <w:color w:val="000000" w:themeColor="text1"/>
        </w:rPr>
        <w:t xml:space="preserve"> during the reporting period.</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 xml:space="preserve">The evaluation plan has not </w:t>
      </w:r>
      <w:proofErr w:type="gramStart"/>
      <w:r w:rsidRPr="00781112">
        <w:rPr>
          <w:color w:val="000000" w:themeColor="text1"/>
        </w:rPr>
        <w:t>been changed</w:t>
      </w:r>
      <w:proofErr w:type="gramEnd"/>
      <w:r w:rsidRPr="00781112">
        <w:rPr>
          <w:color w:val="000000" w:themeColor="text1"/>
        </w:rPr>
        <w:t xml:space="preserve">. Only updates </w:t>
      </w:r>
      <w:proofErr w:type="gramStart"/>
      <w:r w:rsidRPr="00781112">
        <w:rPr>
          <w:color w:val="000000" w:themeColor="text1"/>
        </w:rPr>
        <w:t>were reflected</w:t>
      </w:r>
      <w:proofErr w:type="gramEnd"/>
      <w:r w:rsidRPr="00781112">
        <w:rPr>
          <w:color w:val="000000" w:themeColor="text1"/>
        </w:rPr>
        <w:t>.</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The Office of Special Education (OSE) collaborated with the Offices of School Improvement (OSI) and Elementary Education and Reading (OEER) in determining which schools to support</w:t>
      </w:r>
      <w:proofErr w:type="gramStart"/>
      <w:r w:rsidRPr="00781112">
        <w:rPr>
          <w:color w:val="000000" w:themeColor="text1"/>
        </w:rPr>
        <w:t xml:space="preserve">.  </w:t>
      </w:r>
      <w:proofErr w:type="gramEnd"/>
      <w:r w:rsidRPr="00781112">
        <w:rPr>
          <w:color w:val="000000" w:themeColor="text1"/>
        </w:rPr>
        <w:t xml:space="preserve">The OEER collaborated with the OSE to provide Middle School Science of Reading Training for teachers of grades six through eight to continue building capacity across the State. The OSE and OEER continued to train MDE and SSIP literacy coaches together so that schools across the state </w:t>
      </w:r>
      <w:proofErr w:type="gramStart"/>
      <w:r w:rsidRPr="00781112">
        <w:rPr>
          <w:color w:val="000000" w:themeColor="text1"/>
        </w:rPr>
        <w:t>were provided</w:t>
      </w:r>
      <w:proofErr w:type="gramEnd"/>
      <w:r w:rsidRPr="00781112">
        <w:rPr>
          <w:color w:val="000000" w:themeColor="text1"/>
        </w:rPr>
        <w:t xml:space="preserve"> the same professional learning and resources. The OSE employed a Literacy Coordinator (K-8) as well as three additional literacy coaches as we work to scale-up the literacy team to support additional districts to inmprove outcomes for students with disabilities in the coming school years. The Offices of Special Education, Student Intervention Services, and School Improvement, as well as a staff member of Realizing Excellence for ALL Children in Mississippi (REACH MS), continues to engage in Cross-State Learning Collaborative (CSLCs) through the National Center for Systemic Improvement (NCSI)</w:t>
      </w:r>
      <w:proofErr w:type="gramStart"/>
      <w:r w:rsidRPr="00781112">
        <w:rPr>
          <w:color w:val="000000" w:themeColor="text1"/>
        </w:rPr>
        <w:t xml:space="preserve">.  </w:t>
      </w:r>
      <w:proofErr w:type="gramEnd"/>
      <w:r w:rsidRPr="00781112">
        <w:rPr>
          <w:color w:val="000000" w:themeColor="text1"/>
        </w:rPr>
        <w:t>The collaboratives are designed to increase SEA capacity in improving outcomes for students with disabilities</w:t>
      </w:r>
      <w:proofErr w:type="gramStart"/>
      <w:r w:rsidRPr="00781112">
        <w:rPr>
          <w:color w:val="000000" w:themeColor="text1"/>
        </w:rPr>
        <w:t xml:space="preserve">.  </w:t>
      </w:r>
      <w:proofErr w:type="gramEnd"/>
      <w:r w:rsidRPr="00781112">
        <w:rPr>
          <w:color w:val="000000" w:themeColor="text1"/>
        </w:rPr>
        <w:t>Our State team has members in the Evidence- Based Practices, Improving Low-Performing School Systems, and Results-Based Accountability and Support learning collaboratives.</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The MDE released the 2021-2022 Superintendent’s Annual Report Mississippi Succeeds Road to Recovery which highlights how committed MS is to </w:t>
      </w:r>
      <w:proofErr w:type="gramStart"/>
      <w:r w:rsidRPr="00781112">
        <w:rPr>
          <w:color w:val="000000" w:themeColor="text1"/>
        </w:rPr>
        <w:t>providing</w:t>
      </w:r>
      <w:proofErr w:type="gramEnd"/>
      <w:r w:rsidRPr="00781112">
        <w:rPr>
          <w:color w:val="000000" w:themeColor="text1"/>
        </w:rPr>
        <w:t xml:space="preserve"> all the support and resources necessary to ensure academic progress continues for all Mississippi students. MDE’s coaching model has proven to be an effective method of transforming Mississippi schools and improving student achievement. Developed around transformational coaching, it is a powerful, </w:t>
      </w:r>
      <w:proofErr w:type="gramStart"/>
      <w:r w:rsidRPr="00781112">
        <w:rPr>
          <w:color w:val="000000" w:themeColor="text1"/>
        </w:rPr>
        <w:t>comprehensive</w:t>
      </w:r>
      <w:proofErr w:type="gramEnd"/>
      <w:r w:rsidRPr="00781112">
        <w:rPr>
          <w:color w:val="000000" w:themeColor="text1"/>
        </w:rPr>
        <w:t xml:space="preserve"> and systematic way to plan and organize coaching </w:t>
      </w:r>
      <w:proofErr w:type="gramStart"/>
      <w:r w:rsidRPr="00781112">
        <w:rPr>
          <w:color w:val="000000" w:themeColor="text1"/>
        </w:rPr>
        <w:t>supports</w:t>
      </w:r>
      <w:proofErr w:type="gramEnd"/>
      <w:r w:rsidRPr="00781112">
        <w:rPr>
          <w:color w:val="000000" w:themeColor="text1"/>
        </w:rPr>
        <w:t xml:space="preserve">. A team of 107 coaches support teachers and school leaders in the areas of literacy, early childhood education, special education, school improvement and digital learning. The offices collaborate and align resources to provide PD for educators to support the delivery of high quality, evidence-based literacy instruction for ALL students. </w:t>
      </w:r>
      <w:r w:rsidRPr="00781112">
        <w:rPr>
          <w:color w:val="000000" w:themeColor="text1"/>
        </w:rPr>
        <w:br/>
      </w:r>
      <w:r w:rsidRPr="00781112">
        <w:rPr>
          <w:color w:val="000000" w:themeColor="text1"/>
        </w:rPr>
        <w:br/>
        <w:t>Literacy School-Based Support</w:t>
      </w:r>
      <w:r w:rsidRPr="00781112">
        <w:rPr>
          <w:color w:val="000000" w:themeColor="text1"/>
        </w:rPr>
        <w:br/>
        <w:t>1,404 model lessons to literacy support schools</w:t>
      </w:r>
      <w:r w:rsidRPr="00781112">
        <w:rPr>
          <w:color w:val="000000" w:themeColor="text1"/>
        </w:rPr>
        <w:br/>
        <w:t>993 professional learning sessions</w:t>
      </w:r>
      <w:r w:rsidRPr="00781112">
        <w:rPr>
          <w:color w:val="000000" w:themeColor="text1"/>
        </w:rPr>
        <w:br/>
        <w:t xml:space="preserve">499 co-teaching lessons </w:t>
      </w:r>
      <w:r w:rsidRPr="00781112">
        <w:rPr>
          <w:color w:val="000000" w:themeColor="text1"/>
        </w:rPr>
        <w:br/>
        <w:t xml:space="preserve">523 educators participated in Language Essentials for Teacher Reading and Spelling (LETRS) training </w:t>
      </w:r>
      <w:r w:rsidRPr="00781112">
        <w:rPr>
          <w:color w:val="000000" w:themeColor="text1"/>
        </w:rPr>
        <w:br/>
        <w:t>8 cross-state literacy collaboration session</w:t>
      </w:r>
      <w:r w:rsidRPr="00781112">
        <w:rPr>
          <w:color w:val="000000" w:themeColor="text1"/>
        </w:rPr>
        <w:br/>
        <w:t>545 educators attended 90 sessions during the Mississippi Literacy Association Conference</w:t>
      </w:r>
      <w:r w:rsidRPr="00781112">
        <w:rPr>
          <w:color w:val="000000" w:themeColor="text1"/>
        </w:rPr>
        <w:br/>
      </w:r>
      <w:r w:rsidRPr="00781112">
        <w:rPr>
          <w:color w:val="000000" w:themeColor="text1"/>
        </w:rPr>
        <w:br/>
        <w:t xml:space="preserve">The MDE has invested more than $96 million in federal American Rescue Plan Elementary and Secondary School Emergency Relief (ESSER) funds to provide products and services to support student health, safety and learning statewide. MDE procured Web-Based High-Dosage Tutoring (PAPER) which provides students in grades 3-12 with online access to English Language Arts (ELA) tutors 24 hours a day, seven days a week. Districts that sign up for this service will be able connect their students’ courses to the tutoring platform so tutors will have access to the course content and assignments. Teachers and administrators at each school will monitor student progress and schedule one-on-one or small group tutoring sessions during the school day. Parents may also schedule tutorial services for their child(ren) after school hours and on the weekend.Six companies provide districts with supplemental digital subscriptions to online learning resources for all subjects, including English Language Arts for students in grades K-12. Online Learning Resources such as Newsela provides supplemental digital subscription to districts for online learning resources for students in grades K-12. </w:t>
      </w:r>
      <w:r w:rsidRPr="00781112">
        <w:rPr>
          <w:color w:val="000000" w:themeColor="text1"/>
        </w:rPr>
        <w:lastRenderedPageBreak/>
        <w:t>For districts that signed up, teachers assign tasks, or students use the resources to help with their assignments. Students can use the resources at home and during school breaks.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w:t>
      </w:r>
      <w:proofErr w:type="gramStart"/>
      <w:r w:rsidRPr="00781112">
        <w:rPr>
          <w:rFonts w:cs="Arial"/>
          <w:b/>
          <w:bCs/>
        </w:rPr>
        <w:t>be attained</w:t>
      </w:r>
      <w:proofErr w:type="gramEnd"/>
      <w:r w:rsidRPr="00781112">
        <w:rPr>
          <w:rFonts w:cs="Arial"/>
          <w:b/>
          <w:bCs/>
        </w:rPr>
        <w:t xml:space="preserve"> during the next reporting period. </w:t>
      </w:r>
    </w:p>
    <w:p w14:paraId="1A03571A" w14:textId="0DF7AD96" w:rsidR="00AE1972" w:rsidRPr="00781112" w:rsidRDefault="00AE1972" w:rsidP="00AE1972">
      <w:pPr>
        <w:rPr>
          <w:b/>
          <w:bCs/>
        </w:rPr>
      </w:pPr>
      <w:r w:rsidRPr="00781112">
        <w:rPr>
          <w:color w:val="000000" w:themeColor="text1"/>
        </w:rPr>
        <w:t>The OSE is in the planning phase of restructuring the organization of the SSIP to help support more districts to improve outcomes for students with disabilities</w:t>
      </w:r>
      <w:proofErr w:type="gramStart"/>
      <w:r w:rsidRPr="00781112">
        <w:rPr>
          <w:color w:val="000000" w:themeColor="text1"/>
        </w:rPr>
        <w:t xml:space="preserve">.  </w:t>
      </w:r>
      <w:proofErr w:type="gramEnd"/>
      <w:r w:rsidRPr="00781112">
        <w:rPr>
          <w:color w:val="000000" w:themeColor="text1"/>
        </w:rPr>
        <w:t>The office will continue to seek applicants to employ as SSIP literacy coaches</w:t>
      </w:r>
      <w:proofErr w:type="gramStart"/>
      <w:r w:rsidRPr="00781112">
        <w:rPr>
          <w:color w:val="000000" w:themeColor="text1"/>
        </w:rPr>
        <w:t xml:space="preserve">.  </w:t>
      </w:r>
      <w:proofErr w:type="gramEnd"/>
      <w:r w:rsidRPr="00781112">
        <w:rPr>
          <w:color w:val="000000" w:themeColor="text1"/>
        </w:rPr>
        <w:t>The restructure entails employing three (3) additional Regional Coordiantors, one (1) Regional Coordinator to support  for Speech Language Pathologists, and sixteen (16) additional Literacy Coaches</w:t>
      </w:r>
      <w:proofErr w:type="gramStart"/>
      <w:r w:rsidRPr="00781112">
        <w:rPr>
          <w:color w:val="000000" w:themeColor="text1"/>
        </w:rPr>
        <w:t xml:space="preserve">.  </w:t>
      </w:r>
      <w:proofErr w:type="gramEnd"/>
      <w:r w:rsidRPr="00781112">
        <w:rPr>
          <w:color w:val="000000" w:themeColor="text1"/>
        </w:rPr>
        <w:t xml:space="preserve">We are also </w:t>
      </w:r>
      <w:proofErr w:type="gramStart"/>
      <w:r w:rsidRPr="00781112">
        <w:rPr>
          <w:color w:val="000000" w:themeColor="text1"/>
        </w:rPr>
        <w:t>scaling-up</w:t>
      </w:r>
      <w:proofErr w:type="gramEnd"/>
      <w:r w:rsidRPr="00781112">
        <w:rPr>
          <w:color w:val="000000" w:themeColor="text1"/>
        </w:rPr>
        <w:t xml:space="preserve"> to include grades 4-8</w:t>
      </w:r>
      <w:proofErr w:type="gramStart"/>
      <w:r w:rsidRPr="00781112">
        <w:rPr>
          <w:color w:val="000000" w:themeColor="text1"/>
        </w:rPr>
        <w:t xml:space="preserve">.  </w:t>
      </w:r>
      <w:proofErr w:type="gramEnd"/>
      <w:r w:rsidRPr="00781112">
        <w:rPr>
          <w:color w:val="000000" w:themeColor="text1"/>
        </w:rPr>
        <w:t>This will build the literacy capacity of secondary teachers as well as provide continued growth for students who have completed grades K-3</w:t>
      </w:r>
      <w:proofErr w:type="gramStart"/>
      <w:r w:rsidRPr="00781112">
        <w:rPr>
          <w:color w:val="000000" w:themeColor="text1"/>
        </w:rPr>
        <w:t xml:space="preserve">.  </w:t>
      </w:r>
      <w:proofErr w:type="gramEnd"/>
      <w:r w:rsidRPr="00781112">
        <w:rPr>
          <w:color w:val="000000" w:themeColor="text1"/>
        </w:rPr>
        <w:t>The new hiring process will use one centralized fiscal agent, such as a state agency or university. When an EIR, such as an SSIP literacy coach is needed, the MDE will contact the centralized fiscal agent and they will do the hiring and Human Resources processes</w:t>
      </w:r>
      <w:proofErr w:type="gramStart"/>
      <w:r w:rsidRPr="00781112">
        <w:rPr>
          <w:color w:val="000000" w:themeColor="text1"/>
        </w:rPr>
        <w:t xml:space="preserve">.  </w:t>
      </w:r>
      <w:proofErr w:type="gramEnd"/>
      <w:r w:rsidRPr="00781112">
        <w:rPr>
          <w:color w:val="000000" w:themeColor="text1"/>
        </w:rPr>
        <w:t xml:space="preserve">This will allow for a more timely and efficient process to get more boots on the ground. </w:t>
      </w:r>
      <w:r w:rsidRPr="00781112">
        <w:rPr>
          <w:color w:val="000000" w:themeColor="text1"/>
        </w:rPr>
        <w:br/>
      </w:r>
      <w:r w:rsidRPr="00781112">
        <w:rPr>
          <w:color w:val="000000" w:themeColor="text1"/>
        </w:rPr>
        <w:br/>
        <w:t>The OSE will collect baseline data using the following tools:</w:t>
      </w:r>
      <w:r w:rsidRPr="00781112">
        <w:rPr>
          <w:color w:val="000000" w:themeColor="text1"/>
        </w:rPr>
        <w:br/>
        <w:t>Infrastructure Analysis which is a survey to gather information regarding infrastructure within schools and district support and IDEA indicators</w:t>
      </w:r>
      <w:r w:rsidRPr="00781112">
        <w:rPr>
          <w:color w:val="000000" w:themeColor="text1"/>
        </w:rPr>
        <w:br/>
        <w:t>Literacy Capacity Survey is a self-efficacy measure to gauge growth in perception of capacity over time</w:t>
      </w:r>
      <w:r w:rsidRPr="00781112">
        <w:rPr>
          <w:color w:val="000000" w:themeColor="text1"/>
        </w:rPr>
        <w:br/>
        <w:t xml:space="preserve">Teacher Knowledge of Early Literacy Skills (TKELS) is a skills-based survey that has been validated in MS </w:t>
      </w:r>
      <w:r w:rsidRPr="00781112">
        <w:rPr>
          <w:color w:val="000000" w:themeColor="text1"/>
        </w:rPr>
        <w:br/>
      </w:r>
      <w:r w:rsidRPr="00781112">
        <w:rPr>
          <w:color w:val="000000" w:themeColor="text1"/>
        </w:rPr>
        <w:br/>
        <w:t>The Office of Policy and Programmatic Supports will work with the Office of Data and Compliance to determine what areas of improvement were deemed necessary for selected SSIP districts.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SSIP Literacy Coach Monthly Report </w:t>
      </w:r>
      <w:r w:rsidRPr="00781112">
        <w:rPr>
          <w:color w:val="000000" w:themeColor="text1"/>
        </w:rPr>
        <w:br/>
        <w:t>Phonics First® courses offered by Brainspring</w:t>
      </w:r>
      <w:r w:rsidRPr="00781112">
        <w:rPr>
          <w:color w:val="000000" w:themeColor="text1"/>
        </w:rPr>
        <w:br/>
        <w:t>Professional Development Coordinators (PDC) Professional Learning Opportunities</w:t>
      </w:r>
      <w:r w:rsidRPr="00781112">
        <w:rPr>
          <w:color w:val="000000" w:themeColor="text1"/>
        </w:rPr>
        <w:br/>
        <w:t xml:space="preserve">Learning Walks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 xml:space="preserve">Provide a summary of each evidence-based </w:t>
      </w:r>
      <w:proofErr w:type="gramStart"/>
      <w:r w:rsidRPr="00781112">
        <w:rPr>
          <w:rFonts w:cs="Arial"/>
          <w:b/>
          <w:bCs/>
        </w:rPr>
        <w:t>practices</w:t>
      </w:r>
      <w:proofErr w:type="gramEnd"/>
      <w:r w:rsidRPr="00781112">
        <w:rPr>
          <w:rFonts w:cs="Arial"/>
          <w:b/>
          <w:bCs/>
        </w:rPr>
        <w:t>.</w:t>
      </w:r>
    </w:p>
    <w:p w14:paraId="30605054" w14:textId="1313DE13" w:rsidR="00AE1972" w:rsidRPr="00781112" w:rsidRDefault="00AE1972" w:rsidP="00AE1972">
      <w:pPr>
        <w:rPr>
          <w:b/>
          <w:bCs/>
        </w:rPr>
      </w:pPr>
      <w:r w:rsidRPr="00781112">
        <w:rPr>
          <w:color w:val="000000" w:themeColor="text1"/>
        </w:rPr>
        <w:t>SSIP Liteacy Coaches offered support to K-3 teachers to effectively identify the needs of assigned schools to prioritize, schedule, organize, and provide technical assistance so that students in assigned schools achieve grade level reading by the end of grade three</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 xml:space="preserve">From August – May 2021-2022 SSIP Literacy Coaches provided the following coaching activties:  </w:t>
      </w:r>
      <w:r w:rsidRPr="00781112">
        <w:rPr>
          <w:color w:val="000000" w:themeColor="text1"/>
        </w:rPr>
        <w:br/>
        <w:t xml:space="preserve">57 Co-Teaching </w:t>
      </w:r>
      <w:r w:rsidRPr="00781112">
        <w:rPr>
          <w:color w:val="000000" w:themeColor="text1"/>
        </w:rPr>
        <w:br/>
        <w:t xml:space="preserve">187 Modeling  </w:t>
      </w:r>
      <w:r w:rsidRPr="00781112">
        <w:rPr>
          <w:color w:val="000000" w:themeColor="text1"/>
        </w:rPr>
        <w:br/>
        <w:t xml:space="preserve">516 Conferencing with Teachers </w:t>
      </w:r>
      <w:r w:rsidRPr="00781112">
        <w:rPr>
          <w:color w:val="000000" w:themeColor="text1"/>
        </w:rPr>
        <w:br/>
        <w:t>159 Professional Learning Communities</w:t>
      </w:r>
      <w:r w:rsidRPr="00781112">
        <w:rPr>
          <w:color w:val="000000" w:themeColor="text1"/>
        </w:rPr>
        <w:br/>
        <w:t xml:space="preserve">17 Professional Developments </w:t>
      </w:r>
      <w:r w:rsidRPr="00781112">
        <w:rPr>
          <w:color w:val="000000" w:themeColor="text1"/>
        </w:rPr>
        <w:br/>
        <w:t xml:space="preserve">170 Debriefing </w:t>
      </w:r>
      <w:r w:rsidRPr="00781112">
        <w:rPr>
          <w:color w:val="000000" w:themeColor="text1"/>
        </w:rPr>
        <w:br/>
        <w:t>10 Learning Walks</w:t>
      </w:r>
      <w:r w:rsidRPr="00781112">
        <w:rPr>
          <w:color w:val="000000" w:themeColor="text1"/>
        </w:rPr>
        <w:br/>
      </w:r>
      <w:r w:rsidRPr="00781112">
        <w:rPr>
          <w:color w:val="000000" w:themeColor="text1"/>
        </w:rPr>
        <w:br/>
        <w:t xml:space="preserve">MDE’s professional development team (PDC) offerd in-person and virtual training, online Canvas courses and self-directed professional development on demand in the areas such as English Language Arts and special education topics. </w:t>
      </w:r>
      <w:r w:rsidRPr="00781112">
        <w:rPr>
          <w:color w:val="000000" w:themeColor="text1"/>
        </w:rPr>
        <w:br/>
      </w:r>
      <w:r w:rsidRPr="00781112">
        <w:rPr>
          <w:color w:val="000000" w:themeColor="text1"/>
        </w:rPr>
        <w:br/>
        <w:t>Professional development sessions and participants for 2021-2022 SY:</w:t>
      </w:r>
      <w:r w:rsidRPr="00781112">
        <w:rPr>
          <w:color w:val="000000" w:themeColor="text1"/>
        </w:rPr>
        <w:br/>
        <w:t xml:space="preserve">428 trainings </w:t>
      </w:r>
      <w:r w:rsidRPr="00781112">
        <w:rPr>
          <w:color w:val="000000" w:themeColor="text1"/>
        </w:rPr>
        <w:br/>
        <w:t xml:space="preserve">65 Canvas courses </w:t>
      </w:r>
      <w:r w:rsidRPr="00781112">
        <w:rPr>
          <w:color w:val="000000" w:themeColor="text1"/>
        </w:rPr>
        <w:br/>
        <w:t xml:space="preserve">104 districts served </w:t>
      </w:r>
      <w:r w:rsidRPr="00781112">
        <w:rPr>
          <w:color w:val="000000" w:themeColor="text1"/>
        </w:rPr>
        <w:br/>
        <w:t xml:space="preserve">15,369 On-demand trainings viewed </w:t>
      </w:r>
      <w:r w:rsidRPr="00781112">
        <w:rPr>
          <w:color w:val="000000" w:themeColor="text1"/>
        </w:rPr>
        <w:br/>
        <w:t>11,002 participants  (9,732 in-person/virtual &amp; 1,270 Canvas course participants)</w:t>
      </w:r>
      <w:r w:rsidRPr="00781112">
        <w:rPr>
          <w:color w:val="000000" w:themeColor="text1"/>
        </w:rPr>
        <w:br/>
      </w:r>
      <w:r w:rsidRPr="00781112">
        <w:rPr>
          <w:color w:val="000000" w:themeColor="text1"/>
        </w:rPr>
        <w:br/>
        <w:t>REACH MS focuses on district and schoolwide implementation of SEL, UDL, and PBIS practices through evidence-based professional development. Part of their first goal is to increase the percentage of K-12 students with disabilities who are showing growth in ELA on statewide assessments</w:t>
      </w:r>
      <w:proofErr w:type="gramStart"/>
      <w:r w:rsidRPr="00781112">
        <w:rPr>
          <w:color w:val="000000" w:themeColor="text1"/>
        </w:rPr>
        <w:t xml:space="preserve">.  </w:t>
      </w:r>
      <w:proofErr w:type="gramEnd"/>
      <w:r w:rsidRPr="00781112">
        <w:rPr>
          <w:color w:val="000000" w:themeColor="text1"/>
        </w:rPr>
        <w:t>The second goal is meeting the needs of individual educators, teachers focusing on low incidence priority groups and families of students with disabilities</w:t>
      </w:r>
      <w:proofErr w:type="gramStart"/>
      <w:r w:rsidRPr="00781112">
        <w:rPr>
          <w:color w:val="000000" w:themeColor="text1"/>
        </w:rPr>
        <w:t xml:space="preserve">.  </w:t>
      </w:r>
      <w:proofErr w:type="gramEnd"/>
      <w:r w:rsidRPr="00781112">
        <w:rPr>
          <w:color w:val="000000" w:themeColor="text1"/>
        </w:rPr>
        <w:t xml:space="preserve">There are </w:t>
      </w:r>
      <w:proofErr w:type="gramStart"/>
      <w:r w:rsidRPr="00781112">
        <w:rPr>
          <w:color w:val="000000" w:themeColor="text1"/>
        </w:rPr>
        <w:t>some</w:t>
      </w:r>
      <w:proofErr w:type="gramEnd"/>
      <w:r w:rsidRPr="00781112">
        <w:rPr>
          <w:color w:val="000000" w:themeColor="text1"/>
        </w:rPr>
        <w:t xml:space="preserve"> SSIP districts that also receive support through REACH MS Model Sites.</w:t>
      </w:r>
      <w:r w:rsidRPr="00781112">
        <w:rPr>
          <w:color w:val="000000" w:themeColor="text1"/>
        </w:rPr>
        <w:br/>
        <w:t>Professional Learning (training and coaching) provided Between October 1, 2021 – February 28, 2022</w:t>
      </w:r>
      <w:r w:rsidRPr="00781112">
        <w:rPr>
          <w:color w:val="000000" w:themeColor="text1"/>
        </w:rPr>
        <w:br/>
        <w:t>School Administrators – 147</w:t>
      </w:r>
      <w:r w:rsidRPr="00781112">
        <w:rPr>
          <w:color w:val="000000" w:themeColor="text1"/>
        </w:rPr>
        <w:br/>
        <w:t>General Education Teachers – 123</w:t>
      </w:r>
      <w:r w:rsidRPr="00781112">
        <w:rPr>
          <w:color w:val="000000" w:themeColor="text1"/>
        </w:rPr>
        <w:br/>
        <w:t>District-Level Staff – 59</w:t>
      </w:r>
      <w:r w:rsidRPr="00781112">
        <w:rPr>
          <w:color w:val="000000" w:themeColor="text1"/>
        </w:rPr>
        <w:br/>
        <w:t>Special Education Teachers – 56</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3" w:name="_Hlk88409387"/>
      <w:r w:rsidRPr="00781112">
        <w:rPr>
          <w:rFonts w:cs="Arial"/>
          <w:b/>
          <w:bCs/>
        </w:rPr>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3"/>
    <w:p w14:paraId="3E043DB7" w14:textId="7C3B2CD4" w:rsidR="00AE1972" w:rsidRPr="00781112" w:rsidRDefault="00AE1972" w:rsidP="00AE1972">
      <w:pPr>
        <w:rPr>
          <w:b/>
          <w:bCs/>
        </w:rPr>
      </w:pPr>
      <w:r w:rsidRPr="00781112">
        <w:rPr>
          <w:color w:val="000000" w:themeColor="text1"/>
        </w:rPr>
        <w:t>Literacy coaches work with the MDE to coordinate the Literacy-Based Promotion Act and provide appropriate services to schools so that there can be a cohesive, sustained, intensive and classroom-focused approach that is rigorous, engaging, and relevant for students. Literacy coaches will provide a non-threatening, open, professional, and collaborative work relationship with district-level school personnel, school-based literacy coaches,</w:t>
      </w:r>
      <w:r w:rsidRPr="00781112">
        <w:rPr>
          <w:color w:val="000000" w:themeColor="text1"/>
        </w:rPr>
        <w:br/>
        <w:t>principals, and teachers. They are required to effectively identify the needs of assigned schools to prioritize, schedule, organize, and provide technical assistance so that students in assigned schools achieve grade level reading by the end of grade three</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Conferencing between the SSIP literacy coach and teacher is meant to discuss strategies, feedback, and next steps based on model lessons, co-teaching, and/or teacher observations.</w:t>
      </w:r>
      <w:r w:rsidRPr="00781112">
        <w:rPr>
          <w:color w:val="000000" w:themeColor="text1"/>
        </w:rPr>
        <w:br/>
      </w:r>
      <w:r w:rsidRPr="00781112">
        <w:rPr>
          <w:color w:val="000000" w:themeColor="text1"/>
        </w:rPr>
        <w:lastRenderedPageBreak/>
        <w:t>Co-teaching is used to jointly deliver a skill or strategy during instruction to improve teacher instructional practices.</w:t>
      </w:r>
      <w:r w:rsidRPr="00781112">
        <w:rPr>
          <w:color w:val="000000" w:themeColor="text1"/>
        </w:rPr>
        <w:br/>
        <w:t>Debriefing allows the SSIP literacy coach and teacher or the SSIP literacy coach and the administrator to have constructive conversations about the implementation of the school literacy goals and specific next steps.</w:t>
      </w:r>
      <w:r w:rsidRPr="00781112">
        <w:rPr>
          <w:color w:val="000000" w:themeColor="text1"/>
        </w:rPr>
        <w:br/>
        <w:t>Learning Walks allow a team to obtain a snapshot of student engagement, routines/procedures, and instructional/planning.</w:t>
      </w:r>
      <w:r w:rsidRPr="00781112">
        <w:rPr>
          <w:color w:val="000000" w:themeColor="text1"/>
        </w:rPr>
        <w:br/>
        <w:t>Modeling allows the SSIP literacy coach to deliver a pre-planned skill or strategy while the teacher observes, and pre-post conferences are held.</w:t>
      </w:r>
      <w:r w:rsidRPr="00781112">
        <w:rPr>
          <w:color w:val="000000" w:themeColor="text1"/>
        </w:rPr>
        <w:br/>
        <w:t>Professional Development is conducted formally for small or whole groups to improve professional knowledge, competence, skill, and effectiveness.</w:t>
      </w:r>
      <w:r w:rsidRPr="00781112">
        <w:rPr>
          <w:color w:val="000000" w:themeColor="text1"/>
        </w:rPr>
        <w:br/>
        <w:t>Professional Learning Community is conducted informally to collaborate and share learning to increase effective planning, data analysis, and content knowledge development.</w:t>
      </w:r>
      <w:r w:rsidRPr="00781112">
        <w:rPr>
          <w:color w:val="000000" w:themeColor="text1"/>
        </w:rPr>
        <w:br/>
      </w:r>
      <w:r w:rsidRPr="00781112">
        <w:rPr>
          <w:color w:val="000000" w:themeColor="text1"/>
        </w:rPr>
        <w:br/>
        <w:t>The OSE, in conjunction with the Office of Professional Development (PDCs) provides professional learning opportunities, technical assistance to schools, and monitors schools for student outcomes and compliance with the regulations of the IDEA.</w:t>
      </w:r>
      <w:r w:rsidRPr="00781112">
        <w:rPr>
          <w:color w:val="000000" w:themeColor="text1"/>
        </w:rPr>
        <w:br/>
      </w:r>
      <w:r w:rsidRPr="00781112">
        <w:rPr>
          <w:color w:val="000000" w:themeColor="text1"/>
        </w:rPr>
        <w:br/>
        <w:t>The Office of Student Intervention Services coordinates and manages the review and award of student dyslexia scholarships, as well as the selection process of a State Board of Education approved list of dyslexia screeners. In addition, the intervention staff provides professional development and technical assistance related to dyslexia to parents, teachers, and administrators</w:t>
      </w:r>
      <w:proofErr w:type="gramStart"/>
      <w:r w:rsidRPr="00781112">
        <w:rPr>
          <w:color w:val="000000" w:themeColor="text1"/>
        </w:rPr>
        <w:t xml:space="preserve">.  </w:t>
      </w:r>
      <w:proofErr w:type="gramEnd"/>
      <w:r w:rsidRPr="00781112">
        <w:rPr>
          <w:color w:val="000000" w:themeColor="text1"/>
        </w:rPr>
        <w:t>In 2022, the Mississippi Dyslexia Support Guide was update</w:t>
      </w:r>
      <w:proofErr w:type="gramStart"/>
      <w:r w:rsidRPr="00781112">
        <w:rPr>
          <w:color w:val="000000" w:themeColor="text1"/>
        </w:rPr>
        <w:t xml:space="preserve">.  </w:t>
      </w:r>
      <w:proofErr w:type="gramEnd"/>
      <w:r w:rsidRPr="00781112">
        <w:rPr>
          <w:color w:val="000000" w:themeColor="text1"/>
        </w:rPr>
        <w:t>This guide supports teachers, administrators and parents with material needed to assist students with dyslexia</w:t>
      </w:r>
      <w:proofErr w:type="gramStart"/>
      <w:r w:rsidRPr="00781112">
        <w:rPr>
          <w:color w:val="000000" w:themeColor="text1"/>
        </w:rPr>
        <w:t xml:space="preserve">.  </w:t>
      </w:r>
      <w:proofErr w:type="gramEnd"/>
      <w:r w:rsidRPr="00781112">
        <w:rPr>
          <w:color w:val="000000" w:themeColor="text1"/>
        </w:rPr>
        <w:t>During the 2021 Regular Session, House Bill 754 was enacted by the legislature of the state of Mississippi:</w:t>
      </w:r>
      <w:r w:rsidRPr="00781112">
        <w:rPr>
          <w:color w:val="000000" w:themeColor="text1"/>
        </w:rPr>
        <w:br/>
      </w:r>
      <w:r w:rsidRPr="00781112">
        <w:rPr>
          <w:color w:val="000000" w:themeColor="text1"/>
        </w:rPr>
        <w:br/>
        <w:t>AN ACT TO CREATE NEW SECTION 37-173-16, MISSISSIPPI CODE OF 1972, TO PROVIDE THE STEPS SCHOOLS MUST TAKE FOR THE EDUCATION AND CARE OF STUDENTS WITH DYSLEXIA AND OTHER RELATED DISORDERS; TO PROVIDE THAT THE DEPARTMENT OF EDUCATION SHALL REQUIRE SCHOOL DISTRICTS TO CONDUCT FOUR HOURS OF AWARENESS TRAINING FOR DYSLEXIA AND OTHER RELATED DISORDERS TO ALL LICENSED EDUCATORS AND PARAPROFESSIONALS RESPONSIBLE FOR INSTRUCTION; TO PROVIDE THAT STANDARD 1 AND STANDARD 2 OF THE INTERNATIONAL DYSLEXIA ASSOCIATION'S "KNOWLEDGE AND PRACTICE STANDARDS FOR TEACHERS OF READING" 2018 EDITION SHALL BE THE MINIMUM CONTENT USED FOR THE DYSLEXIA TRAINING; TO AMEND SECTION 37-173-9, MISSISSIPPI CODE OF 1972, TO DELETE CERTAIN PROVISIONS RELATING TO SCHOOL'S DETERMINATION OF STUDENTS WITH DYSLEXIA; AND FOR RELATED PURPOSES.</w:t>
      </w:r>
      <w:r w:rsidRPr="00781112">
        <w:rPr>
          <w:color w:val="000000" w:themeColor="text1"/>
        </w:rPr>
        <w:br/>
        <w:t>HB 754 (As Sent to Governor) - 2021 Regular Session (state.ms.us)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SSIP Literacy Coach Monthly Reports are used to document </w:t>
      </w:r>
      <w:proofErr w:type="gramStart"/>
      <w:r w:rsidRPr="00781112">
        <w:rPr>
          <w:color w:val="000000" w:themeColor="text1"/>
        </w:rPr>
        <w:t>supports</w:t>
      </w:r>
      <w:proofErr w:type="gramEnd"/>
      <w:r w:rsidRPr="00781112">
        <w:rPr>
          <w:color w:val="000000" w:themeColor="text1"/>
        </w:rPr>
        <w:t xml:space="preserve"> and strategies provided by the SSIP literacy coaches, which are submitted to the building administrator and the MDE OSE</w:t>
      </w:r>
      <w:proofErr w:type="gramStart"/>
      <w:r w:rsidRPr="00781112">
        <w:rPr>
          <w:color w:val="000000" w:themeColor="text1"/>
        </w:rPr>
        <w:t xml:space="preserve">.  </w:t>
      </w:r>
      <w:proofErr w:type="gramEnd"/>
      <w:r w:rsidRPr="00781112">
        <w:rPr>
          <w:color w:val="000000" w:themeColor="text1"/>
        </w:rPr>
        <w:t>The coaches conduct observations and coaching at grade-level and/or school-wide</w:t>
      </w:r>
      <w:proofErr w:type="gramStart"/>
      <w:r w:rsidRPr="00781112">
        <w:rPr>
          <w:color w:val="000000" w:themeColor="text1"/>
        </w:rPr>
        <w:t xml:space="preserve">.  </w:t>
      </w:r>
      <w:proofErr w:type="gramEnd"/>
      <w:r w:rsidRPr="00781112">
        <w:rPr>
          <w:color w:val="000000" w:themeColor="text1"/>
        </w:rPr>
        <w:t>Professional Development and/or Professoinal Learning Communities are provided with the coach indicating the topics, audience, and number of participants</w:t>
      </w:r>
      <w:proofErr w:type="gramStart"/>
      <w:r w:rsidRPr="00781112">
        <w:rPr>
          <w:color w:val="000000" w:themeColor="text1"/>
        </w:rPr>
        <w:t xml:space="preserve">.  </w:t>
      </w:r>
      <w:proofErr w:type="gramEnd"/>
      <w:r w:rsidRPr="00781112">
        <w:rPr>
          <w:color w:val="000000" w:themeColor="text1"/>
        </w:rPr>
        <w:t xml:space="preserve">Data Analysis is conducted based on data from screeners, assessments, teacher-student ratio, </w:t>
      </w:r>
      <w:proofErr w:type="gramStart"/>
      <w:r w:rsidRPr="00781112">
        <w:rPr>
          <w:color w:val="000000" w:themeColor="text1"/>
        </w:rPr>
        <w:t xml:space="preserve">etc.  </w:t>
      </w:r>
      <w:proofErr w:type="gramEnd"/>
      <w:r w:rsidRPr="00781112">
        <w:rPr>
          <w:color w:val="000000" w:themeColor="text1"/>
        </w:rPr>
        <w:t xml:space="preserve">Other activities </w:t>
      </w:r>
      <w:proofErr w:type="gramStart"/>
      <w:r w:rsidRPr="00781112">
        <w:rPr>
          <w:color w:val="000000" w:themeColor="text1"/>
        </w:rPr>
        <w:t>are conducted</w:t>
      </w:r>
      <w:proofErr w:type="gramEnd"/>
      <w:r w:rsidRPr="00781112">
        <w:rPr>
          <w:color w:val="000000" w:themeColor="text1"/>
        </w:rPr>
        <w:t xml:space="preserve"> to identify next steps and contributing factors.</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MDE approved Universal Screeners are listed below:</w:t>
      </w:r>
      <w:r w:rsidRPr="00781112">
        <w:rPr>
          <w:color w:val="000000" w:themeColor="text1"/>
        </w:rPr>
        <w:br/>
        <w:t>FAST: Adaptive Reading, CBMReading, and earlyReading English</w:t>
      </w:r>
      <w:r w:rsidRPr="00781112">
        <w:rPr>
          <w:color w:val="000000" w:themeColor="text1"/>
        </w:rPr>
        <w:br/>
        <w:t xml:space="preserve">i-Ready </w:t>
      </w:r>
      <w:r w:rsidRPr="00781112">
        <w:rPr>
          <w:color w:val="000000" w:themeColor="text1"/>
        </w:rPr>
        <w:br/>
        <w:t xml:space="preserve">Istation Indicators of Progress (ISIP) </w:t>
      </w:r>
      <w:r w:rsidRPr="00781112">
        <w:rPr>
          <w:color w:val="000000" w:themeColor="text1"/>
        </w:rPr>
        <w:br/>
        <w:t xml:space="preserve">mCLASS Reading 3D </w:t>
      </w:r>
      <w:r w:rsidRPr="00781112">
        <w:rPr>
          <w:color w:val="000000" w:themeColor="text1"/>
        </w:rPr>
        <w:br/>
        <w:t xml:space="preserve">Measures of Academic Progress (MAP) </w:t>
      </w:r>
      <w:r w:rsidRPr="00781112">
        <w:rPr>
          <w:color w:val="000000" w:themeColor="text1"/>
        </w:rPr>
        <w:br/>
        <w:t xml:space="preserve">STAR Early Literacy </w:t>
      </w:r>
      <w:r w:rsidRPr="00781112">
        <w:rPr>
          <w:color w:val="000000" w:themeColor="text1"/>
        </w:rPr>
        <w:br/>
        <w:t xml:space="preserve">STAR Reading </w:t>
      </w:r>
      <w:r w:rsidRPr="00781112">
        <w:rPr>
          <w:color w:val="000000" w:themeColor="text1"/>
        </w:rPr>
        <w:br/>
      </w:r>
      <w:r w:rsidRPr="00781112">
        <w:rPr>
          <w:color w:val="000000" w:themeColor="text1"/>
        </w:rPr>
        <w:br/>
        <w:t>Average Scale Score School 1 and School 2 – STAR</w:t>
      </w:r>
      <w:r w:rsidRPr="00781112">
        <w:rPr>
          <w:color w:val="000000" w:themeColor="text1"/>
        </w:rPr>
        <w:br/>
        <w:t>SPED BOY PM1 MOY EOY</w:t>
      </w:r>
      <w:r w:rsidRPr="00781112">
        <w:rPr>
          <w:color w:val="000000" w:themeColor="text1"/>
        </w:rPr>
        <w:br/>
        <w:t>K        408         423         479        562</w:t>
      </w:r>
      <w:r w:rsidRPr="00781112">
        <w:rPr>
          <w:color w:val="000000" w:themeColor="text1"/>
        </w:rPr>
        <w:br/>
        <w:t>1st          69              75           8           *</w:t>
      </w:r>
      <w:r w:rsidRPr="00781112">
        <w:rPr>
          <w:color w:val="000000" w:themeColor="text1"/>
        </w:rPr>
        <w:br/>
        <w:t>2nd  79           73            76           *</w:t>
      </w:r>
      <w:r w:rsidRPr="00781112">
        <w:rPr>
          <w:color w:val="000000" w:themeColor="text1"/>
        </w:rPr>
        <w:br/>
        <w:t>3rd    46           65           64   33**</w:t>
      </w:r>
      <w:r w:rsidRPr="00781112">
        <w:rPr>
          <w:color w:val="000000" w:themeColor="text1"/>
        </w:rPr>
        <w:br/>
      </w:r>
      <w:r w:rsidRPr="00781112">
        <w:rPr>
          <w:color w:val="000000" w:themeColor="text1"/>
        </w:rPr>
        <w:br/>
      </w:r>
      <w:r w:rsidRPr="00781112">
        <w:rPr>
          <w:color w:val="000000" w:themeColor="text1"/>
        </w:rPr>
        <w:br/>
      </w:r>
      <w:r w:rsidRPr="00781112">
        <w:rPr>
          <w:color w:val="000000" w:themeColor="text1"/>
        </w:rPr>
        <w:br/>
      </w:r>
      <w:r w:rsidRPr="00781112">
        <w:rPr>
          <w:color w:val="000000" w:themeColor="text1"/>
        </w:rPr>
        <w:br/>
        <w:t>School 1 – i-Ready</w:t>
      </w:r>
      <w:r w:rsidRPr="00781112">
        <w:rPr>
          <w:color w:val="000000" w:themeColor="text1"/>
        </w:rPr>
        <w:br/>
        <w:t>SPED K-3 BOY MOY EOY</w:t>
      </w:r>
      <w:r w:rsidRPr="00781112">
        <w:rPr>
          <w:color w:val="000000" w:themeColor="text1"/>
        </w:rPr>
        <w:br/>
        <w:t>At or Above Level 0% 10% 6%</w:t>
      </w:r>
      <w:r w:rsidRPr="00781112">
        <w:rPr>
          <w:color w:val="000000" w:themeColor="text1"/>
        </w:rPr>
        <w:br/>
        <w:t>1 Level Below 30% 20% 24%</w:t>
      </w:r>
      <w:r w:rsidRPr="00781112">
        <w:rPr>
          <w:color w:val="000000" w:themeColor="text1"/>
        </w:rPr>
        <w:br/>
        <w:t>&gt; 1 Level Below 70% 60% 70%</w:t>
      </w:r>
      <w:r w:rsidRPr="00781112">
        <w:rPr>
          <w:color w:val="000000" w:themeColor="text1"/>
        </w:rPr>
        <w:br/>
      </w:r>
      <w:r w:rsidRPr="00781112">
        <w:rPr>
          <w:color w:val="000000" w:themeColor="text1"/>
        </w:rPr>
        <w:br/>
        <w:t>School 2 – i-Ready</w:t>
      </w:r>
      <w:r w:rsidRPr="00781112">
        <w:rPr>
          <w:color w:val="000000" w:themeColor="text1"/>
        </w:rPr>
        <w:br/>
        <w:t>SPED K-3 BOY MOY EOY</w:t>
      </w:r>
      <w:r w:rsidRPr="00781112">
        <w:rPr>
          <w:color w:val="000000" w:themeColor="text1"/>
        </w:rPr>
        <w:br/>
        <w:t>At or Above Level 10% 35% 47%</w:t>
      </w:r>
      <w:r w:rsidRPr="00781112">
        <w:rPr>
          <w:color w:val="000000" w:themeColor="text1"/>
        </w:rPr>
        <w:br/>
        <w:t>1 Level Below 72% 50% 50%</w:t>
      </w:r>
      <w:r w:rsidRPr="00781112">
        <w:rPr>
          <w:color w:val="000000" w:themeColor="text1"/>
        </w:rPr>
        <w:br/>
        <w:t>&gt; 1 Level Below 18% 13% 3%</w:t>
      </w:r>
      <w:r w:rsidRPr="00781112">
        <w:rPr>
          <w:color w:val="000000" w:themeColor="text1"/>
        </w:rPr>
        <w:br/>
      </w:r>
      <w:r w:rsidRPr="00781112">
        <w:rPr>
          <w:color w:val="000000" w:themeColor="text1"/>
        </w:rPr>
        <w:br/>
      </w:r>
      <w:r w:rsidRPr="00781112">
        <w:rPr>
          <w:color w:val="000000" w:themeColor="text1"/>
        </w:rPr>
        <w:br/>
        <w:t>School 3 – i-Ready</w:t>
      </w:r>
      <w:r w:rsidRPr="00781112">
        <w:rPr>
          <w:color w:val="000000" w:themeColor="text1"/>
        </w:rPr>
        <w:br/>
        <w:t>SPED K-3 BOY MOY EOY</w:t>
      </w:r>
      <w:r w:rsidRPr="00781112">
        <w:rPr>
          <w:color w:val="000000" w:themeColor="text1"/>
        </w:rPr>
        <w:br/>
        <w:t>At or Above Level 17% 36% 37%</w:t>
      </w:r>
      <w:r w:rsidRPr="00781112">
        <w:rPr>
          <w:color w:val="000000" w:themeColor="text1"/>
        </w:rPr>
        <w:br/>
        <w:t>1 Level Below 17% 18% 27%</w:t>
      </w:r>
      <w:r w:rsidRPr="00781112">
        <w:rPr>
          <w:color w:val="000000" w:themeColor="text1"/>
        </w:rPr>
        <w:br/>
        <w:t>&gt; 1 Level Below 66% 45% 36%</w:t>
      </w:r>
      <w:r w:rsidRPr="00781112">
        <w:rPr>
          <w:color w:val="000000" w:themeColor="text1"/>
        </w:rPr>
        <w:br/>
      </w:r>
      <w:r w:rsidRPr="00781112">
        <w:rPr>
          <w:color w:val="000000" w:themeColor="text1"/>
        </w:rPr>
        <w:br/>
      </w:r>
      <w:r w:rsidRPr="00781112">
        <w:rPr>
          <w:color w:val="000000" w:themeColor="text1"/>
        </w:rPr>
        <w:lastRenderedPageBreak/>
        <w:t xml:space="preserve">Mississippi Annual Review Survey Analytical Results for 2020-2021 Brainspring Educator Academy had 103 respondents indicating they completed the training within the last 12 to 24 months. </w:t>
      </w:r>
      <w:r w:rsidRPr="00781112">
        <w:rPr>
          <w:color w:val="000000" w:themeColor="text1"/>
        </w:rPr>
        <w:br/>
        <w:t xml:space="preserve">85.4% of respondents indicated that they are currently using strategies learned in Phonics First®. </w:t>
      </w:r>
      <w:r w:rsidRPr="00781112">
        <w:rPr>
          <w:color w:val="000000" w:themeColor="text1"/>
        </w:rPr>
        <w:br/>
        <w:t>48.9 % use the Phonics First® strategies in the general education setting in whole group, the special education setting in a small group, intervention, or other small group.</w:t>
      </w:r>
      <w:r w:rsidRPr="00781112">
        <w:rPr>
          <w:color w:val="000000" w:themeColor="text1"/>
        </w:rPr>
        <w:br/>
      </w:r>
      <w:proofErr w:type="gramStart"/>
      <w:r w:rsidRPr="00781112">
        <w:rPr>
          <w:color w:val="000000" w:themeColor="text1"/>
        </w:rPr>
        <w:t>33</w:t>
      </w:r>
      <w:proofErr w:type="gramEnd"/>
      <w:r w:rsidRPr="00781112">
        <w:rPr>
          <w:color w:val="000000" w:themeColor="text1"/>
        </w:rPr>
        <w:t xml:space="preserve"> respondents agreed that they have seen improvements in student learning as a result of implementing Phonics First®. </w:t>
      </w:r>
      <w:r w:rsidRPr="00781112">
        <w:rPr>
          <w:color w:val="000000" w:themeColor="text1"/>
        </w:rPr>
        <w:br/>
      </w:r>
      <w:proofErr w:type="gramStart"/>
      <w:r w:rsidRPr="00781112">
        <w:rPr>
          <w:color w:val="000000" w:themeColor="text1"/>
        </w:rPr>
        <w:t>32</w:t>
      </w:r>
      <w:proofErr w:type="gramEnd"/>
      <w:r w:rsidRPr="00781112">
        <w:rPr>
          <w:color w:val="000000" w:themeColor="text1"/>
        </w:rPr>
        <w:t xml:space="preserve"> respondents agreed that students were engaged in phonics instruction. </w:t>
      </w:r>
      <w:r w:rsidRPr="00781112">
        <w:rPr>
          <w:color w:val="000000" w:themeColor="text1"/>
        </w:rPr>
        <w:br/>
      </w:r>
      <w:proofErr w:type="gramStart"/>
      <w:r w:rsidRPr="00781112">
        <w:rPr>
          <w:color w:val="000000" w:themeColor="text1"/>
        </w:rPr>
        <w:t>46</w:t>
      </w:r>
      <w:proofErr w:type="gramEnd"/>
      <w:r w:rsidRPr="00781112">
        <w:rPr>
          <w:color w:val="000000" w:themeColor="text1"/>
        </w:rPr>
        <w:t xml:space="preserve"> respondents intend to register for Level II in the future.</w:t>
      </w:r>
      <w:r w:rsidRPr="00781112">
        <w:rPr>
          <w:color w:val="000000" w:themeColor="text1"/>
        </w:rPr>
        <w:br/>
        <w:t>68 respondents either agreed or strongly agreed that they feel supported by their administrators in how they were implementing Phonics First®.</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w:t>
      </w:r>
      <w:proofErr w:type="gramStart"/>
      <w:r w:rsidRPr="00730C62">
        <w:rPr>
          <w:b/>
          <w:bCs/>
          <w:color w:val="000000" w:themeColor="text1"/>
        </w:rPr>
        <w:t>practices</w:t>
      </w:r>
      <w:proofErr w:type="gramEnd"/>
      <w:r w:rsidRPr="00730C62">
        <w:rPr>
          <w:b/>
          <w:bCs/>
          <w:color w:val="000000" w:themeColor="text1"/>
        </w:rPr>
        <w:t xml:space="preserve"> and the anticipated outcomes to </w:t>
      </w:r>
      <w:proofErr w:type="gramStart"/>
      <w:r w:rsidRPr="00730C62">
        <w:rPr>
          <w:b/>
          <w:bCs/>
          <w:color w:val="000000" w:themeColor="text1"/>
        </w:rPr>
        <w:t>be attained</w:t>
      </w:r>
      <w:proofErr w:type="gramEnd"/>
      <w:r w:rsidRPr="00730C62">
        <w:rPr>
          <w:b/>
          <w:bCs/>
          <w:color w:val="000000" w:themeColor="text1"/>
        </w:rPr>
        <w:t xml:space="preserve"> during the next reporting period. </w:t>
      </w:r>
    </w:p>
    <w:p w14:paraId="3EDD1FBC" w14:textId="4546113E" w:rsidR="00C87801" w:rsidRDefault="00C87801" w:rsidP="00C87801">
      <w:pPr>
        <w:rPr>
          <w:color w:val="000000" w:themeColor="text1"/>
        </w:rPr>
      </w:pPr>
      <w:r w:rsidRPr="00781112">
        <w:rPr>
          <w:color w:val="000000" w:themeColor="text1"/>
        </w:rPr>
        <w:t xml:space="preserve">Universal screeners will be used to gather data on all students three times each school year (within 30 days of start of school; middle-of-year; end-of-year) to identify </w:t>
      </w:r>
      <w:proofErr w:type="gramStart"/>
      <w:r w:rsidRPr="00781112">
        <w:rPr>
          <w:color w:val="000000" w:themeColor="text1"/>
        </w:rPr>
        <w:t>need</w:t>
      </w:r>
      <w:proofErr w:type="gramEnd"/>
      <w:r w:rsidRPr="00781112">
        <w:rPr>
          <w:color w:val="000000" w:themeColor="text1"/>
        </w:rPr>
        <w:t xml:space="preserve"> for intervention</w:t>
      </w:r>
      <w:proofErr w:type="gramStart"/>
      <w:r w:rsidRPr="00781112">
        <w:rPr>
          <w:color w:val="000000" w:themeColor="text1"/>
        </w:rPr>
        <w:t xml:space="preserve">.  </w:t>
      </w:r>
      <w:proofErr w:type="gramEnd"/>
      <w:r w:rsidRPr="00781112">
        <w:rPr>
          <w:color w:val="000000" w:themeColor="text1"/>
        </w:rPr>
        <w:t>Data will help to determine whether each student is likely to meet, not meet, or exceed academic benchmark and needed tiered support will be developed</w:t>
      </w:r>
      <w:proofErr w:type="gramStart"/>
      <w:r w:rsidRPr="00781112">
        <w:rPr>
          <w:color w:val="000000" w:themeColor="text1"/>
        </w:rPr>
        <w:t xml:space="preserve">.  </w:t>
      </w:r>
      <w:proofErr w:type="gramEnd"/>
      <w:r w:rsidRPr="00781112">
        <w:rPr>
          <w:color w:val="000000" w:themeColor="text1"/>
        </w:rPr>
        <w:t>Effectiveness of overall curriculum and instruction for all students, as well as subgroups of students, will be measured using aggregated and disaggregated data.</w:t>
      </w:r>
      <w:r w:rsidRPr="00781112">
        <w:rPr>
          <w:color w:val="000000" w:themeColor="text1"/>
        </w:rPr>
        <w:br/>
        <w:t xml:space="preserve">MDE will offer AIM Institute for Learning and Research's Pathways Professional Development courses that will assist teachers and leaders in furthering their ability to apply the Science of Reading, while supporting Mississippi's mission to prepare students to compete in a global community. The comprehensive hybrid courses include asynchronous learning and two in-person training sessions:  </w:t>
      </w:r>
      <w:r w:rsidRPr="00781112">
        <w:rPr>
          <w:color w:val="000000" w:themeColor="text1"/>
        </w:rPr>
        <w:br/>
        <w:t>Pathways to Literacy Leadership includes guidance and support for creating a Literacy Leadership Plan for your schools and fidelity tools to ensure classroom implementation.</w:t>
      </w:r>
      <w:r w:rsidRPr="00781112">
        <w:rPr>
          <w:color w:val="000000" w:themeColor="text1"/>
        </w:rPr>
        <w:br/>
        <w:t>Pathways to Proficient Reading focuses on implementing structured literacy learning into classroom instruction with content and tools available in the course for immediate classroom use, including AIM's Oral Language Talking Deck, lesson plan templates, decoding bookmarks, and an assessment guide for reading.</w:t>
      </w:r>
      <w:r w:rsidRPr="00781112">
        <w:rPr>
          <w:color w:val="000000" w:themeColor="text1"/>
        </w:rPr>
        <w:br/>
        <w:t>Educational Leader Participants will acquire knowledge through hundreds of learning tools including articles, teacher classroom videos, animations, and videos of experts in the field, practice with specially-designed interactive activities and downloadable resources to help translate new knowledge into instructional practice, create a literacy plan for their school and learn how to support teachers in implementing new instruction in the classroom, and benefit from in-person and virtual coaching sessions with AIM facilitators to support knowledge acquisition and classroom implementation.</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NO</w:t>
      </w:r>
    </w:p>
    <w:p w14:paraId="7C7CFD5B" w14:textId="77777777" w:rsidR="00987BD2" w:rsidRPr="00730C62" w:rsidRDefault="00987BD2" w:rsidP="00987BD2">
      <w:pPr>
        <w:rPr>
          <w:b/>
          <w:bCs/>
        </w:rPr>
      </w:pPr>
      <w:r w:rsidRPr="00730C62">
        <w:rPr>
          <w:b/>
          <w:bCs/>
          <w:szCs w:val="16"/>
        </w:rPr>
        <w:t xml:space="preserve">If </w:t>
      </w:r>
      <w:proofErr w:type="gramStart"/>
      <w:r w:rsidRPr="00730C62">
        <w:rPr>
          <w:b/>
          <w:bCs/>
          <w:szCs w:val="16"/>
        </w:rPr>
        <w:t>no</w:t>
      </w:r>
      <w:proofErr w:type="gramEnd"/>
      <w:r w:rsidRPr="00730C62">
        <w:rPr>
          <w:b/>
          <w:bCs/>
          <w:szCs w:val="16"/>
        </w:rPr>
        <w:t>, describe any changes to the activities, strategies or timelines described in the previous submission and include a rationale or justification for the changes.</w:t>
      </w:r>
    </w:p>
    <w:p w14:paraId="62108E5B" w14:textId="77777777" w:rsidR="00987BD2" w:rsidRDefault="00987BD2" w:rsidP="00987BD2">
      <w:r w:rsidRPr="00781112">
        <w:t>The MDE OSE is in the process of developing an SSIP Advisory Panel which will include SPED directors, district administrators, and teachers</w:t>
      </w:r>
      <w:proofErr w:type="gramStart"/>
      <w:r w:rsidRPr="00781112">
        <w:t>.  In an effort to</w:t>
      </w:r>
      <w:proofErr w:type="gramEnd"/>
      <w:r w:rsidRPr="00781112">
        <w:t xml:space="preserve"> scale-up, the OSE will provide literacy support for students with disabilities in grades 4-8.  The OSE is scheduling </w:t>
      </w:r>
      <w:proofErr w:type="gramStart"/>
      <w:r w:rsidRPr="00781112">
        <w:t>several</w:t>
      </w:r>
      <w:proofErr w:type="gramEnd"/>
      <w:r w:rsidRPr="00781112">
        <w:t xml:space="preserve"> SSIP Family Focus Group meetings to determine whether the SiMR will be revised based on Stakeholder Feedback. The reset of the SiMR should </w:t>
      </w:r>
      <w:proofErr w:type="gramStart"/>
      <w:r w:rsidRPr="00781112">
        <w:t>be considered</w:t>
      </w:r>
      <w:proofErr w:type="gramEnd"/>
      <w:r w:rsidRPr="00781112">
        <w:t xml:space="preserve"> to include grade 3 students with an OHI eligibility and grade 8 students with an SLD or OHI eligibility based on historical data and baseline data for grade 8 students.</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The Mississippi Department of Education solicited stakeholder feedback through multiple in person and virtual meetings with teachers, administrators, special education directors, representatives of parent advocacy groups, and parents as outlined in the Introduction. Stakeholder feedback </w:t>
      </w:r>
      <w:proofErr w:type="gramStart"/>
      <w:r w:rsidRPr="00781112">
        <w:rPr>
          <w:color w:val="000000" w:themeColor="text1"/>
        </w:rPr>
        <w:t>was also solicited</w:t>
      </w:r>
      <w:proofErr w:type="gramEnd"/>
      <w:r w:rsidRPr="00781112">
        <w:rPr>
          <w:color w:val="000000" w:themeColor="text1"/>
        </w:rPr>
        <w:t xml:space="preserve"> from the Special Education Advisory Panel. Because </w:t>
      </w:r>
      <w:proofErr w:type="gramStart"/>
      <w:r w:rsidRPr="00781112">
        <w:rPr>
          <w:color w:val="000000" w:themeColor="text1"/>
        </w:rPr>
        <w:t>Indicator</w:t>
      </w:r>
      <w:proofErr w:type="gramEnd"/>
      <w:r w:rsidRPr="00781112">
        <w:rPr>
          <w:color w:val="000000" w:themeColor="text1"/>
        </w:rPr>
        <w:t xml:space="preserve"> baseline and targets were set last year based on stakeholder feedback, The MDE OSE did not seek feedback regarding updating targets or baseline. </w:t>
      </w:r>
      <w:proofErr w:type="gramStart"/>
      <w:r w:rsidRPr="00781112">
        <w:rPr>
          <w:color w:val="000000" w:themeColor="text1"/>
        </w:rPr>
        <w:t>Rather based</w:t>
      </w:r>
      <w:proofErr w:type="gramEnd"/>
      <w:r w:rsidRPr="00781112">
        <w:rPr>
          <w:color w:val="000000" w:themeColor="text1"/>
        </w:rPr>
        <w:t xml:space="preserve"> on stakeholder feedback, the MDE OSE determined that it would continue to report data to stakeholders and defer to stakeholders as to when updates or changes need to be made. Stakeholders would like to see </w:t>
      </w:r>
      <w:proofErr w:type="gramStart"/>
      <w:r w:rsidRPr="00781112">
        <w:rPr>
          <w:color w:val="000000" w:themeColor="text1"/>
        </w:rPr>
        <w:t>some</w:t>
      </w:r>
      <w:proofErr w:type="gramEnd"/>
      <w:r w:rsidRPr="00781112">
        <w:rPr>
          <w:color w:val="000000" w:themeColor="text1"/>
        </w:rPr>
        <w:t xml:space="preserve"> trend data prior to making changes. </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The MDE OSE conducted the Mississippi Parent Conference that engaged parents in providing feedback on revising the SiMR’s target.</w:t>
      </w:r>
      <w:r w:rsidRPr="00781112">
        <w:rPr>
          <w:color w:val="000000" w:themeColor="text1"/>
        </w:rPr>
        <w:br/>
      </w:r>
      <w:r w:rsidRPr="00781112">
        <w:rPr>
          <w:color w:val="000000" w:themeColor="text1"/>
        </w:rPr>
        <w:br/>
        <w:t>The Office of Special Education conducted SSIP Family Focus Groups in targeted districts to provide feedback on how families feel the districts supports their students in the area of literacy.</w:t>
      </w:r>
      <w:r w:rsidRPr="00781112">
        <w:rPr>
          <w:color w:val="000000" w:themeColor="text1"/>
        </w:rPr>
        <w:br/>
      </w:r>
      <w:r w:rsidRPr="00781112">
        <w:rPr>
          <w:color w:val="000000" w:themeColor="text1"/>
        </w:rPr>
        <w:br/>
        <w:t>Additional engagement strategies from MDE offices and other entities that the OSE collaborates with on the SSIP:</w:t>
      </w:r>
      <w:r w:rsidRPr="00781112">
        <w:rPr>
          <w:color w:val="000000" w:themeColor="text1"/>
        </w:rPr>
        <w:br/>
        <w:t>The Office of Elementary Education and Reading, supported by the Office of Intervention Services, conducuted Families as Partners Literacy Nights across the State to inform families of the Literacy Based Promotion Act and provided resources for parents to use with their student(s) at home.</w:t>
      </w:r>
      <w:r w:rsidRPr="00781112">
        <w:rPr>
          <w:color w:val="000000" w:themeColor="text1"/>
        </w:rPr>
        <w:br/>
      </w:r>
      <w:r w:rsidRPr="00781112">
        <w:rPr>
          <w:color w:val="000000" w:themeColor="text1"/>
        </w:rPr>
        <w:br/>
        <w:t xml:space="preserve">The Office of School Improvement (Miss. Code Ann. § 37-18-5) requires implementation of broad-spectrum community-based support for schools and districts implementing improvement plans to improve outcomes for learners.  Districts host one or more information sessions before electing a Community Engagement Council (CEC). These information sessions emphasize the importance of CECs in the community and provide details about how community members can become involved and the importance of community engagement for school improvement. </w:t>
      </w:r>
      <w:r w:rsidRPr="00781112">
        <w:rPr>
          <w:color w:val="000000" w:themeColor="text1"/>
        </w:rPr>
        <w:br/>
      </w:r>
      <w:r w:rsidRPr="00781112">
        <w:rPr>
          <w:color w:val="000000" w:themeColor="text1"/>
        </w:rPr>
        <w:br/>
        <w:t xml:space="preserve">REACH MS provided </w:t>
      </w:r>
      <w:proofErr w:type="gramStart"/>
      <w:r w:rsidRPr="00781112">
        <w:rPr>
          <w:color w:val="000000" w:themeColor="text1"/>
        </w:rPr>
        <w:t>trainings</w:t>
      </w:r>
      <w:proofErr w:type="gramEnd"/>
      <w:r w:rsidRPr="00781112">
        <w:rPr>
          <w:color w:val="000000" w:themeColor="text1"/>
        </w:rPr>
        <w:t xml:space="preserve"> and support such as webinars that </w:t>
      </w:r>
      <w:proofErr w:type="gramStart"/>
      <w:r w:rsidRPr="00781112">
        <w:rPr>
          <w:color w:val="000000" w:themeColor="text1"/>
        </w:rPr>
        <w:t>were supported</w:t>
      </w:r>
      <w:proofErr w:type="gramEnd"/>
      <w:r w:rsidRPr="00781112">
        <w:rPr>
          <w:color w:val="000000" w:themeColor="text1"/>
        </w:rPr>
        <w:t xml:space="preserve"> collaboratively by REACH MS and the MS Parent Training and Information Center (MSPTI), and the distribution of PBIS Family Toolkits which provides resources for families. Effectively helping families to have greater confidence to be effective partners in the education of their child(ren) with disabilities.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NO</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lastRenderedPageBreak/>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 xml:space="preserve">The State did not provide data for FFY 2020; therefore, OSEP cannot determine if the State's FFY 2020 data are valid and </w:t>
      </w:r>
      <w:proofErr w:type="gramStart"/>
      <w:r w:rsidRPr="00781112">
        <w:rPr>
          <w:color w:val="000000" w:themeColor="text1"/>
        </w:rPr>
        <w:t>reliable</w:t>
      </w:r>
      <w:proofErr w:type="gramEnd"/>
      <w:r w:rsidRPr="00781112">
        <w:rPr>
          <w:color w:val="000000" w:themeColor="text1"/>
        </w:rPr>
        <w:t xml:space="preserve">. The State must provide the required data for FFY 2021 in the FFY 2021 SPP/APR. </w:t>
      </w:r>
      <w:r w:rsidRPr="00781112">
        <w:rPr>
          <w:color w:val="000000" w:themeColor="text1"/>
        </w:rPr>
        <w:br/>
      </w:r>
      <w:r w:rsidRPr="00781112">
        <w:rPr>
          <w:color w:val="000000" w:themeColor="text1"/>
        </w:rPr>
        <w:br/>
        <w:t xml:space="preserve">The State did not provide a Theory of Action. The State must provide a link to the current Theory of Action in the FFY 2021 SPP/APR. </w:t>
      </w:r>
      <w:r w:rsidRPr="00781112">
        <w:rPr>
          <w:color w:val="000000" w:themeColor="text1"/>
        </w:rPr>
        <w:br/>
      </w:r>
      <w:r w:rsidRPr="00781112">
        <w:rPr>
          <w:color w:val="000000" w:themeColor="text1"/>
        </w:rPr>
        <w:br/>
        <w:t xml:space="preserve">The State did not provide an Evaluation Plan. The State must provide a link to the current Evaluation Plan in the FFY 2021 SPP/APR. </w:t>
      </w:r>
      <w:r w:rsidRPr="00781112">
        <w:rPr>
          <w:color w:val="000000" w:themeColor="text1"/>
        </w:rPr>
        <w:br/>
      </w:r>
      <w:r w:rsidRPr="00781112">
        <w:rPr>
          <w:color w:val="000000" w:themeColor="text1"/>
        </w:rPr>
        <w:br/>
        <w:t xml:space="preserve">The State must provide the required numerator and denominator descriptions within the data table in the FFY 2021 SPP/APR. </w:t>
      </w:r>
    </w:p>
    <w:p w14:paraId="107AC5A3" w14:textId="7B90CF6A" w:rsidR="00AE1972" w:rsidRPr="00781112" w:rsidRDefault="007639D7" w:rsidP="00AE1972">
      <w:pPr>
        <w:rPr>
          <w:color w:val="000000" w:themeColor="text1"/>
        </w:rPr>
      </w:pPr>
      <w:r>
        <w:rPr>
          <w:b/>
          <w:color w:val="000000" w:themeColor="text1"/>
        </w:rPr>
        <w:t>Response to actions required in FFY 2020 SPP/APR</w:t>
      </w:r>
      <w:r w:rsidR="00AE1972" w:rsidRPr="00781112">
        <w:rPr>
          <w:color w:val="000000" w:themeColor="text1"/>
        </w:rPr>
        <w:t xml:space="preserve"> </w:t>
      </w:r>
    </w:p>
    <w:p w14:paraId="50FCC9E4" w14:textId="068F706F" w:rsidR="00AE1972" w:rsidRPr="00781112" w:rsidRDefault="00AE1972" w:rsidP="00AE1972">
      <w:pPr>
        <w:rPr>
          <w:color w:val="000000" w:themeColor="text1"/>
        </w:rPr>
      </w:pP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4"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Sharon Strong Coon</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Director of Data and Compliance</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scoon@mdek12.org</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601-359-3498</w:t>
      </w:r>
    </w:p>
    <w:bookmarkEnd w:id="94"/>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3:30:57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43AA4ACC" w14:textId="3DE38625" w:rsidR="00CA360B" w:rsidRPr="00CA360B" w:rsidRDefault="00CA360B" w:rsidP="00CA360B">
      <w:pPr>
        <w:rPr>
          <w:b/>
          <w:bCs/>
          <w:sz w:val="20"/>
          <w:szCs w:val="28"/>
        </w:rPr>
      </w:pPr>
      <w:r w:rsidRPr="00CA360B">
        <w:rPr>
          <w:b/>
          <w:bCs/>
          <w:sz w:val="20"/>
          <w:szCs w:val="28"/>
        </w:rPr>
        <w:t>Mississippi</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 xml:space="preserve">2023 Part B </w:t>
      </w:r>
      <w:proofErr w:type="gramStart"/>
      <w:r w:rsidRPr="00824D00">
        <w:rPr>
          <w:sz w:val="32"/>
          <w:szCs w:val="32"/>
        </w:rPr>
        <w:t>Results-Driven</w:t>
      </w:r>
      <w:proofErr w:type="gramEnd"/>
      <w:r w:rsidRPr="00824D00">
        <w:rPr>
          <w:sz w:val="32"/>
          <w:szCs w:val="32"/>
        </w:rPr>
        <w:t xml:space="preserve"> Accountability Matrix</w:t>
      </w:r>
    </w:p>
    <w:p w14:paraId="2A7E4326" w14:textId="77777777" w:rsidR="00BE0EEF" w:rsidRPr="00210AC6" w:rsidRDefault="00BE0EEF" w:rsidP="00BE0EEF">
      <w:pPr>
        <w:rPr>
          <w:rFonts w:cs="Arial"/>
          <w:b/>
          <w:bCs/>
          <w:szCs w:val="16"/>
        </w:rPr>
      </w:pPr>
      <w:proofErr w:type="gramStart"/>
      <w:r w:rsidRPr="00210AC6">
        <w:rPr>
          <w:rFonts w:cs="Arial"/>
          <w:b/>
          <w:bCs/>
          <w:szCs w:val="16"/>
        </w:rPr>
        <w:t>Results-Driven</w:t>
      </w:r>
      <w:proofErr w:type="gramEnd"/>
      <w:r w:rsidRPr="00210AC6">
        <w:rPr>
          <w:rFonts w:cs="Arial"/>
          <w:b/>
          <w:bCs/>
          <w:szCs w:val="16"/>
        </w:rPr>
        <w:t xml:space="preserve"> Accountability Percentage and Determination</w:t>
      </w:r>
      <w:r w:rsidRPr="00210AC6">
        <w:rPr>
          <w:rStyle w:val="FootnoteReference"/>
          <w:rFonts w:cs="Arial"/>
          <w:b/>
          <w:bCs/>
          <w:szCs w:val="16"/>
        </w:rPr>
        <w:footnoteReference w:id="4"/>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68.75%</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15</w:t>
            </w:r>
          </w:p>
        </w:tc>
        <w:tc>
          <w:tcPr>
            <w:tcW w:w="1218" w:type="pct"/>
          </w:tcPr>
          <w:p w14:paraId="0E3866D0" w14:textId="74D5D84B" w:rsidR="00E1330D" w:rsidRPr="00210AC6" w:rsidRDefault="00E1330D" w:rsidP="00E1330D">
            <w:pPr>
              <w:rPr>
                <w:rFonts w:cs="Arial"/>
                <w:szCs w:val="16"/>
              </w:rPr>
            </w:pPr>
            <w:r w:rsidRPr="00210AC6">
              <w:rPr>
                <w:rFonts w:cs="Arial"/>
                <w:szCs w:val="16"/>
              </w:rPr>
              <w:t>62.50%</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15</w:t>
            </w:r>
          </w:p>
        </w:tc>
        <w:tc>
          <w:tcPr>
            <w:tcW w:w="1218" w:type="pct"/>
          </w:tcPr>
          <w:p w14:paraId="568903BA" w14:textId="193CF7F1" w:rsidR="00E1330D" w:rsidRPr="00210AC6" w:rsidRDefault="00E1330D" w:rsidP="00E1330D">
            <w:pPr>
              <w:rPr>
                <w:rFonts w:cs="Arial"/>
                <w:szCs w:val="16"/>
              </w:rPr>
            </w:pPr>
            <w:r w:rsidRPr="00210AC6">
              <w:rPr>
                <w:rFonts w:cs="Arial"/>
                <w:szCs w:val="16"/>
              </w:rPr>
              <w:t>75.00%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88%</w:t>
            </w:r>
          </w:p>
        </w:tc>
        <w:tc>
          <w:tcPr>
            <w:tcW w:w="833" w:type="pct"/>
          </w:tcPr>
          <w:p w14:paraId="50F87295" w14:textId="3E5BE83B" w:rsidR="00AC185D" w:rsidRPr="00210AC6" w:rsidRDefault="00AC185D" w:rsidP="00AC185D">
            <w:pPr>
              <w:rPr>
                <w:rFonts w:cs="Arial"/>
                <w:szCs w:val="16"/>
              </w:rPr>
            </w:pPr>
            <w:r w:rsidRPr="00210AC6">
              <w:rPr>
                <w:rFonts w:cs="Arial"/>
                <w:szCs w:val="16"/>
              </w:rPr>
              <w:t>1</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84%</w:t>
            </w:r>
          </w:p>
        </w:tc>
        <w:tc>
          <w:tcPr>
            <w:tcW w:w="833" w:type="pct"/>
          </w:tcPr>
          <w:p w14:paraId="616686DF" w14:textId="143C7242" w:rsidR="00AC185D" w:rsidRPr="00210AC6" w:rsidRDefault="00AC185D" w:rsidP="00AC185D">
            <w:pPr>
              <w:rPr>
                <w:rFonts w:cs="Arial"/>
                <w:szCs w:val="16"/>
              </w:rPr>
            </w:pPr>
            <w:r w:rsidRPr="00210AC6">
              <w:rPr>
                <w:rFonts w:cs="Arial"/>
                <w:szCs w:val="16"/>
              </w:rPr>
              <w:t>1</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33%</w:t>
            </w:r>
          </w:p>
        </w:tc>
        <w:tc>
          <w:tcPr>
            <w:tcW w:w="833" w:type="pct"/>
          </w:tcPr>
          <w:p w14:paraId="23A64B98" w14:textId="5F4E05F3" w:rsidR="00AC185D" w:rsidRPr="00210AC6" w:rsidRDefault="00AC185D" w:rsidP="00AC185D">
            <w:pPr>
              <w:rPr>
                <w:rFonts w:cs="Arial"/>
                <w:szCs w:val="16"/>
              </w:rPr>
            </w:pPr>
            <w:r w:rsidRPr="00210AC6">
              <w:rPr>
                <w:rFonts w:cs="Arial"/>
                <w:szCs w:val="16"/>
              </w:rPr>
              <w:t>2</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92%</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28%</w:t>
            </w:r>
          </w:p>
        </w:tc>
        <w:tc>
          <w:tcPr>
            <w:tcW w:w="833" w:type="pct"/>
          </w:tcPr>
          <w:p w14:paraId="2EA39B53" w14:textId="06051205" w:rsidR="00AC185D" w:rsidRPr="00210AC6" w:rsidRDefault="00AC185D" w:rsidP="00AC185D">
            <w:pPr>
              <w:rPr>
                <w:rFonts w:cs="Arial"/>
                <w:szCs w:val="16"/>
              </w:rPr>
            </w:pPr>
            <w:r w:rsidRPr="00210AC6">
              <w:rPr>
                <w:rFonts w:cs="Arial"/>
                <w:szCs w:val="16"/>
              </w:rPr>
              <w:t>1</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95%</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88%</w:t>
            </w:r>
          </w:p>
        </w:tc>
        <w:tc>
          <w:tcPr>
            <w:tcW w:w="833" w:type="pct"/>
          </w:tcPr>
          <w:p w14:paraId="7840B150" w14:textId="6A0FC50C" w:rsidR="0019671E" w:rsidRPr="00210AC6" w:rsidRDefault="0019671E" w:rsidP="0019671E">
            <w:pPr>
              <w:rPr>
                <w:rFonts w:cs="Arial"/>
                <w:szCs w:val="16"/>
              </w:rPr>
            </w:pPr>
            <w:r w:rsidRPr="00210AC6">
              <w:rPr>
                <w:rFonts w:cs="Arial"/>
                <w:szCs w:val="16"/>
              </w:rPr>
              <w:t>1</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84%</w:t>
            </w:r>
          </w:p>
        </w:tc>
        <w:tc>
          <w:tcPr>
            <w:tcW w:w="833" w:type="pct"/>
          </w:tcPr>
          <w:p w14:paraId="4338D452" w14:textId="060DA0F7" w:rsidR="0019671E" w:rsidRPr="00210AC6" w:rsidRDefault="0019671E" w:rsidP="0019671E">
            <w:pPr>
              <w:rPr>
                <w:rFonts w:cs="Arial"/>
                <w:szCs w:val="16"/>
              </w:rPr>
            </w:pPr>
            <w:r w:rsidRPr="00210AC6">
              <w:rPr>
                <w:rFonts w:cs="Arial"/>
                <w:szCs w:val="16"/>
              </w:rPr>
              <w:t>1</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44%</w:t>
            </w:r>
          </w:p>
        </w:tc>
        <w:tc>
          <w:tcPr>
            <w:tcW w:w="833" w:type="pct"/>
          </w:tcPr>
          <w:p w14:paraId="423E4ADA" w14:textId="0CADE31A" w:rsidR="0019671E" w:rsidRPr="00210AC6" w:rsidRDefault="0019671E" w:rsidP="0019671E">
            <w:pPr>
              <w:rPr>
                <w:rFonts w:cs="Arial"/>
                <w:szCs w:val="16"/>
              </w:rPr>
            </w:pPr>
            <w:r w:rsidRPr="00210AC6">
              <w:rPr>
                <w:rFonts w:cs="Arial"/>
                <w:szCs w:val="16"/>
              </w:rPr>
              <w:t>2</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96%</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21%</w:t>
            </w:r>
          </w:p>
        </w:tc>
        <w:tc>
          <w:tcPr>
            <w:tcW w:w="833" w:type="pct"/>
          </w:tcPr>
          <w:p w14:paraId="12B13418" w14:textId="014DA8D1" w:rsidR="0019671E" w:rsidRPr="00210AC6" w:rsidRDefault="0019671E" w:rsidP="0019671E">
            <w:pPr>
              <w:rPr>
                <w:rFonts w:cs="Arial"/>
                <w:szCs w:val="16"/>
              </w:rPr>
            </w:pPr>
            <w:r w:rsidRPr="00210AC6">
              <w:rPr>
                <w:rFonts w:cs="Arial"/>
                <w:szCs w:val="16"/>
              </w:rPr>
              <w:t>1</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94%</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13</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1</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66</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0</w:t>
            </w:r>
          </w:p>
        </w:tc>
      </w:tr>
    </w:tbl>
    <w:p w14:paraId="0C2E315C" w14:textId="00ACC19C" w:rsidR="00D12506" w:rsidRDefault="00C56EE8" w:rsidP="00BE0EEF">
      <w:pPr>
        <w:rPr>
          <w:rFonts w:cstheme="minorHAnsi"/>
          <w:szCs w:val="16"/>
        </w:rPr>
      </w:pPr>
      <w:r>
        <w:rPr>
          <w:rFonts w:cstheme="minorHAnsi"/>
          <w:szCs w:val="16"/>
        </w:rPr>
        <w:t xml:space="preserve">**When providing exiting data under section 618 of the IDEA, States </w:t>
      </w:r>
      <w:proofErr w:type="gramStart"/>
      <w:r>
        <w:rPr>
          <w:rFonts w:cstheme="minorHAnsi"/>
          <w:szCs w:val="16"/>
        </w:rPr>
        <w:t>are required</w:t>
      </w:r>
      <w:proofErr w:type="gramEnd"/>
      <w:r>
        <w:rPr>
          <w:rFonts w:cstheme="minorHAnsi"/>
          <w:szCs w:val="16"/>
        </w:rPr>
        <w:t xml:space="preserve">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5"/>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0DEB10A7" w:rsidR="00AA1152" w:rsidRPr="00210AC6" w:rsidRDefault="00CA360B" w:rsidP="00AA1152">
            <w:pPr>
              <w:rPr>
                <w:rFonts w:cs="Arial"/>
                <w:szCs w:val="16"/>
              </w:rPr>
            </w:pPr>
            <w:r>
              <w:rPr>
                <w:rFonts w:cs="Arial"/>
                <w:szCs w:val="16"/>
              </w:rPr>
              <w:t xml:space="preserve">Not Valid and </w:t>
            </w:r>
            <w:proofErr w:type="gramStart"/>
            <w:r>
              <w:rPr>
                <w:rFonts w:cs="Arial"/>
                <w:szCs w:val="16"/>
              </w:rPr>
              <w:t>Reliable</w:t>
            </w:r>
            <w:proofErr w:type="gramEnd"/>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0</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99.71%</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53.91%</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0</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99.96%</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93.32%</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1</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268A5F4A" w14:textId="77777777" w:rsidR="00CA360B" w:rsidRPr="00CA360B" w:rsidRDefault="00CA360B" w:rsidP="00CA360B">
      <w:pPr>
        <w:rPr>
          <w:b/>
          <w:bCs/>
          <w:sz w:val="20"/>
          <w:szCs w:val="28"/>
        </w:rPr>
      </w:pPr>
      <w:r w:rsidRPr="00CA360B">
        <w:rPr>
          <w:b/>
          <w:bCs/>
          <w:sz w:val="20"/>
          <w:szCs w:val="28"/>
        </w:rPr>
        <w:t>Mississippi</w:t>
      </w:r>
    </w:p>
    <w:p w14:paraId="00C1D162" w14:textId="77777777" w:rsidR="00CA360B" w:rsidRPr="00CA360B" w:rsidRDefault="00CA360B" w:rsidP="00CA360B"/>
    <w:p w14:paraId="27E7D5D5" w14:textId="314242AE" w:rsidR="00110BB6" w:rsidRDefault="00110BB6" w:rsidP="00110BB6">
      <w:pPr>
        <w:jc w:val="center"/>
      </w:pPr>
      <w:r>
        <w:t>FFY 2021 APR</w:t>
      </w:r>
      <w:r w:rsidR="00A47134">
        <w:rPr>
          <w:rStyle w:val="FootnoteReference"/>
        </w:rPr>
        <w:footnoteReference w:id="6"/>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 xml:space="preserve">Valid and </w:t>
            </w:r>
            <w:proofErr w:type="gramStart"/>
            <w:r w:rsidRPr="00210AC6">
              <w:rPr>
                <w:rFonts w:eastAsia="Times New Roman" w:cs="Arial"/>
                <w:b/>
                <w:bCs/>
                <w:szCs w:val="16"/>
              </w:rPr>
              <w:t>Reliable</w:t>
            </w:r>
            <w:proofErr w:type="gramEnd"/>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0</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20</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xml:space="preserve">-  If the FFY 2021 APR </w:t>
            </w:r>
            <w:proofErr w:type="gramStart"/>
            <w:r w:rsidRPr="00210AC6">
              <w:rPr>
                <w:rFonts w:eastAsia="Times New Roman" w:cs="Arial"/>
                <w:szCs w:val="16"/>
              </w:rPr>
              <w:t>was submitted</w:t>
            </w:r>
            <w:proofErr w:type="gramEnd"/>
            <w:r w:rsidRPr="00210AC6">
              <w:rPr>
                <w:rFonts w:eastAsia="Times New Roman" w:cs="Arial"/>
                <w:szCs w:val="16"/>
              </w:rPr>
              <w:t xml:space="preserve">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25</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7"/>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19</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23.52</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25</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23.52</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48.52</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0.9332</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93.32</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 xml:space="preserve">*Note that any cell marked as N/A in the APR Data Table will decrease the denominator by </w:t>
      </w:r>
      <w:proofErr w:type="gramStart"/>
      <w:r w:rsidRPr="00210AC6">
        <w:rPr>
          <w:rFonts w:eastAsia="Times New Roman" w:cs="Arial"/>
          <w:b/>
          <w:bCs/>
          <w:szCs w:val="16"/>
        </w:rPr>
        <w:t>1</w:t>
      </w:r>
      <w:proofErr w:type="gramEnd"/>
      <w:r w:rsidRPr="00210AC6">
        <w:rPr>
          <w:rFonts w:eastAsia="Times New Roman" w:cs="Arial"/>
          <w:b/>
          <w:bCs/>
          <w:szCs w:val="16"/>
        </w:rPr>
        <w:t>,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w:t>
      </w:r>
      <w:proofErr w:type="gramStart"/>
      <w:r w:rsidRPr="008A41E6">
        <w:t>are</w:t>
      </w:r>
      <w:proofErr w:type="gramEnd"/>
      <w:r w:rsidRPr="008A41E6">
        <w:t xml:space="preserv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A State will receive one point if it submits all EDFacts files or the entire EMAPS survey associated with the IDEA Section 618 data collection to ED by the initial due date for that collection (as described the table below)</w:t>
      </w:r>
      <w:proofErr w:type="gramStart"/>
      <w:r w:rsidRPr="004777CA">
        <w:t xml:space="preserve">.  </w:t>
      </w:r>
      <w:proofErr w:type="gramEnd"/>
      <w:r w:rsidRPr="004777CA">
        <w:t xml:space="preserve">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 xml:space="preserve">Wednesday in the </w:t>
            </w:r>
            <w:proofErr w:type="gramStart"/>
            <w:r w:rsidRPr="004777CA">
              <w:t>3</w:t>
            </w:r>
            <w:r w:rsidRPr="004777CA">
              <w:rPr>
                <w:vertAlign w:val="superscript"/>
              </w:rPr>
              <w:t>rd</w:t>
            </w:r>
            <w:proofErr w:type="gramEnd"/>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 xml:space="preserve">A State will receive one point if it submits data for all files, permitted values, category sets, subtotals, and totals associated with a specific data collection by the initial due date. No data </w:t>
      </w:r>
      <w:proofErr w:type="gramStart"/>
      <w:r w:rsidRPr="004777CA">
        <w:t>is reported</w:t>
      </w:r>
      <w:proofErr w:type="gramEnd"/>
      <w:r w:rsidRPr="004777CA">
        <w:t xml:space="preserve"> as missing. No placeholder data </w:t>
      </w:r>
      <w:proofErr w:type="gramStart"/>
      <w:r w:rsidRPr="004777CA">
        <w:t>is submitted</w:t>
      </w:r>
      <w:proofErr w:type="gramEnd"/>
      <w:r w:rsidRPr="004777CA">
        <w:t>. The data submitted to EDFacts aligns with the metadata survey responses provided by the state in the State Supplemental Survey IDEA (SSS IDEA) and Assessment Metadata survey in EMAPS</w:t>
      </w:r>
      <w:proofErr w:type="gramStart"/>
      <w:r w:rsidRPr="004777CA">
        <w:t xml:space="preserve">.  </w:t>
      </w:r>
      <w:proofErr w:type="gramEnd"/>
      <w:r w:rsidRPr="004777CA">
        <w:t>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429E0EE7" w14:textId="77777777" w:rsidR="00434E38" w:rsidRDefault="00434E38">
      <w:pPr>
        <w:spacing w:before="0" w:after="200" w:line="276" w:lineRule="auto"/>
      </w:pPr>
    </w:p>
    <w:p w14:paraId="10BA59E7" w14:textId="12384732" w:rsidR="0058254D" w:rsidRDefault="00CA360B">
      <w:pPr>
        <w:spacing w:before="0" w:after="200" w:line="276" w:lineRule="auto"/>
      </w:pPr>
      <w:r>
        <w:object w:dxaOrig="1540" w:dyaOrig="997" w14:anchorId="68A6467F">
          <v:shape id="_x0000_i1026" type="#_x0000_t75" alt="MS-B-DR-2021-22" style="width:76.5pt;height:49.5pt" o:ole="">
            <v:imagedata r:id="rId12" o:title=""/>
          </v:shape>
          <o:OLEObject Type="Embed" ProgID="Acrobat.Document.DC" ShapeID="_x0000_i1026" DrawAspect="Icon" ObjectID="_1752309091"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w:t>
      </w:r>
      <w:proofErr w:type="gramStart"/>
      <w:r w:rsidRPr="00D733C3">
        <w:rPr>
          <w:rFonts w:cs="Arial"/>
          <w:szCs w:val="16"/>
        </w:rPr>
        <w:t xml:space="preserve">.  </w:t>
      </w:r>
      <w:proofErr w:type="gramEnd"/>
      <w:r w:rsidRPr="00D733C3">
        <w:rPr>
          <w:rFonts w:cs="Arial"/>
          <w:szCs w:val="16"/>
        </w:rPr>
        <w:t xml:space="preserve">How the Department Made Determinations in 2023 will </w:t>
      </w:r>
      <w:proofErr w:type="gramStart"/>
      <w:r w:rsidRPr="00D733C3">
        <w:rPr>
          <w:rFonts w:cs="Arial"/>
          <w:szCs w:val="16"/>
        </w:rPr>
        <w:t>be posted</w:t>
      </w:r>
      <w:proofErr w:type="gramEnd"/>
      <w:r w:rsidRPr="00D733C3">
        <w:rPr>
          <w:rFonts w:cs="Arial"/>
          <w:szCs w:val="16"/>
        </w:rPr>
        <w:t xml:space="preserve">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B83FD1">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5" w:name="Introduction"/>
      <w:bookmarkStart w:id="96" w:name="_Hlk124349373"/>
      <w:bookmarkEnd w:id="3"/>
      <w:bookmarkEnd w:id="95"/>
      <w:bookmarkEnd w:id="96"/>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proofErr w:type="gramStart"/>
            <w:r>
              <w:t>3</w:t>
            </w:r>
            <w:proofErr w:type="gramEnd"/>
            <w:r>
              <w:rPr>
                <w:noProof/>
              </w:rPr>
              <w:fldChar w:fldCharType="end"/>
            </w:r>
            <w:r>
              <w:ptab w:relativeTo="margin" w:alignment="right" w:leader="none"/>
            </w:r>
            <w:r>
              <w:t>Part B</w:t>
            </w:r>
          </w:p>
        </w:sdtContent>
      </w:sdt>
    </w:sdtContent>
  </w:sdt>
  <w:p w14:paraId="1BC23CDB" w14:textId="366F33BD" w:rsidR="001D7FB4" w:rsidRDefault="00B83FD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52CD1602" w14:textId="5A2D3021" w:rsidR="00CA360B" w:rsidRPr="00354EED" w:rsidRDefault="00CA360B" w:rsidP="00CA360B">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354EED">
        <w:rPr>
          <w:rFonts w:cs="Arial"/>
          <w:szCs w:val="16"/>
        </w:rPr>
        <w:t>ent data source to report data under this indicator.</w:t>
      </w:r>
      <w:bookmarkEnd w:id="5"/>
    </w:p>
  </w:footnote>
  <w:footnote w:id="3">
    <w:p w14:paraId="0BA6E7F8" w14:textId="36D286CA" w:rsidR="00354EED" w:rsidRDefault="00354EED">
      <w:pPr>
        <w:pStyle w:val="FootnoteText"/>
      </w:pPr>
      <w:r w:rsidRPr="00354EED">
        <w:rPr>
          <w:rStyle w:val="FootnoteReference"/>
          <w:sz w:val="16"/>
          <w:szCs w:val="16"/>
        </w:rPr>
        <w:footnoteRef/>
      </w:r>
      <w:r w:rsidRPr="00354EED">
        <w:rPr>
          <w:sz w:val="16"/>
          <w:szCs w:val="16"/>
        </w:rPr>
        <w:t xml:space="preserve"> </w:t>
      </w:r>
      <w:r w:rsidRPr="00354EED">
        <w:rPr>
          <w:rFonts w:cs="Arial"/>
          <w:sz w:val="16"/>
          <w:szCs w:val="16"/>
        </w:rPr>
        <w:t>Percentage blurred due to privacy protection.</w:t>
      </w:r>
    </w:p>
  </w:footnote>
  <w:footnote w:id="4">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5">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6">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7">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B83FD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4EED"/>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4E38"/>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6B4"/>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3FD1"/>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3CF"/>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60B"/>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1FC"/>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A9DCB-E3D8-4048-BDD4-1F7881EB959B}">
  <ds:schemaRefs>
    <ds:schemaRef ds:uri="http://schemas.openxmlformats.org/package/2006/metadata/core-properties"/>
    <ds:schemaRef ds:uri="292db1e8-b3d0-4356-8ef3-2a6d7ed77883"/>
    <ds:schemaRef ds:uri="http://schemas.microsoft.com/office/2006/documentManagement/types"/>
    <ds:schemaRef ds:uri="http://www.w3.org/XML/1998/namespace"/>
    <ds:schemaRef ds:uri="http://purl.org/dc/elements/1.1/"/>
    <ds:schemaRef ds:uri="http://schemas.microsoft.com/office/infopath/2007/PartnerControls"/>
    <ds:schemaRef ds:uri="4f36bac4-6705-4a36-974b-7c07450fedf2"/>
    <ds:schemaRef ds:uri="http://schemas.microsoft.com/office/2006/metadata/properties"/>
    <ds:schemaRef ds:uri="http://schemas.microsoft.com/sharepoint/v3"/>
    <ds:schemaRef ds:uri="http://purl.org/dc/dcmitype/"/>
    <ds:schemaRef ds:uri="http://purl.org/dc/terms/"/>
  </ds:schemaRefs>
</ds:datastoreItem>
</file>

<file path=customXml/itemProps2.xml><?xml version="1.0" encoding="utf-8"?>
<ds:datastoreItem xmlns:ds="http://schemas.openxmlformats.org/officeDocument/2006/customXml" ds:itemID="{4791BE65-897A-4EA5-9016-5D3EAF0C83FD}"/>
</file>

<file path=customXml/itemProps3.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9</TotalTime>
  <Pages>80</Pages>
  <Words>39703</Words>
  <Characters>226310</Characters>
  <Application>Microsoft Office Word</Application>
  <DocSecurity>0</DocSecurity>
  <Lines>1885</Lines>
  <Paragraphs>530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6</cp:revision>
  <cp:lastPrinted>2014-08-19T16:56:00Z</cp:lastPrinted>
  <dcterms:created xsi:type="dcterms:W3CDTF">2023-06-28T20:39:00Z</dcterms:created>
  <dcterms:modified xsi:type="dcterms:W3CDTF">2023-07-31T16:45:00Z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