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1071FD"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B</w:t>
      </w:r>
    </w:p>
    <w:p w14:paraId="775F9C1C" w14:textId="77777777" w:rsidR="007B35BE" w:rsidRPr="001071FD" w:rsidRDefault="007B35BE" w:rsidP="007B35BE">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29F4DA54" w14:textId="77777777" w:rsidR="007B35BE" w:rsidRPr="001071FD" w:rsidRDefault="007B35BE" w:rsidP="007B35BE">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168A19B" w14:textId="77777777" w:rsidR="007B35BE" w:rsidRPr="001071FD" w:rsidRDefault="007B35BE" w:rsidP="007B35BE">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Northern Mariana Islands</w:t>
      </w:r>
    </w:p>
    <w:p w14:paraId="160C9007"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7777777" w:rsidR="007B35BE" w:rsidRPr="005C29F8" w:rsidRDefault="007B35BE" w:rsidP="007B35BE">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B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00155D5B" w14:textId="77777777" w:rsidR="007B35BE" w:rsidRPr="005C29F8" w:rsidRDefault="007B35BE" w:rsidP="007B35BE">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4EAB0E73" w14:textId="660D4F64" w:rsidR="007B35BE" w:rsidRDefault="007B35BE" w:rsidP="007B35BE">
      <w:pPr>
        <w:jc w:val="center"/>
        <w:rPr>
          <w:rFonts w:cs="Arial"/>
          <w:b/>
          <w:bCs/>
          <w:color w:val="000000" w:themeColor="text1"/>
          <w:sz w:val="18"/>
          <w:szCs w:val="18"/>
        </w:rPr>
      </w:pPr>
      <w:r w:rsidRPr="005C29F8">
        <w:rPr>
          <w:rFonts w:cs="Arial"/>
          <w:b/>
          <w:bCs/>
          <w:color w:val="000000" w:themeColor="text1"/>
          <w:sz w:val="18"/>
          <w:szCs w:val="18"/>
        </w:rPr>
        <w:t>WASHINGTON, DC 20202</w:t>
      </w:r>
    </w:p>
    <w:p w14:paraId="27ABABDC" w14:textId="7FECEC69" w:rsidR="00AB39FB" w:rsidRDefault="00AB39FB">
      <w:pPr>
        <w:spacing w:before="0" w:after="200" w:line="276" w:lineRule="auto"/>
        <w:rPr>
          <w:rFonts w:cs="Arial"/>
          <w:b/>
          <w:bCs/>
          <w:color w:val="000000" w:themeColor="text1"/>
          <w:sz w:val="18"/>
          <w:szCs w:val="18"/>
        </w:rPr>
      </w:pPr>
      <w:r>
        <w:rPr>
          <w:rFonts w:cs="Arial"/>
          <w:b/>
          <w:bCs/>
          <w:color w:val="000000" w:themeColor="text1"/>
          <w:sz w:val="18"/>
          <w:szCs w:val="18"/>
        </w:rPr>
        <w:br w:type="page"/>
      </w:r>
    </w:p>
    <w:p w14:paraId="3F368203" w14:textId="77777777" w:rsidR="00AB39FB" w:rsidRPr="005C29F8" w:rsidRDefault="00AB39FB" w:rsidP="007B35BE">
      <w:pPr>
        <w:jc w:val="center"/>
        <w:rPr>
          <w:rFonts w:cs="Arial"/>
          <w:b/>
          <w:bCs/>
          <w:color w:val="000000" w:themeColor="text1"/>
          <w:sz w:val="18"/>
          <w:szCs w:val="18"/>
        </w:rPr>
      </w:pPr>
    </w:p>
    <w:p w14:paraId="0E7D29A1" w14:textId="2C077CCB" w:rsidR="00AF5649" w:rsidRPr="005C29F8" w:rsidRDefault="00AF5649" w:rsidP="007D435F">
      <w:pPr>
        <w:pStyle w:val="Heading1"/>
        <w:rPr>
          <w:rFonts w:cs="Arial"/>
          <w:color w:val="000000" w:themeColor="text1"/>
          <w:szCs w:val="20"/>
        </w:rPr>
      </w:pPr>
      <w:r w:rsidRPr="005C29F8">
        <w:rPr>
          <w:rFonts w:cs="Arial"/>
          <w:color w:val="000000" w:themeColor="text1"/>
          <w:szCs w:val="20"/>
        </w:rPr>
        <w:t>Introduction</w:t>
      </w:r>
    </w:p>
    <w:p w14:paraId="5B9171B6" w14:textId="1B94FDAA" w:rsidR="007742F1" w:rsidRPr="005C29F8" w:rsidRDefault="007742F1" w:rsidP="00A018D4">
      <w:pPr>
        <w:rPr>
          <w:rFonts w:asciiTheme="majorHAnsi" w:hAnsiTheme="majorHAnsi"/>
          <w:color w:val="000000" w:themeColor="text1"/>
          <w:sz w:val="20"/>
          <w:szCs w:val="20"/>
        </w:rPr>
      </w:pPr>
      <w:r w:rsidRPr="005C29F8">
        <w:rPr>
          <w:b/>
          <w:color w:val="000000" w:themeColor="text1"/>
          <w:sz w:val="20"/>
          <w:szCs w:val="20"/>
        </w:rPr>
        <w:t>Instructions</w:t>
      </w:r>
    </w:p>
    <w:p w14:paraId="696881EF" w14:textId="783B44AF" w:rsidR="00AA4DAF" w:rsidRPr="005C29F8" w:rsidRDefault="00AA4DAF" w:rsidP="00A84FF8">
      <w:pPr>
        <w:rPr>
          <w:rFonts w:cs="Arial"/>
          <w:color w:val="000000" w:themeColor="text1"/>
          <w:szCs w:val="16"/>
        </w:rPr>
      </w:pPr>
      <w:r w:rsidRPr="005C29F8">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33429D" w:rsidRDefault="00684B51" w:rsidP="008645AD">
      <w:pPr>
        <w:pStyle w:val="Heading2"/>
      </w:pPr>
      <w:r w:rsidRPr="0033429D">
        <w:t xml:space="preserve">Intro - </w:t>
      </w:r>
      <w:r w:rsidR="007742F1" w:rsidRPr="0033429D">
        <w:t>Indicator Data</w:t>
      </w:r>
    </w:p>
    <w:p w14:paraId="72B2C3E7" w14:textId="767D9111" w:rsidR="00AF5649" w:rsidRPr="005C29F8" w:rsidRDefault="00AF5649" w:rsidP="004369B2">
      <w:pPr>
        <w:rPr>
          <w:color w:val="000000" w:themeColor="text1"/>
        </w:rPr>
      </w:pPr>
      <w:r w:rsidRPr="005C29F8">
        <w:rPr>
          <w:b/>
          <w:color w:val="000000" w:themeColor="text1"/>
        </w:rPr>
        <w:t>Executive Summary</w:t>
      </w:r>
    </w:p>
    <w:p w14:paraId="04B2974F" w14:textId="0DF01750" w:rsidR="000C24C2" w:rsidRPr="005C29F8" w:rsidRDefault="002B7490" w:rsidP="00AF5649">
      <w:pPr>
        <w:rPr>
          <w:rFonts w:cs="Arial"/>
          <w:color w:val="000000" w:themeColor="text1"/>
          <w:szCs w:val="16"/>
        </w:rPr>
      </w:pPr>
      <w:r w:rsidRPr="005C29F8">
        <w:rPr>
          <w:rFonts w:cs="Arial"/>
          <w:color w:val="000000" w:themeColor="text1"/>
          <w:szCs w:val="16"/>
        </w:rPr>
        <w:t xml:space="preserve">This Executive Summary includes a description of CNMI’s IDEA Part B State Performance Plan (SPP) and Annual Performance Report (APR) for FFY 2019. A description of the CNMI’s General Supervision System, Technical Assistance System, Professional Development System and Stakeholder Involvement in the development and review of the SPP and APR and how the CNMI will report the SPP and APR to the Public are provided separately within this Introduction section of CNMI’s FFY 2019 APR. </w:t>
      </w:r>
      <w:r w:rsidRPr="005C29F8">
        <w:rPr>
          <w:rFonts w:cs="Arial"/>
          <w:color w:val="000000" w:themeColor="text1"/>
          <w:szCs w:val="16"/>
        </w:rPr>
        <w:br/>
      </w:r>
      <w:r w:rsidRPr="005C29F8">
        <w:rPr>
          <w:rFonts w:cs="Arial"/>
          <w:color w:val="000000" w:themeColor="text1"/>
          <w:szCs w:val="16"/>
        </w:rPr>
        <w:br/>
        <w:t xml:space="preserve">In FFY 2013, the CNMI stakeholders determined targets for Results Indicators through FFY 2018. In 2019, the Special Education State Advisory Panel (SESAP) provided input on additional targets for the Results Indicators for FFY 2019. This FFY 2019 APR includes current performance data on 14 of the 16 Indicator measures: Indicators 1, 2, 3, 4, 5, 6, 7, 8, 11, 12, 13, 14, 15, and 16. Per OSEP’s instructions, SPP Indicators 3A, 4B, 9 and 10 do not apply to the CNMI. For each applicable SPP Indicator measure, CNMI reports FFY 2019 progress data to determine if CNMI met its FFY 2019 targets, an explanation of slippage if CNMI did not meet its target, and a response to any issue identified in the 2020 OSEP SPP/APR Determination letter for CNMI’s FFY 2018 SPP/APR. </w:t>
      </w:r>
      <w:r w:rsidRPr="005C29F8">
        <w:rPr>
          <w:rFonts w:cs="Arial"/>
          <w:color w:val="000000" w:themeColor="text1"/>
          <w:szCs w:val="16"/>
        </w:rPr>
        <w:br/>
      </w:r>
      <w:r w:rsidRPr="005C29F8">
        <w:rPr>
          <w:rFonts w:cs="Arial"/>
          <w:color w:val="000000" w:themeColor="text1"/>
          <w:szCs w:val="16"/>
        </w:rPr>
        <w:br/>
        <w:t>Indicator 17, the State Systemic Improvement Plan (SSIP) Phase III Year 5 will be submitted as required no later than April 1, 2021.</w:t>
      </w:r>
    </w:p>
    <w:p w14:paraId="223A8781" w14:textId="77777777" w:rsidR="00757D21" w:rsidRPr="002536C1" w:rsidRDefault="00757D21" w:rsidP="002536C1">
      <w:pPr>
        <w:rPr>
          <w:b/>
          <w:bCs/>
        </w:rPr>
      </w:pPr>
      <w:r w:rsidRPr="002536C1">
        <w:rPr>
          <w:b/>
          <w:bCs/>
        </w:rPr>
        <w:t>Additional information related to data collection and reporting</w:t>
      </w:r>
    </w:p>
    <w:p w14:paraId="614EAC72" w14:textId="596641E7" w:rsidR="00757D21" w:rsidRDefault="00757D21">
      <w:pPr>
        <w:rPr>
          <w:b/>
          <w:color w:val="000000" w:themeColor="text1"/>
        </w:rPr>
      </w:pPr>
      <w:r w:rsidRPr="005C29F8">
        <w:rPr>
          <w:color w:val="000000" w:themeColor="text1"/>
        </w:rPr>
        <w:t>The COVID-19 pandemic impacted school operations with schools closing on March 16, 2020 for the remainder of school year 2019-2020. In addition, CNMI's austerity measures due to the economic impact of the recent super typhoon natural disaster compounded by the COVID-19 pandemic also impacted school operations. The impact on CNMI's data collection and reporting is reflected in the related indicators, which include the following:</w:t>
      </w:r>
      <w:r w:rsidRPr="005C29F8">
        <w:rPr>
          <w:color w:val="000000" w:themeColor="text1"/>
        </w:rPr>
        <w:br/>
      </w:r>
      <w:r w:rsidRPr="005C29F8">
        <w:rPr>
          <w:color w:val="000000" w:themeColor="text1"/>
        </w:rPr>
        <w:br/>
        <w:t>-Personnel having to adjust to administering tests virtually.</w:t>
      </w:r>
      <w:r w:rsidRPr="005C29F8">
        <w:rPr>
          <w:color w:val="000000" w:themeColor="text1"/>
        </w:rPr>
        <w:br/>
        <w:t>-CNMI’s austerity limited the availability of furloughed general education teachers who had information about the concerns regarding the students prior to schools closing. General education teachers were furloughed from April 1, 2020 – August 26, 2020.</w:t>
      </w:r>
      <w:r w:rsidRPr="005C29F8">
        <w:rPr>
          <w:color w:val="000000" w:themeColor="text1"/>
        </w:rPr>
        <w:br/>
        <w:t>-CNMI PSS implemented a 4-day work/school week, which limited access to general education personnel.</w:t>
      </w:r>
      <w:r w:rsidRPr="005C29F8">
        <w:rPr>
          <w:color w:val="000000" w:themeColor="text1"/>
        </w:rPr>
        <w:br/>
        <w:t xml:space="preserve">-CNMI PSS implemented distance learning with limited face-to-face interventions beginning the new school year 2020-2021. </w:t>
      </w:r>
      <w:r w:rsidRPr="005C29F8">
        <w:rPr>
          <w:color w:val="000000" w:themeColor="text1"/>
        </w:rPr>
        <w:br/>
        <w:t>-CNMI PSS implemented an online school registration system, which resulted in issues for students transitioning or transferring to another school at the beginning of school year 2020-2021.</w:t>
      </w:r>
    </w:p>
    <w:p w14:paraId="4ADBDC7F" w14:textId="2CA8C307" w:rsidR="00C01339" w:rsidRPr="005C29F8" w:rsidRDefault="00AF5649">
      <w:pPr>
        <w:rPr>
          <w:b/>
          <w:color w:val="000000" w:themeColor="text1"/>
        </w:rPr>
      </w:pPr>
      <w:r w:rsidRPr="005C29F8">
        <w:rPr>
          <w:b/>
          <w:color w:val="000000" w:themeColor="text1"/>
        </w:rPr>
        <w:t xml:space="preserve">Number of Districts in your State/Territory during reporting year </w:t>
      </w:r>
    </w:p>
    <w:p w14:paraId="36C38539" w14:textId="1E194795" w:rsidR="00AF5649" w:rsidRPr="005C29F8" w:rsidRDefault="002B7490" w:rsidP="004369B2">
      <w:pPr>
        <w:rPr>
          <w:color w:val="000000" w:themeColor="text1"/>
        </w:rPr>
      </w:pPr>
      <w:r w:rsidRPr="005C29F8">
        <w:rPr>
          <w:color w:val="000000" w:themeColor="text1"/>
        </w:rPr>
        <w:t>1</w:t>
      </w:r>
    </w:p>
    <w:p w14:paraId="785B8E3E" w14:textId="4519B26B" w:rsidR="00AF5649" w:rsidRPr="005C29F8" w:rsidRDefault="00AF5649" w:rsidP="004369B2">
      <w:pPr>
        <w:rPr>
          <w:color w:val="000000" w:themeColor="text1"/>
        </w:rPr>
      </w:pPr>
      <w:r w:rsidRPr="005C29F8">
        <w:rPr>
          <w:b/>
          <w:color w:val="000000" w:themeColor="text1"/>
        </w:rPr>
        <w:t>General Supervision System</w:t>
      </w:r>
    </w:p>
    <w:p w14:paraId="6B6CEAB0"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systems that are in place to ensure that IDEA Part B requirements are met, e.g., monitoring, dispute resolution, etc.</w:t>
      </w:r>
    </w:p>
    <w:p w14:paraId="7941FC2D" w14:textId="30866F75" w:rsidR="000C24C2" w:rsidRPr="005C29F8" w:rsidRDefault="002B7490" w:rsidP="00AF5649">
      <w:pPr>
        <w:rPr>
          <w:rFonts w:cs="Arial"/>
          <w:color w:val="000000" w:themeColor="text1"/>
          <w:szCs w:val="16"/>
        </w:rPr>
      </w:pPr>
      <w:r w:rsidRPr="005C29F8">
        <w:rPr>
          <w:rFonts w:cs="Arial"/>
          <w:color w:val="000000" w:themeColor="text1"/>
          <w:szCs w:val="16"/>
        </w:rPr>
        <w:t>The CNMI is a unitary educational system responsible for the implementation and supervision of special education and related services to children 3 through 21 years old in 20 public schools on 3 populated islands. The general supervision system includes a monitoring system which allows for the identification and correction of non-compliance in a timely manner and is focused on improved educational results and functional outcomes for students with disabilities. The Monitoring Procedures, updated in May 2011, includes OSEP’s Memorandum 09-02 on timely correction of noncompliance, a definition of a “Finding”, a description of sanctions that are in line with the Public School System (PSS) Disciplinary Procedures, the timelines and responsible party for the issuance of “Notice of Findings and/or Notice of Failure to Correct” from the Commissioner of Education, the monitoring responsibilities of 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26D57A13" w14:textId="05DE836C" w:rsidR="00AF5649" w:rsidRPr="005C29F8" w:rsidRDefault="00AF5649" w:rsidP="004369B2">
      <w:pPr>
        <w:rPr>
          <w:color w:val="000000" w:themeColor="text1"/>
        </w:rPr>
      </w:pPr>
      <w:r w:rsidRPr="005C29F8">
        <w:rPr>
          <w:b/>
          <w:color w:val="000000" w:themeColor="text1"/>
        </w:rPr>
        <w:t>Technical Assistance System</w:t>
      </w:r>
    </w:p>
    <w:p w14:paraId="66B8EA84" w14:textId="2BA80156" w:rsidR="00AF5649" w:rsidRPr="005C29F8" w:rsidRDefault="00AF5649" w:rsidP="00AF5649">
      <w:pPr>
        <w:rPr>
          <w:rFonts w:cs="Arial"/>
          <w:b/>
          <w:color w:val="000000" w:themeColor="text1"/>
          <w:szCs w:val="16"/>
        </w:rPr>
      </w:pPr>
      <w:r w:rsidRPr="005C29F8">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5C29F8" w:rsidRDefault="002B7490" w:rsidP="007925C6">
      <w:pPr>
        <w:rPr>
          <w:rFonts w:cs="Arial"/>
          <w:color w:val="000000" w:themeColor="text1"/>
          <w:szCs w:val="16"/>
        </w:rPr>
      </w:pPr>
      <w:r w:rsidRPr="005C29F8">
        <w:rPr>
          <w:rFonts w:cs="Arial"/>
          <w:color w:val="000000" w:themeColor="text1"/>
          <w:szCs w:val="16"/>
        </w:rPr>
        <w:t xml:space="preserve">The CNMI PSS has a technical assistance system and mechanisms in place to ensure timely delivery of high quality, </w:t>
      </w:r>
      <w:proofErr w:type="gramStart"/>
      <w:r w:rsidRPr="005C29F8">
        <w:rPr>
          <w:rFonts w:cs="Arial"/>
          <w:color w:val="000000" w:themeColor="text1"/>
          <w:szCs w:val="16"/>
        </w:rPr>
        <w:t>evidence based</w:t>
      </w:r>
      <w:proofErr w:type="gramEnd"/>
      <w:r w:rsidRPr="005C29F8">
        <w:rPr>
          <w:rFonts w:cs="Arial"/>
          <w:color w:val="000000" w:themeColor="text1"/>
          <w:szCs w:val="16"/>
        </w:rPr>
        <w:t xml:space="preserve"> support is provided to schools aligned to the school needs. Over past few years, the PSS has implemented several system wide initiatives intended to improve results for all students. PSS also accesses and benefits from universal technical assistance provided by OSEP and OSEP-funded TA Centers and Resources, either through publications, guidance tools, resource materials, monthly conference calls and webinars, or in person on site assistance through Pacific Learning Collaboratives or other venues. TA Centers such as NCSI for work on the SIMR, IDEA Data Center for evaluating the SSIP plans and </w:t>
      </w:r>
      <w:proofErr w:type="gramStart"/>
      <w:r w:rsidRPr="005C29F8">
        <w:rPr>
          <w:rFonts w:cs="Arial"/>
          <w:color w:val="000000" w:themeColor="text1"/>
          <w:szCs w:val="16"/>
        </w:rPr>
        <w:t>high quality</w:t>
      </w:r>
      <w:proofErr w:type="gramEnd"/>
      <w:r w:rsidRPr="005C29F8">
        <w:rPr>
          <w:rFonts w:cs="Arial"/>
          <w:color w:val="000000" w:themeColor="text1"/>
          <w:szCs w:val="16"/>
        </w:rPr>
        <w:t xml:space="preserve"> data use, the </w:t>
      </w:r>
      <w:proofErr w:type="spellStart"/>
      <w:r w:rsidRPr="005C29F8">
        <w:rPr>
          <w:rFonts w:cs="Arial"/>
          <w:color w:val="000000" w:themeColor="text1"/>
          <w:szCs w:val="16"/>
        </w:rPr>
        <w:t>DaSy</w:t>
      </w:r>
      <w:proofErr w:type="spellEnd"/>
      <w:r w:rsidRPr="005C29F8">
        <w:rPr>
          <w:rFonts w:cs="Arial"/>
          <w:color w:val="000000" w:themeColor="text1"/>
          <w:szCs w:val="16"/>
        </w:rPr>
        <w:t xml:space="preserve"> Center and ECTA for the collection and analysis of the Early Intervention and Special Education preschool outcomes data. PSS also contracts with the University of Guam Center for Excellence in Developmental Disabilities Education, Research and Service (Guam CEDDERS) for targeted onsite and offsite technical assistance.</w:t>
      </w:r>
    </w:p>
    <w:p w14:paraId="31C31C58" w14:textId="446483D3" w:rsidR="00AF5649" w:rsidRPr="005C29F8" w:rsidRDefault="00AF5649" w:rsidP="004369B2">
      <w:pPr>
        <w:rPr>
          <w:color w:val="000000" w:themeColor="text1"/>
        </w:rPr>
      </w:pPr>
      <w:r w:rsidRPr="005C29F8">
        <w:rPr>
          <w:b/>
          <w:color w:val="000000" w:themeColor="text1"/>
        </w:rPr>
        <w:t>Professional Development System</w:t>
      </w:r>
    </w:p>
    <w:p w14:paraId="25232CAB" w14:textId="77777777" w:rsidR="00AF5649" w:rsidRPr="005C29F8" w:rsidRDefault="00AF5649" w:rsidP="00AF5649">
      <w:pPr>
        <w:rPr>
          <w:rFonts w:cs="Arial"/>
          <w:b/>
          <w:color w:val="000000" w:themeColor="text1"/>
          <w:szCs w:val="16"/>
        </w:rPr>
      </w:pPr>
      <w:r w:rsidRPr="005C29F8">
        <w:rPr>
          <w:rFonts w:cs="Arial"/>
          <w:b/>
          <w:color w:val="000000" w:themeColor="text1"/>
          <w:szCs w:val="16"/>
        </w:rPr>
        <w:t>The mechanisms the State has in place to ensure that service providers have the skills to effectively provide services that improve results for students with disabilities.</w:t>
      </w:r>
    </w:p>
    <w:p w14:paraId="0B77B8C1" w14:textId="3CE3A35D" w:rsidR="007742F1" w:rsidRPr="005C29F8" w:rsidRDefault="002B7490" w:rsidP="007925C6">
      <w:pPr>
        <w:rPr>
          <w:rFonts w:cs="Arial"/>
          <w:color w:val="000000" w:themeColor="text1"/>
          <w:szCs w:val="16"/>
        </w:rPr>
      </w:pPr>
      <w:r w:rsidRPr="005C29F8">
        <w:rPr>
          <w:rFonts w:cs="Arial"/>
          <w:color w:val="000000" w:themeColor="text1"/>
          <w:szCs w:val="16"/>
        </w:rPr>
        <w:t xml:space="preserve">The CNMI PSS has in place a system of professional development (PD) to ensure that service providers, teachers and school level personnel have the knowledge and skills needed to improve the results of all students including students with disabilities. All PSS school level staff are required to maintain 60 PD hours per contract year and to participate in 10 PD events during the school year. Two (2) of the 10 days are designated PD specific to PSS wide initiatives and 8 days are specific to school level needs. </w:t>
      </w:r>
      <w:r w:rsidRPr="005C29F8">
        <w:rPr>
          <w:rFonts w:cs="Arial"/>
          <w:color w:val="000000" w:themeColor="text1"/>
          <w:szCs w:val="16"/>
        </w:rPr>
        <w:br/>
      </w:r>
      <w:r w:rsidRPr="005C29F8">
        <w:rPr>
          <w:rFonts w:cs="Arial"/>
          <w:color w:val="000000" w:themeColor="text1"/>
          <w:szCs w:val="16"/>
        </w:rPr>
        <w:br/>
        <w:t xml:space="preserve">In school year 2019-2020, the office of Student Support Services and the office of Curriculum and Instruction engaged in several focus areas for improvement and included a focus on PD: </w:t>
      </w:r>
      <w:r w:rsidRPr="005C29F8">
        <w:rPr>
          <w:rFonts w:cs="Arial"/>
          <w:color w:val="000000" w:themeColor="text1"/>
          <w:szCs w:val="16"/>
        </w:rPr>
        <w:br/>
        <w:t xml:space="preserve">• The Office of Curriculum and Instruction selected a new Language Arts curriculum for KG to 6th grades. PD continues to be provided to all elementary </w:t>
      </w:r>
      <w:r w:rsidRPr="005C29F8">
        <w:rPr>
          <w:rFonts w:cs="Arial"/>
          <w:color w:val="000000" w:themeColor="text1"/>
          <w:szCs w:val="16"/>
        </w:rPr>
        <w:lastRenderedPageBreak/>
        <w:t xml:space="preserve">schools on the reading curriculum and the essential components of reading. </w:t>
      </w:r>
      <w:r w:rsidRPr="005C29F8">
        <w:rPr>
          <w:rFonts w:cs="Arial"/>
          <w:color w:val="000000" w:themeColor="text1"/>
          <w:szCs w:val="16"/>
        </w:rPr>
        <w:br/>
        <w:t xml:space="preserve">• Reading and Literacy Coaching is now implemented in all elementary schools. The “Literacy” coaches were provided PD and mentoring on coaching methodologies and strategies. </w:t>
      </w:r>
      <w:r w:rsidRPr="005C29F8">
        <w:rPr>
          <w:rFonts w:cs="Arial"/>
          <w:color w:val="000000" w:themeColor="text1"/>
          <w:szCs w:val="16"/>
        </w:rPr>
        <w:br/>
        <w:t xml:space="preserve">• A universal screening has been implemented in all KG to 3rd grade. All teachers, Literacy Coaches and Title I teachers were provided PD on the implementation of the screening procedures with fidelity to ensure the screening data are valid and reliable. The training included data collection and use to make instructional based decisions. The special education program continues to provide ongoing PD on the evaluation and IEP processes, procedural safeguards, transition requirements, specially designed </w:t>
      </w:r>
      <w:proofErr w:type="gramStart"/>
      <w:r w:rsidRPr="005C29F8">
        <w:rPr>
          <w:rFonts w:cs="Arial"/>
          <w:color w:val="000000" w:themeColor="text1"/>
          <w:szCs w:val="16"/>
        </w:rPr>
        <w:t>instruction</w:t>
      </w:r>
      <w:proofErr w:type="gramEnd"/>
      <w:r w:rsidRPr="005C29F8">
        <w:rPr>
          <w:rFonts w:cs="Arial"/>
          <w:color w:val="000000" w:themeColor="text1"/>
          <w:szCs w:val="16"/>
        </w:rPr>
        <w:t xml:space="preserve"> and appropriate accommodations. The special education program continues to provide ongoing PD on the evaluation and IEP processes, procedural safeguards, transition requirements, specially designed </w:t>
      </w:r>
      <w:proofErr w:type="gramStart"/>
      <w:r w:rsidRPr="005C29F8">
        <w:rPr>
          <w:rFonts w:cs="Arial"/>
          <w:color w:val="000000" w:themeColor="text1"/>
          <w:szCs w:val="16"/>
        </w:rPr>
        <w:t>instruction</w:t>
      </w:r>
      <w:proofErr w:type="gramEnd"/>
      <w:r w:rsidRPr="005C29F8">
        <w:rPr>
          <w:rFonts w:cs="Arial"/>
          <w:color w:val="000000" w:themeColor="text1"/>
          <w:szCs w:val="16"/>
        </w:rPr>
        <w:t xml:space="preserve"> and appropriate accommodations. </w:t>
      </w:r>
      <w:r w:rsidRPr="005C29F8">
        <w:rPr>
          <w:rFonts w:cs="Arial"/>
          <w:color w:val="000000" w:themeColor="text1"/>
          <w:szCs w:val="16"/>
        </w:rPr>
        <w:br/>
      </w:r>
      <w:r w:rsidRPr="005C29F8">
        <w:rPr>
          <w:rFonts w:cs="Arial"/>
          <w:color w:val="000000" w:themeColor="text1"/>
          <w:szCs w:val="16"/>
        </w:rPr>
        <w:br/>
        <w:t>The special education teachers of the target schools have been provided with ongoing professional development on the development of present levels of performance, goal development, and progress monitoring.</w:t>
      </w:r>
    </w:p>
    <w:p w14:paraId="0D25C7E9" w14:textId="5F221B54" w:rsidR="00AF5649" w:rsidRPr="005C29F8" w:rsidRDefault="00AF5649" w:rsidP="004369B2">
      <w:pPr>
        <w:rPr>
          <w:color w:val="000000" w:themeColor="text1"/>
        </w:rPr>
      </w:pPr>
      <w:r w:rsidRPr="005C29F8">
        <w:rPr>
          <w:b/>
          <w:color w:val="000000" w:themeColor="text1"/>
        </w:rPr>
        <w:t>Stakeholder Involvement</w:t>
      </w:r>
    </w:p>
    <w:p w14:paraId="7D72E2AC" w14:textId="47327791" w:rsidR="00AF5649" w:rsidRPr="005C29F8" w:rsidRDefault="00AF5649" w:rsidP="00AF5649">
      <w:pPr>
        <w:rPr>
          <w:rFonts w:cs="Arial"/>
          <w:b/>
          <w:color w:val="000000" w:themeColor="text1"/>
          <w:szCs w:val="16"/>
        </w:rPr>
      </w:pPr>
      <w:r w:rsidRPr="005C29F8">
        <w:rPr>
          <w:rFonts w:cs="Arial"/>
          <w:b/>
          <w:color w:val="000000" w:themeColor="text1"/>
          <w:szCs w:val="16"/>
        </w:rPr>
        <w:t>The mechanism for soliciting broad stakeholder input on targets in the SPP, including revisions to targets.</w:t>
      </w:r>
    </w:p>
    <w:p w14:paraId="7621D9ED" w14:textId="6E2BA22E" w:rsidR="000C24C2" w:rsidRPr="005C29F8" w:rsidRDefault="002B7490" w:rsidP="000C24C2">
      <w:pPr>
        <w:rPr>
          <w:rFonts w:cs="Arial"/>
          <w:color w:val="000000" w:themeColor="text1"/>
          <w:szCs w:val="16"/>
        </w:rPr>
      </w:pPr>
      <w:r w:rsidRPr="005C29F8">
        <w:rPr>
          <w:rFonts w:cs="Arial"/>
          <w:color w:val="000000" w:themeColor="text1"/>
          <w:szCs w:val="16"/>
        </w:rPr>
        <w:t xml:space="preserve">With technical assistance provided by the University of Guam Center for Excellence in Developmental Disabilities Education, Research, and Service (Guam CEDDERS), the CNMI PSS, Special Education Program facilitated a process for ensuring broad stakeholder input in the review and development of the CNMI Part B FFY 2019 Annual Performance Report (APR). Primary stakeholders, inclusive of the Special Education State Advisory Panel, school administrators, and the State Board of Education reviewed current performance data to determine progress on the targets. It was discussed that the FFY 2019 APR represented the last reporting year of the current SPP cycle. Stakeholders agreed that CNMI should not make any revisions to the FFY 2019 results targets. </w:t>
      </w:r>
      <w:r w:rsidRPr="005C29F8">
        <w:rPr>
          <w:rFonts w:cs="Arial"/>
          <w:color w:val="000000" w:themeColor="text1"/>
          <w:szCs w:val="16"/>
        </w:rPr>
        <w:br/>
      </w:r>
      <w:r w:rsidRPr="005C29F8">
        <w:rPr>
          <w:rFonts w:cs="Arial"/>
          <w:color w:val="000000" w:themeColor="text1"/>
          <w:szCs w:val="16"/>
        </w:rPr>
        <w:br/>
        <w:t>In FFY 2013, the CNMI primary stakeholders determined targets for Results Indicators through FFY 2018. In 2019, the Special Education State Advisory Panel (SESAP), provided input on additional targets for Results Indicators for FFY 2019. This FFY 2019 APR includes current performance data on 14 of the 16 Indicator measures: Indicators 1, 2, 3, 4, 5, 6, 7, 8, 11, 12, 13, 14, 15, and 16 and additional targets for Results Indicator through FFY 2019. The remaining two indicators, 9 and 10, do not apply to the CNMI.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r w:rsidRPr="005C29F8">
        <w:rPr>
          <w:rFonts w:cs="Arial"/>
          <w:color w:val="000000" w:themeColor="text1"/>
          <w:szCs w:val="16"/>
        </w:rPr>
        <w:br/>
      </w:r>
      <w:r w:rsidRPr="005C29F8">
        <w:rPr>
          <w:rFonts w:cs="Arial"/>
          <w:color w:val="000000" w:themeColor="text1"/>
          <w:szCs w:val="16"/>
        </w:rPr>
        <w:br/>
        <w:t xml:space="preserve">OSEP’s Part B Determination Letter issued on June 25, 2020, the RDA Matrix, and the HTDMD document, showed how OSEP made the CNMI determination using compliance data reported in the APR and results data related to: (1) the participation of children with disabilities (CWD) on regular Statewide assessments; (2) the percentage of CWD who graduated with a regular high school diploma; and (3) the percentage of CWD who dropped out. It should be noted that the CNMI’s RDA 2020 determination was needs assistance, an improvement from the previous year's determination of needs intervention. </w:t>
      </w:r>
    </w:p>
    <w:p w14:paraId="159721AE" w14:textId="7E456FC5" w:rsidR="00084FF1" w:rsidRPr="005C29F8" w:rsidRDefault="00084FF1" w:rsidP="000C24C2">
      <w:pPr>
        <w:rPr>
          <w:rFonts w:cs="Arial"/>
          <w:b/>
          <w:color w:val="000000" w:themeColor="text1"/>
          <w:szCs w:val="16"/>
        </w:rPr>
      </w:pPr>
      <w:r w:rsidRPr="005C29F8">
        <w:rPr>
          <w:rFonts w:cs="Arial"/>
          <w:b/>
          <w:color w:val="000000" w:themeColor="text1"/>
          <w:szCs w:val="16"/>
        </w:rPr>
        <w:t>Apply stakeholder involvement from introduction to all Part B results indicators (y/n)</w:t>
      </w:r>
    </w:p>
    <w:p w14:paraId="2E10E7B0" w14:textId="5143F56E" w:rsidR="00FB0D0A" w:rsidRPr="005C29F8" w:rsidRDefault="002B7490" w:rsidP="004369B2">
      <w:pPr>
        <w:rPr>
          <w:color w:val="000000" w:themeColor="text1"/>
        </w:rPr>
      </w:pPr>
      <w:r w:rsidRPr="005C29F8">
        <w:rPr>
          <w:color w:val="000000" w:themeColor="text1"/>
        </w:rPr>
        <w:t>NO</w:t>
      </w:r>
    </w:p>
    <w:p w14:paraId="41976EFD" w14:textId="52C6C218" w:rsidR="00AF5649" w:rsidRPr="005C29F8" w:rsidRDefault="00AF5649" w:rsidP="004369B2">
      <w:pPr>
        <w:rPr>
          <w:color w:val="000000" w:themeColor="text1"/>
        </w:rPr>
      </w:pPr>
      <w:r w:rsidRPr="005C29F8">
        <w:rPr>
          <w:b/>
          <w:color w:val="000000" w:themeColor="text1"/>
        </w:rPr>
        <w:t>Reporting to the Public</w:t>
      </w:r>
    </w:p>
    <w:p w14:paraId="6989C68F" w14:textId="2D6CBF8D" w:rsidR="00AF5649" w:rsidRPr="005C29F8" w:rsidRDefault="00AF5649" w:rsidP="004369B2">
      <w:pPr>
        <w:rPr>
          <w:b/>
          <w:color w:val="000000" w:themeColor="text1"/>
        </w:rPr>
      </w:pPr>
      <w:r w:rsidRPr="005C29F8">
        <w:rPr>
          <w:b/>
          <w:color w:val="000000" w:themeColor="text1"/>
        </w:rPr>
        <w:t>How and where the State reported to the public on the FFY18 performance of each LEA located in the State on the targets in the SPP/APR as soon as practicable, but no later than 120 days following the State’s submission of its FFY 2018 APR, as required by 34 CFR §300.602(b)(1)(</w:t>
      </w:r>
      <w:proofErr w:type="spellStart"/>
      <w:r w:rsidRPr="005C29F8">
        <w:rPr>
          <w:b/>
          <w:color w:val="000000" w:themeColor="text1"/>
        </w:rPr>
        <w:t>i</w:t>
      </w:r>
      <w:proofErr w:type="spellEnd"/>
      <w:r w:rsidRPr="005C29F8">
        <w:rPr>
          <w:b/>
          <w:color w:val="000000" w:themeColor="text1"/>
        </w:rPr>
        <w:t xml:space="preserve">)(A); and a description of where, on its Web site, a complete copy of the State’s SPP, including any revision if the State has revised the SPP that it submitted with its FFY </w:t>
      </w:r>
      <w:r w:rsidR="0033239B">
        <w:rPr>
          <w:b/>
          <w:color w:val="000000" w:themeColor="text1"/>
        </w:rPr>
        <w:t>2018</w:t>
      </w:r>
      <w:r w:rsidRPr="005C29F8">
        <w:rPr>
          <w:b/>
          <w:color w:val="000000" w:themeColor="text1"/>
        </w:rPr>
        <w:t xml:space="preserve"> APR in </w:t>
      </w:r>
      <w:r w:rsidR="0033239B">
        <w:rPr>
          <w:b/>
          <w:color w:val="000000" w:themeColor="text1"/>
        </w:rPr>
        <w:t>2020</w:t>
      </w:r>
      <w:r w:rsidRPr="005C29F8">
        <w:rPr>
          <w:b/>
          <w:color w:val="000000" w:themeColor="text1"/>
        </w:rPr>
        <w:t>, is available.</w:t>
      </w:r>
    </w:p>
    <w:p w14:paraId="4B111ECA" w14:textId="48A73890" w:rsidR="000C24C2" w:rsidRPr="005C29F8" w:rsidRDefault="002B7490" w:rsidP="007925C6">
      <w:pPr>
        <w:rPr>
          <w:rFonts w:cs="Arial"/>
          <w:color w:val="000000" w:themeColor="text1"/>
          <w:szCs w:val="16"/>
        </w:rPr>
      </w:pPr>
      <w:r w:rsidRPr="005C29F8">
        <w:rPr>
          <w:rFonts w:cs="Arial"/>
          <w:color w:val="000000" w:themeColor="text1"/>
          <w:szCs w:val="16"/>
        </w:rPr>
        <w:t>The CNMI will annually report to the public as soon as practical but no later than 120 days following the submission of the SPP/APR. The CNMI will post the EDEN/EMAPS generated SPP/APR pdf version for public posting and OSEP’s Determination Letter and Response Table on the PSS website at https://www.cnmipss.org/special-education-program.</w:t>
      </w:r>
    </w:p>
    <w:p w14:paraId="5231B97D" w14:textId="77777777" w:rsidR="00466646" w:rsidRPr="005C29F8" w:rsidRDefault="00466646" w:rsidP="007925C6">
      <w:pPr>
        <w:rPr>
          <w:rFonts w:cs="Arial"/>
          <w:color w:val="000000" w:themeColor="text1"/>
          <w:szCs w:val="16"/>
        </w:rPr>
      </w:pPr>
    </w:p>
    <w:p w14:paraId="149B9F3D" w14:textId="71D786D9" w:rsidR="00AA4DAF" w:rsidRPr="0033429D" w:rsidRDefault="00684B51" w:rsidP="008645AD">
      <w:pPr>
        <w:pStyle w:val="Heading2"/>
      </w:pPr>
      <w:r w:rsidRPr="0033429D">
        <w:t xml:space="preserve">Intro - </w:t>
      </w:r>
      <w:r w:rsidR="006B0FD9" w:rsidRPr="0033429D">
        <w:t xml:space="preserve">Prior FFY Required </w:t>
      </w:r>
      <w:r w:rsidR="00AA4DAF" w:rsidRPr="0033429D">
        <w:t xml:space="preserve">Actions </w:t>
      </w:r>
    </w:p>
    <w:p w14:paraId="66CEC339" w14:textId="2D6DB901" w:rsidR="000C24C2" w:rsidRPr="005C29F8" w:rsidRDefault="002B7490" w:rsidP="000B4AA4">
      <w:pPr>
        <w:rPr>
          <w:rFonts w:cs="Arial"/>
          <w:color w:val="000000" w:themeColor="text1"/>
          <w:szCs w:val="16"/>
        </w:rPr>
      </w:pPr>
      <w:r w:rsidRPr="005C29F8">
        <w:rPr>
          <w:rFonts w:cs="Arial"/>
          <w:color w:val="000000" w:themeColor="text1"/>
          <w:szCs w:val="16"/>
        </w:rPr>
        <w:t>In the FFY 2019 SPP/APR, CNMI must report FFY 2019 data for the State-identified Measurable Result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Additionally, CNMI must, consistent with its evaluation plan described in Phase II, assess and report on its progress in implementing the SSIP.  Specifically, CNMI must provide: (1) a narrative or graphic representation of the principal activities implemented in Phase III, Year Five; (2) measures and outcomes that were implemented and achieved since CNMI's last SSIP submission (i.e., April 1, 2020); (3) a summary of the SSIP’s coherent improvement strategies, including infrastructure improvement strategies and evidence-based practices that were implemented and progress toward short-term and long-term outcomes that are intended to impact the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(4) any supporting data that demonstrates that implementation of these activities is impacting the State’s capacity to improve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data.</w:t>
      </w:r>
    </w:p>
    <w:p w14:paraId="6ECA4985" w14:textId="77777777" w:rsidR="008C56EE" w:rsidRPr="005C29F8" w:rsidRDefault="008C56EE" w:rsidP="000B4AA4">
      <w:pPr>
        <w:rPr>
          <w:rFonts w:cs="Arial"/>
          <w:color w:val="000000" w:themeColor="text1"/>
          <w:szCs w:val="16"/>
        </w:rPr>
      </w:pPr>
    </w:p>
    <w:p w14:paraId="615D9F24" w14:textId="3FFD3E4B" w:rsidR="009F764E" w:rsidRPr="005C29F8" w:rsidRDefault="009F764E" w:rsidP="004369B2">
      <w:pPr>
        <w:rPr>
          <w:b/>
          <w:color w:val="000000" w:themeColor="text1"/>
        </w:rPr>
      </w:pPr>
      <w:r w:rsidRPr="005C29F8">
        <w:rPr>
          <w:b/>
          <w:color w:val="000000" w:themeColor="text1"/>
        </w:rPr>
        <w:t>Response to actions required in FFY 2018 SPP/APR</w:t>
      </w:r>
    </w:p>
    <w:p w14:paraId="3302C1DF" w14:textId="2D8F36EA" w:rsidR="000C24C2" w:rsidRPr="005C29F8" w:rsidRDefault="002B7490" w:rsidP="000E33D0">
      <w:pPr>
        <w:rPr>
          <w:rFonts w:cs="Arial"/>
          <w:color w:val="000000" w:themeColor="text1"/>
          <w:szCs w:val="16"/>
        </w:rPr>
      </w:pPr>
      <w:r w:rsidRPr="005C29F8">
        <w:rPr>
          <w:rFonts w:cs="Arial"/>
          <w:color w:val="000000" w:themeColor="text1"/>
          <w:szCs w:val="16"/>
        </w:rPr>
        <w:t xml:space="preserve">Per OSEP's instruction, Indicator 17, the CNMI State Systemic Improvement Plan (SSIP) Phase III Year 5 will be submitted no later than April 1, 2021. CNMI's SSIP Phase III Year 5 will include CNMI's FFY 2019 progress data for its </w:t>
      </w:r>
      <w:proofErr w:type="spellStart"/>
      <w:r w:rsidRPr="005C29F8">
        <w:rPr>
          <w:rFonts w:cs="Arial"/>
          <w:color w:val="000000" w:themeColor="text1"/>
          <w:szCs w:val="16"/>
        </w:rPr>
        <w:t>SiMR</w:t>
      </w:r>
      <w:proofErr w:type="spellEnd"/>
      <w:r w:rsidRPr="005C29F8">
        <w:rPr>
          <w:rFonts w:cs="Arial"/>
          <w:color w:val="000000" w:themeColor="text1"/>
          <w:szCs w:val="16"/>
        </w:rPr>
        <w:t xml:space="preserve"> and progress data and information on CNMI's SSIP implementation. </w:t>
      </w:r>
      <w:r w:rsidRPr="005C29F8">
        <w:rPr>
          <w:rFonts w:cs="Arial"/>
          <w:color w:val="000000" w:themeColor="text1"/>
          <w:szCs w:val="16"/>
        </w:rPr>
        <w:br/>
      </w:r>
      <w:r w:rsidRPr="005C29F8">
        <w:rPr>
          <w:rFonts w:cs="Arial"/>
          <w:color w:val="000000" w:themeColor="text1"/>
          <w:szCs w:val="16"/>
        </w:rPr>
        <w:br/>
        <w:t xml:space="preserve">Specific Conditions imposed on all grants awarded to the CNMI for FFY 2019: </w:t>
      </w:r>
      <w:r w:rsidRPr="005C29F8">
        <w:rPr>
          <w:rFonts w:cs="Arial"/>
          <w:color w:val="000000" w:themeColor="text1"/>
          <w:szCs w:val="16"/>
        </w:rPr>
        <w:br/>
        <w:t xml:space="preserve">1. Technical assistance received: CNMI continues to work with the Department’s Risk Management Service (RMS) to address CNMI’s Public School System (PSS) Special Conditions through onsite and other technical assistance. As a result of the technical assistance the CNMI PSS is no longer required to maintain and report on a Corrective Action Plan (CAP) but is required to submit a biannual report. </w:t>
      </w:r>
      <w:r w:rsidRPr="005C29F8">
        <w:rPr>
          <w:rFonts w:cs="Arial"/>
          <w:color w:val="000000" w:themeColor="text1"/>
          <w:szCs w:val="16"/>
        </w:rPr>
        <w:br/>
        <w:t xml:space="preserve">2. Actions taken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RMS technical assistance: CNMI submits a biannual report with updates on its administration of Department grant funds, with an emphasis on areas of repeat audit findings. In addition, the CNMI PSS has </w:t>
      </w:r>
      <w:r w:rsidRPr="005C29F8">
        <w:rPr>
          <w:rFonts w:cs="Arial"/>
          <w:color w:val="000000" w:themeColor="text1"/>
          <w:szCs w:val="16"/>
        </w:rPr>
        <w:br/>
        <w:t xml:space="preserve">o Increased communication and dialogue with Federal Fiscal Office; </w:t>
      </w:r>
      <w:r w:rsidRPr="005C29F8">
        <w:rPr>
          <w:rFonts w:cs="Arial"/>
          <w:color w:val="000000" w:themeColor="text1"/>
          <w:szCs w:val="16"/>
        </w:rPr>
        <w:br/>
        <w:t xml:space="preserve">o Improved information sharing regarding CNMI's longstanding non-compliance Special Conditions; </w:t>
      </w:r>
      <w:r w:rsidRPr="005C29F8">
        <w:rPr>
          <w:rFonts w:cs="Arial"/>
          <w:color w:val="000000" w:themeColor="text1"/>
          <w:szCs w:val="16"/>
        </w:rPr>
        <w:br/>
        <w:t>o Completed and submitted timely audit reports over the past five years; and</w:t>
      </w:r>
      <w:r w:rsidRPr="005C29F8">
        <w:rPr>
          <w:rFonts w:cs="Arial"/>
          <w:color w:val="000000" w:themeColor="text1"/>
          <w:szCs w:val="16"/>
        </w:rPr>
        <w:br/>
        <w:t>o Conducted the required activities and continues to demonstrate progress towards addressing the Specific Conditions.</w:t>
      </w:r>
    </w:p>
    <w:p w14:paraId="4A252D01" w14:textId="7879CF0B" w:rsidR="00CE6EB0" w:rsidRPr="0033429D" w:rsidRDefault="00684B51" w:rsidP="008645AD">
      <w:pPr>
        <w:pStyle w:val="Heading2"/>
      </w:pPr>
      <w:r w:rsidRPr="0033429D">
        <w:lastRenderedPageBreak/>
        <w:t xml:space="preserve">Intro - </w:t>
      </w:r>
      <w:r w:rsidR="00CE6EB0" w:rsidRPr="0033429D">
        <w:t>OSEP Response</w:t>
      </w:r>
    </w:p>
    <w:p w14:paraId="75883DD0" w14:textId="26E7A768" w:rsidR="000C24C2" w:rsidRPr="005C29F8" w:rsidRDefault="002B7490" w:rsidP="001F692C">
      <w:pPr>
        <w:rPr>
          <w:rFonts w:cs="Arial"/>
          <w:color w:val="000000" w:themeColor="text1"/>
          <w:szCs w:val="16"/>
        </w:rPr>
      </w:pPr>
      <w:r w:rsidRPr="005C29F8">
        <w:rPr>
          <w:rFonts w:cs="Arial"/>
          <w:color w:val="000000" w:themeColor="text1"/>
          <w:szCs w:val="16"/>
        </w:rPr>
        <w:t>The Department has imposed Specific Conditions on the Commonwealth of the Northern Mariana Islands' FFY 2020 IDEA Part B grant award and those Specific Conditions are in effect at the time of the determination.</w:t>
      </w:r>
    </w:p>
    <w:p w14:paraId="53B509C2" w14:textId="7458BB00" w:rsidR="00CE6EB0" w:rsidRPr="0033429D" w:rsidRDefault="00684B51" w:rsidP="008645AD">
      <w:pPr>
        <w:pStyle w:val="Heading2"/>
      </w:pPr>
      <w:r w:rsidRPr="0033429D">
        <w:t>Intro - Required Actions</w:t>
      </w:r>
    </w:p>
    <w:p w14:paraId="4593FA49" w14:textId="4CE6B2B1" w:rsidR="000C24C2" w:rsidRPr="005C29F8" w:rsidRDefault="002B7490" w:rsidP="001F692C">
      <w:pPr>
        <w:rPr>
          <w:rFonts w:cs="Arial"/>
          <w:color w:val="000000" w:themeColor="text1"/>
          <w:szCs w:val="16"/>
        </w:rPr>
      </w:pPr>
      <w:r w:rsidRPr="005C29F8">
        <w:rPr>
          <w:rFonts w:cs="Arial"/>
          <w:color w:val="000000" w:themeColor="text1"/>
          <w:szCs w:val="16"/>
        </w:rPr>
        <w:t xml:space="preserve">The Commonwealth of Northern Mariana Islands' IDEA Part B determination for both 2020 and 2021 is Needs Assistance. In the Commonwealth of the Northern Mariana's 2021 determination letter, the Department advised the Commonwealth of the Northern Mariana of available sources of technical assistance, including OSEP-funded technical assistance centers, and required the Commonwealth of the Northern Mariana to work with appropriate entities. The Department directed the Commonwealth of the Northern Mariana to determine the results elements and/or compliance indicators, and improvement strategies, on which it will focus its use of available technical assistance,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improve its performance. The Commonwealth of the Northern Mariana must report, with its FFY 2020 SPP/APR submission, due February 1, 2022, on: (1) the technical assistance sources from which the Commonwealth of the Northern Mariana received assistance; and (2) the actions the Commonwealth of the Northern Mariana took as a result of that technical assistance.</w:t>
      </w:r>
    </w:p>
    <w:p w14:paraId="42393C4C"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8F1108C" w14:textId="1387D8AF" w:rsidR="00EB0146" w:rsidRPr="005C29F8" w:rsidRDefault="00EB0146" w:rsidP="000444E2">
      <w:pPr>
        <w:pStyle w:val="Heading1"/>
        <w:rPr>
          <w:color w:val="000000" w:themeColor="text1"/>
          <w:sz w:val="22"/>
        </w:rPr>
      </w:pPr>
      <w:r w:rsidRPr="005C29F8">
        <w:rPr>
          <w:color w:val="000000" w:themeColor="text1"/>
          <w:sz w:val="22"/>
        </w:rPr>
        <w:lastRenderedPageBreak/>
        <w:t>Indicator 1: Graduation</w:t>
      </w:r>
      <w:bookmarkEnd w:id="0"/>
      <w:bookmarkEnd w:id="1"/>
    </w:p>
    <w:p w14:paraId="5D906D37" w14:textId="00C8F8B1" w:rsidR="009A62A4" w:rsidRPr="005C29F8" w:rsidRDefault="009A62A4" w:rsidP="00A018D4">
      <w:pPr>
        <w:rPr>
          <w:color w:val="000000" w:themeColor="text1"/>
          <w:szCs w:val="20"/>
        </w:rPr>
      </w:pPr>
      <w:r w:rsidRPr="005C29F8">
        <w:rPr>
          <w:b/>
          <w:color w:val="000000" w:themeColor="text1"/>
          <w:sz w:val="20"/>
          <w:szCs w:val="20"/>
        </w:rPr>
        <w:t>Instructions and Measurement</w:t>
      </w:r>
    </w:p>
    <w:p w14:paraId="13149CC2" w14:textId="77777777" w:rsidR="004B782D" w:rsidRPr="005C29F8" w:rsidRDefault="004B782D" w:rsidP="004369B2">
      <w:pPr>
        <w:rPr>
          <w:color w:val="000000" w:themeColor="text1"/>
        </w:rPr>
      </w:pPr>
      <w:bookmarkStart w:id="2" w:name="_Toc392159259"/>
      <w:r w:rsidRPr="005C29F8">
        <w:rPr>
          <w:b/>
          <w:color w:val="000000" w:themeColor="text1"/>
        </w:rPr>
        <w:t>Monitoring Priority:</w:t>
      </w:r>
      <w:r w:rsidRPr="005C29F8">
        <w:rPr>
          <w:color w:val="000000" w:themeColor="text1"/>
        </w:rPr>
        <w:t xml:space="preserve"> FAPE in the LRE </w:t>
      </w:r>
    </w:p>
    <w:p w14:paraId="18CE8669" w14:textId="2C80A7E8" w:rsidR="00531ED7" w:rsidRPr="005C29F8" w:rsidRDefault="004B782D" w:rsidP="009340E3">
      <w:pPr>
        <w:rPr>
          <w:color w:val="000000" w:themeColor="text1"/>
        </w:rPr>
      </w:pPr>
      <w:r w:rsidRPr="005C29F8">
        <w:rPr>
          <w:b/>
          <w:color w:val="000000" w:themeColor="text1"/>
        </w:rPr>
        <w:t>Results indicator:</w:t>
      </w:r>
      <w:r w:rsidRPr="005C29F8">
        <w:rPr>
          <w:color w:val="000000" w:themeColor="text1"/>
        </w:rPr>
        <w:t xml:space="preserve"> Percent of youth with</w:t>
      </w:r>
      <w:r w:rsidR="005F5514" w:rsidRPr="005C29F8">
        <w:rPr>
          <w:color w:val="000000" w:themeColor="text1"/>
        </w:rPr>
        <w:t xml:space="preserve"> Individualized Education </w:t>
      </w:r>
      <w:r w:rsidR="00DA7FAE" w:rsidRPr="005C29F8">
        <w:rPr>
          <w:color w:val="000000" w:themeColor="text1"/>
        </w:rPr>
        <w:t>Programs</w:t>
      </w:r>
      <w:r w:rsidRPr="005C29F8">
        <w:rPr>
          <w:color w:val="000000" w:themeColor="text1"/>
        </w:rPr>
        <w:t xml:space="preserve"> </w:t>
      </w:r>
      <w:r w:rsidR="005F5514" w:rsidRPr="005C29F8">
        <w:rPr>
          <w:color w:val="000000" w:themeColor="text1"/>
        </w:rPr>
        <w:t>(</w:t>
      </w:r>
      <w:r w:rsidRPr="005C29F8">
        <w:rPr>
          <w:color w:val="000000" w:themeColor="text1"/>
        </w:rPr>
        <w:t>IEPs</w:t>
      </w:r>
      <w:r w:rsidR="005F5514" w:rsidRPr="005C29F8">
        <w:rPr>
          <w:color w:val="000000" w:themeColor="text1"/>
        </w:rPr>
        <w:t>)</w:t>
      </w:r>
      <w:r w:rsidRPr="005C29F8">
        <w:rPr>
          <w:color w:val="000000" w:themeColor="text1"/>
        </w:rPr>
        <w:t xml:space="preserve"> graduating from high school with a regular</w:t>
      </w:r>
      <w:r w:rsidR="005F5514" w:rsidRPr="005C29F8">
        <w:rPr>
          <w:color w:val="000000" w:themeColor="text1"/>
        </w:rPr>
        <w:t xml:space="preserve"> high school diploma</w:t>
      </w:r>
      <w:r w:rsidRPr="005C29F8">
        <w:rPr>
          <w:color w:val="000000" w:themeColor="text1"/>
        </w:rPr>
        <w:t>.</w:t>
      </w:r>
      <w:r w:rsidR="00552927" w:rsidRPr="005C29F8">
        <w:rPr>
          <w:color w:val="000000" w:themeColor="text1"/>
        </w:rPr>
        <w:t xml:space="preserve"> </w:t>
      </w:r>
      <w:r w:rsidRPr="005C29F8">
        <w:rPr>
          <w:color w:val="000000" w:themeColor="text1"/>
        </w:rPr>
        <w:t>(20 U.S.C. 1416 (a)(3)(A))</w:t>
      </w:r>
    </w:p>
    <w:p w14:paraId="6446BBA4" w14:textId="09E75AD8" w:rsidR="005F5514" w:rsidRPr="005C29F8" w:rsidRDefault="00460298" w:rsidP="004369B2">
      <w:pPr>
        <w:rPr>
          <w:rFonts w:cs="Arial"/>
          <w:bCs/>
          <w:color w:val="000000" w:themeColor="text1"/>
          <w:szCs w:val="16"/>
        </w:rPr>
      </w:pPr>
      <w:r w:rsidRPr="005C29F8">
        <w:rPr>
          <w:rFonts w:cs="Arial"/>
          <w:b/>
          <w:bCs/>
          <w:color w:val="000000" w:themeColor="text1"/>
          <w:szCs w:val="16"/>
        </w:rPr>
        <w:t>Data Source</w:t>
      </w:r>
    </w:p>
    <w:p w14:paraId="08997539" w14:textId="1FC57BE5" w:rsidR="005F5514" w:rsidRPr="005C29F8" w:rsidRDefault="00460298" w:rsidP="003A6167">
      <w:pPr>
        <w:rPr>
          <w:rFonts w:cs="Arial"/>
          <w:color w:val="000000" w:themeColor="text1"/>
          <w:szCs w:val="16"/>
        </w:rPr>
      </w:pPr>
      <w:r w:rsidRPr="005C29F8">
        <w:rPr>
          <w:rFonts w:cs="Arial"/>
          <w:color w:val="000000" w:themeColor="text1"/>
          <w:szCs w:val="16"/>
          <w:shd w:val="clear" w:color="auto" w:fill="FFFFFF"/>
        </w:rPr>
        <w:t>Same data as used for reporting to the Department of Education (Department) under Title I of the Elementary and Secondary Education Act (ESEA).</w:t>
      </w:r>
    </w:p>
    <w:p w14:paraId="453C54CF" w14:textId="0B94BC61" w:rsidR="005F5514" w:rsidRPr="005C29F8" w:rsidRDefault="005F5514" w:rsidP="004369B2">
      <w:pPr>
        <w:rPr>
          <w:color w:val="000000" w:themeColor="text1"/>
        </w:rPr>
      </w:pPr>
      <w:r w:rsidRPr="005C29F8">
        <w:rPr>
          <w:b/>
          <w:color w:val="000000" w:themeColor="text1"/>
        </w:rPr>
        <w:t>Measurement</w:t>
      </w:r>
    </w:p>
    <w:p w14:paraId="368E5D32" w14:textId="6D33E40B" w:rsidR="005F5514" w:rsidRPr="005C29F8" w:rsidRDefault="005F5514" w:rsidP="003A6167">
      <w:pPr>
        <w:rPr>
          <w:rFonts w:cs="Arial"/>
          <w:color w:val="000000" w:themeColor="text1"/>
          <w:szCs w:val="16"/>
        </w:rPr>
      </w:pPr>
      <w:r w:rsidRPr="005C29F8">
        <w:rPr>
          <w:rFonts w:cs="Arial"/>
          <w:color w:val="000000" w:themeColor="text1"/>
          <w:szCs w:val="16"/>
          <w:shd w:val="clear" w:color="auto" w:fill="FFFFFF"/>
        </w:rPr>
        <w:t xml:space="preserve">States may report data for children with disabilities using either the four-year adjusted cohort graduation rate required under the ESEA or an </w:t>
      </w:r>
      <w:proofErr w:type="gramStart"/>
      <w:r w:rsidRPr="005C29F8">
        <w:rPr>
          <w:rFonts w:cs="Arial"/>
          <w:color w:val="000000" w:themeColor="text1"/>
          <w:szCs w:val="16"/>
          <w:shd w:val="clear" w:color="auto" w:fill="FFFFFF"/>
        </w:rPr>
        <w:t>extended-year</w:t>
      </w:r>
      <w:proofErr w:type="gramEnd"/>
      <w:r w:rsidRPr="005C29F8">
        <w:rPr>
          <w:rFonts w:cs="Arial"/>
          <w:color w:val="000000" w:themeColor="text1"/>
          <w:szCs w:val="16"/>
          <w:shd w:val="clear" w:color="auto" w:fill="FFFFFF"/>
        </w:rPr>
        <w:t xml:space="preserve"> adjusted cohort graduation rate under the ESEA, if the State has established one.</w:t>
      </w:r>
    </w:p>
    <w:p w14:paraId="3C528AFB" w14:textId="76079BAD" w:rsidR="005F5514" w:rsidRPr="005C29F8" w:rsidRDefault="005F5514" w:rsidP="004369B2">
      <w:pPr>
        <w:rPr>
          <w:color w:val="000000" w:themeColor="text1"/>
        </w:rPr>
      </w:pPr>
      <w:r w:rsidRPr="005C29F8">
        <w:rPr>
          <w:b/>
          <w:color w:val="000000" w:themeColor="text1"/>
        </w:rPr>
        <w:t>Instructions</w:t>
      </w:r>
    </w:p>
    <w:p w14:paraId="675BD796" w14:textId="6D333C0C" w:rsidR="005F5514" w:rsidRPr="005C29F8" w:rsidRDefault="005F5514" w:rsidP="004369B2">
      <w:pPr>
        <w:rPr>
          <w:iCs/>
          <w:color w:val="000000" w:themeColor="text1"/>
        </w:rPr>
      </w:pPr>
      <w:r w:rsidRPr="005C29F8">
        <w:rPr>
          <w:iCs/>
          <w:color w:val="000000" w:themeColor="text1"/>
        </w:rPr>
        <w:t>Sampling is not allowed.</w:t>
      </w:r>
    </w:p>
    <w:p w14:paraId="496A7DDE" w14:textId="794ED478" w:rsidR="005F5514" w:rsidRPr="005C29F8" w:rsidRDefault="005F5514" w:rsidP="003A6167">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and compare the results to the target. Provide the actual numbers used in the calculation.</w:t>
      </w:r>
    </w:p>
    <w:p w14:paraId="156B8877" w14:textId="77777777" w:rsidR="005F5514" w:rsidRPr="005C29F8" w:rsidRDefault="005F5514" w:rsidP="003A6167">
      <w:pPr>
        <w:rPr>
          <w:rFonts w:cs="Arial"/>
          <w:color w:val="000000" w:themeColor="text1"/>
          <w:szCs w:val="16"/>
        </w:rPr>
      </w:pPr>
      <w:r w:rsidRPr="005C29F8">
        <w:rPr>
          <w:rFonts w:cs="Arial"/>
          <w:color w:val="000000" w:themeColor="text1"/>
          <w:szCs w:val="16"/>
        </w:rPr>
        <w:t xml:space="preserve">Provide a narrative that describes the conditions youth must meet </w:t>
      </w:r>
      <w:proofErr w:type="gramStart"/>
      <w:r w:rsidRPr="005C29F8">
        <w:rPr>
          <w:rFonts w:cs="Arial"/>
          <w:color w:val="000000" w:themeColor="text1"/>
          <w:szCs w:val="16"/>
        </w:rPr>
        <w:t>in order to</w:t>
      </w:r>
      <w:proofErr w:type="gramEnd"/>
      <w:r w:rsidRPr="005C29F8">
        <w:rPr>
          <w:rFonts w:cs="Arial"/>
          <w:color w:val="000000" w:themeColor="text1"/>
          <w:szCs w:val="16"/>
        </w:rPr>
        <w:t xml:space="preserve"> graduate with a regular high school diploma and, if different, the conditions that youth with IEPs must meet in order to graduate with a regular high school diploma. If there is a difference, explain.</w:t>
      </w:r>
    </w:p>
    <w:p w14:paraId="595EF666" w14:textId="77777777" w:rsidR="005F5514" w:rsidRPr="005C29F8" w:rsidRDefault="005F5514" w:rsidP="003A6167">
      <w:pPr>
        <w:rPr>
          <w:rFonts w:cs="Arial"/>
          <w:color w:val="000000" w:themeColor="text1"/>
          <w:szCs w:val="16"/>
        </w:rPr>
      </w:pPr>
      <w:r w:rsidRPr="005C29F8">
        <w:rPr>
          <w:rFonts w:cs="Arial"/>
          <w:color w:val="000000" w:themeColor="text1"/>
          <w:szCs w:val="16"/>
        </w:rPr>
        <w:t>Targets should be the same as the annual graduation rate targets for children with disabilities under Title I of the ESEA.</w:t>
      </w:r>
    </w:p>
    <w:p w14:paraId="2B1F9799" w14:textId="0460FC80" w:rsidR="005F5514" w:rsidRPr="005C29F8" w:rsidRDefault="005F5514" w:rsidP="003A6167">
      <w:pPr>
        <w:rPr>
          <w:rFonts w:cs="Arial"/>
          <w:color w:val="000000" w:themeColor="text1"/>
          <w:szCs w:val="16"/>
        </w:rPr>
      </w:pPr>
      <w:r w:rsidRPr="005C29F8">
        <w:rPr>
          <w:rFonts w:cs="Arial"/>
          <w:color w:val="000000" w:themeColor="text1"/>
          <w:szCs w:val="16"/>
        </w:rPr>
        <w:t>States must continue to report the four-year adjusted cohort graduation rate for all students and disaggregated by student subgroups including the children with disabilities subgroup, as required under section 1111(h)(1)(C)(iii)(II) of the ESEA, on State report cards under Title I of the ESEA even if they only report an extended-year adjusted cohort graduation rate for the purpose of SPP/APR reporting.</w:t>
      </w:r>
    </w:p>
    <w:p w14:paraId="17C36F54" w14:textId="0B0AD4FB" w:rsidR="00B34EE6" w:rsidRPr="0033429D" w:rsidRDefault="00B0742B" w:rsidP="008645AD">
      <w:pPr>
        <w:pStyle w:val="Heading2"/>
      </w:pPr>
      <w:r w:rsidRPr="0033429D">
        <w:t>1</w:t>
      </w:r>
      <w:r w:rsidR="00684B51" w:rsidRPr="0033429D">
        <w:t xml:space="preserve"> </w:t>
      </w:r>
      <w:r w:rsidRPr="0033429D">
        <w:t xml:space="preserve">- </w:t>
      </w:r>
      <w:r w:rsidR="007742F1" w:rsidRPr="0033429D">
        <w:t xml:space="preserve">Indicator </w:t>
      </w:r>
      <w:r w:rsidR="00B34EE6" w:rsidRPr="0033429D">
        <w:t xml:space="preserve">Data </w:t>
      </w:r>
    </w:p>
    <w:bookmarkEnd w:id="2"/>
    <w:p w14:paraId="7BB99CB8" w14:textId="1745E070" w:rsidR="005E59DB" w:rsidRDefault="005E59DB" w:rsidP="00B65C2C">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14:paraId="58873103" w14:textId="77777777" w:rsidTr="0033429D">
        <w:trPr>
          <w:trHeight w:val="311"/>
          <w:tblHeader/>
        </w:trPr>
        <w:tc>
          <w:tcPr>
            <w:tcW w:w="1797" w:type="dxa"/>
          </w:tcPr>
          <w:p w14:paraId="3521E7AE" w14:textId="2CED297B" w:rsidR="008F3F33" w:rsidRDefault="008F3F33" w:rsidP="0033429D">
            <w:pPr>
              <w:jc w:val="center"/>
              <w:rPr>
                <w:b/>
                <w:color w:val="000000" w:themeColor="text1"/>
              </w:rPr>
            </w:pPr>
            <w:r w:rsidRPr="005C29F8">
              <w:rPr>
                <w:rFonts w:cs="Arial"/>
                <w:b/>
                <w:color w:val="000000" w:themeColor="text1"/>
                <w:szCs w:val="16"/>
              </w:rPr>
              <w:t>Baseline Year</w:t>
            </w:r>
          </w:p>
        </w:tc>
        <w:tc>
          <w:tcPr>
            <w:tcW w:w="1798" w:type="dxa"/>
          </w:tcPr>
          <w:p w14:paraId="70C1DEA4" w14:textId="362D12BF" w:rsidR="008F3F33" w:rsidRDefault="008F3F33" w:rsidP="0033429D">
            <w:pPr>
              <w:jc w:val="center"/>
              <w:rPr>
                <w:b/>
                <w:color w:val="000000" w:themeColor="text1"/>
              </w:rPr>
            </w:pPr>
            <w:r>
              <w:rPr>
                <w:b/>
                <w:color w:val="000000" w:themeColor="text1"/>
              </w:rPr>
              <w:t>Baseline Data</w:t>
            </w:r>
          </w:p>
        </w:tc>
      </w:tr>
      <w:tr w:rsidR="008F3F33" w14:paraId="1079C891" w14:textId="77777777" w:rsidTr="0033429D">
        <w:trPr>
          <w:trHeight w:val="311"/>
        </w:trPr>
        <w:tc>
          <w:tcPr>
            <w:tcW w:w="1797" w:type="dxa"/>
            <w:vAlign w:val="center"/>
          </w:tcPr>
          <w:p w14:paraId="55702E9C" w14:textId="3300C91F" w:rsidR="008F3F33" w:rsidRDefault="008F3F33" w:rsidP="0033429D">
            <w:pPr>
              <w:jc w:val="center"/>
              <w:rPr>
                <w:b/>
                <w:color w:val="000000" w:themeColor="text1"/>
              </w:rPr>
            </w:pPr>
            <w:r w:rsidRPr="005C29F8">
              <w:rPr>
                <w:rFonts w:cs="Arial"/>
                <w:color w:val="000000" w:themeColor="text1"/>
                <w:szCs w:val="16"/>
              </w:rPr>
              <w:t>2017</w:t>
            </w:r>
          </w:p>
        </w:tc>
        <w:tc>
          <w:tcPr>
            <w:tcW w:w="1798" w:type="dxa"/>
            <w:vAlign w:val="center"/>
          </w:tcPr>
          <w:p w14:paraId="4BB8ED70" w14:textId="40307D5C" w:rsidR="008F3F33" w:rsidRDefault="008F3F33" w:rsidP="0033429D">
            <w:pPr>
              <w:jc w:val="center"/>
              <w:rPr>
                <w:b/>
                <w:color w:val="000000" w:themeColor="text1"/>
              </w:rPr>
            </w:pPr>
            <w:r w:rsidRPr="005C29F8">
              <w:rPr>
                <w:rFonts w:cs="Arial"/>
                <w:color w:val="000000" w:themeColor="text1"/>
                <w:szCs w:val="16"/>
              </w:rPr>
              <w:t>76.39%</w:t>
            </w:r>
          </w:p>
        </w:tc>
      </w:tr>
    </w:tbl>
    <w:p w14:paraId="04BDDA65" w14:textId="77777777" w:rsidR="008F3F33" w:rsidRPr="005C29F8"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5C29F8" w14:paraId="6EF7C6D0" w14:textId="1CEAEBAE" w:rsidTr="0033429D">
        <w:trPr>
          <w:trHeight w:val="350"/>
        </w:trPr>
        <w:tc>
          <w:tcPr>
            <w:tcW w:w="833" w:type="pct"/>
            <w:tcBorders>
              <w:bottom w:val="single" w:sz="4" w:space="0" w:color="auto"/>
            </w:tcBorders>
            <w:shd w:val="clear" w:color="auto" w:fill="auto"/>
          </w:tcPr>
          <w:p w14:paraId="4483C39A" w14:textId="77777777" w:rsidR="007F24E2" w:rsidRPr="005C29F8" w:rsidRDefault="007F24E2" w:rsidP="00CD2DF5">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0DF3D5A6" w14:textId="2DA8A75D" w:rsidR="007F24E2" w:rsidRPr="005C29F8" w:rsidRDefault="002B7490" w:rsidP="00894709">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5E57E797" w14:textId="6309195B" w:rsidR="007F24E2" w:rsidRPr="005C29F8" w:rsidRDefault="002B7490" w:rsidP="00894709">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6D5C8516" w14:textId="2F8BF9E2" w:rsidR="007F24E2" w:rsidRPr="005C29F8" w:rsidRDefault="002B7490" w:rsidP="00894709">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116A9927" w14:textId="1D308C81" w:rsidR="007F24E2" w:rsidRPr="005C29F8" w:rsidRDefault="002B7490" w:rsidP="00894709">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41821FE5" w14:textId="02E4CA44" w:rsidR="007F24E2" w:rsidRPr="005C29F8" w:rsidRDefault="002B7490" w:rsidP="00894709">
            <w:pPr>
              <w:jc w:val="center"/>
              <w:rPr>
                <w:rFonts w:cs="Arial"/>
                <w:b/>
                <w:color w:val="000000" w:themeColor="text1"/>
                <w:szCs w:val="16"/>
              </w:rPr>
            </w:pPr>
            <w:r w:rsidRPr="005C29F8">
              <w:rPr>
                <w:rFonts w:cs="Arial"/>
                <w:b/>
                <w:color w:val="000000" w:themeColor="text1"/>
                <w:szCs w:val="16"/>
              </w:rPr>
              <w:t>2018</w:t>
            </w:r>
          </w:p>
        </w:tc>
      </w:tr>
      <w:tr w:rsidR="005C29F8" w:rsidRPr="005C29F8" w14:paraId="69850889" w14:textId="5FBD9A23" w:rsidTr="0033429D">
        <w:trPr>
          <w:trHeight w:val="357"/>
        </w:trPr>
        <w:tc>
          <w:tcPr>
            <w:tcW w:w="833" w:type="pct"/>
            <w:shd w:val="clear" w:color="auto" w:fill="auto"/>
            <w:vAlign w:val="center"/>
          </w:tcPr>
          <w:p w14:paraId="329304B6" w14:textId="1D4FEA84" w:rsidR="007F24E2" w:rsidRPr="005C29F8" w:rsidRDefault="007F24E2" w:rsidP="004369B2">
            <w:pPr>
              <w:rPr>
                <w:rFonts w:cs="Arial"/>
                <w:color w:val="000000" w:themeColor="text1"/>
                <w:szCs w:val="16"/>
              </w:rPr>
            </w:pPr>
            <w:r w:rsidRPr="005C29F8">
              <w:rPr>
                <w:rFonts w:cs="Arial"/>
                <w:color w:val="000000" w:themeColor="text1"/>
                <w:szCs w:val="16"/>
              </w:rPr>
              <w:t>Target &gt;=</w:t>
            </w:r>
          </w:p>
        </w:tc>
        <w:tc>
          <w:tcPr>
            <w:tcW w:w="833" w:type="pct"/>
            <w:shd w:val="clear" w:color="auto" w:fill="auto"/>
            <w:vAlign w:val="center"/>
          </w:tcPr>
          <w:p w14:paraId="4D288A5D" w14:textId="1DE49DCD" w:rsidR="007F24E2" w:rsidRPr="005C29F8" w:rsidRDefault="002B7490" w:rsidP="00E0321D">
            <w:pPr>
              <w:jc w:val="center"/>
              <w:rPr>
                <w:rFonts w:cs="Arial"/>
                <w:color w:val="000000" w:themeColor="text1"/>
                <w:szCs w:val="16"/>
              </w:rPr>
            </w:pPr>
            <w:r w:rsidRPr="005C29F8">
              <w:rPr>
                <w:rFonts w:cs="Arial"/>
                <w:color w:val="000000" w:themeColor="text1"/>
                <w:szCs w:val="16"/>
              </w:rPr>
              <w:t>74.00%</w:t>
            </w:r>
          </w:p>
        </w:tc>
        <w:tc>
          <w:tcPr>
            <w:tcW w:w="833" w:type="pct"/>
            <w:shd w:val="clear" w:color="auto" w:fill="auto"/>
            <w:vAlign w:val="center"/>
          </w:tcPr>
          <w:p w14:paraId="2751003B" w14:textId="66867EC3" w:rsidR="007F24E2" w:rsidRPr="005C29F8" w:rsidRDefault="002B7490" w:rsidP="00E0321D">
            <w:pPr>
              <w:jc w:val="center"/>
              <w:rPr>
                <w:rFonts w:cs="Arial"/>
                <w:color w:val="000000" w:themeColor="text1"/>
                <w:szCs w:val="16"/>
              </w:rPr>
            </w:pPr>
            <w:r w:rsidRPr="005C29F8">
              <w:rPr>
                <w:rFonts w:cs="Arial"/>
                <w:color w:val="000000" w:themeColor="text1"/>
                <w:szCs w:val="16"/>
              </w:rPr>
              <w:t>76.00%</w:t>
            </w:r>
          </w:p>
        </w:tc>
        <w:tc>
          <w:tcPr>
            <w:tcW w:w="833" w:type="pct"/>
            <w:shd w:val="clear" w:color="auto" w:fill="auto"/>
            <w:vAlign w:val="center"/>
          </w:tcPr>
          <w:p w14:paraId="6982A73B" w14:textId="50B9EF02" w:rsidR="007F24E2" w:rsidRPr="005C29F8" w:rsidRDefault="002B7490" w:rsidP="00E0321D">
            <w:pPr>
              <w:jc w:val="center"/>
              <w:rPr>
                <w:rFonts w:cs="Arial"/>
                <w:color w:val="000000" w:themeColor="text1"/>
                <w:szCs w:val="16"/>
              </w:rPr>
            </w:pPr>
            <w:r w:rsidRPr="005C29F8">
              <w:rPr>
                <w:rFonts w:cs="Arial"/>
                <w:color w:val="000000" w:themeColor="text1"/>
                <w:szCs w:val="16"/>
              </w:rPr>
              <w:t>78.00%</w:t>
            </w:r>
          </w:p>
        </w:tc>
        <w:tc>
          <w:tcPr>
            <w:tcW w:w="833" w:type="pct"/>
            <w:shd w:val="clear" w:color="auto" w:fill="auto"/>
            <w:vAlign w:val="center"/>
          </w:tcPr>
          <w:p w14:paraId="54566D6E" w14:textId="0812F659" w:rsidR="007F24E2" w:rsidRPr="005C29F8" w:rsidRDefault="007F24E2" w:rsidP="00E0321D">
            <w:pPr>
              <w:jc w:val="center"/>
              <w:rPr>
                <w:rFonts w:cs="Arial"/>
                <w:color w:val="000000" w:themeColor="text1"/>
                <w:szCs w:val="16"/>
              </w:rPr>
            </w:pPr>
          </w:p>
        </w:tc>
        <w:tc>
          <w:tcPr>
            <w:tcW w:w="834" w:type="pct"/>
            <w:shd w:val="clear" w:color="auto" w:fill="auto"/>
            <w:vAlign w:val="center"/>
          </w:tcPr>
          <w:p w14:paraId="12B0FD7D" w14:textId="7E3C835D" w:rsidR="007F24E2" w:rsidRPr="005C29F8" w:rsidRDefault="002B7490" w:rsidP="00E0321D">
            <w:pPr>
              <w:jc w:val="center"/>
              <w:rPr>
                <w:rFonts w:cs="Arial"/>
                <w:color w:val="000000" w:themeColor="text1"/>
                <w:szCs w:val="16"/>
              </w:rPr>
            </w:pPr>
            <w:r w:rsidRPr="005C29F8">
              <w:rPr>
                <w:rFonts w:cs="Arial"/>
                <w:color w:val="000000" w:themeColor="text1"/>
                <w:szCs w:val="16"/>
              </w:rPr>
              <w:t>80.00%</w:t>
            </w:r>
          </w:p>
        </w:tc>
      </w:tr>
      <w:tr w:rsidR="005C29F8" w:rsidRPr="005C29F8" w14:paraId="146BC5C2" w14:textId="426AC9C6" w:rsidTr="0033429D">
        <w:trPr>
          <w:trHeight w:val="85"/>
        </w:trPr>
        <w:tc>
          <w:tcPr>
            <w:tcW w:w="833" w:type="pct"/>
            <w:shd w:val="clear" w:color="auto" w:fill="auto"/>
            <w:vAlign w:val="center"/>
          </w:tcPr>
          <w:p w14:paraId="2FA56C27" w14:textId="77777777" w:rsidR="007F24E2" w:rsidRPr="005C29F8" w:rsidRDefault="007F24E2" w:rsidP="004369B2">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7832DBB9" w14:textId="0E41C477" w:rsidR="007F24E2" w:rsidRPr="005C29F8" w:rsidRDefault="002B7490" w:rsidP="00E0321D">
            <w:pPr>
              <w:jc w:val="center"/>
              <w:rPr>
                <w:rFonts w:cs="Arial"/>
                <w:color w:val="000000" w:themeColor="text1"/>
                <w:szCs w:val="16"/>
              </w:rPr>
            </w:pPr>
            <w:r w:rsidRPr="005C29F8">
              <w:rPr>
                <w:rFonts w:cs="Arial"/>
                <w:color w:val="000000" w:themeColor="text1"/>
                <w:szCs w:val="16"/>
              </w:rPr>
              <w:t>82.00%</w:t>
            </w:r>
          </w:p>
        </w:tc>
        <w:tc>
          <w:tcPr>
            <w:tcW w:w="833" w:type="pct"/>
            <w:shd w:val="clear" w:color="auto" w:fill="auto"/>
            <w:vAlign w:val="center"/>
          </w:tcPr>
          <w:p w14:paraId="522433F4" w14:textId="15824FD9" w:rsidR="007F24E2" w:rsidRPr="005C29F8" w:rsidRDefault="002B7490" w:rsidP="00E0321D">
            <w:pPr>
              <w:jc w:val="center"/>
              <w:rPr>
                <w:rFonts w:cs="Arial"/>
                <w:color w:val="000000" w:themeColor="text1"/>
                <w:szCs w:val="16"/>
              </w:rPr>
            </w:pPr>
            <w:r w:rsidRPr="005C29F8">
              <w:rPr>
                <w:rFonts w:cs="Arial"/>
                <w:color w:val="000000" w:themeColor="text1"/>
                <w:szCs w:val="16"/>
              </w:rPr>
              <w:t>80.00%</w:t>
            </w:r>
          </w:p>
        </w:tc>
        <w:tc>
          <w:tcPr>
            <w:tcW w:w="833" w:type="pct"/>
            <w:tcBorders>
              <w:bottom w:val="single" w:sz="4" w:space="0" w:color="auto"/>
            </w:tcBorders>
            <w:shd w:val="clear" w:color="auto" w:fill="auto"/>
            <w:vAlign w:val="center"/>
          </w:tcPr>
          <w:p w14:paraId="51E9F945" w14:textId="1DED232A" w:rsidR="007F24E2" w:rsidRPr="005C29F8" w:rsidRDefault="002B7490" w:rsidP="00E0321D">
            <w:pPr>
              <w:jc w:val="center"/>
              <w:rPr>
                <w:rFonts w:cs="Arial"/>
                <w:color w:val="000000" w:themeColor="text1"/>
                <w:szCs w:val="16"/>
              </w:rPr>
            </w:pPr>
            <w:r w:rsidRPr="005C29F8">
              <w:rPr>
                <w:rFonts w:cs="Arial"/>
                <w:color w:val="000000" w:themeColor="text1"/>
                <w:szCs w:val="16"/>
              </w:rPr>
              <w:t>82.00%</w:t>
            </w:r>
          </w:p>
        </w:tc>
        <w:tc>
          <w:tcPr>
            <w:tcW w:w="833" w:type="pct"/>
            <w:tcBorders>
              <w:bottom w:val="single" w:sz="4" w:space="0" w:color="auto"/>
            </w:tcBorders>
            <w:shd w:val="clear" w:color="auto" w:fill="auto"/>
            <w:vAlign w:val="center"/>
          </w:tcPr>
          <w:p w14:paraId="180CBFE9" w14:textId="01D5E7B3" w:rsidR="007F24E2" w:rsidRPr="005C29F8" w:rsidRDefault="002B7490" w:rsidP="00E0321D">
            <w:pPr>
              <w:jc w:val="center"/>
              <w:rPr>
                <w:rFonts w:cs="Arial"/>
                <w:color w:val="000000" w:themeColor="text1"/>
                <w:szCs w:val="16"/>
              </w:rPr>
            </w:pPr>
            <w:r w:rsidRPr="005C29F8">
              <w:rPr>
                <w:rFonts w:cs="Arial"/>
                <w:color w:val="000000" w:themeColor="text1"/>
                <w:szCs w:val="16"/>
              </w:rPr>
              <w:t>76.39%</w:t>
            </w:r>
          </w:p>
        </w:tc>
        <w:tc>
          <w:tcPr>
            <w:tcW w:w="834" w:type="pct"/>
            <w:tcBorders>
              <w:bottom w:val="single" w:sz="4" w:space="0" w:color="auto"/>
            </w:tcBorders>
            <w:shd w:val="clear" w:color="auto" w:fill="auto"/>
            <w:vAlign w:val="center"/>
          </w:tcPr>
          <w:p w14:paraId="3C2AFA14" w14:textId="153E7CE5" w:rsidR="007F24E2" w:rsidRPr="005C29F8" w:rsidRDefault="002B7490" w:rsidP="00E0321D">
            <w:pPr>
              <w:jc w:val="center"/>
              <w:rPr>
                <w:rFonts w:cs="Arial"/>
                <w:color w:val="000000" w:themeColor="text1"/>
                <w:szCs w:val="16"/>
              </w:rPr>
            </w:pPr>
            <w:r w:rsidRPr="005C29F8">
              <w:rPr>
                <w:rFonts w:cs="Arial"/>
                <w:color w:val="000000" w:themeColor="text1"/>
                <w:szCs w:val="16"/>
              </w:rPr>
              <w:t>89.86%</w:t>
            </w:r>
          </w:p>
        </w:tc>
      </w:tr>
    </w:tbl>
    <w:p w14:paraId="43E7AA4B" w14:textId="77777777" w:rsidR="00654A4B" w:rsidRPr="005C29F8" w:rsidRDefault="00654A4B" w:rsidP="00B65C2C">
      <w:pPr>
        <w:rPr>
          <w:color w:val="000000" w:themeColor="text1"/>
        </w:rPr>
      </w:pPr>
    </w:p>
    <w:p w14:paraId="058E572E" w14:textId="747B93F2" w:rsidR="005E59DB" w:rsidRPr="005C29F8" w:rsidRDefault="005E59DB" w:rsidP="00B65C2C">
      <w:pPr>
        <w:rPr>
          <w:b/>
          <w:color w:val="000000" w:themeColor="text1"/>
        </w:rPr>
      </w:pPr>
      <w:r w:rsidRPr="005C29F8">
        <w:rPr>
          <w:b/>
          <w:color w:val="000000" w:themeColor="text1"/>
        </w:rPr>
        <w:t>Targets</w:t>
      </w:r>
    </w:p>
    <w:tbl>
      <w:tblPr>
        <w:tblW w:w="14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345"/>
        <w:gridCol w:w="1875"/>
      </w:tblGrid>
      <w:tr w:rsidR="00085D89" w:rsidRPr="005C29F8" w14:paraId="2AA1A231" w14:textId="774F2B02" w:rsidTr="0033429D">
        <w:trPr>
          <w:trHeight w:val="350"/>
        </w:trPr>
        <w:tc>
          <w:tcPr>
            <w:tcW w:w="2089" w:type="pct"/>
            <w:tcBorders>
              <w:bottom w:val="single" w:sz="4" w:space="0" w:color="auto"/>
            </w:tcBorders>
            <w:shd w:val="clear" w:color="auto" w:fill="auto"/>
          </w:tcPr>
          <w:p w14:paraId="40B33FED" w14:textId="77777777" w:rsidR="00085D89" w:rsidRPr="005C29F8" w:rsidRDefault="00085D89" w:rsidP="00CD2DF5">
            <w:pPr>
              <w:jc w:val="center"/>
              <w:rPr>
                <w:b/>
                <w:color w:val="000000" w:themeColor="text1"/>
              </w:rPr>
            </w:pPr>
            <w:r w:rsidRPr="005C29F8">
              <w:rPr>
                <w:b/>
                <w:color w:val="000000" w:themeColor="text1"/>
              </w:rPr>
              <w:t>FFY</w:t>
            </w:r>
          </w:p>
        </w:tc>
        <w:tc>
          <w:tcPr>
            <w:tcW w:w="2911" w:type="pct"/>
            <w:shd w:val="clear" w:color="auto" w:fill="auto"/>
          </w:tcPr>
          <w:p w14:paraId="71086D9D" w14:textId="38ED494E" w:rsidR="00085D89" w:rsidRPr="005C29F8" w:rsidRDefault="00085D89" w:rsidP="004369B2">
            <w:pPr>
              <w:jc w:val="center"/>
              <w:rPr>
                <w:b/>
                <w:color w:val="000000" w:themeColor="text1"/>
              </w:rPr>
            </w:pPr>
            <w:r w:rsidRPr="005C29F8">
              <w:rPr>
                <w:b/>
                <w:color w:val="000000" w:themeColor="text1"/>
              </w:rPr>
              <w:t>2019</w:t>
            </w:r>
          </w:p>
        </w:tc>
      </w:tr>
      <w:tr w:rsidR="00085D89" w:rsidRPr="005C29F8" w14:paraId="30C65E4A" w14:textId="1D76F850" w:rsidTr="0033429D">
        <w:trPr>
          <w:trHeight w:val="357"/>
        </w:trPr>
        <w:tc>
          <w:tcPr>
            <w:tcW w:w="2089" w:type="pct"/>
            <w:shd w:val="clear" w:color="auto" w:fill="auto"/>
            <w:vAlign w:val="center"/>
          </w:tcPr>
          <w:p w14:paraId="15D80559" w14:textId="5A8166E8" w:rsidR="00085D89" w:rsidRPr="005C29F8" w:rsidRDefault="00085D89" w:rsidP="004369B2">
            <w:pPr>
              <w:rPr>
                <w:rFonts w:cs="Arial"/>
                <w:color w:val="000000" w:themeColor="text1"/>
                <w:szCs w:val="16"/>
              </w:rPr>
            </w:pPr>
            <w:r w:rsidRPr="005C29F8">
              <w:rPr>
                <w:rFonts w:cs="Arial"/>
                <w:color w:val="000000" w:themeColor="text1"/>
                <w:szCs w:val="16"/>
              </w:rPr>
              <w:t>Target &gt;=</w:t>
            </w:r>
          </w:p>
        </w:tc>
        <w:tc>
          <w:tcPr>
            <w:tcW w:w="2911" w:type="pct"/>
            <w:shd w:val="clear" w:color="auto" w:fill="auto"/>
            <w:vAlign w:val="center"/>
          </w:tcPr>
          <w:p w14:paraId="5C1E2097" w14:textId="7100F4DF" w:rsidR="00085D89" w:rsidRPr="005C29F8" w:rsidRDefault="00085D89" w:rsidP="004369B2">
            <w:pPr>
              <w:jc w:val="center"/>
              <w:rPr>
                <w:rFonts w:cs="Arial"/>
                <w:color w:val="000000" w:themeColor="text1"/>
                <w:szCs w:val="16"/>
              </w:rPr>
            </w:pPr>
            <w:r w:rsidRPr="005C29F8">
              <w:rPr>
                <w:rFonts w:cs="Arial"/>
                <w:color w:val="000000" w:themeColor="text1"/>
                <w:szCs w:val="16"/>
              </w:rPr>
              <w:t>80.00%</w:t>
            </w:r>
          </w:p>
        </w:tc>
      </w:tr>
    </w:tbl>
    <w:p w14:paraId="346A80A2" w14:textId="77777777" w:rsidR="00654A4B" w:rsidRPr="005C29F8" w:rsidRDefault="00654A4B" w:rsidP="004369B2">
      <w:pPr>
        <w:rPr>
          <w:color w:val="000000" w:themeColor="text1"/>
        </w:rPr>
      </w:pPr>
    </w:p>
    <w:p w14:paraId="451C0051" w14:textId="1929A141" w:rsidR="005E59DB" w:rsidRDefault="005E59DB">
      <w:pPr>
        <w:rPr>
          <w:b/>
          <w:color w:val="000000" w:themeColor="text1"/>
        </w:rPr>
      </w:pPr>
      <w:r w:rsidRPr="005C29F8">
        <w:rPr>
          <w:b/>
          <w:color w:val="000000" w:themeColor="text1"/>
        </w:rPr>
        <w:t xml:space="preserve">Targets: Description of Stakeholder Input </w:t>
      </w:r>
    </w:p>
    <w:p w14:paraId="6F475956" w14:textId="6AAE3895" w:rsidR="000C24C2" w:rsidRPr="005C29F8" w:rsidRDefault="002B7490" w:rsidP="001011BB">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4026D322" w14:textId="77777777" w:rsidR="00654A4B" w:rsidRPr="005C29F8" w:rsidRDefault="00654A4B" w:rsidP="00B65C2C">
      <w:pPr>
        <w:rPr>
          <w:color w:val="000000" w:themeColor="text1"/>
        </w:rPr>
      </w:pPr>
    </w:p>
    <w:p w14:paraId="5BFE0C1F" w14:textId="74D590F4" w:rsidR="00995737" w:rsidRPr="005C29F8" w:rsidRDefault="00995737" w:rsidP="00B65C2C">
      <w:pPr>
        <w:rPr>
          <w:b/>
          <w:bCs/>
          <w:color w:val="000000" w:themeColor="text1"/>
        </w:rPr>
      </w:pPr>
      <w:r w:rsidRPr="005C29F8">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5C29F8" w14:paraId="30F51C80" w14:textId="4B2A2ADB" w:rsidTr="00044B5C">
        <w:trPr>
          <w:trHeight w:val="372"/>
          <w:tblHeader/>
        </w:trPr>
        <w:tc>
          <w:tcPr>
            <w:tcW w:w="1348" w:type="pct"/>
            <w:shd w:val="clear" w:color="auto" w:fill="auto"/>
          </w:tcPr>
          <w:p w14:paraId="323D50E8" w14:textId="6779F814"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1C2B5F0" w14:textId="1D5140A6"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Date</w:t>
            </w:r>
          </w:p>
        </w:tc>
        <w:tc>
          <w:tcPr>
            <w:tcW w:w="1625" w:type="pct"/>
            <w:shd w:val="clear" w:color="auto" w:fill="auto"/>
          </w:tcPr>
          <w:p w14:paraId="1FC5546A" w14:textId="059B9945"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Description</w:t>
            </w:r>
          </w:p>
        </w:tc>
        <w:tc>
          <w:tcPr>
            <w:tcW w:w="1040" w:type="pct"/>
            <w:shd w:val="clear" w:color="auto" w:fill="auto"/>
          </w:tcPr>
          <w:p w14:paraId="189AD2F4" w14:textId="2C14B569" w:rsidR="00866B4D" w:rsidRPr="005C29F8" w:rsidRDefault="00866B4D"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30B629CE" w14:textId="3D9C8EF1" w:rsidTr="00044B5C">
        <w:trPr>
          <w:trHeight w:val="380"/>
        </w:trPr>
        <w:tc>
          <w:tcPr>
            <w:tcW w:w="1348" w:type="pct"/>
            <w:shd w:val="clear" w:color="auto" w:fill="auto"/>
          </w:tcPr>
          <w:p w14:paraId="73323AED" w14:textId="3C409C4B"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5E976CB4" w14:textId="3D33251C"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01C211E9" w14:textId="1E5E1F15"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graduating with a regular diploma</w:t>
            </w:r>
          </w:p>
        </w:tc>
        <w:tc>
          <w:tcPr>
            <w:tcW w:w="1040" w:type="pct"/>
            <w:shd w:val="clear" w:color="auto" w:fill="auto"/>
          </w:tcPr>
          <w:p w14:paraId="18434B19" w14:textId="17BE4871" w:rsidR="00866B4D" w:rsidRPr="005C29F8" w:rsidRDefault="002B7490" w:rsidP="00A018D4">
            <w:pPr>
              <w:jc w:val="center"/>
              <w:rPr>
                <w:rFonts w:cs="Arial"/>
                <w:color w:val="000000" w:themeColor="text1"/>
                <w:szCs w:val="16"/>
              </w:rPr>
            </w:pPr>
            <w:r w:rsidRPr="005C29F8">
              <w:rPr>
                <w:rFonts w:cs="Arial"/>
                <w:color w:val="000000" w:themeColor="text1"/>
                <w:szCs w:val="16"/>
              </w:rPr>
              <w:t>59</w:t>
            </w:r>
          </w:p>
        </w:tc>
      </w:tr>
      <w:tr w:rsidR="005C29F8" w:rsidRPr="005C29F8" w14:paraId="2E9BAC4B" w14:textId="77777777" w:rsidTr="00044B5C">
        <w:trPr>
          <w:trHeight w:val="380"/>
        </w:trPr>
        <w:tc>
          <w:tcPr>
            <w:tcW w:w="1348" w:type="pct"/>
            <w:shd w:val="clear" w:color="auto" w:fill="auto"/>
          </w:tcPr>
          <w:p w14:paraId="019DE2CA" w14:textId="0D3814B3" w:rsidR="00866B4D" w:rsidRPr="005C29F8" w:rsidRDefault="006A08B4" w:rsidP="00A018D4">
            <w:pPr>
              <w:jc w:val="center"/>
              <w:rPr>
                <w:rFonts w:cs="Arial"/>
                <w:color w:val="000000" w:themeColor="text1"/>
                <w:szCs w:val="16"/>
              </w:rPr>
            </w:pPr>
            <w:r>
              <w:rPr>
                <w:rFonts w:cs="Arial"/>
                <w:color w:val="000000" w:themeColor="text1"/>
                <w:szCs w:val="16"/>
              </w:rPr>
              <w:t>SY 2018-19 Cohorts for Regulatory Adjusted-Cohort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FS151; Data group 696)</w:t>
            </w:r>
          </w:p>
        </w:tc>
        <w:tc>
          <w:tcPr>
            <w:tcW w:w="987" w:type="pct"/>
            <w:shd w:val="clear" w:color="auto" w:fill="auto"/>
          </w:tcPr>
          <w:p w14:paraId="21121509" w14:textId="6E236B8D" w:rsidR="00866B4D" w:rsidRPr="005C29F8" w:rsidRDefault="006A08B4" w:rsidP="00A018D4">
            <w:pPr>
              <w:jc w:val="center"/>
              <w:rPr>
                <w:rFonts w:cs="Arial"/>
                <w:color w:val="000000" w:themeColor="text1"/>
                <w:szCs w:val="16"/>
              </w:rPr>
            </w:pPr>
            <w:r w:rsidRPr="006A08B4">
              <w:rPr>
                <w:rFonts w:cs="Arial"/>
                <w:color w:val="000000" w:themeColor="text1"/>
                <w:szCs w:val="16"/>
              </w:rPr>
              <w:t>07/27/2020</w:t>
            </w:r>
          </w:p>
        </w:tc>
        <w:tc>
          <w:tcPr>
            <w:tcW w:w="1625" w:type="pct"/>
            <w:shd w:val="clear" w:color="auto" w:fill="auto"/>
          </w:tcPr>
          <w:p w14:paraId="4DBDAFD8" w14:textId="376D7506" w:rsidR="00866B4D" w:rsidRPr="005C29F8" w:rsidRDefault="00866B4D" w:rsidP="0038054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eligible to graduate</w:t>
            </w:r>
          </w:p>
        </w:tc>
        <w:tc>
          <w:tcPr>
            <w:tcW w:w="1040" w:type="pct"/>
            <w:shd w:val="clear" w:color="auto" w:fill="auto"/>
          </w:tcPr>
          <w:p w14:paraId="010FD1F1" w14:textId="0E54DB3F" w:rsidR="00866B4D" w:rsidRPr="005C29F8" w:rsidRDefault="002B7490" w:rsidP="00A018D4">
            <w:pPr>
              <w:jc w:val="center"/>
              <w:rPr>
                <w:rFonts w:cs="Arial"/>
                <w:color w:val="000000" w:themeColor="text1"/>
                <w:szCs w:val="16"/>
              </w:rPr>
            </w:pPr>
            <w:r w:rsidRPr="005C29F8">
              <w:rPr>
                <w:rFonts w:cs="Arial"/>
                <w:color w:val="000000" w:themeColor="text1"/>
                <w:szCs w:val="16"/>
              </w:rPr>
              <w:t>65</w:t>
            </w:r>
          </w:p>
        </w:tc>
      </w:tr>
      <w:tr w:rsidR="005C29F8" w:rsidRPr="005C29F8" w14:paraId="032776B0" w14:textId="77777777" w:rsidTr="00044B5C">
        <w:trPr>
          <w:trHeight w:val="380"/>
        </w:trPr>
        <w:tc>
          <w:tcPr>
            <w:tcW w:w="1348" w:type="pct"/>
            <w:shd w:val="clear" w:color="auto" w:fill="auto"/>
          </w:tcPr>
          <w:p w14:paraId="5813DAD1" w14:textId="18D03529" w:rsidR="00866B4D" w:rsidRPr="005C29F8" w:rsidRDefault="00053795" w:rsidP="00A018D4">
            <w:pPr>
              <w:jc w:val="center"/>
              <w:rPr>
                <w:rFonts w:cs="Arial"/>
                <w:color w:val="000000" w:themeColor="text1"/>
                <w:szCs w:val="16"/>
              </w:rPr>
            </w:pPr>
            <w:r>
              <w:rPr>
                <w:rFonts w:cs="Arial"/>
                <w:color w:val="000000" w:themeColor="text1"/>
                <w:szCs w:val="16"/>
              </w:rPr>
              <w:t>SY 2018-19 Regulatory Adjusted Cohort Graduation Rate (</w:t>
            </w:r>
            <w:proofErr w:type="spellStart"/>
            <w:r>
              <w:rPr>
                <w:rFonts w:cs="Arial"/>
                <w:color w:val="000000" w:themeColor="text1"/>
                <w:szCs w:val="16"/>
              </w:rPr>
              <w:t>EDFacts</w:t>
            </w:r>
            <w:proofErr w:type="spellEnd"/>
            <w:r>
              <w:rPr>
                <w:rFonts w:cs="Arial"/>
                <w:color w:val="000000" w:themeColor="text1"/>
                <w:szCs w:val="16"/>
              </w:rPr>
              <w:t xml:space="preserve"> file spec FS150; Data group 695)</w:t>
            </w:r>
          </w:p>
        </w:tc>
        <w:tc>
          <w:tcPr>
            <w:tcW w:w="987" w:type="pct"/>
            <w:shd w:val="clear" w:color="auto" w:fill="auto"/>
          </w:tcPr>
          <w:p w14:paraId="0CBE5647" w14:textId="5FE1EBE5" w:rsidR="00866B4D" w:rsidRPr="005C29F8" w:rsidRDefault="00053795" w:rsidP="00A018D4">
            <w:pPr>
              <w:jc w:val="center"/>
              <w:rPr>
                <w:rFonts w:cs="Arial"/>
                <w:color w:val="000000" w:themeColor="text1"/>
                <w:szCs w:val="16"/>
              </w:rPr>
            </w:pPr>
            <w:r w:rsidRPr="00053795">
              <w:rPr>
                <w:rFonts w:cs="Arial"/>
                <w:color w:val="000000" w:themeColor="text1"/>
                <w:szCs w:val="16"/>
              </w:rPr>
              <w:t>07/27/2020</w:t>
            </w:r>
          </w:p>
        </w:tc>
        <w:tc>
          <w:tcPr>
            <w:tcW w:w="1625" w:type="pct"/>
            <w:shd w:val="clear" w:color="auto" w:fill="auto"/>
          </w:tcPr>
          <w:p w14:paraId="7D0086CE" w14:textId="25EA4DFA" w:rsidR="00866B4D" w:rsidRPr="005C29F8" w:rsidRDefault="00866B4D" w:rsidP="0038054C">
            <w:pPr>
              <w:rPr>
                <w:rFonts w:cs="Arial"/>
                <w:color w:val="000000" w:themeColor="text1"/>
                <w:szCs w:val="16"/>
              </w:rPr>
            </w:pPr>
            <w:r w:rsidRPr="005C29F8">
              <w:rPr>
                <w:rFonts w:cs="Arial"/>
                <w:color w:val="000000" w:themeColor="text1"/>
                <w:szCs w:val="16"/>
              </w:rPr>
              <w:t>Regulatory four-year adjusted-cohort graduation rate table</w:t>
            </w:r>
          </w:p>
        </w:tc>
        <w:tc>
          <w:tcPr>
            <w:tcW w:w="1040" w:type="pct"/>
            <w:shd w:val="clear" w:color="auto" w:fill="auto"/>
          </w:tcPr>
          <w:p w14:paraId="184082B3" w14:textId="00A26563" w:rsidR="00866B4D" w:rsidRPr="005C29F8" w:rsidRDefault="002B7490" w:rsidP="00A018D4">
            <w:pPr>
              <w:jc w:val="center"/>
              <w:rPr>
                <w:rFonts w:cs="Arial"/>
                <w:color w:val="000000" w:themeColor="text1"/>
                <w:szCs w:val="16"/>
              </w:rPr>
            </w:pPr>
            <w:r w:rsidRPr="005C29F8">
              <w:rPr>
                <w:rFonts w:cs="Arial"/>
                <w:color w:val="000000" w:themeColor="text1"/>
                <w:szCs w:val="16"/>
              </w:rPr>
              <w:t>90.77%</w:t>
            </w:r>
          </w:p>
        </w:tc>
      </w:tr>
    </w:tbl>
    <w:p w14:paraId="0D2CDC7B" w14:textId="77777777" w:rsidR="00654A4B" w:rsidRPr="005C29F8" w:rsidRDefault="00654A4B" w:rsidP="00B65C2C">
      <w:pPr>
        <w:rPr>
          <w:color w:val="000000" w:themeColor="text1"/>
        </w:rPr>
      </w:pPr>
    </w:p>
    <w:p w14:paraId="7939D078" w14:textId="6A6C574F" w:rsidR="00995737" w:rsidRPr="005C29F8" w:rsidRDefault="0098478C" w:rsidP="00C74928">
      <w:pPr>
        <w:keepNext/>
        <w:rPr>
          <w:b/>
          <w:bCs/>
          <w:color w:val="000000" w:themeColor="text1"/>
        </w:rPr>
      </w:pPr>
      <w:r w:rsidRPr="005C29F8">
        <w:rPr>
          <w:b/>
          <w:bCs/>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5C29F8" w14:paraId="02722994" w14:textId="4BCF686A" w:rsidTr="004348BB">
        <w:trPr>
          <w:trHeight w:val="333"/>
          <w:tblHeader/>
        </w:trPr>
        <w:tc>
          <w:tcPr>
            <w:tcW w:w="828" w:type="pct"/>
            <w:shd w:val="clear" w:color="auto" w:fill="auto"/>
            <w:vAlign w:val="bottom"/>
          </w:tcPr>
          <w:p w14:paraId="272BBF68" w14:textId="70DA2E92"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graduating with a regular diploma</w:t>
            </w:r>
          </w:p>
        </w:tc>
        <w:tc>
          <w:tcPr>
            <w:tcW w:w="979" w:type="pct"/>
            <w:shd w:val="clear" w:color="auto" w:fill="auto"/>
            <w:vAlign w:val="bottom"/>
          </w:tcPr>
          <w:p w14:paraId="055EF61F" w14:textId="54D07BD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in the current year’s adjusted cohort eligible to graduate</w:t>
            </w:r>
          </w:p>
        </w:tc>
        <w:tc>
          <w:tcPr>
            <w:tcW w:w="541" w:type="pct"/>
            <w:shd w:val="clear" w:color="auto" w:fill="auto"/>
            <w:vAlign w:val="bottom"/>
          </w:tcPr>
          <w:p w14:paraId="74998318" w14:textId="595E66E3" w:rsidR="0098478C" w:rsidRPr="005C29F8" w:rsidRDefault="002602A9" w:rsidP="00681BA6">
            <w:pPr>
              <w:spacing w:after="0"/>
              <w:jc w:val="center"/>
              <w:rPr>
                <w:rFonts w:cs="Arial"/>
                <w:b/>
                <w:color w:val="000000" w:themeColor="text1"/>
                <w:szCs w:val="16"/>
              </w:rPr>
            </w:pPr>
            <w:r w:rsidRPr="005C29F8">
              <w:rPr>
                <w:rFonts w:cs="Arial"/>
                <w:b/>
                <w:color w:val="000000" w:themeColor="text1"/>
                <w:szCs w:val="16"/>
              </w:rPr>
              <w:t>FFY 2018 Data</w:t>
            </w:r>
          </w:p>
        </w:tc>
        <w:tc>
          <w:tcPr>
            <w:tcW w:w="806" w:type="pct"/>
            <w:shd w:val="clear" w:color="auto" w:fill="auto"/>
            <w:vAlign w:val="bottom"/>
          </w:tcPr>
          <w:p w14:paraId="5A1C61A6" w14:textId="159DEF9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Target</w:t>
            </w:r>
          </w:p>
        </w:tc>
        <w:tc>
          <w:tcPr>
            <w:tcW w:w="633" w:type="pct"/>
            <w:shd w:val="clear" w:color="auto" w:fill="auto"/>
            <w:vAlign w:val="bottom"/>
          </w:tcPr>
          <w:p w14:paraId="51DD5A1B" w14:textId="66FDB851"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FFY 2019 Data</w:t>
            </w:r>
          </w:p>
        </w:tc>
        <w:tc>
          <w:tcPr>
            <w:tcW w:w="616" w:type="pct"/>
            <w:shd w:val="clear" w:color="auto" w:fill="auto"/>
            <w:vAlign w:val="bottom"/>
          </w:tcPr>
          <w:p w14:paraId="23C86FAA" w14:textId="7FC8D54B"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Status</w:t>
            </w:r>
          </w:p>
        </w:tc>
        <w:tc>
          <w:tcPr>
            <w:tcW w:w="597" w:type="pct"/>
            <w:shd w:val="clear" w:color="auto" w:fill="auto"/>
            <w:vAlign w:val="bottom"/>
          </w:tcPr>
          <w:p w14:paraId="6EE58552" w14:textId="4AA8F220" w:rsidR="0098478C" w:rsidRPr="005C29F8" w:rsidRDefault="0098478C" w:rsidP="00681BA6">
            <w:pPr>
              <w:spacing w:after="0"/>
              <w:jc w:val="center"/>
              <w:rPr>
                <w:rFonts w:cs="Arial"/>
                <w:b/>
                <w:color w:val="000000" w:themeColor="text1"/>
                <w:szCs w:val="16"/>
              </w:rPr>
            </w:pPr>
            <w:r w:rsidRPr="005C29F8">
              <w:rPr>
                <w:rFonts w:cs="Arial"/>
                <w:b/>
                <w:color w:val="000000" w:themeColor="text1"/>
                <w:szCs w:val="16"/>
              </w:rPr>
              <w:t>Slippage</w:t>
            </w:r>
          </w:p>
        </w:tc>
      </w:tr>
      <w:tr w:rsidR="005C29F8" w:rsidRPr="005C29F8" w14:paraId="601A0599" w14:textId="76387A52" w:rsidTr="004348BB">
        <w:trPr>
          <w:trHeight w:val="340"/>
        </w:trPr>
        <w:tc>
          <w:tcPr>
            <w:tcW w:w="828" w:type="pct"/>
            <w:shd w:val="clear" w:color="auto" w:fill="auto"/>
            <w:vAlign w:val="center"/>
          </w:tcPr>
          <w:p w14:paraId="70B1C138" w14:textId="54874107" w:rsidR="0098478C" w:rsidRPr="005C29F8" w:rsidRDefault="002B7490" w:rsidP="00A018D4">
            <w:pPr>
              <w:jc w:val="center"/>
              <w:rPr>
                <w:rFonts w:cs="Arial"/>
                <w:color w:val="000000" w:themeColor="text1"/>
                <w:szCs w:val="16"/>
              </w:rPr>
            </w:pPr>
            <w:r w:rsidRPr="005C29F8">
              <w:rPr>
                <w:rFonts w:cs="Arial"/>
                <w:color w:val="000000" w:themeColor="text1"/>
                <w:szCs w:val="16"/>
              </w:rPr>
              <w:t>59</w:t>
            </w:r>
          </w:p>
        </w:tc>
        <w:tc>
          <w:tcPr>
            <w:tcW w:w="979" w:type="pct"/>
            <w:shd w:val="clear" w:color="auto" w:fill="auto"/>
          </w:tcPr>
          <w:p w14:paraId="614E7B59" w14:textId="0DD580CD" w:rsidR="0098478C" w:rsidRPr="005C29F8" w:rsidRDefault="002B7490" w:rsidP="00A018D4">
            <w:pPr>
              <w:jc w:val="center"/>
              <w:rPr>
                <w:rFonts w:cs="Arial"/>
                <w:color w:val="000000" w:themeColor="text1"/>
                <w:szCs w:val="16"/>
              </w:rPr>
            </w:pPr>
            <w:r w:rsidRPr="005C29F8">
              <w:rPr>
                <w:rFonts w:cs="Arial"/>
                <w:color w:val="000000" w:themeColor="text1"/>
                <w:szCs w:val="16"/>
              </w:rPr>
              <w:t>65</w:t>
            </w:r>
          </w:p>
        </w:tc>
        <w:tc>
          <w:tcPr>
            <w:tcW w:w="541" w:type="pct"/>
            <w:shd w:val="clear" w:color="auto" w:fill="auto"/>
          </w:tcPr>
          <w:p w14:paraId="02406DF0" w14:textId="52BAECC6" w:rsidR="0098478C" w:rsidRPr="005C29F8" w:rsidRDefault="002B7490" w:rsidP="00A018D4">
            <w:pPr>
              <w:jc w:val="center"/>
              <w:rPr>
                <w:rFonts w:cs="Arial"/>
                <w:color w:val="000000" w:themeColor="text1"/>
                <w:szCs w:val="16"/>
              </w:rPr>
            </w:pPr>
            <w:r w:rsidRPr="005C29F8">
              <w:rPr>
                <w:rFonts w:cs="Arial"/>
                <w:color w:val="000000" w:themeColor="text1"/>
                <w:szCs w:val="16"/>
              </w:rPr>
              <w:t>89.86%</w:t>
            </w:r>
          </w:p>
        </w:tc>
        <w:tc>
          <w:tcPr>
            <w:tcW w:w="806" w:type="pct"/>
            <w:shd w:val="clear" w:color="auto" w:fill="auto"/>
          </w:tcPr>
          <w:p w14:paraId="2398C001" w14:textId="76ED9E04" w:rsidR="0098478C" w:rsidRPr="005C29F8" w:rsidRDefault="002B7490" w:rsidP="00A018D4">
            <w:pPr>
              <w:jc w:val="center"/>
              <w:rPr>
                <w:rFonts w:cs="Arial"/>
                <w:color w:val="000000" w:themeColor="text1"/>
                <w:szCs w:val="16"/>
              </w:rPr>
            </w:pPr>
            <w:r w:rsidRPr="005C29F8">
              <w:rPr>
                <w:rFonts w:cs="Arial"/>
                <w:color w:val="000000" w:themeColor="text1"/>
                <w:szCs w:val="16"/>
              </w:rPr>
              <w:t>80.00%</w:t>
            </w:r>
          </w:p>
        </w:tc>
        <w:tc>
          <w:tcPr>
            <w:tcW w:w="633" w:type="pct"/>
            <w:shd w:val="clear" w:color="auto" w:fill="auto"/>
          </w:tcPr>
          <w:p w14:paraId="4A53AF2D" w14:textId="67419FF6" w:rsidR="0098478C" w:rsidRPr="005C29F8" w:rsidRDefault="002B7490" w:rsidP="00A018D4">
            <w:pPr>
              <w:jc w:val="center"/>
              <w:rPr>
                <w:rFonts w:cs="Arial"/>
                <w:color w:val="000000" w:themeColor="text1"/>
                <w:szCs w:val="16"/>
              </w:rPr>
            </w:pPr>
            <w:r w:rsidRPr="005C29F8">
              <w:rPr>
                <w:rFonts w:cs="Arial"/>
                <w:color w:val="000000" w:themeColor="text1"/>
                <w:szCs w:val="16"/>
              </w:rPr>
              <w:t>90.77%</w:t>
            </w:r>
          </w:p>
        </w:tc>
        <w:tc>
          <w:tcPr>
            <w:tcW w:w="616" w:type="pct"/>
            <w:shd w:val="clear" w:color="auto" w:fill="auto"/>
          </w:tcPr>
          <w:p w14:paraId="0A60DC85" w14:textId="479F7096" w:rsidR="0098478C"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97" w:type="pct"/>
            <w:shd w:val="clear" w:color="auto" w:fill="auto"/>
          </w:tcPr>
          <w:p w14:paraId="6FB98C67" w14:textId="68AEDB07" w:rsidR="0098478C"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BB119D0" w14:textId="3E18DB6F" w:rsidR="005E59DB" w:rsidRPr="005C29F8" w:rsidRDefault="005E59DB" w:rsidP="004369B2">
      <w:pPr>
        <w:rPr>
          <w:color w:val="000000" w:themeColor="text1"/>
        </w:rPr>
      </w:pPr>
      <w:r w:rsidRPr="005C29F8">
        <w:rPr>
          <w:b/>
          <w:color w:val="000000" w:themeColor="text1"/>
        </w:rPr>
        <w:t xml:space="preserve">Graduation Conditions </w:t>
      </w:r>
    </w:p>
    <w:p w14:paraId="2E430405" w14:textId="158CCE2E" w:rsidR="00B302AC" w:rsidRPr="005C29F8" w:rsidRDefault="00C14D48" w:rsidP="00C14D48">
      <w:pPr>
        <w:rPr>
          <w:rFonts w:cs="Arial"/>
          <w:b/>
          <w:color w:val="000000" w:themeColor="text1"/>
          <w:szCs w:val="16"/>
        </w:rPr>
      </w:pPr>
      <w:r w:rsidRPr="005C29F8">
        <w:rPr>
          <w:rFonts w:cs="Arial"/>
          <w:b/>
          <w:color w:val="000000" w:themeColor="text1"/>
          <w:szCs w:val="16"/>
        </w:rPr>
        <w:t xml:space="preserve">Choose the length of Adjusted Cohort Graduation Rate your state is using: </w:t>
      </w:r>
    </w:p>
    <w:p w14:paraId="5AA71880" w14:textId="731CDAE4" w:rsidR="00C14D48" w:rsidRDefault="002B7490" w:rsidP="00C14D48">
      <w:pPr>
        <w:rPr>
          <w:rFonts w:cs="Arial"/>
          <w:color w:val="000000" w:themeColor="text1"/>
          <w:szCs w:val="16"/>
        </w:rPr>
      </w:pPr>
      <w:r w:rsidRPr="005C29F8">
        <w:rPr>
          <w:rFonts w:cs="Arial"/>
          <w:color w:val="000000" w:themeColor="text1"/>
          <w:szCs w:val="16"/>
        </w:rPr>
        <w:t>Other</w:t>
      </w:r>
    </w:p>
    <w:p w14:paraId="44381070" w14:textId="5347D245" w:rsidR="005E59DB" w:rsidRPr="005C29F8" w:rsidRDefault="00C14D48" w:rsidP="00552927">
      <w:pPr>
        <w:rPr>
          <w:rFonts w:cs="Arial"/>
          <w:b/>
          <w:i/>
          <w:color w:val="000000" w:themeColor="text1"/>
          <w:szCs w:val="16"/>
        </w:rPr>
      </w:pPr>
      <w:r w:rsidRPr="005C29F8">
        <w:rPr>
          <w:rFonts w:cs="Arial"/>
          <w:b/>
          <w:color w:val="000000" w:themeColor="text1"/>
          <w:szCs w:val="16"/>
        </w:rPr>
        <w:t xml:space="preserve">Provide a narrative that describes the conditions youth must meet </w:t>
      </w:r>
      <w:proofErr w:type="gramStart"/>
      <w:r w:rsidRPr="005C29F8">
        <w:rPr>
          <w:rFonts w:cs="Arial"/>
          <w:b/>
          <w:color w:val="000000" w:themeColor="text1"/>
          <w:szCs w:val="16"/>
        </w:rPr>
        <w:t>in order to</w:t>
      </w:r>
      <w:proofErr w:type="gramEnd"/>
      <w:r w:rsidRPr="005C29F8">
        <w:rPr>
          <w:rFonts w:cs="Arial"/>
          <w:b/>
          <w:color w:val="000000" w:themeColor="text1"/>
          <w:szCs w:val="16"/>
        </w:rPr>
        <w:t xml:space="preserve"> graduate with a regular high school diploma and, if different, the conditions that youth with IEPs must meet in order to graduate with a regular high school diploma.  If there is a difference, explain</w:t>
      </w:r>
      <w:r w:rsidRPr="005C29F8">
        <w:rPr>
          <w:rFonts w:cs="Arial"/>
          <w:b/>
          <w:i/>
          <w:color w:val="000000" w:themeColor="text1"/>
          <w:szCs w:val="16"/>
        </w:rPr>
        <w:t>.</w:t>
      </w:r>
    </w:p>
    <w:p w14:paraId="7C1B3984" w14:textId="08BD1460" w:rsidR="002D145D" w:rsidRPr="005C29F8" w:rsidRDefault="002B7490" w:rsidP="006618C8">
      <w:pPr>
        <w:rPr>
          <w:rFonts w:cs="Arial"/>
          <w:color w:val="000000" w:themeColor="text1"/>
          <w:szCs w:val="16"/>
        </w:rPr>
      </w:pPr>
      <w:r w:rsidRPr="005C29F8">
        <w:rPr>
          <w:rFonts w:cs="Arial"/>
          <w:color w:val="000000" w:themeColor="text1"/>
          <w:szCs w:val="16"/>
        </w:rPr>
        <w:t>As an outlying area, CNMI does not report graduation data to the Department under ESEA Title 1. The graduation conditions in the CNMI is based on the approved CNMI Board of Education credit requirements. In school year 2005-2006, the BOE revised the graduation requirements, Policy 60-20-434, from 21 credits to 28 credits (23 credits for required subjects and 5 elective credits) to receive a high school diploma. The credit requirements for graduating with a high school diploma also apply to students with disabilities.</w:t>
      </w:r>
    </w:p>
    <w:p w14:paraId="58C36CC8" w14:textId="7DE9B0CE" w:rsidR="00F672DF" w:rsidRPr="005C29F8" w:rsidRDefault="00F672DF" w:rsidP="006618C8">
      <w:pPr>
        <w:rPr>
          <w:rFonts w:cs="Arial"/>
          <w:b/>
          <w:color w:val="000000" w:themeColor="text1"/>
          <w:szCs w:val="16"/>
        </w:rPr>
      </w:pPr>
      <w:r w:rsidRPr="005C29F8">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Default="00F672DF" w:rsidP="006618C8">
      <w:pPr>
        <w:rPr>
          <w:rFonts w:cs="Arial"/>
          <w:color w:val="000000" w:themeColor="text1"/>
          <w:szCs w:val="16"/>
        </w:rPr>
      </w:pPr>
      <w:r w:rsidRPr="005C29F8">
        <w:rPr>
          <w:rFonts w:cs="Arial"/>
          <w:color w:val="000000" w:themeColor="text1"/>
          <w:szCs w:val="16"/>
        </w:rPr>
        <w:t>NO</w:t>
      </w:r>
    </w:p>
    <w:p w14:paraId="51BF8B64" w14:textId="746664C9" w:rsidR="0098478C" w:rsidRPr="005C29F8" w:rsidRDefault="0098478C" w:rsidP="004369B2">
      <w:pPr>
        <w:rPr>
          <w:b/>
          <w:color w:val="000000" w:themeColor="text1"/>
        </w:rPr>
      </w:pPr>
      <w:r w:rsidRPr="005C29F8">
        <w:rPr>
          <w:b/>
          <w:color w:val="000000" w:themeColor="text1"/>
        </w:rPr>
        <w:t>Provide additional information about this indicator (optional)</w:t>
      </w:r>
    </w:p>
    <w:p w14:paraId="2CDAC437" w14:textId="58A5CDB2" w:rsidR="002D145D" w:rsidRPr="005C29F8" w:rsidRDefault="002B7490" w:rsidP="000E33D0">
      <w:pPr>
        <w:rPr>
          <w:rFonts w:cs="Arial"/>
          <w:color w:val="000000" w:themeColor="text1"/>
          <w:szCs w:val="16"/>
        </w:rPr>
      </w:pPr>
      <w:r w:rsidRPr="005C29F8">
        <w:rPr>
          <w:rFonts w:cs="Arial"/>
          <w:color w:val="000000" w:themeColor="text1"/>
          <w:szCs w:val="16"/>
        </w:rPr>
        <w:t>Effective FFY 2017, OSEP required CNMI to change its method for calculating graduation rates for Indicator 1, while maintaining the use of one year lag data. The FFY 2017 performance data therefore represents CNMI's baseline data for Indicator 1, which was accepted by OSEP.</w:t>
      </w:r>
      <w:r w:rsidRPr="005C29F8">
        <w:rPr>
          <w:rFonts w:cs="Arial"/>
          <w:color w:val="000000" w:themeColor="text1"/>
          <w:szCs w:val="16"/>
        </w:rPr>
        <w:br/>
      </w:r>
      <w:r w:rsidRPr="005C29F8">
        <w:rPr>
          <w:rFonts w:cs="Arial"/>
          <w:color w:val="000000" w:themeColor="text1"/>
          <w:szCs w:val="16"/>
        </w:rPr>
        <w:br/>
        <w:t xml:space="preserve">In FFY 2017, to ensure the CNMI is providing accurate and consistent graduation rate for students with IEPs, stakeholders reviewed the graduation and exit data, OSEP’s options for calculating and reporting graduation data and compared the data to existing calculations. With stakeholder input, the CNMI agreed to use the same data reported to the Department under Section 618 of IDEA (File specification FS009) as its method for calculating graduation rates for Indicator 1. Therefore, beginning the FFY 2017 APR, the CNMI reports a graduation percentage using the number of youth with IEPs (ages 14-21) who exited school due to receiving a regular high school diploma in the numerator and the number of all youth with IEPs who left high school (ages 14-21) in the denominator. </w:t>
      </w:r>
    </w:p>
    <w:p w14:paraId="7D2A5658" w14:textId="39995CE7" w:rsidR="000C60E1" w:rsidRPr="0033429D" w:rsidRDefault="00B0742B" w:rsidP="008645AD">
      <w:pPr>
        <w:pStyle w:val="Heading2"/>
      </w:pPr>
      <w:bookmarkStart w:id="3" w:name="_Toc382082358"/>
      <w:r w:rsidRPr="0033429D">
        <w:t>1</w:t>
      </w:r>
      <w:r w:rsidR="00684B51" w:rsidRPr="0033429D">
        <w:t xml:space="preserve"> </w:t>
      </w:r>
      <w:r w:rsidRPr="0033429D">
        <w:t xml:space="preserve">- </w:t>
      </w:r>
      <w:r w:rsidR="002D145D" w:rsidRPr="0033429D">
        <w:t>Prior FFY Required Actions</w:t>
      </w:r>
    </w:p>
    <w:p w14:paraId="42534530" w14:textId="7BEF428C" w:rsidR="002D145D" w:rsidRPr="005C29F8" w:rsidRDefault="002B7490" w:rsidP="00CE5723">
      <w:pPr>
        <w:rPr>
          <w:rFonts w:cs="Arial"/>
          <w:color w:val="000000" w:themeColor="text1"/>
          <w:szCs w:val="16"/>
        </w:rPr>
      </w:pPr>
      <w:r w:rsidRPr="005C29F8">
        <w:rPr>
          <w:rFonts w:cs="Arial"/>
          <w:color w:val="000000" w:themeColor="text1"/>
          <w:szCs w:val="16"/>
        </w:rPr>
        <w:t>None</w:t>
      </w:r>
    </w:p>
    <w:p w14:paraId="12317A47" w14:textId="75A98BEA" w:rsidR="00A2794A" w:rsidRPr="005C29F8" w:rsidRDefault="00A2794A" w:rsidP="00CE5723">
      <w:pPr>
        <w:rPr>
          <w:rFonts w:cs="Arial"/>
          <w:color w:val="000000" w:themeColor="text1"/>
          <w:szCs w:val="16"/>
        </w:rPr>
      </w:pPr>
    </w:p>
    <w:p w14:paraId="0D99EF95" w14:textId="4B8DDAD7" w:rsidR="004C462E" w:rsidRPr="0033429D" w:rsidRDefault="00862B20" w:rsidP="008645AD">
      <w:pPr>
        <w:pStyle w:val="Heading2"/>
      </w:pPr>
      <w:r w:rsidRPr="0033429D">
        <w:t>1</w:t>
      </w:r>
      <w:r w:rsidR="00684B51" w:rsidRPr="0033429D">
        <w:t xml:space="preserve"> </w:t>
      </w:r>
      <w:r w:rsidRPr="0033429D">
        <w:t xml:space="preserve">- </w:t>
      </w:r>
      <w:r w:rsidR="004C462E" w:rsidRPr="0033429D">
        <w:t>OSEP Response</w:t>
      </w:r>
    </w:p>
    <w:p w14:paraId="47549565" w14:textId="0718C089" w:rsidR="002D145D" w:rsidRPr="005C29F8" w:rsidRDefault="002D145D" w:rsidP="001F692C">
      <w:pPr>
        <w:rPr>
          <w:rFonts w:cs="Arial"/>
          <w:color w:val="000000" w:themeColor="text1"/>
          <w:szCs w:val="16"/>
        </w:rPr>
      </w:pPr>
    </w:p>
    <w:p w14:paraId="5F7376D0" w14:textId="1C114A8A" w:rsidR="004C462E" w:rsidRPr="0033429D" w:rsidRDefault="00B0742B" w:rsidP="008645AD">
      <w:pPr>
        <w:pStyle w:val="Heading2"/>
      </w:pPr>
      <w:bookmarkStart w:id="4" w:name="_Hlk21352084"/>
      <w:r w:rsidRPr="0033429D">
        <w:t xml:space="preserve">1 - </w:t>
      </w:r>
      <w:bookmarkEnd w:id="4"/>
      <w:r w:rsidR="004C462E" w:rsidRPr="0033429D">
        <w:t>Required Actions</w:t>
      </w:r>
    </w:p>
    <w:p w14:paraId="1EB5204A" w14:textId="0BB66F29" w:rsidR="002D145D" w:rsidRPr="005C29F8" w:rsidRDefault="002D145D" w:rsidP="001F692C">
      <w:pPr>
        <w:rPr>
          <w:rFonts w:cs="Arial"/>
          <w:color w:val="000000" w:themeColor="text1"/>
          <w:szCs w:val="16"/>
        </w:rPr>
      </w:pPr>
    </w:p>
    <w:p w14:paraId="14062900" w14:textId="77777777" w:rsidR="00D37BF0" w:rsidRPr="005C29F8" w:rsidRDefault="00D37BF0">
      <w:pPr>
        <w:spacing w:before="0" w:after="200" w:line="276" w:lineRule="auto"/>
        <w:rPr>
          <w:rFonts w:eastAsiaTheme="majorEastAsia" w:cs="Arial"/>
          <w:b/>
          <w:bCs/>
          <w:color w:val="000000" w:themeColor="text1"/>
          <w:szCs w:val="16"/>
        </w:rPr>
      </w:pPr>
      <w:bookmarkStart w:id="5" w:name="_Toc392159262"/>
      <w:r w:rsidRPr="005C29F8">
        <w:rPr>
          <w:rFonts w:cs="Arial"/>
          <w:color w:val="000000" w:themeColor="text1"/>
          <w:szCs w:val="16"/>
        </w:rPr>
        <w:br w:type="page"/>
      </w:r>
    </w:p>
    <w:p w14:paraId="06F42DD3" w14:textId="793A19C1" w:rsidR="00D21EAA" w:rsidRPr="005C29F8" w:rsidRDefault="00D21EAA">
      <w:pPr>
        <w:pStyle w:val="Heading1"/>
        <w:rPr>
          <w:color w:val="000000" w:themeColor="text1"/>
          <w:sz w:val="22"/>
        </w:rPr>
      </w:pPr>
      <w:r w:rsidRPr="005C29F8">
        <w:rPr>
          <w:color w:val="000000" w:themeColor="text1"/>
          <w:sz w:val="22"/>
        </w:rPr>
        <w:lastRenderedPageBreak/>
        <w:t>Indicator 2: Drop Out</w:t>
      </w:r>
      <w:bookmarkEnd w:id="3"/>
      <w:bookmarkEnd w:id="5"/>
    </w:p>
    <w:p w14:paraId="7F31959F" w14:textId="6C15FFEB" w:rsidR="002C60D5" w:rsidRPr="005C29F8" w:rsidRDefault="002C60D5" w:rsidP="00A018D4">
      <w:pPr>
        <w:rPr>
          <w:color w:val="000000" w:themeColor="text1"/>
          <w:szCs w:val="20"/>
        </w:rPr>
      </w:pPr>
      <w:r w:rsidRPr="005C29F8">
        <w:rPr>
          <w:b/>
          <w:color w:val="000000" w:themeColor="text1"/>
          <w:sz w:val="20"/>
          <w:szCs w:val="20"/>
        </w:rPr>
        <w:t>Instructions and Measurement</w:t>
      </w:r>
    </w:p>
    <w:p w14:paraId="608EBBFC" w14:textId="77777777" w:rsidR="004B782D" w:rsidRPr="005C29F8" w:rsidRDefault="004B782D" w:rsidP="004369B2">
      <w:pPr>
        <w:rPr>
          <w:color w:val="000000" w:themeColor="text1"/>
        </w:rPr>
      </w:pPr>
      <w:bookmarkStart w:id="6" w:name="_Toc392159263"/>
      <w:r w:rsidRPr="005C29F8">
        <w:rPr>
          <w:b/>
          <w:color w:val="000000" w:themeColor="text1"/>
        </w:rPr>
        <w:t>Monitoring Priority:</w:t>
      </w:r>
      <w:r w:rsidRPr="005C29F8">
        <w:rPr>
          <w:color w:val="000000" w:themeColor="text1"/>
        </w:rPr>
        <w:t xml:space="preserve"> FAPE in the LRE</w:t>
      </w:r>
    </w:p>
    <w:p w14:paraId="5ECEA58F" w14:textId="62AA4280" w:rsidR="004B782D" w:rsidRPr="005C29F8" w:rsidRDefault="004B782D" w:rsidP="009340E3">
      <w:pPr>
        <w:rPr>
          <w:color w:val="000000" w:themeColor="text1"/>
        </w:rPr>
      </w:pPr>
      <w:r w:rsidRPr="005C29F8">
        <w:rPr>
          <w:b/>
          <w:color w:val="000000" w:themeColor="text1"/>
        </w:rPr>
        <w:t>Results indicator:</w:t>
      </w:r>
      <w:r w:rsidR="00552927" w:rsidRPr="005C29F8">
        <w:rPr>
          <w:color w:val="000000" w:themeColor="text1"/>
        </w:rPr>
        <w:t xml:space="preserve"> </w:t>
      </w:r>
      <w:r w:rsidRPr="005C29F8">
        <w:rPr>
          <w:color w:val="000000" w:themeColor="text1"/>
        </w:rPr>
        <w:t>Percent of youth with IEPs dropping out of high school.</w:t>
      </w:r>
      <w:r w:rsidR="00552927" w:rsidRPr="005C29F8">
        <w:rPr>
          <w:color w:val="000000" w:themeColor="text1"/>
        </w:rPr>
        <w:t xml:space="preserve"> </w:t>
      </w:r>
      <w:r w:rsidRPr="005C29F8">
        <w:rPr>
          <w:color w:val="000000" w:themeColor="text1"/>
        </w:rPr>
        <w:t>(20 U.S.C. 1416 (a)(3)(A))</w:t>
      </w:r>
    </w:p>
    <w:p w14:paraId="0A0172CD" w14:textId="77777777" w:rsidR="00553544" w:rsidRPr="005C29F8" w:rsidRDefault="00553544" w:rsidP="004369B2">
      <w:pPr>
        <w:rPr>
          <w:color w:val="000000" w:themeColor="text1"/>
        </w:rPr>
      </w:pPr>
      <w:r w:rsidRPr="005C29F8">
        <w:rPr>
          <w:b/>
          <w:color w:val="000000" w:themeColor="text1"/>
        </w:rPr>
        <w:t>Data Source</w:t>
      </w:r>
    </w:p>
    <w:p w14:paraId="403134A2"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3ABD013F" w14:textId="6B60845D" w:rsidR="00553544" w:rsidRPr="005C29F8" w:rsidRDefault="00553544" w:rsidP="00296D74">
      <w:pPr>
        <w:rPr>
          <w:rFonts w:cs="Arial"/>
          <w:color w:val="000000" w:themeColor="text1"/>
          <w:szCs w:val="16"/>
        </w:rPr>
      </w:pPr>
      <w:r w:rsidRPr="005C29F8">
        <w:rPr>
          <w:rFonts w:cs="Arial"/>
          <w:color w:val="000000" w:themeColor="text1"/>
          <w:szCs w:val="16"/>
        </w:rPr>
        <w:t xml:space="preserve">Same data as used for reporting to the Department under section 618 of the Individuals with Disabilities Education Act (IDEA), using the definitions in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 FS009.</w:t>
      </w:r>
    </w:p>
    <w:p w14:paraId="7FE591E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251BE1E1"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660E9DFB" w14:textId="77777777" w:rsidR="00553544" w:rsidRPr="005C29F8" w:rsidRDefault="00553544" w:rsidP="004369B2">
      <w:pPr>
        <w:rPr>
          <w:color w:val="000000" w:themeColor="text1"/>
        </w:rPr>
      </w:pPr>
      <w:r w:rsidRPr="005C29F8">
        <w:rPr>
          <w:b/>
          <w:color w:val="000000" w:themeColor="text1"/>
        </w:rPr>
        <w:t>Measurement</w:t>
      </w:r>
    </w:p>
    <w:p w14:paraId="2DDFA00B"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770B9C89" w14:textId="77777777" w:rsidR="00553544" w:rsidRPr="005C29F8" w:rsidRDefault="00553544" w:rsidP="00296D74">
      <w:pPr>
        <w:rPr>
          <w:rFonts w:cs="Arial"/>
          <w:color w:val="000000" w:themeColor="text1"/>
          <w:szCs w:val="16"/>
        </w:rPr>
      </w:pPr>
      <w:r w:rsidRPr="005C29F8">
        <w:rPr>
          <w:rFonts w:cs="Arial"/>
          <w:color w:val="000000" w:themeColor="text1"/>
          <w:szCs w:val="16"/>
        </w:rPr>
        <w:t>States must report a percentage using the number of youth with IEPs (ages 14-21) who exited special education due to dropping out in the numerator and the number of all youth with IEPs who left high school (ages 14-21) in the denominator.</w:t>
      </w:r>
    </w:p>
    <w:p w14:paraId="13812C1B"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5D85D6DB" w14:textId="77777777" w:rsidR="00553544" w:rsidRPr="005C29F8" w:rsidRDefault="00553544" w:rsidP="00296D74">
      <w:pPr>
        <w:rPr>
          <w:rFonts w:cs="Arial"/>
          <w:color w:val="000000" w:themeColor="text1"/>
          <w:szCs w:val="16"/>
        </w:rPr>
      </w:pPr>
      <w:r w:rsidRPr="005C29F8">
        <w:rPr>
          <w:rFonts w:cs="Arial"/>
          <w:color w:val="000000" w:themeColor="text1"/>
          <w:szCs w:val="16"/>
        </w:rPr>
        <w:t>Use same data source and measurement that the State used to report in its FFY 2010 SPP/APR that was submitted on February 1, 2012.</w:t>
      </w:r>
    </w:p>
    <w:p w14:paraId="0D547F78" w14:textId="77777777" w:rsidR="00553544" w:rsidRPr="005C29F8" w:rsidRDefault="00553544" w:rsidP="004369B2">
      <w:pPr>
        <w:rPr>
          <w:color w:val="000000" w:themeColor="text1"/>
        </w:rPr>
      </w:pPr>
      <w:r w:rsidRPr="005C29F8">
        <w:rPr>
          <w:b/>
          <w:color w:val="000000" w:themeColor="text1"/>
        </w:rPr>
        <w:t>Instructions</w:t>
      </w:r>
    </w:p>
    <w:p w14:paraId="64E3DDA2" w14:textId="77777777" w:rsidR="00553544" w:rsidRPr="005C29F8" w:rsidRDefault="00553544" w:rsidP="00296D74">
      <w:pPr>
        <w:rPr>
          <w:rFonts w:cs="Arial"/>
          <w:color w:val="000000" w:themeColor="text1"/>
          <w:szCs w:val="16"/>
        </w:rPr>
      </w:pPr>
      <w:r w:rsidRPr="005C29F8">
        <w:rPr>
          <w:rFonts w:cs="Arial"/>
          <w:color w:val="000000" w:themeColor="text1"/>
          <w:szCs w:val="16"/>
        </w:rPr>
        <w:t>Sampling is not allowed.</w:t>
      </w:r>
    </w:p>
    <w:p w14:paraId="14BA6A38" w14:textId="77777777" w:rsidR="00553544" w:rsidRPr="005C29F8" w:rsidRDefault="00553544" w:rsidP="00296D74">
      <w:pPr>
        <w:rPr>
          <w:rFonts w:cs="Arial"/>
          <w:color w:val="000000" w:themeColor="text1"/>
          <w:szCs w:val="16"/>
        </w:rPr>
      </w:pPr>
      <w:r w:rsidRPr="005C29F8">
        <w:rPr>
          <w:rFonts w:cs="Arial"/>
          <w:color w:val="000000" w:themeColor="text1"/>
          <w:szCs w:val="16"/>
        </w:rPr>
        <w:t>OPTION 1:</w:t>
      </w:r>
    </w:p>
    <w:p w14:paraId="4E899C11" w14:textId="7C1C3BD5" w:rsidR="00553544" w:rsidRPr="005C29F8" w:rsidRDefault="00A14B5D" w:rsidP="00296D74">
      <w:pPr>
        <w:rPr>
          <w:rFonts w:cs="Arial"/>
          <w:color w:val="000000" w:themeColor="text1"/>
          <w:szCs w:val="16"/>
        </w:rPr>
      </w:pPr>
      <w:r w:rsidRPr="005C29F8">
        <w:rPr>
          <w:rFonts w:cs="Arial"/>
          <w:color w:val="000000" w:themeColor="text1"/>
          <w:szCs w:val="16"/>
        </w:rPr>
        <w:t>Use 618 exiting data for the year before the reporting year (e.g., for the FFY 2019 SPP/APR, use data from 2018-2019). Include in the denominator the following exiting categories: (a) graduated with a regular high school diploma; (b) received a certificate; (c) reached maximum age; (d) dropped out; or (e) died.</w:t>
      </w:r>
    </w:p>
    <w:p w14:paraId="10351B16" w14:textId="77777777" w:rsidR="00553544" w:rsidRPr="005C29F8" w:rsidRDefault="00553544" w:rsidP="00296D74">
      <w:pPr>
        <w:rPr>
          <w:rFonts w:cs="Arial"/>
          <w:color w:val="000000" w:themeColor="text1"/>
          <w:szCs w:val="16"/>
        </w:rPr>
      </w:pPr>
      <w:r w:rsidRPr="005C29F8">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5C29F8">
        <w:rPr>
          <w:rFonts w:cs="Arial"/>
          <w:color w:val="000000" w:themeColor="text1"/>
          <w:szCs w:val="16"/>
        </w:rPr>
        <w:t>moved, but</w:t>
      </w:r>
      <w:proofErr w:type="gramEnd"/>
      <w:r w:rsidRPr="005C29F8">
        <w:rPr>
          <w:rFonts w:cs="Arial"/>
          <w:color w:val="000000" w:themeColor="text1"/>
          <w:szCs w:val="16"/>
        </w:rPr>
        <w:t xml:space="preserve"> are known to be continuing in an educational program.</w:t>
      </w:r>
    </w:p>
    <w:p w14:paraId="605CC57A" w14:textId="77777777" w:rsidR="00553544" w:rsidRPr="005C29F8" w:rsidRDefault="00553544" w:rsidP="00296D74">
      <w:pPr>
        <w:rPr>
          <w:rFonts w:cs="Arial"/>
          <w:color w:val="000000" w:themeColor="text1"/>
          <w:szCs w:val="16"/>
        </w:rPr>
      </w:pPr>
      <w:r w:rsidRPr="005C29F8">
        <w:rPr>
          <w:rFonts w:cs="Arial"/>
          <w:color w:val="000000" w:themeColor="text1"/>
          <w:szCs w:val="16"/>
        </w:rPr>
        <w:t>OPTION 2:</w:t>
      </w:r>
    </w:p>
    <w:p w14:paraId="6210B2C8" w14:textId="77777777" w:rsidR="00553544" w:rsidRPr="005C29F8" w:rsidRDefault="00553544" w:rsidP="00296D74">
      <w:pPr>
        <w:rPr>
          <w:rFonts w:cs="Arial"/>
          <w:color w:val="000000" w:themeColor="text1"/>
          <w:szCs w:val="16"/>
        </w:rPr>
      </w:pPr>
      <w:r w:rsidRPr="005C29F8">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5C29F8" w:rsidRDefault="00553544" w:rsidP="00296D74">
      <w:pPr>
        <w:rPr>
          <w:rFonts w:cs="Arial"/>
          <w:color w:val="000000" w:themeColor="text1"/>
          <w:szCs w:val="16"/>
        </w:rPr>
      </w:pPr>
      <w:r w:rsidRPr="005C29F8">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77777777" w:rsidR="00553544" w:rsidRPr="005C29F8" w:rsidRDefault="00553544" w:rsidP="00296D74">
      <w:pPr>
        <w:rPr>
          <w:rFonts w:cs="Arial"/>
          <w:color w:val="000000" w:themeColor="text1"/>
          <w:szCs w:val="16"/>
        </w:rPr>
      </w:pPr>
      <w:r w:rsidRPr="005C29F8">
        <w:rPr>
          <w:rFonts w:cs="Arial"/>
          <w:color w:val="000000" w:themeColor="text1"/>
          <w:szCs w:val="16"/>
        </w:rPr>
        <w:t>Options 1 and 2:</w:t>
      </w:r>
    </w:p>
    <w:p w14:paraId="52C63263" w14:textId="758B46CD" w:rsidR="00553544" w:rsidRPr="005C29F8" w:rsidRDefault="00A14B5D" w:rsidP="00296D74">
      <w:pPr>
        <w:rPr>
          <w:rFonts w:cs="Arial"/>
          <w:color w:val="000000" w:themeColor="text1"/>
          <w:szCs w:val="16"/>
        </w:rPr>
      </w:pPr>
      <w:r w:rsidRPr="005C29F8">
        <w:rPr>
          <w:rFonts w:cs="Arial"/>
          <w:color w:val="000000" w:themeColor="text1"/>
          <w:szCs w:val="16"/>
        </w:rPr>
        <w:t>Data for this indicator are “lag” data. Describe the results of the State’s examination of the data for the year before the reporting year (e.g., for the FFY 2019 SPP/APR, use data from 2018-2019), and compare the results to the target.</w:t>
      </w:r>
    </w:p>
    <w:p w14:paraId="1887DD67" w14:textId="77777777" w:rsidR="00553544" w:rsidRPr="005C29F8" w:rsidRDefault="00553544" w:rsidP="00296D74">
      <w:pPr>
        <w:rPr>
          <w:rFonts w:cs="Arial"/>
          <w:color w:val="000000" w:themeColor="text1"/>
          <w:szCs w:val="16"/>
        </w:rPr>
      </w:pPr>
      <w:r w:rsidRPr="005C29F8">
        <w:rPr>
          <w:rFonts w:cs="Arial"/>
          <w:color w:val="000000" w:themeColor="text1"/>
          <w:szCs w:val="16"/>
        </w:rPr>
        <w:t>Provide a narrative that describes what counts as dropping out for all youth and, if different, what counts as dropping out for youth with IEPs. If there is a difference, explain.</w:t>
      </w:r>
    </w:p>
    <w:bookmarkEnd w:id="6"/>
    <w:p w14:paraId="7F3C4C70" w14:textId="5E656134" w:rsidR="002C60D5" w:rsidRPr="0033429D" w:rsidRDefault="00F914B4" w:rsidP="008645AD">
      <w:pPr>
        <w:pStyle w:val="Heading2"/>
      </w:pPr>
      <w:r w:rsidRPr="0033429D">
        <w:t>2</w:t>
      </w:r>
      <w:r w:rsidR="00684B51" w:rsidRPr="0033429D">
        <w:t xml:space="preserve"> </w:t>
      </w:r>
      <w:r w:rsidRPr="0033429D">
        <w:t xml:space="preserve">- </w:t>
      </w:r>
      <w:r w:rsidR="002C60D5" w:rsidRPr="0033429D">
        <w:t>Indicator Data</w:t>
      </w:r>
    </w:p>
    <w:p w14:paraId="6F5DCECF" w14:textId="739F0BA3" w:rsidR="00907A35" w:rsidRDefault="00907A3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14:paraId="628BEDAF" w14:textId="77777777" w:rsidTr="0033429D">
        <w:trPr>
          <w:trHeight w:val="311"/>
          <w:tblHeader/>
        </w:trPr>
        <w:tc>
          <w:tcPr>
            <w:tcW w:w="1797" w:type="dxa"/>
          </w:tcPr>
          <w:p w14:paraId="43FEF78C" w14:textId="77777777" w:rsidR="008F3F33" w:rsidRDefault="008F3F33" w:rsidP="002B6965">
            <w:pPr>
              <w:jc w:val="center"/>
              <w:rPr>
                <w:b/>
                <w:color w:val="000000" w:themeColor="text1"/>
              </w:rPr>
            </w:pPr>
            <w:r w:rsidRPr="005C29F8">
              <w:rPr>
                <w:rFonts w:cs="Arial"/>
                <w:b/>
                <w:color w:val="000000" w:themeColor="text1"/>
                <w:szCs w:val="16"/>
              </w:rPr>
              <w:t>Baseline Year</w:t>
            </w:r>
          </w:p>
        </w:tc>
        <w:tc>
          <w:tcPr>
            <w:tcW w:w="1798" w:type="dxa"/>
          </w:tcPr>
          <w:p w14:paraId="276B82F6" w14:textId="77777777" w:rsidR="008F3F33" w:rsidRDefault="008F3F33" w:rsidP="002B6965">
            <w:pPr>
              <w:jc w:val="center"/>
              <w:rPr>
                <w:b/>
                <w:color w:val="000000" w:themeColor="text1"/>
              </w:rPr>
            </w:pPr>
            <w:r>
              <w:rPr>
                <w:b/>
                <w:color w:val="000000" w:themeColor="text1"/>
              </w:rPr>
              <w:t>Baseline Data</w:t>
            </w:r>
          </w:p>
        </w:tc>
      </w:tr>
      <w:tr w:rsidR="008F3F33" w14:paraId="4706A01B" w14:textId="77777777" w:rsidTr="0033429D">
        <w:trPr>
          <w:trHeight w:val="311"/>
        </w:trPr>
        <w:tc>
          <w:tcPr>
            <w:tcW w:w="1797" w:type="dxa"/>
            <w:vAlign w:val="center"/>
          </w:tcPr>
          <w:p w14:paraId="2D2A3601" w14:textId="2E05C132" w:rsidR="008F3F33" w:rsidRPr="0033429D" w:rsidRDefault="008F3F33" w:rsidP="002B6965">
            <w:pPr>
              <w:jc w:val="center"/>
              <w:rPr>
                <w:bCs/>
                <w:color w:val="000000" w:themeColor="text1"/>
              </w:rPr>
            </w:pPr>
            <w:r w:rsidRPr="0033429D">
              <w:rPr>
                <w:bCs/>
                <w:color w:val="000000" w:themeColor="text1"/>
              </w:rPr>
              <w:t>2008</w:t>
            </w:r>
          </w:p>
        </w:tc>
        <w:tc>
          <w:tcPr>
            <w:tcW w:w="1798" w:type="dxa"/>
            <w:vAlign w:val="center"/>
          </w:tcPr>
          <w:p w14:paraId="47669FA0" w14:textId="71ECEF5D" w:rsidR="008F3F33" w:rsidRPr="0033429D" w:rsidRDefault="008F3F33" w:rsidP="002B6965">
            <w:pPr>
              <w:jc w:val="center"/>
              <w:rPr>
                <w:bCs/>
                <w:color w:val="000000" w:themeColor="text1"/>
              </w:rPr>
            </w:pPr>
            <w:r w:rsidRPr="0033429D">
              <w:rPr>
                <w:bCs/>
                <w:color w:val="000000" w:themeColor="text1"/>
              </w:rPr>
              <w:t>9.00%</w:t>
            </w:r>
          </w:p>
        </w:tc>
      </w:tr>
    </w:tbl>
    <w:p w14:paraId="1D724648" w14:textId="77777777" w:rsidR="008F3F33" w:rsidRPr="005C29F8"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5C29F8" w14:paraId="4B5BBF62" w14:textId="77777777" w:rsidTr="0033429D">
        <w:trPr>
          <w:trHeight w:val="350"/>
        </w:trPr>
        <w:tc>
          <w:tcPr>
            <w:tcW w:w="833" w:type="pct"/>
            <w:tcBorders>
              <w:bottom w:val="single" w:sz="4" w:space="0" w:color="auto"/>
            </w:tcBorders>
            <w:shd w:val="clear" w:color="auto" w:fill="auto"/>
          </w:tcPr>
          <w:p w14:paraId="7CE940CD" w14:textId="77777777" w:rsidR="00907A35" w:rsidRPr="005C29F8" w:rsidRDefault="00907A35" w:rsidP="004369B2">
            <w:pPr>
              <w:jc w:val="center"/>
              <w:rPr>
                <w:b/>
                <w:color w:val="000000" w:themeColor="text1"/>
              </w:rPr>
            </w:pPr>
            <w:r w:rsidRPr="005C29F8">
              <w:rPr>
                <w:b/>
                <w:color w:val="000000" w:themeColor="text1"/>
              </w:rPr>
              <w:t>FFY</w:t>
            </w:r>
          </w:p>
        </w:tc>
        <w:tc>
          <w:tcPr>
            <w:tcW w:w="833" w:type="pct"/>
            <w:shd w:val="clear" w:color="auto" w:fill="auto"/>
          </w:tcPr>
          <w:p w14:paraId="1B67E69F" w14:textId="56F9072E" w:rsidR="00907A35" w:rsidRPr="005C29F8" w:rsidRDefault="002B7490" w:rsidP="00894709">
            <w:pPr>
              <w:jc w:val="center"/>
              <w:rPr>
                <w:b/>
                <w:color w:val="000000" w:themeColor="text1"/>
              </w:rPr>
            </w:pPr>
            <w:r w:rsidRPr="005C29F8">
              <w:rPr>
                <w:b/>
                <w:color w:val="000000" w:themeColor="text1"/>
              </w:rPr>
              <w:t>2014</w:t>
            </w:r>
          </w:p>
        </w:tc>
        <w:tc>
          <w:tcPr>
            <w:tcW w:w="833" w:type="pct"/>
            <w:shd w:val="clear" w:color="auto" w:fill="auto"/>
          </w:tcPr>
          <w:p w14:paraId="7C0715D5" w14:textId="197F633E" w:rsidR="00907A35" w:rsidRPr="005C29F8" w:rsidRDefault="002B7490" w:rsidP="00894709">
            <w:pPr>
              <w:jc w:val="center"/>
              <w:rPr>
                <w:b/>
                <w:color w:val="000000" w:themeColor="text1"/>
              </w:rPr>
            </w:pPr>
            <w:r w:rsidRPr="005C29F8">
              <w:rPr>
                <w:b/>
                <w:color w:val="000000" w:themeColor="text1"/>
              </w:rPr>
              <w:t>2015</w:t>
            </w:r>
          </w:p>
        </w:tc>
        <w:tc>
          <w:tcPr>
            <w:tcW w:w="833" w:type="pct"/>
            <w:shd w:val="clear" w:color="auto" w:fill="auto"/>
          </w:tcPr>
          <w:p w14:paraId="36DD95CC" w14:textId="1D95C11E" w:rsidR="00907A35" w:rsidRPr="005C29F8" w:rsidRDefault="002B7490" w:rsidP="00894709">
            <w:pPr>
              <w:jc w:val="center"/>
              <w:rPr>
                <w:b/>
                <w:color w:val="000000" w:themeColor="text1"/>
              </w:rPr>
            </w:pPr>
            <w:r w:rsidRPr="005C29F8">
              <w:rPr>
                <w:b/>
                <w:color w:val="000000" w:themeColor="text1"/>
              </w:rPr>
              <w:t>2016</w:t>
            </w:r>
          </w:p>
        </w:tc>
        <w:tc>
          <w:tcPr>
            <w:tcW w:w="833" w:type="pct"/>
            <w:shd w:val="clear" w:color="auto" w:fill="auto"/>
          </w:tcPr>
          <w:p w14:paraId="6DC8920B" w14:textId="560E0E60" w:rsidR="00907A35" w:rsidRPr="005C29F8" w:rsidRDefault="002B7490" w:rsidP="00894709">
            <w:pPr>
              <w:jc w:val="center"/>
              <w:rPr>
                <w:b/>
                <w:color w:val="000000" w:themeColor="text1"/>
              </w:rPr>
            </w:pPr>
            <w:r w:rsidRPr="005C29F8">
              <w:rPr>
                <w:b/>
                <w:color w:val="000000" w:themeColor="text1"/>
              </w:rPr>
              <w:t>2017</w:t>
            </w:r>
          </w:p>
        </w:tc>
        <w:tc>
          <w:tcPr>
            <w:tcW w:w="834" w:type="pct"/>
            <w:shd w:val="clear" w:color="auto" w:fill="auto"/>
          </w:tcPr>
          <w:p w14:paraId="42978F28" w14:textId="43280835" w:rsidR="00907A35" w:rsidRPr="005C29F8" w:rsidRDefault="002B7490" w:rsidP="00894709">
            <w:pPr>
              <w:jc w:val="center"/>
              <w:rPr>
                <w:b/>
                <w:color w:val="000000" w:themeColor="text1"/>
              </w:rPr>
            </w:pPr>
            <w:r w:rsidRPr="005C29F8">
              <w:rPr>
                <w:b/>
                <w:color w:val="000000" w:themeColor="text1"/>
              </w:rPr>
              <w:t>2018</w:t>
            </w:r>
          </w:p>
        </w:tc>
      </w:tr>
      <w:tr w:rsidR="005C29F8" w:rsidRPr="005C29F8" w14:paraId="58F3D93E" w14:textId="77777777" w:rsidTr="0033429D">
        <w:trPr>
          <w:trHeight w:val="357"/>
        </w:trPr>
        <w:tc>
          <w:tcPr>
            <w:tcW w:w="833" w:type="pct"/>
            <w:shd w:val="clear" w:color="auto" w:fill="auto"/>
            <w:vAlign w:val="center"/>
          </w:tcPr>
          <w:p w14:paraId="19C9E1E1" w14:textId="72240B64" w:rsidR="00907A35" w:rsidRPr="005C29F8" w:rsidRDefault="00907A35" w:rsidP="001F692C">
            <w:pPr>
              <w:rPr>
                <w:rFonts w:cs="Arial"/>
                <w:color w:val="000000" w:themeColor="text1"/>
                <w:szCs w:val="16"/>
              </w:rPr>
            </w:pPr>
            <w:r w:rsidRPr="005C29F8">
              <w:rPr>
                <w:rFonts w:cs="Arial"/>
                <w:color w:val="000000" w:themeColor="text1"/>
                <w:szCs w:val="16"/>
              </w:rPr>
              <w:t xml:space="preserve">Target </w:t>
            </w:r>
            <w:r w:rsidR="0051170F" w:rsidRPr="005C29F8">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5C29F8" w:rsidRDefault="002B7490" w:rsidP="00E0321D">
            <w:pPr>
              <w:jc w:val="center"/>
              <w:rPr>
                <w:rFonts w:cs="Arial"/>
                <w:color w:val="000000" w:themeColor="text1"/>
                <w:szCs w:val="16"/>
              </w:rPr>
            </w:pPr>
            <w:r w:rsidRPr="005C29F8">
              <w:rPr>
                <w:rFonts w:cs="Arial"/>
                <w:color w:val="000000" w:themeColor="text1"/>
                <w:szCs w:val="16"/>
              </w:rPr>
              <w:t>4.00%</w:t>
            </w:r>
          </w:p>
        </w:tc>
        <w:tc>
          <w:tcPr>
            <w:tcW w:w="833" w:type="pct"/>
            <w:shd w:val="clear" w:color="auto" w:fill="auto"/>
            <w:vAlign w:val="center"/>
          </w:tcPr>
          <w:p w14:paraId="09754C04" w14:textId="6AA1C908"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73F1F537" w14:textId="213B7CF6" w:rsidR="00907A35" w:rsidRPr="005C29F8" w:rsidRDefault="002B7490" w:rsidP="00E0321D">
            <w:pPr>
              <w:jc w:val="center"/>
              <w:rPr>
                <w:rFonts w:cs="Arial"/>
                <w:color w:val="000000" w:themeColor="text1"/>
                <w:szCs w:val="16"/>
              </w:rPr>
            </w:pPr>
            <w:r w:rsidRPr="005C29F8">
              <w:rPr>
                <w:rFonts w:cs="Arial"/>
                <w:color w:val="000000" w:themeColor="text1"/>
                <w:szCs w:val="16"/>
              </w:rPr>
              <w:t>3.00%</w:t>
            </w:r>
          </w:p>
        </w:tc>
        <w:tc>
          <w:tcPr>
            <w:tcW w:w="833" w:type="pct"/>
            <w:shd w:val="clear" w:color="auto" w:fill="auto"/>
            <w:vAlign w:val="center"/>
          </w:tcPr>
          <w:p w14:paraId="24592EED" w14:textId="5BE30DC5"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c>
          <w:tcPr>
            <w:tcW w:w="834" w:type="pct"/>
            <w:shd w:val="clear" w:color="auto" w:fill="auto"/>
            <w:vAlign w:val="center"/>
          </w:tcPr>
          <w:p w14:paraId="0C69FBF7" w14:textId="5FED7341" w:rsidR="00907A35" w:rsidRPr="005C29F8" w:rsidRDefault="002B7490" w:rsidP="00E0321D">
            <w:pPr>
              <w:jc w:val="center"/>
              <w:rPr>
                <w:rFonts w:cs="Arial"/>
                <w:color w:val="000000" w:themeColor="text1"/>
                <w:szCs w:val="16"/>
              </w:rPr>
            </w:pPr>
            <w:r w:rsidRPr="005C29F8">
              <w:rPr>
                <w:rFonts w:cs="Arial"/>
                <w:color w:val="000000" w:themeColor="text1"/>
                <w:szCs w:val="16"/>
              </w:rPr>
              <w:t>2.00%</w:t>
            </w:r>
          </w:p>
        </w:tc>
      </w:tr>
      <w:tr w:rsidR="005C29F8" w:rsidRPr="005C29F8" w14:paraId="06558B7E" w14:textId="77777777" w:rsidTr="0033429D">
        <w:trPr>
          <w:trHeight w:val="85"/>
        </w:trPr>
        <w:tc>
          <w:tcPr>
            <w:tcW w:w="833" w:type="pct"/>
            <w:shd w:val="clear" w:color="auto" w:fill="auto"/>
            <w:vAlign w:val="center"/>
          </w:tcPr>
          <w:p w14:paraId="1DE2074D" w14:textId="77777777" w:rsidR="00907A35" w:rsidRPr="005C29F8" w:rsidRDefault="00907A35" w:rsidP="001F692C">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33EDE68" w14:textId="28E51F4E" w:rsidR="00907A35" w:rsidRPr="005C29F8" w:rsidRDefault="002B7490" w:rsidP="00E0321D">
            <w:pPr>
              <w:jc w:val="center"/>
              <w:rPr>
                <w:rFonts w:cs="Arial"/>
                <w:color w:val="000000" w:themeColor="text1"/>
                <w:szCs w:val="16"/>
              </w:rPr>
            </w:pPr>
            <w:r w:rsidRPr="005C29F8">
              <w:rPr>
                <w:rFonts w:cs="Arial"/>
                <w:color w:val="000000" w:themeColor="text1"/>
                <w:szCs w:val="16"/>
              </w:rPr>
              <w:t>4.45%</w:t>
            </w:r>
          </w:p>
        </w:tc>
        <w:tc>
          <w:tcPr>
            <w:tcW w:w="833" w:type="pct"/>
            <w:shd w:val="clear" w:color="auto" w:fill="auto"/>
            <w:vAlign w:val="center"/>
          </w:tcPr>
          <w:p w14:paraId="1DE6EF8F" w14:textId="2C6399B2" w:rsidR="00907A35" w:rsidRPr="005C29F8" w:rsidRDefault="002B7490" w:rsidP="00E0321D">
            <w:pPr>
              <w:jc w:val="center"/>
              <w:rPr>
                <w:rFonts w:cs="Arial"/>
                <w:color w:val="000000" w:themeColor="text1"/>
                <w:szCs w:val="16"/>
              </w:rPr>
            </w:pPr>
            <w:r w:rsidRPr="005C29F8">
              <w:rPr>
                <w:rFonts w:cs="Arial"/>
                <w:color w:val="000000" w:themeColor="text1"/>
                <w:szCs w:val="16"/>
              </w:rPr>
              <w:t>7.46%</w:t>
            </w:r>
          </w:p>
        </w:tc>
        <w:tc>
          <w:tcPr>
            <w:tcW w:w="833" w:type="pct"/>
            <w:tcBorders>
              <w:bottom w:val="single" w:sz="4" w:space="0" w:color="auto"/>
            </w:tcBorders>
            <w:shd w:val="clear" w:color="auto" w:fill="auto"/>
            <w:vAlign w:val="center"/>
          </w:tcPr>
          <w:p w14:paraId="3F810822" w14:textId="70D15FEC" w:rsidR="00907A35" w:rsidRPr="005C29F8" w:rsidRDefault="002B7490" w:rsidP="00E0321D">
            <w:pPr>
              <w:jc w:val="center"/>
              <w:rPr>
                <w:rFonts w:cs="Arial"/>
                <w:color w:val="000000" w:themeColor="text1"/>
                <w:szCs w:val="16"/>
              </w:rPr>
            </w:pPr>
            <w:r w:rsidRPr="005C29F8">
              <w:rPr>
                <w:rFonts w:cs="Arial"/>
                <w:color w:val="000000" w:themeColor="text1"/>
                <w:szCs w:val="16"/>
              </w:rPr>
              <w:t>8.78%</w:t>
            </w:r>
          </w:p>
        </w:tc>
        <w:tc>
          <w:tcPr>
            <w:tcW w:w="833" w:type="pct"/>
            <w:tcBorders>
              <w:bottom w:val="single" w:sz="4" w:space="0" w:color="auto"/>
            </w:tcBorders>
            <w:shd w:val="clear" w:color="auto" w:fill="auto"/>
            <w:vAlign w:val="center"/>
          </w:tcPr>
          <w:p w14:paraId="5421E042" w14:textId="6AE010E9" w:rsidR="00907A35" w:rsidRPr="005C29F8" w:rsidRDefault="002B7490" w:rsidP="00E0321D">
            <w:pPr>
              <w:jc w:val="center"/>
              <w:rPr>
                <w:rFonts w:cs="Arial"/>
                <w:color w:val="000000" w:themeColor="text1"/>
                <w:szCs w:val="16"/>
              </w:rPr>
            </w:pPr>
            <w:r w:rsidRPr="005C29F8">
              <w:rPr>
                <w:rFonts w:cs="Arial"/>
                <w:color w:val="000000" w:themeColor="text1"/>
                <w:szCs w:val="16"/>
              </w:rPr>
              <w:t>5.07%</w:t>
            </w:r>
          </w:p>
        </w:tc>
        <w:tc>
          <w:tcPr>
            <w:tcW w:w="834" w:type="pct"/>
            <w:tcBorders>
              <w:bottom w:val="single" w:sz="4" w:space="0" w:color="auto"/>
            </w:tcBorders>
            <w:shd w:val="clear" w:color="auto" w:fill="auto"/>
            <w:vAlign w:val="center"/>
          </w:tcPr>
          <w:p w14:paraId="32A53100" w14:textId="125B9065" w:rsidR="00907A35" w:rsidRPr="005C29F8" w:rsidRDefault="002B7490" w:rsidP="00E0321D">
            <w:pPr>
              <w:jc w:val="center"/>
              <w:rPr>
                <w:rFonts w:cs="Arial"/>
                <w:color w:val="000000" w:themeColor="text1"/>
                <w:szCs w:val="16"/>
              </w:rPr>
            </w:pPr>
            <w:r w:rsidRPr="005C29F8">
              <w:rPr>
                <w:rFonts w:cs="Arial"/>
                <w:color w:val="000000" w:themeColor="text1"/>
                <w:szCs w:val="16"/>
              </w:rPr>
              <w:t>2.17%</w:t>
            </w:r>
          </w:p>
        </w:tc>
      </w:tr>
    </w:tbl>
    <w:p w14:paraId="2E8ED284" w14:textId="77777777" w:rsidR="00654A4B" w:rsidRPr="005C29F8" w:rsidRDefault="00654A4B" w:rsidP="004369B2">
      <w:pPr>
        <w:rPr>
          <w:color w:val="000000" w:themeColor="text1"/>
        </w:rPr>
      </w:pPr>
    </w:p>
    <w:p w14:paraId="1AD526FC" w14:textId="0D130AB7" w:rsidR="00907A35" w:rsidRPr="005C29F8" w:rsidRDefault="00907A35" w:rsidP="004369B2">
      <w:pPr>
        <w:rPr>
          <w:color w:val="000000" w:themeColor="text1"/>
        </w:rPr>
      </w:pPr>
      <w:r w:rsidRPr="005C29F8">
        <w:rPr>
          <w:b/>
          <w:color w:val="000000" w:themeColor="text1"/>
        </w:rPr>
        <w:t>Targets</w:t>
      </w:r>
    </w:p>
    <w:tbl>
      <w:tblPr>
        <w:tblW w:w="14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984"/>
        <w:gridCol w:w="2251"/>
      </w:tblGrid>
      <w:tr w:rsidR="00085D89" w:rsidRPr="005C29F8" w14:paraId="029A4CCE" w14:textId="210CC16E" w:rsidTr="00085D89">
        <w:trPr>
          <w:trHeight w:val="350"/>
        </w:trPr>
        <w:tc>
          <w:tcPr>
            <w:tcW w:w="1521" w:type="pct"/>
            <w:tcBorders>
              <w:bottom w:val="single" w:sz="4" w:space="0" w:color="auto"/>
            </w:tcBorders>
            <w:shd w:val="clear" w:color="auto" w:fill="auto"/>
          </w:tcPr>
          <w:p w14:paraId="7E454C96" w14:textId="77777777" w:rsidR="00085D89" w:rsidRPr="005C29F8" w:rsidRDefault="00085D89" w:rsidP="004369B2">
            <w:pPr>
              <w:jc w:val="center"/>
              <w:rPr>
                <w:b/>
                <w:color w:val="000000" w:themeColor="text1"/>
              </w:rPr>
            </w:pPr>
            <w:r w:rsidRPr="005C29F8">
              <w:rPr>
                <w:b/>
                <w:color w:val="000000" w:themeColor="text1"/>
              </w:rPr>
              <w:t>FFY</w:t>
            </w:r>
          </w:p>
        </w:tc>
        <w:tc>
          <w:tcPr>
            <w:tcW w:w="3479" w:type="pct"/>
            <w:shd w:val="clear" w:color="auto" w:fill="auto"/>
            <w:vAlign w:val="center"/>
          </w:tcPr>
          <w:p w14:paraId="43981BCA" w14:textId="46BADE94" w:rsidR="00085D89" w:rsidRPr="005C29F8" w:rsidRDefault="00085D89" w:rsidP="004369B2">
            <w:pPr>
              <w:jc w:val="center"/>
              <w:rPr>
                <w:b/>
                <w:color w:val="000000" w:themeColor="text1"/>
              </w:rPr>
            </w:pPr>
            <w:r w:rsidRPr="005C29F8">
              <w:rPr>
                <w:b/>
                <w:color w:val="000000" w:themeColor="text1"/>
              </w:rPr>
              <w:t>2019</w:t>
            </w:r>
          </w:p>
        </w:tc>
      </w:tr>
      <w:tr w:rsidR="00085D89" w:rsidRPr="005C29F8" w14:paraId="74AFE5A4" w14:textId="29DB4C33" w:rsidTr="00043AAB">
        <w:trPr>
          <w:trHeight w:val="357"/>
        </w:trPr>
        <w:tc>
          <w:tcPr>
            <w:tcW w:w="1521" w:type="pct"/>
            <w:shd w:val="clear" w:color="auto" w:fill="auto"/>
            <w:vAlign w:val="center"/>
          </w:tcPr>
          <w:p w14:paraId="74812D09" w14:textId="3A67082C" w:rsidR="00085D89" w:rsidRPr="005C29F8" w:rsidRDefault="00085D89" w:rsidP="007D7A20">
            <w:pPr>
              <w:rPr>
                <w:rFonts w:cs="Arial"/>
                <w:color w:val="000000" w:themeColor="text1"/>
                <w:szCs w:val="16"/>
              </w:rPr>
            </w:pPr>
            <w:r w:rsidRPr="005C29F8">
              <w:rPr>
                <w:rFonts w:cs="Arial"/>
                <w:color w:val="000000" w:themeColor="text1"/>
                <w:szCs w:val="16"/>
              </w:rPr>
              <w:t>Target &lt;=</w:t>
            </w:r>
          </w:p>
        </w:tc>
        <w:tc>
          <w:tcPr>
            <w:tcW w:w="3479" w:type="pct"/>
            <w:shd w:val="clear" w:color="auto" w:fill="auto"/>
            <w:vAlign w:val="center"/>
          </w:tcPr>
          <w:p w14:paraId="1AA9A6F0" w14:textId="23F8F955" w:rsidR="00085D89" w:rsidRPr="005C29F8" w:rsidRDefault="00085D89" w:rsidP="00A018D4">
            <w:pPr>
              <w:jc w:val="center"/>
              <w:rPr>
                <w:rFonts w:cs="Arial"/>
                <w:color w:val="000000" w:themeColor="text1"/>
                <w:szCs w:val="16"/>
              </w:rPr>
            </w:pPr>
            <w:r w:rsidRPr="005C29F8">
              <w:rPr>
                <w:rFonts w:cs="Arial"/>
                <w:color w:val="000000" w:themeColor="text1"/>
                <w:szCs w:val="16"/>
              </w:rPr>
              <w:t>2.00%</w:t>
            </w:r>
          </w:p>
        </w:tc>
      </w:tr>
    </w:tbl>
    <w:p w14:paraId="23C212C7" w14:textId="54B31D84" w:rsidR="002D145D" w:rsidRDefault="002D145D">
      <w:pPr>
        <w:rPr>
          <w:b/>
          <w:color w:val="000000" w:themeColor="text1"/>
        </w:rPr>
      </w:pPr>
      <w:r w:rsidRPr="005C29F8">
        <w:rPr>
          <w:b/>
          <w:color w:val="000000" w:themeColor="text1"/>
        </w:rPr>
        <w:t>Targets: Description of Stakeholder Input</w:t>
      </w:r>
    </w:p>
    <w:p w14:paraId="1646393A" w14:textId="2F9E8E4A"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540DBFAE" w14:textId="34D983B2" w:rsidR="00A2794A" w:rsidRPr="005C29F8" w:rsidRDefault="00A87A9D" w:rsidP="00DF30F0">
      <w:pPr>
        <w:rPr>
          <w:rFonts w:cs="Arial"/>
          <w:b/>
          <w:color w:val="000000" w:themeColor="text1"/>
          <w:szCs w:val="16"/>
        </w:rPr>
      </w:pPr>
      <w:r w:rsidRPr="005C29F8">
        <w:rPr>
          <w:rFonts w:cs="Arial"/>
          <w:b/>
          <w:color w:val="000000" w:themeColor="text1"/>
          <w:szCs w:val="16"/>
        </w:rPr>
        <w:t xml:space="preserve">Please indicate the reporting option used on this indicator </w:t>
      </w:r>
    </w:p>
    <w:p w14:paraId="4B2134EC" w14:textId="312D44C1" w:rsidR="006E3F55" w:rsidRPr="005C29F8" w:rsidRDefault="003D7F56" w:rsidP="0087456C">
      <w:pPr>
        <w:rPr>
          <w:color w:val="000000" w:themeColor="text1"/>
        </w:rPr>
      </w:pPr>
      <w:r w:rsidRPr="005C29F8">
        <w:rPr>
          <w:color w:val="000000" w:themeColor="text1"/>
        </w:rPr>
        <w:lastRenderedPageBreak/>
        <w:t>Option 2</w:t>
      </w:r>
    </w:p>
    <w:p w14:paraId="68E34693" w14:textId="382EE918" w:rsidR="00002962" w:rsidRPr="005C29F8" w:rsidRDefault="00002962"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5C29F8" w14:paraId="60D7260E" w14:textId="77777777" w:rsidTr="00044B5C">
        <w:trPr>
          <w:trHeight w:val="372"/>
          <w:tblHeader/>
        </w:trPr>
        <w:tc>
          <w:tcPr>
            <w:tcW w:w="1003" w:type="pct"/>
            <w:shd w:val="clear" w:color="auto" w:fill="auto"/>
          </w:tcPr>
          <w:p w14:paraId="7217614C"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Source</w:t>
            </w:r>
          </w:p>
        </w:tc>
        <w:tc>
          <w:tcPr>
            <w:tcW w:w="987" w:type="pct"/>
            <w:shd w:val="clear" w:color="auto" w:fill="auto"/>
          </w:tcPr>
          <w:p w14:paraId="05FC9008"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Date</w:t>
            </w:r>
          </w:p>
        </w:tc>
        <w:tc>
          <w:tcPr>
            <w:tcW w:w="2284" w:type="pct"/>
            <w:shd w:val="clear" w:color="auto" w:fill="auto"/>
          </w:tcPr>
          <w:p w14:paraId="452E3A47"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Description</w:t>
            </w:r>
          </w:p>
        </w:tc>
        <w:tc>
          <w:tcPr>
            <w:tcW w:w="727" w:type="pct"/>
            <w:shd w:val="clear" w:color="auto" w:fill="auto"/>
          </w:tcPr>
          <w:p w14:paraId="197E988D" w14:textId="77777777" w:rsidR="001D55EC" w:rsidRPr="005C29F8" w:rsidRDefault="001D55EC" w:rsidP="000B4AA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20549B53" w14:textId="77777777" w:rsidTr="00044B5C">
        <w:trPr>
          <w:trHeight w:val="380"/>
        </w:trPr>
        <w:tc>
          <w:tcPr>
            <w:tcW w:w="1003" w:type="pct"/>
            <w:shd w:val="clear" w:color="auto" w:fill="auto"/>
          </w:tcPr>
          <w:p w14:paraId="38DBE1E5" w14:textId="4B654FBA" w:rsidR="001D55EC"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6675DCDD" w14:textId="08B07A76" w:rsidR="001D55EC"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52A6FFD9" w14:textId="722CDF17" w:rsidR="001D55EC" w:rsidRPr="005C29F8" w:rsidRDefault="00E619AC" w:rsidP="001D55EC">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graduating with a regular high school diploma (a)</w:t>
            </w:r>
          </w:p>
        </w:tc>
        <w:tc>
          <w:tcPr>
            <w:tcW w:w="727" w:type="pct"/>
            <w:shd w:val="clear" w:color="auto" w:fill="auto"/>
          </w:tcPr>
          <w:p w14:paraId="6BB20172" w14:textId="320EF4B9" w:rsidR="001D55EC" w:rsidRPr="005C29F8" w:rsidRDefault="002B7490" w:rsidP="00A018D4">
            <w:pPr>
              <w:jc w:val="center"/>
              <w:rPr>
                <w:rFonts w:cs="Arial"/>
                <w:color w:val="000000" w:themeColor="text1"/>
                <w:szCs w:val="16"/>
              </w:rPr>
            </w:pPr>
            <w:r w:rsidRPr="005C29F8">
              <w:rPr>
                <w:rFonts w:cs="Arial"/>
                <w:color w:val="000000" w:themeColor="text1"/>
                <w:szCs w:val="16"/>
              </w:rPr>
              <w:t>59</w:t>
            </w:r>
          </w:p>
        </w:tc>
      </w:tr>
      <w:tr w:rsidR="005C29F8" w:rsidRPr="005C29F8" w14:paraId="7531005B" w14:textId="77777777" w:rsidTr="00044B5C">
        <w:trPr>
          <w:trHeight w:val="380"/>
        </w:trPr>
        <w:tc>
          <w:tcPr>
            <w:tcW w:w="1003" w:type="pct"/>
            <w:shd w:val="clear" w:color="auto" w:fill="auto"/>
          </w:tcPr>
          <w:p w14:paraId="68D79338" w14:textId="7556C19A"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3137C3E8" w14:textId="1C4E2EC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436358B9" w14:textId="0EC41849"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receiving a certificate (b)</w:t>
            </w:r>
          </w:p>
        </w:tc>
        <w:tc>
          <w:tcPr>
            <w:tcW w:w="727" w:type="pct"/>
            <w:shd w:val="clear" w:color="auto" w:fill="auto"/>
          </w:tcPr>
          <w:p w14:paraId="554F88F2" w14:textId="3F66A169"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6B284E9" w14:textId="77777777" w:rsidTr="00044B5C">
        <w:trPr>
          <w:trHeight w:val="380"/>
        </w:trPr>
        <w:tc>
          <w:tcPr>
            <w:tcW w:w="1003" w:type="pct"/>
            <w:shd w:val="clear" w:color="auto" w:fill="auto"/>
          </w:tcPr>
          <w:p w14:paraId="73E78D27" w14:textId="6A11D51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51F192A" w14:textId="492844E5"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5152DCF" w14:textId="71719DBD"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by reaching maximum age (c)</w:t>
            </w:r>
          </w:p>
        </w:tc>
        <w:tc>
          <w:tcPr>
            <w:tcW w:w="727" w:type="pct"/>
            <w:shd w:val="clear" w:color="auto" w:fill="auto"/>
          </w:tcPr>
          <w:p w14:paraId="788B37F6" w14:textId="5A91DAD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45FE023" w14:textId="77777777" w:rsidTr="00044B5C">
        <w:trPr>
          <w:trHeight w:val="380"/>
        </w:trPr>
        <w:tc>
          <w:tcPr>
            <w:tcW w:w="1003" w:type="pct"/>
            <w:shd w:val="clear" w:color="auto" w:fill="auto"/>
          </w:tcPr>
          <w:p w14:paraId="67B529F8" w14:textId="28E7DCDC"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2C17EFE7" w14:textId="6210AB54"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2D5B3E78" w14:textId="33A0054A"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due to dropping out (d)</w:t>
            </w:r>
          </w:p>
        </w:tc>
        <w:tc>
          <w:tcPr>
            <w:tcW w:w="727" w:type="pct"/>
            <w:shd w:val="clear" w:color="auto" w:fill="auto"/>
          </w:tcPr>
          <w:p w14:paraId="20785B5C" w14:textId="4D7352C6" w:rsidR="00C470E8" w:rsidRPr="005C29F8" w:rsidRDefault="002B7490" w:rsidP="00A018D4">
            <w:pPr>
              <w:jc w:val="center"/>
              <w:rPr>
                <w:rFonts w:cs="Arial"/>
                <w:color w:val="000000" w:themeColor="text1"/>
                <w:szCs w:val="16"/>
              </w:rPr>
            </w:pPr>
            <w:r w:rsidRPr="005C29F8">
              <w:rPr>
                <w:rFonts w:cs="Arial"/>
                <w:color w:val="000000" w:themeColor="text1"/>
                <w:szCs w:val="16"/>
              </w:rPr>
              <w:t>6</w:t>
            </w:r>
          </w:p>
        </w:tc>
      </w:tr>
      <w:tr w:rsidR="005C29F8" w:rsidRPr="005C29F8" w14:paraId="5C11E618" w14:textId="77777777" w:rsidTr="00044B5C">
        <w:trPr>
          <w:trHeight w:val="380"/>
        </w:trPr>
        <w:tc>
          <w:tcPr>
            <w:tcW w:w="1003" w:type="pct"/>
            <w:shd w:val="clear" w:color="auto" w:fill="auto"/>
          </w:tcPr>
          <w:p w14:paraId="091C0770" w14:textId="34899354" w:rsidR="00C470E8" w:rsidRPr="005C29F8" w:rsidRDefault="008A2533" w:rsidP="00A018D4">
            <w:pPr>
              <w:jc w:val="center"/>
              <w:rPr>
                <w:rFonts w:cs="Arial"/>
                <w:color w:val="000000" w:themeColor="text1"/>
                <w:szCs w:val="16"/>
              </w:rPr>
            </w:pPr>
            <w:r w:rsidRPr="005C29F8">
              <w:rPr>
                <w:rFonts w:cs="Arial"/>
                <w:color w:val="000000" w:themeColor="text1"/>
                <w:szCs w:val="16"/>
              </w:rPr>
              <w:t>SY 2018-19 Exiting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FS009; Data Group 85)</w:t>
            </w:r>
          </w:p>
        </w:tc>
        <w:tc>
          <w:tcPr>
            <w:tcW w:w="987" w:type="pct"/>
            <w:shd w:val="clear" w:color="auto" w:fill="auto"/>
          </w:tcPr>
          <w:p w14:paraId="13561567" w14:textId="1CE5C0E1" w:rsidR="00C470E8" w:rsidRPr="005C29F8" w:rsidRDefault="008A2533" w:rsidP="00A018D4">
            <w:pPr>
              <w:jc w:val="center"/>
              <w:rPr>
                <w:rFonts w:cs="Arial"/>
                <w:color w:val="000000" w:themeColor="text1"/>
                <w:szCs w:val="16"/>
              </w:rPr>
            </w:pPr>
            <w:r w:rsidRPr="005C29F8">
              <w:rPr>
                <w:rFonts w:cs="Arial"/>
                <w:color w:val="000000" w:themeColor="text1"/>
                <w:szCs w:val="16"/>
              </w:rPr>
              <w:t>05/27/2020</w:t>
            </w:r>
          </w:p>
        </w:tc>
        <w:tc>
          <w:tcPr>
            <w:tcW w:w="2284" w:type="pct"/>
            <w:shd w:val="clear" w:color="auto" w:fill="auto"/>
          </w:tcPr>
          <w:p w14:paraId="687FCF5B" w14:textId="5083A482" w:rsidR="00C470E8" w:rsidRPr="005C29F8" w:rsidRDefault="00C470E8" w:rsidP="00C470E8">
            <w:pP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(ages 14-21) who exited special education as a result of death (e)</w:t>
            </w:r>
          </w:p>
        </w:tc>
        <w:tc>
          <w:tcPr>
            <w:tcW w:w="727" w:type="pct"/>
            <w:shd w:val="clear" w:color="auto" w:fill="auto"/>
          </w:tcPr>
          <w:p w14:paraId="0A42C614" w14:textId="63E17EC0" w:rsidR="00C470E8"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CE42756" w14:textId="445D9372" w:rsidR="00654A4B" w:rsidRPr="005C29F8" w:rsidRDefault="00654A4B" w:rsidP="004369B2">
      <w:pPr>
        <w:rPr>
          <w:color w:val="000000" w:themeColor="text1"/>
        </w:rPr>
      </w:pPr>
    </w:p>
    <w:p w14:paraId="5F523C2B" w14:textId="45088C60" w:rsidR="00944C45" w:rsidRPr="005C29F8" w:rsidRDefault="00944C45" w:rsidP="004369B2">
      <w:pPr>
        <w:rPr>
          <w:b/>
          <w:color w:val="000000" w:themeColor="text1"/>
        </w:rPr>
      </w:pPr>
      <w:r w:rsidRPr="005C29F8">
        <w:rPr>
          <w:b/>
          <w:color w:val="000000" w:themeColor="text1"/>
        </w:rPr>
        <w:t>Has your State made or proposes to make changes to the data source under Option 2, when compared to the information reported in its FFY 2010 SPP/APR submitted on February 1, 2012? (yes/no)</w:t>
      </w:r>
    </w:p>
    <w:p w14:paraId="3EA5B07E" w14:textId="49F46C0D" w:rsidR="00944C45" w:rsidRPr="005C29F8" w:rsidRDefault="00944C45" w:rsidP="004369B2">
      <w:pPr>
        <w:rPr>
          <w:color w:val="000000" w:themeColor="text1"/>
        </w:rPr>
      </w:pPr>
      <w:r w:rsidRPr="005C29F8">
        <w:rPr>
          <w:color w:val="000000" w:themeColor="text1"/>
        </w:rPr>
        <w:t>NO</w:t>
      </w:r>
    </w:p>
    <w:p w14:paraId="5230F2BA" w14:textId="48082C5C" w:rsidR="0051170F" w:rsidRPr="005C29F8" w:rsidRDefault="0051170F" w:rsidP="0051170F">
      <w:pPr>
        <w:rPr>
          <w:rFonts w:cs="Arial"/>
          <w:b/>
          <w:color w:val="000000" w:themeColor="text1"/>
          <w:szCs w:val="16"/>
        </w:rPr>
      </w:pPr>
      <w:r w:rsidRPr="005C29F8">
        <w:rPr>
          <w:rFonts w:cs="Arial"/>
          <w:b/>
          <w:color w:val="000000" w:themeColor="text1"/>
          <w:szCs w:val="16"/>
        </w:rPr>
        <w:t>Use a different calculation methodology (yes/no)</w:t>
      </w:r>
    </w:p>
    <w:p w14:paraId="7C9AA806" w14:textId="5DCA8C43" w:rsidR="0051170F" w:rsidRPr="005C29F8" w:rsidRDefault="0051170F" w:rsidP="0051170F">
      <w:pPr>
        <w:rPr>
          <w:rFonts w:cs="Arial"/>
          <w:color w:val="000000" w:themeColor="text1"/>
          <w:szCs w:val="16"/>
        </w:rPr>
      </w:pPr>
      <w:r w:rsidRPr="005C29F8">
        <w:rPr>
          <w:rFonts w:cs="Arial"/>
          <w:color w:val="000000" w:themeColor="text1"/>
          <w:szCs w:val="16"/>
        </w:rPr>
        <w:t>YES</w:t>
      </w:r>
    </w:p>
    <w:p w14:paraId="3E73D84E" w14:textId="7D3E0CBD" w:rsidR="0051170F" w:rsidRPr="005C29F8" w:rsidRDefault="0051170F" w:rsidP="004369B2">
      <w:pPr>
        <w:rPr>
          <w:b/>
          <w:color w:val="000000" w:themeColor="text1"/>
        </w:rPr>
      </w:pPr>
      <w:r w:rsidRPr="005C29F8">
        <w:rPr>
          <w:rFonts w:cs="Arial"/>
          <w:b/>
          <w:color w:val="000000" w:themeColor="text1"/>
          <w:szCs w:val="16"/>
        </w:rPr>
        <w:t>Change numerator description in data table (yes/no)</w:t>
      </w:r>
    </w:p>
    <w:p w14:paraId="4010191C" w14:textId="0957938D" w:rsidR="00944C45" w:rsidRPr="005C29F8" w:rsidRDefault="0051170F" w:rsidP="00212954">
      <w:pPr>
        <w:rPr>
          <w:rFonts w:cs="Arial"/>
          <w:color w:val="000000" w:themeColor="text1"/>
          <w:szCs w:val="16"/>
        </w:rPr>
      </w:pPr>
      <w:r w:rsidRPr="005C29F8">
        <w:rPr>
          <w:rFonts w:cs="Arial"/>
          <w:color w:val="000000" w:themeColor="text1"/>
          <w:szCs w:val="16"/>
        </w:rPr>
        <w:t>NO</w:t>
      </w:r>
    </w:p>
    <w:p w14:paraId="7FC447FC" w14:textId="55411AE4" w:rsidR="0051170F" w:rsidRPr="005C29F8" w:rsidRDefault="0051170F" w:rsidP="00212954">
      <w:pPr>
        <w:rPr>
          <w:rFonts w:cs="Arial"/>
          <w:b/>
          <w:color w:val="000000" w:themeColor="text1"/>
          <w:szCs w:val="16"/>
        </w:rPr>
      </w:pPr>
      <w:r w:rsidRPr="005C29F8">
        <w:rPr>
          <w:rFonts w:cs="Arial"/>
          <w:b/>
          <w:color w:val="000000" w:themeColor="text1"/>
          <w:szCs w:val="16"/>
        </w:rPr>
        <w:t>Change denominator description in data table (yes/no)</w:t>
      </w:r>
    </w:p>
    <w:p w14:paraId="3DB180DC" w14:textId="5DA93E34" w:rsidR="0051170F" w:rsidRPr="005C29F8" w:rsidRDefault="0051170F" w:rsidP="00212954">
      <w:pPr>
        <w:rPr>
          <w:rFonts w:cs="Arial"/>
          <w:color w:val="000000" w:themeColor="text1"/>
          <w:szCs w:val="16"/>
        </w:rPr>
      </w:pPr>
      <w:r w:rsidRPr="005C29F8">
        <w:rPr>
          <w:rFonts w:cs="Arial"/>
          <w:color w:val="000000" w:themeColor="text1"/>
          <w:szCs w:val="16"/>
        </w:rPr>
        <w:t>NO</w:t>
      </w:r>
    </w:p>
    <w:p w14:paraId="21474394" w14:textId="40432B1A" w:rsidR="00FF244B" w:rsidRPr="005C29F8" w:rsidRDefault="0083500D" w:rsidP="004369B2">
      <w:pPr>
        <w:rPr>
          <w:b/>
          <w:color w:val="000000" w:themeColor="text1"/>
        </w:rPr>
      </w:pPr>
      <w:r w:rsidRPr="005C29F8">
        <w:rPr>
          <w:b/>
          <w:color w:val="000000" w:themeColor="text1"/>
        </w:rPr>
        <w:t xml:space="preserve">If use a different calculation methodology is yes, provide an explanation of the different calculation methodology </w:t>
      </w:r>
    </w:p>
    <w:p w14:paraId="363E1724" w14:textId="1F2E7EE3" w:rsidR="00A869E9" w:rsidRPr="005C29F8" w:rsidRDefault="002B7490" w:rsidP="000E33D0">
      <w:pPr>
        <w:rPr>
          <w:rFonts w:cs="Arial"/>
          <w:color w:val="000000" w:themeColor="text1"/>
          <w:szCs w:val="16"/>
          <w:shd w:val="clear" w:color="auto" w:fill="FFFFFF"/>
        </w:rPr>
      </w:pPr>
      <w:bookmarkStart w:id="7" w:name="_Hlk494379356"/>
      <w:r w:rsidRPr="005C29F8">
        <w:rPr>
          <w:rFonts w:cs="Arial"/>
          <w:color w:val="000000" w:themeColor="text1"/>
          <w:szCs w:val="16"/>
          <w:shd w:val="clear" w:color="auto" w:fill="FFFFFF"/>
        </w:rPr>
        <w:t>The CNMI uses an event rate of calculating dropout data which is the incidence of students who drop out in a single year without completing high school compared to the student enrollment in grades 9 to 12 for that school year (618 exit data and high school enrollment).</w:t>
      </w:r>
    </w:p>
    <w:p w14:paraId="6A9FCB17" w14:textId="22AC7EEF" w:rsidR="00E22454" w:rsidRPr="005C29F8" w:rsidRDefault="0051170F" w:rsidP="000E33D0">
      <w:pPr>
        <w:rPr>
          <w:rFonts w:cs="Arial"/>
          <w:color w:val="000000" w:themeColor="text1"/>
          <w:szCs w:val="16"/>
        </w:rPr>
      </w:pPr>
      <w:r w:rsidRPr="005C29F8" w:rsidDel="0051170F">
        <w:rPr>
          <w:color w:val="000000" w:themeColor="text1"/>
        </w:rPr>
        <w:t xml:space="preserve"> </w:t>
      </w:r>
    </w:p>
    <w:p w14:paraId="36990D6B" w14:textId="60917C30" w:rsidR="007F337D" w:rsidRPr="005C29F8" w:rsidRDefault="007F337D" w:rsidP="004369B2">
      <w:pPr>
        <w:rPr>
          <w:color w:val="000000" w:themeColor="text1"/>
        </w:rPr>
      </w:pPr>
      <w:bookmarkStart w:id="8" w:name="_Toc392159265"/>
      <w:bookmarkEnd w:id="7"/>
      <w:r w:rsidRPr="005C29F8">
        <w:rPr>
          <w:b/>
          <w:color w:val="000000" w:themeColor="text1"/>
        </w:rPr>
        <w:t>FFY 2019 SPP/APR Data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2"/>
      </w:tblPr>
      <w:tblGrid>
        <w:gridCol w:w="1854"/>
        <w:gridCol w:w="2086"/>
        <w:gridCol w:w="1211"/>
        <w:gridCol w:w="1453"/>
        <w:gridCol w:w="1310"/>
        <w:gridCol w:w="990"/>
        <w:gridCol w:w="1088"/>
      </w:tblGrid>
      <w:tr w:rsidR="005C29F8" w:rsidRPr="005C29F8" w14:paraId="503F69A4" w14:textId="77777777" w:rsidTr="004D0044">
        <w:trPr>
          <w:trHeight w:val="359"/>
        </w:trPr>
        <w:tc>
          <w:tcPr>
            <w:tcW w:w="1854" w:type="dxa"/>
            <w:shd w:val="clear" w:color="auto" w:fill="auto"/>
            <w:vAlign w:val="bottom"/>
          </w:tcPr>
          <w:p w14:paraId="28A49B6A" w14:textId="2038C0A9" w:rsidR="00B6413B" w:rsidRPr="005C29F8" w:rsidRDefault="002B7490" w:rsidP="0051170F">
            <w:pPr>
              <w:jc w:val="center"/>
              <w:rPr>
                <w:rFonts w:cs="Arial"/>
                <w:color w:val="000000" w:themeColor="text1"/>
                <w:szCs w:val="16"/>
              </w:rPr>
            </w:pPr>
            <w:r w:rsidRPr="005C29F8">
              <w:rPr>
                <w:rFonts w:cs="Arial"/>
                <w:color w:val="000000" w:themeColor="text1"/>
                <w:szCs w:val="16"/>
              </w:rPr>
              <w:t xml:space="preserve">Number of </w:t>
            </w:r>
            <w:proofErr w:type="gramStart"/>
            <w:r w:rsidRPr="005C29F8">
              <w:rPr>
                <w:rFonts w:cs="Arial"/>
                <w:color w:val="000000" w:themeColor="text1"/>
                <w:szCs w:val="16"/>
              </w:rPr>
              <w:t>youth</w:t>
            </w:r>
            <w:proofErr w:type="gramEnd"/>
            <w:r w:rsidRPr="005C29F8">
              <w:rPr>
                <w:rFonts w:cs="Arial"/>
                <w:color w:val="000000" w:themeColor="text1"/>
                <w:szCs w:val="16"/>
              </w:rPr>
              <w:t xml:space="preserve"> with IEPs who exited special education due to dropping out</w:t>
            </w:r>
          </w:p>
        </w:tc>
        <w:tc>
          <w:tcPr>
            <w:tcW w:w="2086" w:type="dxa"/>
            <w:shd w:val="clear" w:color="auto" w:fill="auto"/>
            <w:vAlign w:val="bottom"/>
          </w:tcPr>
          <w:p w14:paraId="4DEAE74E" w14:textId="35A24CDB" w:rsidR="007F337D" w:rsidRPr="005C29F8" w:rsidRDefault="002B7490" w:rsidP="001F692C">
            <w:pPr>
              <w:jc w:val="center"/>
              <w:rPr>
                <w:rFonts w:cs="Arial"/>
                <w:color w:val="000000" w:themeColor="text1"/>
                <w:szCs w:val="16"/>
              </w:rPr>
            </w:pPr>
            <w:r w:rsidRPr="005C29F8">
              <w:rPr>
                <w:rFonts w:cs="Arial"/>
                <w:color w:val="000000" w:themeColor="text1"/>
                <w:szCs w:val="16"/>
              </w:rPr>
              <w:t>Total number of High School Students with IEPs by Cohort</w:t>
            </w:r>
          </w:p>
        </w:tc>
        <w:tc>
          <w:tcPr>
            <w:tcW w:w="1211" w:type="dxa"/>
            <w:shd w:val="clear" w:color="auto" w:fill="auto"/>
            <w:vAlign w:val="bottom"/>
          </w:tcPr>
          <w:p w14:paraId="47B88536" w14:textId="48562E34" w:rsidR="007F337D" w:rsidRPr="005C29F8" w:rsidRDefault="002602A9" w:rsidP="001F692C">
            <w:pPr>
              <w:jc w:val="center"/>
              <w:rPr>
                <w:rFonts w:cs="Arial"/>
                <w:b/>
                <w:color w:val="000000" w:themeColor="text1"/>
                <w:szCs w:val="16"/>
              </w:rPr>
            </w:pPr>
            <w:r w:rsidRPr="005C29F8">
              <w:rPr>
                <w:rFonts w:cs="Arial"/>
                <w:b/>
                <w:color w:val="000000" w:themeColor="text1"/>
                <w:szCs w:val="16"/>
              </w:rPr>
              <w:t>FFY</w:t>
            </w:r>
            <w:r w:rsidRPr="005C29F8">
              <w:rPr>
                <w:rFonts w:cs="Arial"/>
                <w:color w:val="000000" w:themeColor="text1"/>
                <w:szCs w:val="16"/>
              </w:rPr>
              <w:t xml:space="preserve"> </w:t>
            </w:r>
            <w:r w:rsidR="00CE6132">
              <w:rPr>
                <w:rFonts w:cs="Arial"/>
                <w:b/>
                <w:color w:val="000000" w:themeColor="text1"/>
                <w:szCs w:val="16"/>
              </w:rPr>
              <w:t>2018</w:t>
            </w:r>
            <w:r w:rsidR="007F337D" w:rsidRPr="005C29F8">
              <w:rPr>
                <w:rFonts w:cs="Arial"/>
                <w:b/>
                <w:color w:val="000000" w:themeColor="text1"/>
                <w:szCs w:val="16"/>
              </w:rPr>
              <w:t xml:space="preserve"> Data</w:t>
            </w:r>
          </w:p>
        </w:tc>
        <w:tc>
          <w:tcPr>
            <w:tcW w:w="0" w:type="auto"/>
            <w:shd w:val="clear" w:color="auto" w:fill="auto"/>
            <w:vAlign w:val="bottom"/>
          </w:tcPr>
          <w:p w14:paraId="0CDB3559" w14:textId="2D3768E4"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Target</w:t>
            </w:r>
          </w:p>
        </w:tc>
        <w:tc>
          <w:tcPr>
            <w:tcW w:w="0" w:type="auto"/>
            <w:shd w:val="clear" w:color="auto" w:fill="auto"/>
            <w:vAlign w:val="bottom"/>
          </w:tcPr>
          <w:p w14:paraId="509A4ACF" w14:textId="41BFD12A" w:rsidR="007F337D" w:rsidRPr="005C29F8" w:rsidRDefault="007F337D" w:rsidP="001F692C">
            <w:pPr>
              <w:jc w:val="center"/>
              <w:rPr>
                <w:rFonts w:cs="Arial"/>
                <w:b/>
                <w:color w:val="000000" w:themeColor="text1"/>
                <w:szCs w:val="16"/>
              </w:rPr>
            </w:pPr>
            <w:r w:rsidRPr="005C29F8">
              <w:rPr>
                <w:rFonts w:cs="Arial"/>
                <w:b/>
                <w:color w:val="000000" w:themeColor="text1"/>
                <w:szCs w:val="16"/>
              </w:rPr>
              <w:t>FFY 2019 Data</w:t>
            </w:r>
          </w:p>
        </w:tc>
        <w:tc>
          <w:tcPr>
            <w:tcW w:w="0" w:type="auto"/>
            <w:shd w:val="clear" w:color="auto" w:fill="auto"/>
            <w:vAlign w:val="bottom"/>
          </w:tcPr>
          <w:p w14:paraId="4A34B8DF"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Status</w:t>
            </w:r>
          </w:p>
        </w:tc>
        <w:tc>
          <w:tcPr>
            <w:tcW w:w="0" w:type="auto"/>
            <w:shd w:val="clear" w:color="auto" w:fill="auto"/>
            <w:vAlign w:val="bottom"/>
          </w:tcPr>
          <w:p w14:paraId="63A51C66" w14:textId="77777777" w:rsidR="007F337D" w:rsidRPr="005C29F8" w:rsidRDefault="007F337D" w:rsidP="001F692C">
            <w:pPr>
              <w:jc w:val="center"/>
              <w:rPr>
                <w:rFonts w:cs="Arial"/>
                <w:b/>
                <w:color w:val="000000" w:themeColor="text1"/>
                <w:szCs w:val="16"/>
              </w:rPr>
            </w:pPr>
            <w:r w:rsidRPr="005C29F8">
              <w:rPr>
                <w:rFonts w:cs="Arial"/>
                <w:b/>
                <w:color w:val="000000" w:themeColor="text1"/>
                <w:szCs w:val="16"/>
              </w:rPr>
              <w:t>Slippage</w:t>
            </w:r>
          </w:p>
        </w:tc>
      </w:tr>
      <w:tr w:rsidR="005C29F8" w:rsidRPr="005C29F8" w14:paraId="72961044" w14:textId="77777777" w:rsidTr="004D0044">
        <w:trPr>
          <w:trHeight w:val="366"/>
        </w:trPr>
        <w:tc>
          <w:tcPr>
            <w:tcW w:w="1854" w:type="dxa"/>
            <w:shd w:val="clear" w:color="auto" w:fill="auto"/>
            <w:vAlign w:val="center"/>
          </w:tcPr>
          <w:p w14:paraId="2BC4AAB2" w14:textId="50CBDBA3" w:rsidR="00CD5D37" w:rsidRPr="005C29F8" w:rsidRDefault="002B7490" w:rsidP="00A018D4">
            <w:pPr>
              <w:jc w:val="center"/>
              <w:rPr>
                <w:rFonts w:cs="Arial"/>
                <w:color w:val="000000" w:themeColor="text1"/>
                <w:szCs w:val="16"/>
              </w:rPr>
            </w:pPr>
            <w:r w:rsidRPr="005C29F8">
              <w:rPr>
                <w:rFonts w:cs="Arial"/>
                <w:color w:val="000000" w:themeColor="text1"/>
                <w:szCs w:val="16"/>
              </w:rPr>
              <w:t>6</w:t>
            </w:r>
          </w:p>
        </w:tc>
        <w:tc>
          <w:tcPr>
            <w:tcW w:w="2086" w:type="dxa"/>
            <w:shd w:val="clear" w:color="auto" w:fill="auto"/>
            <w:vAlign w:val="center"/>
          </w:tcPr>
          <w:p w14:paraId="32D53AA4" w14:textId="55BC4A70" w:rsidR="00CD5D37" w:rsidRPr="005C29F8" w:rsidRDefault="002B7490" w:rsidP="00A018D4">
            <w:pPr>
              <w:jc w:val="center"/>
              <w:rPr>
                <w:rFonts w:cs="Arial"/>
                <w:color w:val="000000" w:themeColor="text1"/>
                <w:szCs w:val="16"/>
              </w:rPr>
            </w:pPr>
            <w:r w:rsidRPr="005C29F8">
              <w:rPr>
                <w:rFonts w:cs="Arial"/>
                <w:color w:val="000000" w:themeColor="text1"/>
                <w:szCs w:val="16"/>
              </w:rPr>
              <w:t>322</w:t>
            </w:r>
          </w:p>
        </w:tc>
        <w:tc>
          <w:tcPr>
            <w:tcW w:w="1211" w:type="dxa"/>
            <w:shd w:val="clear" w:color="auto" w:fill="auto"/>
          </w:tcPr>
          <w:p w14:paraId="39378676" w14:textId="2E9734C1" w:rsidR="00CD5D37" w:rsidRPr="005C29F8" w:rsidRDefault="002B7490" w:rsidP="00A018D4">
            <w:pPr>
              <w:jc w:val="center"/>
              <w:rPr>
                <w:rFonts w:cs="Arial"/>
                <w:color w:val="000000" w:themeColor="text1"/>
                <w:szCs w:val="16"/>
              </w:rPr>
            </w:pPr>
            <w:r w:rsidRPr="005C29F8">
              <w:rPr>
                <w:rFonts w:cs="Arial"/>
                <w:color w:val="000000" w:themeColor="text1"/>
                <w:szCs w:val="16"/>
              </w:rPr>
              <w:t>2.17%</w:t>
            </w:r>
          </w:p>
        </w:tc>
        <w:tc>
          <w:tcPr>
            <w:tcW w:w="0" w:type="auto"/>
            <w:shd w:val="clear" w:color="auto" w:fill="auto"/>
          </w:tcPr>
          <w:p w14:paraId="222E3163" w14:textId="1A781E00" w:rsidR="00CD5D37" w:rsidRPr="005C29F8" w:rsidRDefault="002B7490" w:rsidP="00A018D4">
            <w:pPr>
              <w:jc w:val="center"/>
              <w:rPr>
                <w:rFonts w:cs="Arial"/>
                <w:color w:val="000000" w:themeColor="text1"/>
                <w:szCs w:val="16"/>
              </w:rPr>
            </w:pPr>
            <w:r w:rsidRPr="005C29F8">
              <w:rPr>
                <w:rFonts w:cs="Arial"/>
                <w:color w:val="000000" w:themeColor="text1"/>
                <w:szCs w:val="16"/>
              </w:rPr>
              <w:t>2.00%</w:t>
            </w:r>
          </w:p>
        </w:tc>
        <w:tc>
          <w:tcPr>
            <w:tcW w:w="0" w:type="auto"/>
            <w:shd w:val="clear" w:color="auto" w:fill="auto"/>
          </w:tcPr>
          <w:p w14:paraId="6129789B" w14:textId="45194B09" w:rsidR="00CD5D37" w:rsidRPr="005C29F8" w:rsidRDefault="002B7490" w:rsidP="00A018D4">
            <w:pPr>
              <w:jc w:val="center"/>
              <w:rPr>
                <w:rFonts w:cs="Arial"/>
                <w:color w:val="000000" w:themeColor="text1"/>
                <w:szCs w:val="16"/>
              </w:rPr>
            </w:pPr>
            <w:r w:rsidRPr="005C29F8">
              <w:rPr>
                <w:rFonts w:cs="Arial"/>
                <w:color w:val="000000" w:themeColor="text1"/>
                <w:szCs w:val="16"/>
              </w:rPr>
              <w:t>1.86%</w:t>
            </w:r>
          </w:p>
        </w:tc>
        <w:tc>
          <w:tcPr>
            <w:tcW w:w="0" w:type="auto"/>
            <w:shd w:val="clear" w:color="auto" w:fill="auto"/>
          </w:tcPr>
          <w:p w14:paraId="0F04C3C1" w14:textId="3380934A" w:rsidR="00CD5D37"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0" w:type="auto"/>
            <w:shd w:val="clear" w:color="auto" w:fill="auto"/>
          </w:tcPr>
          <w:p w14:paraId="44D676BD" w14:textId="669F473C" w:rsidR="00CD5D37"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58B37962" w14:textId="5B766A62" w:rsidR="000336AC" w:rsidRPr="005C29F8" w:rsidRDefault="00A869E9" w:rsidP="004369B2">
      <w:pPr>
        <w:rPr>
          <w:b/>
          <w:color w:val="000000" w:themeColor="text1"/>
        </w:rPr>
      </w:pPr>
      <w:r w:rsidRPr="005C29F8">
        <w:rPr>
          <w:b/>
          <w:color w:val="000000" w:themeColor="text1"/>
        </w:rPr>
        <w:t xml:space="preserve">Provide reasons for slippage, if applicable  </w:t>
      </w:r>
    </w:p>
    <w:p w14:paraId="28607D64" w14:textId="1BA39541" w:rsidR="00A869E9" w:rsidRPr="005C29F8" w:rsidRDefault="00A869E9" w:rsidP="000E33D0">
      <w:pPr>
        <w:rPr>
          <w:rFonts w:cs="Arial"/>
          <w:color w:val="000000" w:themeColor="text1"/>
          <w:szCs w:val="16"/>
          <w:shd w:val="clear" w:color="auto" w:fill="FFFFFF"/>
        </w:rPr>
      </w:pPr>
    </w:p>
    <w:p w14:paraId="27A2EAFB" w14:textId="5DAAB5B0" w:rsidR="00A87A9D" w:rsidRPr="005C29F8" w:rsidRDefault="0083500D" w:rsidP="00552927">
      <w:pPr>
        <w:rPr>
          <w:rFonts w:cs="Arial"/>
          <w:b/>
          <w:color w:val="000000" w:themeColor="text1"/>
          <w:szCs w:val="16"/>
        </w:rPr>
      </w:pPr>
      <w:r w:rsidRPr="005C29F8">
        <w:rPr>
          <w:rFonts w:cs="Arial"/>
          <w:b/>
          <w:color w:val="000000" w:themeColor="text1"/>
          <w:szCs w:val="16"/>
        </w:rPr>
        <w:t>Provide a narrative that describes what counts as dropping out for all youth</w:t>
      </w:r>
    </w:p>
    <w:p w14:paraId="32A15CDA" w14:textId="3CA05678" w:rsidR="00A869E9" w:rsidRPr="005C29F8" w:rsidRDefault="002B7490" w:rsidP="000E33D0">
      <w:pPr>
        <w:rPr>
          <w:rFonts w:cs="Arial"/>
          <w:color w:val="000000" w:themeColor="text1"/>
          <w:szCs w:val="16"/>
          <w:shd w:val="clear" w:color="auto" w:fill="FFFFFF"/>
        </w:rPr>
      </w:pPr>
      <w:r w:rsidRPr="005C29F8">
        <w:rPr>
          <w:rFonts w:cs="Arial"/>
          <w:color w:val="000000" w:themeColor="text1"/>
          <w:szCs w:val="16"/>
          <w:shd w:val="clear" w:color="auto" w:fill="FFFFFF"/>
        </w:rPr>
        <w:t>Definition</w:t>
      </w:r>
      <w:r w:rsidRPr="005C29F8">
        <w:rPr>
          <w:rFonts w:cs="Arial"/>
          <w:color w:val="000000" w:themeColor="text1"/>
          <w:szCs w:val="16"/>
          <w:shd w:val="clear" w:color="auto" w:fill="FFFFFF"/>
        </w:rPr>
        <w:br/>
        <w:t>The CNMI uses the OSEP 618 definition for "Dropped Out" which states the total number of students who were enrolled at the start of the reporting period but were not enrolled at the end of the reporting period and did not exit through any other method. This includes dropouts, runaways, GED recipients, expulsions, status unknown, students who moved and are unknown to be continuing in another educational program, and students exiting the system in other ways. This method of collecting dropout data is consistent for all students.</w:t>
      </w:r>
    </w:p>
    <w:p w14:paraId="6E220BF0" w14:textId="157218DF" w:rsidR="00DD051F" w:rsidRPr="005C29F8" w:rsidRDefault="00DD051F" w:rsidP="000E33D0">
      <w:pPr>
        <w:rPr>
          <w:rFonts w:cs="Arial"/>
          <w:b/>
          <w:color w:val="000000" w:themeColor="text1"/>
          <w:szCs w:val="16"/>
        </w:rPr>
      </w:pPr>
      <w:r w:rsidRPr="005C29F8">
        <w:rPr>
          <w:rFonts w:cs="Arial"/>
          <w:b/>
          <w:color w:val="000000" w:themeColor="text1"/>
          <w:szCs w:val="16"/>
        </w:rPr>
        <w:t>Is there a difference in what counts as dropping out for youth with IEPs? (yes/no)</w:t>
      </w:r>
    </w:p>
    <w:p w14:paraId="5530CE18" w14:textId="2E8B8BC5" w:rsidR="00DD051F" w:rsidRPr="005C29F8" w:rsidRDefault="00DD051F" w:rsidP="000E33D0">
      <w:pPr>
        <w:rPr>
          <w:rFonts w:cs="Arial"/>
          <w:color w:val="000000" w:themeColor="text1"/>
          <w:szCs w:val="16"/>
        </w:rPr>
      </w:pPr>
      <w:r w:rsidRPr="005C29F8">
        <w:rPr>
          <w:rFonts w:cs="Arial"/>
          <w:color w:val="000000" w:themeColor="text1"/>
          <w:szCs w:val="16"/>
        </w:rPr>
        <w:t>NO</w:t>
      </w:r>
    </w:p>
    <w:p w14:paraId="4903B3F9" w14:textId="59643C30" w:rsidR="00E418E6" w:rsidRPr="005C29F8" w:rsidRDefault="00B7068F" w:rsidP="004369B2">
      <w:pPr>
        <w:rPr>
          <w:b/>
          <w:color w:val="000000" w:themeColor="text1"/>
        </w:rPr>
      </w:pPr>
      <w:r w:rsidRPr="005C29F8">
        <w:rPr>
          <w:b/>
          <w:color w:val="000000" w:themeColor="text1"/>
        </w:rPr>
        <w:t>If yes, explain the difference in what counts as dropping out for youth with IEPs below.</w:t>
      </w:r>
    </w:p>
    <w:p w14:paraId="79A7C25A" w14:textId="1EDF1407" w:rsidR="00A869E9" w:rsidRPr="005C29F8" w:rsidRDefault="00A869E9" w:rsidP="000E33D0">
      <w:pPr>
        <w:rPr>
          <w:rFonts w:cs="Arial"/>
          <w:color w:val="000000" w:themeColor="text1"/>
          <w:szCs w:val="16"/>
          <w:shd w:val="clear" w:color="auto" w:fill="FFFFFF"/>
        </w:rPr>
      </w:pPr>
    </w:p>
    <w:p w14:paraId="44F7B282" w14:textId="77777777" w:rsidR="00F56834" w:rsidRPr="005C29F8" w:rsidRDefault="00F56834" w:rsidP="004369B2">
      <w:pPr>
        <w:rPr>
          <w:b/>
          <w:color w:val="000000" w:themeColor="text1"/>
        </w:rPr>
      </w:pPr>
      <w:bookmarkStart w:id="9" w:name="_Toc382082362"/>
      <w:bookmarkStart w:id="10" w:name="_Toc392159270"/>
      <w:bookmarkStart w:id="11" w:name="_Toc365403651"/>
      <w:bookmarkEnd w:id="8"/>
      <w:r w:rsidRPr="005C29F8">
        <w:rPr>
          <w:b/>
          <w:color w:val="000000" w:themeColor="text1"/>
        </w:rPr>
        <w:t>Provide additional information about this indicator (optional)</w:t>
      </w:r>
    </w:p>
    <w:p w14:paraId="4492AB5A" w14:textId="63C5DA7E" w:rsidR="00A869E9" w:rsidRPr="005C29F8" w:rsidRDefault="00A869E9" w:rsidP="000E33D0">
      <w:pPr>
        <w:rPr>
          <w:rFonts w:cs="Arial"/>
          <w:color w:val="000000" w:themeColor="text1"/>
          <w:szCs w:val="16"/>
        </w:rPr>
      </w:pPr>
    </w:p>
    <w:p w14:paraId="6E187388" w14:textId="724EF642" w:rsidR="000A2C83" w:rsidRPr="0033429D" w:rsidRDefault="00F914B4" w:rsidP="008645AD">
      <w:pPr>
        <w:pStyle w:val="Heading2"/>
      </w:pPr>
      <w:r w:rsidRPr="0033429D">
        <w:t>2</w:t>
      </w:r>
      <w:r w:rsidR="00684B51" w:rsidRPr="0033429D">
        <w:t xml:space="preserve"> </w:t>
      </w:r>
      <w:r w:rsidRPr="0033429D">
        <w:t xml:space="preserve">- </w:t>
      </w:r>
      <w:r w:rsidR="000A2C83" w:rsidRPr="0033429D">
        <w:t>Prior FFY Required Actions</w:t>
      </w:r>
    </w:p>
    <w:p w14:paraId="3B152B02" w14:textId="0A6719CC" w:rsidR="000A2C83" w:rsidRPr="005C29F8" w:rsidRDefault="002B7490" w:rsidP="000A2C83">
      <w:pPr>
        <w:rPr>
          <w:rFonts w:cs="Arial"/>
          <w:color w:val="000000" w:themeColor="text1"/>
          <w:szCs w:val="16"/>
        </w:rPr>
      </w:pPr>
      <w:r w:rsidRPr="005C29F8">
        <w:rPr>
          <w:rFonts w:cs="Arial"/>
          <w:color w:val="000000" w:themeColor="text1"/>
          <w:szCs w:val="16"/>
        </w:rPr>
        <w:t>None</w:t>
      </w:r>
    </w:p>
    <w:p w14:paraId="7896DD52" w14:textId="585814D8" w:rsidR="00DD051F" w:rsidRPr="005C29F8" w:rsidRDefault="00DD051F" w:rsidP="000A2C83">
      <w:pPr>
        <w:rPr>
          <w:rFonts w:cs="Arial"/>
          <w:color w:val="000000" w:themeColor="text1"/>
          <w:szCs w:val="16"/>
        </w:rPr>
      </w:pPr>
    </w:p>
    <w:p w14:paraId="306FF021" w14:textId="5A4A312B" w:rsidR="00F56834" w:rsidRPr="0033429D" w:rsidRDefault="000D2287" w:rsidP="008645AD">
      <w:pPr>
        <w:pStyle w:val="Heading2"/>
      </w:pPr>
      <w:r w:rsidRPr="0033429D">
        <w:t>2</w:t>
      </w:r>
      <w:r w:rsidR="00684B51" w:rsidRPr="0033429D">
        <w:t xml:space="preserve"> </w:t>
      </w:r>
      <w:r w:rsidRPr="0033429D">
        <w:t xml:space="preserve">- </w:t>
      </w:r>
      <w:r w:rsidR="00F56834" w:rsidRPr="0033429D">
        <w:t>OSEP Response</w:t>
      </w:r>
    </w:p>
    <w:p w14:paraId="079F48D0" w14:textId="5CDDFF24" w:rsidR="00A869E9" w:rsidRPr="005C29F8" w:rsidRDefault="00A869E9" w:rsidP="001F692C">
      <w:pPr>
        <w:rPr>
          <w:rFonts w:cs="Arial"/>
          <w:color w:val="000000" w:themeColor="text1"/>
          <w:szCs w:val="16"/>
        </w:rPr>
      </w:pPr>
    </w:p>
    <w:p w14:paraId="6A1E3D87" w14:textId="6B4D2DBD" w:rsidR="00F56834" w:rsidRPr="0033429D" w:rsidRDefault="000105C5" w:rsidP="008645AD">
      <w:pPr>
        <w:pStyle w:val="Heading2"/>
      </w:pPr>
      <w:r w:rsidRPr="0033429D">
        <w:lastRenderedPageBreak/>
        <w:t>2 - Required Actions</w:t>
      </w:r>
    </w:p>
    <w:p w14:paraId="6C7960E7" w14:textId="06463459" w:rsidR="00A869E9" w:rsidRPr="005C29F8" w:rsidRDefault="00A869E9" w:rsidP="001F692C">
      <w:pPr>
        <w:rPr>
          <w:rFonts w:cs="Arial"/>
          <w:color w:val="000000" w:themeColor="text1"/>
          <w:szCs w:val="16"/>
        </w:rPr>
      </w:pPr>
    </w:p>
    <w:p w14:paraId="4B525DFA" w14:textId="066D4970" w:rsidR="009D378C" w:rsidRPr="005C29F8" w:rsidRDefault="00D37BF0" w:rsidP="004369B2">
      <w:pPr>
        <w:pStyle w:val="Heading1"/>
        <w:rPr>
          <w:color w:val="000000" w:themeColor="text1"/>
          <w:sz w:val="22"/>
        </w:rPr>
      </w:pPr>
      <w:r w:rsidRPr="005C29F8">
        <w:rPr>
          <w:color w:val="000000" w:themeColor="text1"/>
          <w:szCs w:val="16"/>
        </w:rPr>
        <w:br w:type="page"/>
      </w:r>
      <w:r w:rsidR="009D378C" w:rsidRPr="005C29F8">
        <w:rPr>
          <w:color w:val="000000" w:themeColor="text1"/>
          <w:sz w:val="22"/>
        </w:rPr>
        <w:lastRenderedPageBreak/>
        <w:t>Indicator 3B: Participation for Students with IEPs</w:t>
      </w:r>
      <w:bookmarkEnd w:id="9"/>
      <w:bookmarkEnd w:id="10"/>
    </w:p>
    <w:p w14:paraId="66C662B8" w14:textId="77777777" w:rsidR="007C3C89" w:rsidRPr="005C29F8" w:rsidRDefault="007C3C89" w:rsidP="00A018D4">
      <w:pPr>
        <w:rPr>
          <w:color w:val="000000" w:themeColor="text1"/>
          <w:szCs w:val="20"/>
        </w:rPr>
      </w:pPr>
      <w:bookmarkStart w:id="12" w:name="_Toc392159271"/>
      <w:r w:rsidRPr="005C29F8">
        <w:rPr>
          <w:b/>
          <w:color w:val="000000" w:themeColor="text1"/>
          <w:sz w:val="20"/>
          <w:szCs w:val="20"/>
        </w:rPr>
        <w:t>Instructions and Measurement</w:t>
      </w:r>
    </w:p>
    <w:p w14:paraId="31EC23C7" w14:textId="5EB5B691" w:rsidR="0085119E" w:rsidRPr="005C29F8" w:rsidRDefault="0085119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F546D74" w14:textId="7751A5DC" w:rsidR="005873EB" w:rsidRPr="005C29F8" w:rsidRDefault="0085119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w:t>
      </w:r>
      <w:r w:rsidR="00131842" w:rsidRPr="005C29F8">
        <w:rPr>
          <w:rFonts w:cs="Arial"/>
          <w:color w:val="000000" w:themeColor="text1"/>
          <w:szCs w:val="16"/>
        </w:rPr>
        <w:t xml:space="preserve"> </w:t>
      </w:r>
      <w:r w:rsidR="005873EB" w:rsidRPr="005C29F8">
        <w:rPr>
          <w:rFonts w:cs="Arial"/>
          <w:color w:val="000000" w:themeColor="text1"/>
          <w:szCs w:val="16"/>
        </w:rPr>
        <w:t xml:space="preserve">Participation and performance </w:t>
      </w:r>
      <w:r w:rsidR="00C960B4" w:rsidRPr="005C29F8">
        <w:rPr>
          <w:rFonts w:cs="Arial"/>
          <w:color w:val="000000" w:themeColor="text1"/>
          <w:szCs w:val="16"/>
        </w:rPr>
        <w:t xml:space="preserve">of </w:t>
      </w:r>
      <w:r w:rsidR="005873EB" w:rsidRPr="005C29F8">
        <w:rPr>
          <w:rFonts w:cs="Arial"/>
          <w:color w:val="000000" w:themeColor="text1"/>
          <w:szCs w:val="16"/>
        </w:rPr>
        <w:t>children with IEPs on statewide</w:t>
      </w:r>
      <w:r w:rsidR="00A14AEA" w:rsidRPr="005C29F8">
        <w:rPr>
          <w:rFonts w:cs="Arial"/>
          <w:color w:val="000000" w:themeColor="text1"/>
          <w:szCs w:val="16"/>
        </w:rPr>
        <w:t xml:space="preserve"> assessments:</w:t>
      </w:r>
    </w:p>
    <w:p w14:paraId="4C4FFAB3" w14:textId="578300D0" w:rsidR="00A14AEA" w:rsidRPr="005C29F8" w:rsidRDefault="000F0D59" w:rsidP="006A01BD">
      <w:pPr>
        <w:ind w:firstLine="720"/>
        <w:rPr>
          <w:rFonts w:cs="Arial"/>
          <w:color w:val="000000" w:themeColor="text1"/>
          <w:szCs w:val="16"/>
        </w:rPr>
      </w:pPr>
      <w:r w:rsidRPr="005C29F8">
        <w:rPr>
          <w:rFonts w:cs="Arial"/>
          <w:color w:val="000000" w:themeColor="text1"/>
          <w:szCs w:val="16"/>
        </w:rPr>
        <w:t>A. Indicator 3A – Reserved</w:t>
      </w:r>
    </w:p>
    <w:p w14:paraId="115C9DE2" w14:textId="7A6107B5" w:rsidR="00A14AEA" w:rsidRPr="005C29F8" w:rsidRDefault="000F0D59"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728410C8" w14:textId="617BE0AC" w:rsidR="00A14AEA" w:rsidRPr="005C29F8" w:rsidRDefault="000F0D59"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7B9E3DB8" w14:textId="33C40E14" w:rsidR="0011074D" w:rsidRPr="005C29F8" w:rsidRDefault="0011074D" w:rsidP="0011074D">
      <w:pPr>
        <w:rPr>
          <w:rFonts w:cs="Arial"/>
          <w:color w:val="000000" w:themeColor="text1"/>
          <w:szCs w:val="16"/>
        </w:rPr>
      </w:pPr>
      <w:r w:rsidRPr="005C29F8">
        <w:rPr>
          <w:rFonts w:cs="Arial"/>
          <w:color w:val="000000" w:themeColor="text1"/>
          <w:szCs w:val="16"/>
        </w:rPr>
        <w:t>(20 U.S.C. 1416 (a)(3)(A))</w:t>
      </w:r>
    </w:p>
    <w:p w14:paraId="17F5F231" w14:textId="77777777" w:rsidR="005873EB" w:rsidRPr="005C29F8" w:rsidRDefault="005873EB" w:rsidP="004369B2">
      <w:pPr>
        <w:rPr>
          <w:color w:val="000000" w:themeColor="text1"/>
        </w:rPr>
      </w:pPr>
      <w:r w:rsidRPr="005C29F8">
        <w:rPr>
          <w:b/>
          <w:color w:val="000000" w:themeColor="text1"/>
        </w:rPr>
        <w:t>Data Source</w:t>
      </w:r>
    </w:p>
    <w:p w14:paraId="74E3B0EF" w14:textId="1254E575" w:rsidR="00A14AEA" w:rsidRPr="005C29F8" w:rsidRDefault="00A14AEA" w:rsidP="002621F6">
      <w:pPr>
        <w:rPr>
          <w:rFonts w:cs="Arial"/>
          <w:color w:val="000000" w:themeColor="text1"/>
          <w:szCs w:val="16"/>
        </w:rPr>
      </w:pPr>
      <w:r w:rsidRPr="005C29F8">
        <w:rPr>
          <w:rFonts w:cs="Arial"/>
          <w:color w:val="000000" w:themeColor="text1"/>
          <w:szCs w:val="16"/>
        </w:rPr>
        <w:t xml:space="preserve">3B.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FS185 and 188.</w:t>
      </w:r>
    </w:p>
    <w:p w14:paraId="58C69CDD" w14:textId="77777777" w:rsidR="005873EB" w:rsidRPr="005C29F8" w:rsidRDefault="005873EB" w:rsidP="004369B2">
      <w:pPr>
        <w:rPr>
          <w:color w:val="000000" w:themeColor="text1"/>
        </w:rPr>
      </w:pPr>
      <w:r w:rsidRPr="005C29F8">
        <w:rPr>
          <w:b/>
          <w:color w:val="000000" w:themeColor="text1"/>
        </w:rPr>
        <w:t>Measurement</w:t>
      </w:r>
    </w:p>
    <w:p w14:paraId="2163044F" w14:textId="03837252" w:rsidR="00A14AEA" w:rsidRPr="005C29F8" w:rsidRDefault="00A14AEA" w:rsidP="002621F6">
      <w:pPr>
        <w:rPr>
          <w:rFonts w:cs="Arial"/>
          <w:color w:val="000000" w:themeColor="text1"/>
          <w:szCs w:val="16"/>
        </w:rPr>
      </w:pPr>
      <w:r w:rsidRPr="005C29F8">
        <w:rPr>
          <w:rFonts w:cs="Arial"/>
          <w:color w:val="000000" w:themeColor="text1"/>
          <w:szCs w:val="16"/>
        </w:rPr>
        <w:t>B. Participation rate percent = [(# of children with IEPs participating in an assessment) divided by the (total # of children with IEPs enrolled during the testing window)]. Calculate separately for reading and math. The participation rate is based on all children with IEPs, including both children with IEPs enrolled for a full academic year and those not enrolled for a full academic year.</w:t>
      </w:r>
    </w:p>
    <w:p w14:paraId="13B81A44" w14:textId="77777777" w:rsidR="005873EB" w:rsidRPr="005C29F8" w:rsidRDefault="005873EB" w:rsidP="004369B2">
      <w:pPr>
        <w:rPr>
          <w:color w:val="000000" w:themeColor="text1"/>
        </w:rPr>
      </w:pPr>
      <w:r w:rsidRPr="005C29F8">
        <w:rPr>
          <w:b/>
          <w:color w:val="000000" w:themeColor="text1"/>
        </w:rPr>
        <w:t>Instructions</w:t>
      </w:r>
    </w:p>
    <w:p w14:paraId="5315B3F5" w14:textId="77777777" w:rsidR="00A14AEA" w:rsidRPr="005C29F8" w:rsidRDefault="00A14AEA" w:rsidP="002621F6">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5C29F8" w:rsidRDefault="00A14AEA" w:rsidP="002621F6">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6ACB1237" w:rsidR="00A14AEA" w:rsidRPr="005C29F8" w:rsidRDefault="00A14AEA" w:rsidP="002621F6">
      <w:pPr>
        <w:rPr>
          <w:rFonts w:cs="Arial"/>
          <w:color w:val="000000" w:themeColor="text1"/>
          <w:szCs w:val="16"/>
        </w:rPr>
      </w:pPr>
      <w:r w:rsidRPr="005C29F8">
        <w:rPr>
          <w:rFonts w:cs="Arial"/>
          <w:color w:val="000000" w:themeColor="text1"/>
          <w:szCs w:val="16"/>
        </w:rPr>
        <w:t>Indicator 3B: Provide separate reading/language arts and mathematics participation rates, inclusive of all ESEA grades assessed (3-8 and high school), for children with IEPs. Account for ALL children with IEPs, in all grades assessed, including children not participating in assessments and those not enrolled for a full academic year. Only include children with disabilities who had an IEP at the time of testing.</w:t>
      </w:r>
    </w:p>
    <w:p w14:paraId="4CDFE310" w14:textId="3FF11C15" w:rsidR="00677C8C" w:rsidRPr="0033429D" w:rsidRDefault="00573F6C" w:rsidP="008645AD">
      <w:pPr>
        <w:pStyle w:val="Heading2"/>
      </w:pPr>
      <w:r w:rsidRPr="0033429D">
        <w:t>3B</w:t>
      </w:r>
      <w:r w:rsidR="00BB4FD7" w:rsidRPr="0033429D">
        <w:t xml:space="preserve"> </w:t>
      </w:r>
      <w:r w:rsidRPr="0033429D">
        <w:t xml:space="preserve">- </w:t>
      </w:r>
      <w:r w:rsidR="00677C8C" w:rsidRPr="0033429D">
        <w:t>Indicator Data</w:t>
      </w:r>
    </w:p>
    <w:p w14:paraId="0224B7F2" w14:textId="63C60FD2" w:rsidR="004B7A7A" w:rsidRPr="005C29F8" w:rsidRDefault="009D378C" w:rsidP="004369B2">
      <w:pPr>
        <w:rPr>
          <w:color w:val="000000" w:themeColor="text1"/>
        </w:rPr>
      </w:pPr>
      <w:r w:rsidRPr="005C29F8">
        <w:rPr>
          <w:b/>
          <w:color w:val="000000" w:themeColor="text1"/>
        </w:rPr>
        <w:t>Reporting Group Selection</w:t>
      </w:r>
      <w:bookmarkEnd w:id="12"/>
    </w:p>
    <w:p w14:paraId="40D9D38F" w14:textId="49658B38" w:rsidR="00B94815" w:rsidRDefault="00954EDD" w:rsidP="00552927">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BGRADEGRPS"/>
      </w:tblPr>
      <w:tblGrid>
        <w:gridCol w:w="582"/>
        <w:gridCol w:w="851"/>
        <w:gridCol w:w="851"/>
        <w:gridCol w:w="851"/>
        <w:gridCol w:w="851"/>
        <w:gridCol w:w="851"/>
        <w:gridCol w:w="851"/>
        <w:gridCol w:w="851"/>
        <w:gridCol w:w="851"/>
        <w:gridCol w:w="851"/>
        <w:gridCol w:w="851"/>
        <w:gridCol w:w="851"/>
        <w:gridCol w:w="851"/>
      </w:tblGrid>
      <w:tr w:rsidR="005C29F8" w:rsidRPr="005C29F8" w14:paraId="65D9DE14" w14:textId="77777777" w:rsidTr="00044B5C">
        <w:trPr>
          <w:trHeight w:val="280"/>
          <w:tblHeader/>
        </w:trPr>
        <w:tc>
          <w:tcPr>
            <w:tcW w:w="270" w:type="pct"/>
            <w:shd w:val="clear" w:color="auto" w:fill="auto"/>
            <w:vAlign w:val="bottom"/>
          </w:tcPr>
          <w:p w14:paraId="7F95FAB3" w14:textId="474E73EB" w:rsidR="00421D14" w:rsidRPr="005C29F8" w:rsidRDefault="00421D14" w:rsidP="00A80FEB">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37BF987E" w14:textId="64C56DB5"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4C49F02A"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4B8F65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573BB52C"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28A23C5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2F1A9E6"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3C0FC3A8"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43D1DB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64DD89D2"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1FD2777"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07DFC279"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2E343EF3" w14:textId="77777777" w:rsidR="00421D14" w:rsidRPr="005C29F8" w:rsidRDefault="00421D14" w:rsidP="00A80FEB">
            <w:pPr>
              <w:pStyle w:val="Default"/>
              <w:jc w:val="center"/>
              <w:rPr>
                <w:b/>
                <w:color w:val="000000" w:themeColor="text1"/>
                <w:sz w:val="16"/>
                <w:szCs w:val="16"/>
              </w:rPr>
            </w:pPr>
            <w:r w:rsidRPr="005C29F8">
              <w:rPr>
                <w:b/>
                <w:color w:val="000000" w:themeColor="text1"/>
                <w:sz w:val="16"/>
                <w:szCs w:val="16"/>
              </w:rPr>
              <w:t>HS</w:t>
            </w:r>
          </w:p>
        </w:tc>
      </w:tr>
      <w:tr w:rsidR="005C29F8" w:rsidRPr="005C29F8" w14:paraId="08A419AA" w14:textId="77777777" w:rsidTr="00044B5C">
        <w:trPr>
          <w:trHeight w:val="361"/>
        </w:trPr>
        <w:tc>
          <w:tcPr>
            <w:tcW w:w="270" w:type="pct"/>
            <w:shd w:val="clear" w:color="auto" w:fill="auto"/>
            <w:vAlign w:val="center"/>
          </w:tcPr>
          <w:p w14:paraId="72299428" w14:textId="77777777" w:rsidR="00421D14" w:rsidRPr="005C29F8" w:rsidRDefault="00421D14" w:rsidP="004E2151">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tcPr>
          <w:p w14:paraId="4025BC24" w14:textId="22DCF5D0" w:rsidR="00421D14" w:rsidRPr="005C29F8" w:rsidRDefault="00421D14" w:rsidP="004E2151">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tcPr>
          <w:p w14:paraId="02AF836E" w14:textId="6AB73A72" w:rsidR="00421D14" w:rsidRPr="005C29F8" w:rsidRDefault="008E64EB" w:rsidP="006A01BD">
            <w:pPr>
              <w:jc w:val="center"/>
              <w:rPr>
                <w:color w:val="000000" w:themeColor="text1"/>
              </w:rPr>
            </w:pPr>
            <w:r w:rsidRPr="005C29F8">
              <w:rPr>
                <w:color w:val="000000" w:themeColor="text1"/>
              </w:rPr>
              <w:t>X</w:t>
            </w:r>
          </w:p>
        </w:tc>
        <w:tc>
          <w:tcPr>
            <w:tcW w:w="394" w:type="pct"/>
            <w:shd w:val="clear" w:color="auto" w:fill="auto"/>
          </w:tcPr>
          <w:p w14:paraId="2251B7FA" w14:textId="13B3A12E"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40BC153" w14:textId="7D38E01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2044CEB" w14:textId="48FC4C97"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3A079CF4" w14:textId="50374EA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511CFE5A" w14:textId="765CE1E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6056A7FF" w14:textId="1E0E04D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7777D1A7" w14:textId="0FA75C04"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AB2E2B6" w14:textId="0B51798A"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BB04173" w14:textId="54D8708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tcPr>
          <w:p w14:paraId="43CBB0BE" w14:textId="18959A95" w:rsidR="00421D14" w:rsidRPr="005C29F8" w:rsidRDefault="00421D14" w:rsidP="004E2151">
            <w:pPr>
              <w:pStyle w:val="Default"/>
              <w:jc w:val="center"/>
              <w:rPr>
                <w:b/>
                <w:color w:val="000000" w:themeColor="text1"/>
                <w:sz w:val="16"/>
                <w:szCs w:val="16"/>
              </w:rPr>
            </w:pPr>
            <w:r w:rsidRPr="005C29F8">
              <w:rPr>
                <w:color w:val="000000" w:themeColor="text1"/>
                <w:sz w:val="16"/>
                <w:szCs w:val="16"/>
              </w:rPr>
              <w:t>X</w:t>
            </w:r>
          </w:p>
        </w:tc>
      </w:tr>
    </w:tbl>
    <w:p w14:paraId="58015F58" w14:textId="77777777" w:rsidR="00AB6873" w:rsidRPr="005C29F8" w:rsidRDefault="00AB6873">
      <w:pPr>
        <w:rPr>
          <w:b/>
          <w:color w:val="000000" w:themeColor="text1"/>
        </w:rPr>
      </w:pPr>
    </w:p>
    <w:p w14:paraId="515AEF58" w14:textId="55B53228" w:rsidR="00E539AB" w:rsidRDefault="00E539AB" w:rsidP="004369B2">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RLA"/>
      </w:tblPr>
      <w:tblGrid>
        <w:gridCol w:w="715"/>
        <w:gridCol w:w="900"/>
        <w:gridCol w:w="1081"/>
        <w:gridCol w:w="1073"/>
        <w:gridCol w:w="1342"/>
        <w:gridCol w:w="1422"/>
        <w:gridCol w:w="1422"/>
        <w:gridCol w:w="1422"/>
        <w:gridCol w:w="1413"/>
      </w:tblGrid>
      <w:tr w:rsidR="005C29F8" w:rsidRPr="005C29F8" w14:paraId="3A917835" w14:textId="482DE14B" w:rsidTr="00044B5C">
        <w:trPr>
          <w:trHeight w:val="300"/>
        </w:trPr>
        <w:tc>
          <w:tcPr>
            <w:tcW w:w="331" w:type="pct"/>
            <w:tcBorders>
              <w:top w:val="single" w:sz="4" w:space="0" w:color="auto"/>
            </w:tcBorders>
            <w:shd w:val="clear" w:color="auto" w:fill="auto"/>
            <w:vAlign w:val="bottom"/>
          </w:tcPr>
          <w:p w14:paraId="274DE62A" w14:textId="60C6FC52" w:rsidR="007F1F79" w:rsidRPr="005C29F8" w:rsidRDefault="007F1F79" w:rsidP="0031316A">
            <w:pPr>
              <w:jc w:val="center"/>
              <w:rPr>
                <w:rFonts w:cs="Arial"/>
                <w:b/>
                <w:color w:val="000000" w:themeColor="text1"/>
                <w:szCs w:val="16"/>
              </w:rPr>
            </w:pPr>
            <w:r w:rsidRPr="005C29F8">
              <w:rPr>
                <w:rFonts w:cs="Arial"/>
                <w:b/>
                <w:color w:val="000000" w:themeColor="text1"/>
                <w:szCs w:val="16"/>
              </w:rPr>
              <w:t xml:space="preserve">Group </w:t>
            </w:r>
          </w:p>
        </w:tc>
        <w:tc>
          <w:tcPr>
            <w:tcW w:w="417" w:type="pct"/>
            <w:tcBorders>
              <w:top w:val="single" w:sz="4" w:space="0" w:color="auto"/>
            </w:tcBorders>
            <w:shd w:val="clear" w:color="auto" w:fill="auto"/>
            <w:vAlign w:val="bottom"/>
          </w:tcPr>
          <w:p w14:paraId="5221F3D1" w14:textId="050EA242" w:rsidR="007F1F79" w:rsidRPr="005C29F8" w:rsidRDefault="007F1F79" w:rsidP="00651E83">
            <w:pPr>
              <w:jc w:val="center"/>
              <w:rPr>
                <w:rFonts w:cs="Arial"/>
                <w:b/>
                <w:color w:val="000000" w:themeColor="text1"/>
                <w:szCs w:val="16"/>
              </w:rPr>
            </w:pPr>
            <w:r w:rsidRPr="005C29F8">
              <w:rPr>
                <w:rFonts w:cs="Arial"/>
                <w:b/>
                <w:color w:val="000000" w:themeColor="text1"/>
                <w:szCs w:val="16"/>
              </w:rPr>
              <w:t xml:space="preserve">Group Name </w:t>
            </w:r>
          </w:p>
        </w:tc>
        <w:tc>
          <w:tcPr>
            <w:tcW w:w="501" w:type="pct"/>
            <w:tcBorders>
              <w:top w:val="single" w:sz="4" w:space="0" w:color="auto"/>
            </w:tcBorders>
            <w:shd w:val="clear" w:color="auto" w:fill="auto"/>
            <w:vAlign w:val="bottom"/>
          </w:tcPr>
          <w:p w14:paraId="5E9669B8" w14:textId="1D7367DD" w:rsidR="007F1F79" w:rsidRPr="005C29F8" w:rsidRDefault="007F1F79" w:rsidP="00CC0BE8">
            <w:pPr>
              <w:jc w:val="center"/>
              <w:rPr>
                <w:rFonts w:cs="Arial"/>
                <w:b/>
                <w:color w:val="000000" w:themeColor="text1"/>
                <w:szCs w:val="16"/>
              </w:rPr>
            </w:pPr>
            <w:r w:rsidRPr="005C29F8">
              <w:rPr>
                <w:rFonts w:cs="Arial"/>
                <w:b/>
                <w:color w:val="000000" w:themeColor="text1"/>
                <w:szCs w:val="16"/>
              </w:rPr>
              <w:t xml:space="preserve">Baseline </w:t>
            </w:r>
          </w:p>
        </w:tc>
        <w:tc>
          <w:tcPr>
            <w:tcW w:w="497" w:type="pct"/>
            <w:tcBorders>
              <w:top w:val="single" w:sz="4" w:space="0" w:color="auto"/>
            </w:tcBorders>
            <w:shd w:val="clear" w:color="auto" w:fill="auto"/>
            <w:vAlign w:val="bottom"/>
          </w:tcPr>
          <w:p w14:paraId="3C89D0A8" w14:textId="48CE6E18" w:rsidR="007F1F79" w:rsidRPr="005C29F8" w:rsidRDefault="007F1F79" w:rsidP="0031316A">
            <w:pPr>
              <w:jc w:val="center"/>
              <w:rPr>
                <w:rFonts w:cs="Arial"/>
                <w:b/>
                <w:color w:val="000000" w:themeColor="text1"/>
                <w:szCs w:val="16"/>
              </w:rPr>
            </w:pPr>
            <w:r w:rsidRPr="005C29F8">
              <w:rPr>
                <w:rFonts w:cs="Arial"/>
                <w:b/>
                <w:color w:val="000000" w:themeColor="text1"/>
                <w:szCs w:val="16"/>
              </w:rPr>
              <w:t>FFY</w:t>
            </w:r>
          </w:p>
        </w:tc>
        <w:tc>
          <w:tcPr>
            <w:tcW w:w="622" w:type="pct"/>
            <w:tcBorders>
              <w:top w:val="single" w:sz="4" w:space="0" w:color="auto"/>
              <w:bottom w:val="single" w:sz="4" w:space="0" w:color="auto"/>
            </w:tcBorders>
            <w:shd w:val="clear" w:color="auto" w:fill="auto"/>
            <w:vAlign w:val="bottom"/>
          </w:tcPr>
          <w:p w14:paraId="0E16A0C4" w14:textId="16347B81" w:rsidR="007F1F79" w:rsidRPr="005C29F8" w:rsidRDefault="002B7490">
            <w:pPr>
              <w:jc w:val="center"/>
              <w:rPr>
                <w:rFonts w:cs="Arial"/>
                <w:b/>
                <w:color w:val="000000" w:themeColor="text1"/>
                <w:szCs w:val="16"/>
              </w:rPr>
            </w:pPr>
            <w:r w:rsidRPr="005C29F8">
              <w:rPr>
                <w:rFonts w:cs="Arial"/>
                <w:b/>
                <w:color w:val="000000" w:themeColor="text1"/>
                <w:szCs w:val="16"/>
              </w:rPr>
              <w:t>2014</w:t>
            </w:r>
          </w:p>
        </w:tc>
        <w:tc>
          <w:tcPr>
            <w:tcW w:w="659" w:type="pct"/>
            <w:tcBorders>
              <w:top w:val="single" w:sz="4" w:space="0" w:color="auto"/>
            </w:tcBorders>
            <w:shd w:val="clear" w:color="auto" w:fill="auto"/>
            <w:vAlign w:val="bottom"/>
          </w:tcPr>
          <w:p w14:paraId="1522299E" w14:textId="7D9C4350" w:rsidR="007F1F79" w:rsidRPr="005C29F8" w:rsidRDefault="002B7490">
            <w:pPr>
              <w:jc w:val="center"/>
              <w:rPr>
                <w:rFonts w:cs="Arial"/>
                <w:b/>
                <w:color w:val="000000" w:themeColor="text1"/>
                <w:szCs w:val="16"/>
              </w:rPr>
            </w:pPr>
            <w:r w:rsidRPr="005C29F8">
              <w:rPr>
                <w:rFonts w:cs="Arial"/>
                <w:b/>
                <w:color w:val="000000" w:themeColor="text1"/>
                <w:szCs w:val="16"/>
              </w:rPr>
              <w:t>2015</w:t>
            </w:r>
          </w:p>
        </w:tc>
        <w:tc>
          <w:tcPr>
            <w:tcW w:w="659" w:type="pct"/>
            <w:tcBorders>
              <w:top w:val="single" w:sz="4" w:space="0" w:color="auto"/>
            </w:tcBorders>
            <w:shd w:val="clear" w:color="auto" w:fill="auto"/>
            <w:vAlign w:val="bottom"/>
          </w:tcPr>
          <w:p w14:paraId="5AA33E88" w14:textId="1E3E955D" w:rsidR="007F1F79" w:rsidRPr="005C29F8" w:rsidRDefault="002B7490">
            <w:pPr>
              <w:jc w:val="center"/>
              <w:rPr>
                <w:rFonts w:cs="Arial"/>
                <w:b/>
                <w:color w:val="000000" w:themeColor="text1"/>
                <w:szCs w:val="16"/>
              </w:rPr>
            </w:pPr>
            <w:r w:rsidRPr="005C29F8">
              <w:rPr>
                <w:rFonts w:cs="Arial"/>
                <w:b/>
                <w:color w:val="000000" w:themeColor="text1"/>
                <w:szCs w:val="16"/>
              </w:rPr>
              <w:t>2016</w:t>
            </w:r>
          </w:p>
        </w:tc>
        <w:tc>
          <w:tcPr>
            <w:tcW w:w="659" w:type="pct"/>
            <w:tcBorders>
              <w:top w:val="single" w:sz="4" w:space="0" w:color="auto"/>
            </w:tcBorders>
            <w:shd w:val="clear" w:color="auto" w:fill="auto"/>
            <w:vAlign w:val="bottom"/>
          </w:tcPr>
          <w:p w14:paraId="43A2C0B9" w14:textId="016D0659" w:rsidR="007F1F79" w:rsidRPr="005C29F8" w:rsidRDefault="002B7490">
            <w:pPr>
              <w:jc w:val="center"/>
              <w:rPr>
                <w:rFonts w:cs="Arial"/>
                <w:b/>
                <w:color w:val="000000" w:themeColor="text1"/>
                <w:szCs w:val="16"/>
              </w:rPr>
            </w:pPr>
            <w:r w:rsidRPr="005C29F8">
              <w:rPr>
                <w:rFonts w:cs="Arial"/>
                <w:b/>
                <w:color w:val="000000" w:themeColor="text1"/>
                <w:szCs w:val="16"/>
              </w:rPr>
              <w:t>2017</w:t>
            </w:r>
          </w:p>
        </w:tc>
        <w:tc>
          <w:tcPr>
            <w:tcW w:w="655" w:type="pct"/>
            <w:tcBorders>
              <w:top w:val="single" w:sz="4" w:space="0" w:color="auto"/>
            </w:tcBorders>
            <w:shd w:val="clear" w:color="auto" w:fill="auto"/>
            <w:vAlign w:val="bottom"/>
          </w:tcPr>
          <w:p w14:paraId="55C84076" w14:textId="19F7E91D" w:rsidR="007F1F79" w:rsidRPr="005C29F8" w:rsidRDefault="002B7490">
            <w:pPr>
              <w:jc w:val="center"/>
              <w:rPr>
                <w:rFonts w:cs="Arial"/>
                <w:b/>
                <w:color w:val="000000" w:themeColor="text1"/>
                <w:szCs w:val="16"/>
              </w:rPr>
            </w:pPr>
            <w:r w:rsidRPr="005C29F8">
              <w:rPr>
                <w:rFonts w:cs="Arial"/>
                <w:b/>
                <w:color w:val="000000" w:themeColor="text1"/>
                <w:szCs w:val="16"/>
              </w:rPr>
              <w:t>2018</w:t>
            </w:r>
          </w:p>
        </w:tc>
      </w:tr>
      <w:tr w:rsidR="005C29F8" w:rsidRPr="005C29F8" w14:paraId="2AD5F393" w14:textId="77777777" w:rsidTr="00044B5C">
        <w:trPr>
          <w:trHeight w:val="152"/>
        </w:trPr>
        <w:tc>
          <w:tcPr>
            <w:tcW w:w="331" w:type="pct"/>
            <w:shd w:val="clear" w:color="auto" w:fill="auto"/>
            <w:vAlign w:val="center"/>
          </w:tcPr>
          <w:p w14:paraId="04DA8722" w14:textId="77777777" w:rsidR="008667B9" w:rsidRPr="00691ABA" w:rsidRDefault="008667B9" w:rsidP="00CB6049">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08CC2863" w14:textId="1B361544" w:rsidR="008667B9" w:rsidRPr="005C29F8" w:rsidRDefault="008667B9" w:rsidP="00A018D4">
            <w:pPr>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387B62AA" w14:textId="6F64515D" w:rsidR="0052033B" w:rsidRPr="005C29F8" w:rsidRDefault="0052033B">
            <w:pPr>
              <w:spacing w:before="0" w:after="0"/>
              <w:jc w:val="center"/>
              <w:rPr>
                <w:color w:val="000000" w:themeColor="text1"/>
              </w:rPr>
            </w:pPr>
            <w:r w:rsidRPr="005C29F8">
              <w:rPr>
                <w:color w:val="000000" w:themeColor="text1"/>
              </w:rPr>
              <w:t>2005</w:t>
            </w:r>
          </w:p>
          <w:p w14:paraId="20CC091E" w14:textId="1650CB1E" w:rsidR="008667B9" w:rsidRPr="005C29F8" w:rsidRDefault="008667B9">
            <w:pPr>
              <w:spacing w:before="0" w:after="0"/>
              <w:jc w:val="center"/>
              <w:rPr>
                <w:rFonts w:cs="Arial"/>
                <w:color w:val="000000" w:themeColor="text1"/>
                <w:szCs w:val="16"/>
              </w:rPr>
            </w:pPr>
          </w:p>
        </w:tc>
        <w:tc>
          <w:tcPr>
            <w:tcW w:w="497" w:type="pct"/>
            <w:shd w:val="clear" w:color="auto" w:fill="auto"/>
            <w:vAlign w:val="center"/>
          </w:tcPr>
          <w:p w14:paraId="7BB7C72D" w14:textId="348D0322"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2" w:type="pct"/>
            <w:shd w:val="clear" w:color="auto" w:fill="auto"/>
            <w:vAlign w:val="bottom"/>
          </w:tcPr>
          <w:p w14:paraId="5460F6E4" w14:textId="3458DFF0" w:rsidR="008667B9" w:rsidRPr="005C29F8" w:rsidRDefault="008667B9" w:rsidP="00A018D4">
            <w:pPr>
              <w:jc w:val="center"/>
              <w:rPr>
                <w:rFonts w:cs="Arial"/>
                <w:color w:val="000000" w:themeColor="text1"/>
                <w:szCs w:val="16"/>
              </w:rPr>
            </w:pPr>
            <w:r w:rsidRPr="005C29F8">
              <w:rPr>
                <w:rFonts w:cs="Arial"/>
                <w:color w:val="000000" w:themeColor="text1"/>
                <w:szCs w:val="16"/>
              </w:rPr>
              <w:t>93.00%</w:t>
            </w:r>
          </w:p>
        </w:tc>
        <w:tc>
          <w:tcPr>
            <w:tcW w:w="659" w:type="pct"/>
            <w:shd w:val="clear" w:color="auto" w:fill="auto"/>
            <w:vAlign w:val="bottom"/>
          </w:tcPr>
          <w:p w14:paraId="26EC7840" w14:textId="20BE02E6" w:rsidR="008667B9" w:rsidRPr="005C29F8" w:rsidRDefault="008667B9" w:rsidP="00A018D4">
            <w:pPr>
              <w:jc w:val="center"/>
              <w:rPr>
                <w:rFonts w:cs="Arial"/>
                <w:color w:val="000000" w:themeColor="text1"/>
                <w:szCs w:val="16"/>
              </w:rPr>
            </w:pPr>
            <w:r w:rsidRPr="005C29F8">
              <w:rPr>
                <w:rFonts w:cs="Arial"/>
                <w:color w:val="000000" w:themeColor="text1"/>
                <w:szCs w:val="16"/>
              </w:rPr>
              <w:t>93.50%</w:t>
            </w:r>
          </w:p>
        </w:tc>
        <w:tc>
          <w:tcPr>
            <w:tcW w:w="659" w:type="pct"/>
            <w:shd w:val="clear" w:color="auto" w:fill="auto"/>
            <w:vAlign w:val="bottom"/>
          </w:tcPr>
          <w:p w14:paraId="58CDE68C" w14:textId="3481F956" w:rsidR="008667B9" w:rsidRPr="005C29F8" w:rsidRDefault="008667B9" w:rsidP="00A018D4">
            <w:pPr>
              <w:jc w:val="center"/>
              <w:rPr>
                <w:rFonts w:cs="Arial"/>
                <w:color w:val="000000" w:themeColor="text1"/>
                <w:szCs w:val="16"/>
              </w:rPr>
            </w:pPr>
            <w:r w:rsidRPr="005C29F8">
              <w:rPr>
                <w:rFonts w:cs="Arial"/>
                <w:color w:val="000000" w:themeColor="text1"/>
                <w:szCs w:val="16"/>
              </w:rPr>
              <w:t>94.00%</w:t>
            </w:r>
          </w:p>
        </w:tc>
        <w:tc>
          <w:tcPr>
            <w:tcW w:w="659" w:type="pct"/>
            <w:shd w:val="clear" w:color="auto" w:fill="auto"/>
            <w:vAlign w:val="bottom"/>
          </w:tcPr>
          <w:p w14:paraId="6E1264A5" w14:textId="79473287" w:rsidR="008667B9" w:rsidRPr="005C29F8" w:rsidRDefault="008667B9" w:rsidP="00A018D4">
            <w:pPr>
              <w:jc w:val="center"/>
              <w:rPr>
                <w:rFonts w:cs="Arial"/>
                <w:color w:val="000000" w:themeColor="text1"/>
                <w:szCs w:val="16"/>
              </w:rPr>
            </w:pPr>
            <w:r w:rsidRPr="005C29F8">
              <w:rPr>
                <w:rFonts w:cs="Arial"/>
                <w:color w:val="000000" w:themeColor="text1"/>
                <w:szCs w:val="16"/>
              </w:rPr>
              <w:t>94.50%</w:t>
            </w:r>
          </w:p>
        </w:tc>
        <w:tc>
          <w:tcPr>
            <w:tcW w:w="655" w:type="pct"/>
            <w:shd w:val="clear" w:color="auto" w:fill="auto"/>
            <w:vAlign w:val="bottom"/>
          </w:tcPr>
          <w:p w14:paraId="52ABFB56" w14:textId="3B6A6087"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48C2FC52" w14:textId="77777777" w:rsidTr="00044B5C">
        <w:trPr>
          <w:trHeight w:val="80"/>
        </w:trPr>
        <w:tc>
          <w:tcPr>
            <w:tcW w:w="331" w:type="pct"/>
            <w:shd w:val="clear" w:color="auto" w:fill="auto"/>
            <w:vAlign w:val="center"/>
          </w:tcPr>
          <w:p w14:paraId="46A56F85" w14:textId="2DC83D9F" w:rsidR="00FC7E3A" w:rsidRPr="00691ABA" w:rsidRDefault="00FC7E3A" w:rsidP="00FC7E3A">
            <w:pPr>
              <w:spacing w:before="0" w:after="0"/>
              <w:jc w:val="center"/>
              <w:rPr>
                <w:rFonts w:cs="Arial"/>
                <w:b/>
                <w:bCs/>
                <w:color w:val="000000" w:themeColor="text1"/>
                <w:szCs w:val="16"/>
              </w:rPr>
            </w:pPr>
            <w:r w:rsidRPr="00691ABA">
              <w:rPr>
                <w:rFonts w:cs="Arial"/>
                <w:b/>
                <w:bCs/>
                <w:color w:val="000000" w:themeColor="text1"/>
                <w:szCs w:val="16"/>
              </w:rPr>
              <w:t>A</w:t>
            </w:r>
          </w:p>
        </w:tc>
        <w:tc>
          <w:tcPr>
            <w:tcW w:w="417" w:type="pct"/>
            <w:shd w:val="clear" w:color="auto" w:fill="auto"/>
            <w:vAlign w:val="center"/>
          </w:tcPr>
          <w:p w14:paraId="53B42D96" w14:textId="75F0BA6D" w:rsidR="00FC7E3A" w:rsidRPr="005C29F8" w:rsidRDefault="00FC7E3A">
            <w:pPr>
              <w:spacing w:before="0" w:after="0"/>
              <w:jc w:val="center"/>
              <w:rPr>
                <w:rFonts w:cs="Arial"/>
                <w:color w:val="000000" w:themeColor="text1"/>
                <w:szCs w:val="16"/>
              </w:rPr>
            </w:pPr>
            <w:r w:rsidRPr="005C29F8">
              <w:rPr>
                <w:rFonts w:cs="Arial"/>
                <w:color w:val="000000" w:themeColor="text1"/>
                <w:szCs w:val="16"/>
              </w:rPr>
              <w:t>Overall</w:t>
            </w:r>
          </w:p>
        </w:tc>
        <w:tc>
          <w:tcPr>
            <w:tcW w:w="501" w:type="pct"/>
            <w:shd w:val="clear" w:color="auto" w:fill="auto"/>
            <w:vAlign w:val="center"/>
          </w:tcPr>
          <w:p w14:paraId="1A0873BF" w14:textId="7EBE0F9F" w:rsidR="0052033B" w:rsidRPr="005C29F8" w:rsidRDefault="0052033B">
            <w:pPr>
              <w:spacing w:before="0" w:after="0"/>
              <w:jc w:val="center"/>
              <w:rPr>
                <w:rFonts w:cs="Arial"/>
                <w:color w:val="000000" w:themeColor="text1"/>
                <w:szCs w:val="16"/>
              </w:rPr>
            </w:pPr>
            <w:r w:rsidRPr="005C29F8">
              <w:rPr>
                <w:rFonts w:cs="Arial"/>
                <w:color w:val="000000" w:themeColor="text1"/>
                <w:szCs w:val="16"/>
              </w:rPr>
              <w:t>78.00%</w:t>
            </w:r>
          </w:p>
        </w:tc>
        <w:tc>
          <w:tcPr>
            <w:tcW w:w="497" w:type="pct"/>
            <w:shd w:val="clear" w:color="auto" w:fill="auto"/>
            <w:vAlign w:val="center"/>
          </w:tcPr>
          <w:p w14:paraId="0742C76F" w14:textId="7CAF2540" w:rsidR="00FC7E3A" w:rsidRPr="005C29F8" w:rsidRDefault="00FC7E3A" w:rsidP="00A018D4">
            <w:pPr>
              <w:spacing w:before="0" w:after="0"/>
              <w:rPr>
                <w:rFonts w:cs="Arial"/>
                <w:color w:val="000000" w:themeColor="text1"/>
                <w:szCs w:val="16"/>
              </w:rPr>
            </w:pPr>
            <w:r w:rsidRPr="005C29F8">
              <w:rPr>
                <w:rFonts w:cs="Arial"/>
                <w:color w:val="000000" w:themeColor="text1"/>
                <w:szCs w:val="16"/>
              </w:rPr>
              <w:t>Actual</w:t>
            </w:r>
          </w:p>
        </w:tc>
        <w:tc>
          <w:tcPr>
            <w:tcW w:w="622" w:type="pct"/>
            <w:shd w:val="clear" w:color="auto" w:fill="auto"/>
            <w:vAlign w:val="bottom"/>
          </w:tcPr>
          <w:p w14:paraId="27E9945D" w14:textId="33F6AF22" w:rsidR="00FC7E3A" w:rsidRPr="005C29F8" w:rsidRDefault="00FC7E3A" w:rsidP="00A018D4">
            <w:pPr>
              <w:jc w:val="center"/>
              <w:rPr>
                <w:rFonts w:cs="Arial"/>
                <w:color w:val="000000" w:themeColor="text1"/>
                <w:szCs w:val="16"/>
              </w:rPr>
            </w:pPr>
            <w:r w:rsidRPr="005C29F8">
              <w:rPr>
                <w:rFonts w:cs="Arial"/>
                <w:color w:val="000000" w:themeColor="text1"/>
                <w:szCs w:val="16"/>
              </w:rPr>
              <w:t>92.02%</w:t>
            </w:r>
          </w:p>
        </w:tc>
        <w:tc>
          <w:tcPr>
            <w:tcW w:w="659" w:type="pct"/>
            <w:tcBorders>
              <w:bottom w:val="single" w:sz="4" w:space="0" w:color="auto"/>
            </w:tcBorders>
            <w:shd w:val="clear" w:color="auto" w:fill="auto"/>
            <w:vAlign w:val="bottom"/>
          </w:tcPr>
          <w:p w14:paraId="46ED7F9D" w14:textId="436039A9" w:rsidR="00FC7E3A" w:rsidRPr="005C29F8" w:rsidRDefault="00FC7E3A" w:rsidP="00A018D4">
            <w:pPr>
              <w:jc w:val="center"/>
              <w:rPr>
                <w:rFonts w:cs="Arial"/>
                <w:color w:val="000000" w:themeColor="text1"/>
                <w:szCs w:val="16"/>
              </w:rPr>
            </w:pPr>
            <w:r w:rsidRPr="005C29F8">
              <w:rPr>
                <w:rFonts w:cs="Arial"/>
                <w:color w:val="000000" w:themeColor="text1"/>
                <w:szCs w:val="16"/>
              </w:rPr>
              <w:t>91.89%</w:t>
            </w:r>
          </w:p>
        </w:tc>
        <w:tc>
          <w:tcPr>
            <w:tcW w:w="659" w:type="pct"/>
            <w:tcBorders>
              <w:bottom w:val="single" w:sz="4" w:space="0" w:color="auto"/>
            </w:tcBorders>
            <w:shd w:val="clear" w:color="auto" w:fill="auto"/>
            <w:vAlign w:val="bottom"/>
          </w:tcPr>
          <w:p w14:paraId="20457CFC" w14:textId="22D31A94" w:rsidR="00FC7E3A" w:rsidRPr="005C29F8" w:rsidRDefault="00FC7E3A" w:rsidP="00A018D4">
            <w:pPr>
              <w:jc w:val="center"/>
              <w:rPr>
                <w:rFonts w:cs="Arial"/>
                <w:color w:val="000000" w:themeColor="text1"/>
                <w:szCs w:val="16"/>
              </w:rPr>
            </w:pPr>
            <w:r w:rsidRPr="005C29F8">
              <w:rPr>
                <w:rFonts w:cs="Arial"/>
                <w:color w:val="000000" w:themeColor="text1"/>
                <w:szCs w:val="16"/>
              </w:rPr>
              <w:t>90.95%</w:t>
            </w:r>
          </w:p>
        </w:tc>
        <w:tc>
          <w:tcPr>
            <w:tcW w:w="659" w:type="pct"/>
            <w:tcBorders>
              <w:bottom w:val="single" w:sz="4" w:space="0" w:color="auto"/>
            </w:tcBorders>
            <w:shd w:val="clear" w:color="auto" w:fill="auto"/>
            <w:vAlign w:val="bottom"/>
          </w:tcPr>
          <w:p w14:paraId="24D885F2" w14:textId="02A27C7C" w:rsidR="00FC7E3A" w:rsidRPr="005C29F8" w:rsidRDefault="00FC7E3A" w:rsidP="00A018D4">
            <w:pPr>
              <w:jc w:val="center"/>
              <w:rPr>
                <w:rFonts w:cs="Arial"/>
                <w:color w:val="000000" w:themeColor="text1"/>
                <w:szCs w:val="16"/>
              </w:rPr>
            </w:pPr>
            <w:r w:rsidRPr="005C29F8">
              <w:rPr>
                <w:rFonts w:cs="Arial"/>
                <w:color w:val="000000" w:themeColor="text1"/>
                <w:szCs w:val="16"/>
              </w:rPr>
              <w:t>91.46%</w:t>
            </w:r>
          </w:p>
        </w:tc>
        <w:tc>
          <w:tcPr>
            <w:tcW w:w="655" w:type="pct"/>
            <w:tcBorders>
              <w:bottom w:val="single" w:sz="4" w:space="0" w:color="auto"/>
            </w:tcBorders>
            <w:shd w:val="clear" w:color="auto" w:fill="auto"/>
            <w:vAlign w:val="bottom"/>
          </w:tcPr>
          <w:p w14:paraId="219769CF" w14:textId="70AA0FA6" w:rsidR="00FC7E3A" w:rsidRPr="005C29F8" w:rsidRDefault="00FC7E3A" w:rsidP="00A018D4">
            <w:pPr>
              <w:jc w:val="center"/>
              <w:rPr>
                <w:rFonts w:cs="Arial"/>
                <w:color w:val="000000" w:themeColor="text1"/>
                <w:szCs w:val="16"/>
              </w:rPr>
            </w:pPr>
            <w:r w:rsidRPr="005C29F8">
              <w:rPr>
                <w:rFonts w:cs="Arial"/>
                <w:color w:val="000000" w:themeColor="text1"/>
                <w:szCs w:val="16"/>
              </w:rPr>
              <w:t>95.04%</w:t>
            </w:r>
          </w:p>
        </w:tc>
      </w:tr>
    </w:tbl>
    <w:p w14:paraId="753A6A16" w14:textId="77777777" w:rsidR="004D0044" w:rsidRPr="005C29F8" w:rsidRDefault="004D0044" w:rsidP="004D0044">
      <w:pPr>
        <w:rPr>
          <w:color w:val="000000" w:themeColor="text1"/>
        </w:rPr>
      </w:pPr>
    </w:p>
    <w:p w14:paraId="1CF7D7FC" w14:textId="20C38551" w:rsidR="0065503C" w:rsidRDefault="0065503C"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MATH"/>
      </w:tblPr>
      <w:tblGrid>
        <w:gridCol w:w="714"/>
        <w:gridCol w:w="1170"/>
        <w:gridCol w:w="1079"/>
        <w:gridCol w:w="982"/>
        <w:gridCol w:w="1349"/>
        <w:gridCol w:w="1383"/>
        <w:gridCol w:w="1383"/>
        <w:gridCol w:w="1383"/>
        <w:gridCol w:w="1347"/>
      </w:tblGrid>
      <w:tr w:rsidR="005C29F8" w:rsidRPr="005C29F8" w14:paraId="0B0C55D8" w14:textId="77777777" w:rsidTr="00044B5C">
        <w:trPr>
          <w:trHeight w:val="300"/>
        </w:trPr>
        <w:tc>
          <w:tcPr>
            <w:tcW w:w="331" w:type="pct"/>
            <w:tcBorders>
              <w:top w:val="single" w:sz="2" w:space="0" w:color="262626" w:themeColor="text1" w:themeTint="D9"/>
            </w:tcBorders>
            <w:shd w:val="clear" w:color="auto" w:fill="auto"/>
            <w:vAlign w:val="bottom"/>
          </w:tcPr>
          <w:p w14:paraId="35D554C5" w14:textId="7FD368ED"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w:t>
            </w:r>
          </w:p>
        </w:tc>
        <w:tc>
          <w:tcPr>
            <w:tcW w:w="542" w:type="pct"/>
            <w:tcBorders>
              <w:top w:val="single" w:sz="2" w:space="0" w:color="262626" w:themeColor="text1" w:themeTint="D9"/>
            </w:tcBorders>
            <w:shd w:val="clear" w:color="auto" w:fill="auto"/>
            <w:vAlign w:val="bottom"/>
          </w:tcPr>
          <w:p w14:paraId="17F128D3" w14:textId="4D0059D3" w:rsidR="00C80CA6" w:rsidRPr="005C29F8" w:rsidRDefault="00C80CA6" w:rsidP="00C80CA6">
            <w:pPr>
              <w:jc w:val="center"/>
              <w:rPr>
                <w:rFonts w:cs="Arial"/>
                <w:b/>
                <w:color w:val="000000" w:themeColor="text1"/>
                <w:szCs w:val="16"/>
              </w:rPr>
            </w:pPr>
            <w:r w:rsidRPr="005C29F8">
              <w:rPr>
                <w:rFonts w:cs="Arial"/>
                <w:b/>
                <w:color w:val="000000" w:themeColor="text1"/>
                <w:szCs w:val="16"/>
              </w:rPr>
              <w:t xml:space="preserve">Group Name </w:t>
            </w:r>
          </w:p>
        </w:tc>
        <w:tc>
          <w:tcPr>
            <w:tcW w:w="500" w:type="pct"/>
            <w:tcBorders>
              <w:top w:val="single" w:sz="2" w:space="0" w:color="262626" w:themeColor="text1" w:themeTint="D9"/>
            </w:tcBorders>
            <w:shd w:val="clear" w:color="auto" w:fill="auto"/>
            <w:vAlign w:val="bottom"/>
          </w:tcPr>
          <w:p w14:paraId="49C112BD" w14:textId="2182D9B5" w:rsidR="00C80CA6" w:rsidRPr="005C29F8" w:rsidRDefault="00C80CA6" w:rsidP="008375EB">
            <w:pPr>
              <w:jc w:val="center"/>
              <w:rPr>
                <w:rFonts w:cs="Arial"/>
                <w:b/>
                <w:color w:val="000000" w:themeColor="text1"/>
                <w:szCs w:val="16"/>
              </w:rPr>
            </w:pPr>
            <w:r w:rsidRPr="005C29F8">
              <w:rPr>
                <w:rFonts w:cs="Arial"/>
                <w:b/>
                <w:color w:val="000000" w:themeColor="text1"/>
                <w:szCs w:val="16"/>
              </w:rPr>
              <w:t xml:space="preserve">Baseline </w:t>
            </w:r>
          </w:p>
        </w:tc>
        <w:tc>
          <w:tcPr>
            <w:tcW w:w="455" w:type="pct"/>
            <w:tcBorders>
              <w:top w:val="single" w:sz="2" w:space="0" w:color="262626" w:themeColor="text1" w:themeTint="D9"/>
            </w:tcBorders>
            <w:shd w:val="clear" w:color="auto" w:fill="auto"/>
            <w:vAlign w:val="bottom"/>
          </w:tcPr>
          <w:p w14:paraId="5421DAF0" w14:textId="51E498A7" w:rsidR="00C80CA6" w:rsidRPr="005C29F8" w:rsidRDefault="00C80CA6" w:rsidP="00C80CA6">
            <w:pPr>
              <w:jc w:val="center"/>
              <w:rPr>
                <w:rFonts w:cs="Arial"/>
                <w:b/>
                <w:color w:val="000000" w:themeColor="text1"/>
                <w:szCs w:val="16"/>
              </w:rPr>
            </w:pPr>
            <w:r w:rsidRPr="005C29F8">
              <w:rPr>
                <w:rFonts w:cs="Arial"/>
                <w:b/>
                <w:color w:val="000000" w:themeColor="text1"/>
                <w:szCs w:val="16"/>
              </w:rPr>
              <w:t>FFY</w:t>
            </w:r>
          </w:p>
        </w:tc>
        <w:tc>
          <w:tcPr>
            <w:tcW w:w="625" w:type="pct"/>
            <w:tcBorders>
              <w:top w:val="single" w:sz="2" w:space="0" w:color="262626" w:themeColor="text1" w:themeTint="D9"/>
              <w:bottom w:val="single" w:sz="4" w:space="0" w:color="auto"/>
            </w:tcBorders>
            <w:shd w:val="clear" w:color="auto" w:fill="auto"/>
            <w:vAlign w:val="bottom"/>
          </w:tcPr>
          <w:p w14:paraId="31D90D11" w14:textId="38E03932" w:rsidR="00C80CA6" w:rsidRPr="005C29F8" w:rsidRDefault="002B7490" w:rsidP="00C80CA6">
            <w:pPr>
              <w:jc w:val="center"/>
              <w:rPr>
                <w:rFonts w:cs="Arial"/>
                <w:b/>
                <w:color w:val="000000" w:themeColor="text1"/>
                <w:szCs w:val="16"/>
              </w:rPr>
            </w:pPr>
            <w:r w:rsidRPr="005C29F8">
              <w:rPr>
                <w:rFonts w:cs="Arial"/>
                <w:b/>
                <w:color w:val="000000" w:themeColor="text1"/>
                <w:szCs w:val="16"/>
              </w:rPr>
              <w:t>2014</w:t>
            </w:r>
          </w:p>
        </w:tc>
        <w:tc>
          <w:tcPr>
            <w:tcW w:w="641" w:type="pct"/>
            <w:tcBorders>
              <w:top w:val="single" w:sz="2" w:space="0" w:color="262626" w:themeColor="text1" w:themeTint="D9"/>
            </w:tcBorders>
            <w:shd w:val="clear" w:color="auto" w:fill="auto"/>
            <w:vAlign w:val="bottom"/>
          </w:tcPr>
          <w:p w14:paraId="6ED723E2" w14:textId="1F4131B5" w:rsidR="00C80CA6" w:rsidRPr="005C29F8" w:rsidRDefault="002B7490" w:rsidP="00C80CA6">
            <w:pPr>
              <w:jc w:val="center"/>
              <w:rPr>
                <w:rFonts w:cs="Arial"/>
                <w:b/>
                <w:color w:val="000000" w:themeColor="text1"/>
                <w:szCs w:val="16"/>
              </w:rPr>
            </w:pPr>
            <w:r w:rsidRPr="005C29F8">
              <w:rPr>
                <w:rFonts w:cs="Arial"/>
                <w:b/>
                <w:color w:val="000000" w:themeColor="text1"/>
                <w:szCs w:val="16"/>
              </w:rPr>
              <w:t>2015</w:t>
            </w:r>
          </w:p>
        </w:tc>
        <w:tc>
          <w:tcPr>
            <w:tcW w:w="641" w:type="pct"/>
            <w:tcBorders>
              <w:top w:val="single" w:sz="2" w:space="0" w:color="262626" w:themeColor="text1" w:themeTint="D9"/>
            </w:tcBorders>
            <w:shd w:val="clear" w:color="auto" w:fill="auto"/>
            <w:vAlign w:val="bottom"/>
          </w:tcPr>
          <w:p w14:paraId="4E8885B8" w14:textId="53EE0F64" w:rsidR="00C80CA6" w:rsidRPr="005C29F8" w:rsidRDefault="002B7490" w:rsidP="00C80CA6">
            <w:pPr>
              <w:jc w:val="center"/>
              <w:rPr>
                <w:rFonts w:cs="Arial"/>
                <w:b/>
                <w:color w:val="000000" w:themeColor="text1"/>
                <w:szCs w:val="16"/>
              </w:rPr>
            </w:pPr>
            <w:r w:rsidRPr="005C29F8">
              <w:rPr>
                <w:rFonts w:cs="Arial"/>
                <w:b/>
                <w:color w:val="000000" w:themeColor="text1"/>
                <w:szCs w:val="16"/>
              </w:rPr>
              <w:t>2016</w:t>
            </w:r>
          </w:p>
        </w:tc>
        <w:tc>
          <w:tcPr>
            <w:tcW w:w="641" w:type="pct"/>
            <w:tcBorders>
              <w:top w:val="single" w:sz="2" w:space="0" w:color="262626" w:themeColor="text1" w:themeTint="D9"/>
            </w:tcBorders>
            <w:shd w:val="clear" w:color="auto" w:fill="auto"/>
            <w:vAlign w:val="bottom"/>
          </w:tcPr>
          <w:p w14:paraId="667EBDFB" w14:textId="6C56939B" w:rsidR="00C80CA6" w:rsidRPr="005C29F8" w:rsidRDefault="002B7490" w:rsidP="00C80CA6">
            <w:pPr>
              <w:jc w:val="center"/>
              <w:rPr>
                <w:rFonts w:cs="Arial"/>
                <w:b/>
                <w:color w:val="000000" w:themeColor="text1"/>
                <w:szCs w:val="16"/>
              </w:rPr>
            </w:pPr>
            <w:r w:rsidRPr="005C29F8">
              <w:rPr>
                <w:rFonts w:cs="Arial"/>
                <w:b/>
                <w:color w:val="000000" w:themeColor="text1"/>
                <w:szCs w:val="16"/>
              </w:rPr>
              <w:t>2017</w:t>
            </w:r>
          </w:p>
        </w:tc>
        <w:tc>
          <w:tcPr>
            <w:tcW w:w="624" w:type="pct"/>
            <w:tcBorders>
              <w:top w:val="single" w:sz="2" w:space="0" w:color="262626" w:themeColor="text1" w:themeTint="D9"/>
            </w:tcBorders>
            <w:shd w:val="clear" w:color="auto" w:fill="auto"/>
            <w:vAlign w:val="bottom"/>
          </w:tcPr>
          <w:p w14:paraId="274B33BB" w14:textId="53C050B8" w:rsidR="00C80CA6" w:rsidRPr="005C29F8" w:rsidRDefault="002B7490" w:rsidP="00C80CA6">
            <w:pPr>
              <w:jc w:val="center"/>
              <w:rPr>
                <w:rFonts w:cs="Arial"/>
                <w:b/>
                <w:color w:val="000000" w:themeColor="text1"/>
                <w:szCs w:val="16"/>
              </w:rPr>
            </w:pPr>
            <w:r w:rsidRPr="005C29F8">
              <w:rPr>
                <w:rFonts w:cs="Arial"/>
                <w:b/>
                <w:color w:val="000000" w:themeColor="text1"/>
                <w:szCs w:val="16"/>
              </w:rPr>
              <w:t>2018</w:t>
            </w:r>
          </w:p>
        </w:tc>
      </w:tr>
      <w:tr w:rsidR="005C29F8" w:rsidRPr="005C29F8" w14:paraId="52C7DB8B" w14:textId="77777777" w:rsidTr="00044B5C">
        <w:trPr>
          <w:trHeight w:val="152"/>
        </w:trPr>
        <w:tc>
          <w:tcPr>
            <w:tcW w:w="331" w:type="pct"/>
            <w:shd w:val="clear" w:color="auto" w:fill="auto"/>
            <w:vAlign w:val="center"/>
          </w:tcPr>
          <w:p w14:paraId="0B35CDEB" w14:textId="77777777" w:rsidR="008667B9" w:rsidRPr="00691ABA" w:rsidRDefault="008667B9">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1A98F88" w14:textId="60F3FCCA" w:rsidR="008667B9" w:rsidRPr="005C29F8" w:rsidDel="000B2DCB" w:rsidRDefault="008667B9" w:rsidP="00A018D4">
            <w:pPr>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7558EB5C" w14:textId="0EB6C01E" w:rsidR="004A74D2" w:rsidRPr="005C29F8" w:rsidRDefault="004A74D2">
            <w:pPr>
              <w:spacing w:before="0" w:after="0"/>
              <w:jc w:val="center"/>
              <w:rPr>
                <w:rFonts w:cs="Arial"/>
                <w:color w:val="000000" w:themeColor="text1"/>
                <w:szCs w:val="16"/>
              </w:rPr>
            </w:pPr>
            <w:r w:rsidRPr="005C29F8">
              <w:rPr>
                <w:rFonts w:cs="Arial"/>
                <w:color w:val="000000" w:themeColor="text1"/>
                <w:szCs w:val="16"/>
              </w:rPr>
              <w:t>2005</w:t>
            </w:r>
          </w:p>
        </w:tc>
        <w:tc>
          <w:tcPr>
            <w:tcW w:w="455" w:type="pct"/>
            <w:shd w:val="clear" w:color="auto" w:fill="auto"/>
            <w:vAlign w:val="center"/>
          </w:tcPr>
          <w:p w14:paraId="5C01F10B" w14:textId="13F4E5B7" w:rsidR="008667B9" w:rsidRPr="005C29F8" w:rsidRDefault="008667B9" w:rsidP="00A018D4">
            <w:pPr>
              <w:spacing w:before="0" w:after="0"/>
              <w:rPr>
                <w:rFonts w:cs="Arial"/>
                <w:color w:val="000000" w:themeColor="text1"/>
                <w:szCs w:val="16"/>
              </w:rPr>
            </w:pPr>
            <w:r w:rsidRPr="005C29F8">
              <w:rPr>
                <w:rFonts w:cs="Arial"/>
                <w:color w:val="000000" w:themeColor="text1"/>
                <w:szCs w:val="16"/>
              </w:rPr>
              <w:t>Target &gt;=</w:t>
            </w:r>
          </w:p>
        </w:tc>
        <w:tc>
          <w:tcPr>
            <w:tcW w:w="625" w:type="pct"/>
            <w:shd w:val="clear" w:color="auto" w:fill="auto"/>
            <w:vAlign w:val="bottom"/>
          </w:tcPr>
          <w:p w14:paraId="51891FB7" w14:textId="351D5467" w:rsidR="008667B9" w:rsidRPr="005C29F8" w:rsidRDefault="008667B9" w:rsidP="00A018D4">
            <w:pPr>
              <w:jc w:val="center"/>
              <w:rPr>
                <w:rFonts w:cs="Arial"/>
                <w:color w:val="000000" w:themeColor="text1"/>
                <w:szCs w:val="16"/>
              </w:rPr>
            </w:pPr>
            <w:r w:rsidRPr="005C29F8">
              <w:rPr>
                <w:rFonts w:cs="Arial"/>
                <w:color w:val="000000" w:themeColor="text1"/>
                <w:szCs w:val="16"/>
              </w:rPr>
              <w:t>93.00%</w:t>
            </w:r>
          </w:p>
        </w:tc>
        <w:tc>
          <w:tcPr>
            <w:tcW w:w="641" w:type="pct"/>
            <w:shd w:val="clear" w:color="auto" w:fill="auto"/>
            <w:vAlign w:val="bottom"/>
          </w:tcPr>
          <w:p w14:paraId="14929ED4" w14:textId="413BD2BA" w:rsidR="008667B9" w:rsidRPr="005C29F8" w:rsidRDefault="008667B9" w:rsidP="00A018D4">
            <w:pPr>
              <w:jc w:val="center"/>
              <w:rPr>
                <w:rFonts w:cs="Arial"/>
                <w:color w:val="000000" w:themeColor="text1"/>
                <w:szCs w:val="16"/>
              </w:rPr>
            </w:pPr>
            <w:r w:rsidRPr="005C29F8">
              <w:rPr>
                <w:rFonts w:cs="Arial"/>
                <w:color w:val="000000" w:themeColor="text1"/>
                <w:szCs w:val="16"/>
              </w:rPr>
              <w:t>93.50%</w:t>
            </w:r>
          </w:p>
        </w:tc>
        <w:tc>
          <w:tcPr>
            <w:tcW w:w="641" w:type="pct"/>
            <w:shd w:val="clear" w:color="auto" w:fill="auto"/>
            <w:vAlign w:val="bottom"/>
          </w:tcPr>
          <w:p w14:paraId="57E3DB58" w14:textId="2F100535" w:rsidR="008667B9" w:rsidRPr="005C29F8" w:rsidRDefault="008667B9" w:rsidP="00A018D4">
            <w:pPr>
              <w:jc w:val="center"/>
              <w:rPr>
                <w:rFonts w:cs="Arial"/>
                <w:color w:val="000000" w:themeColor="text1"/>
                <w:szCs w:val="16"/>
              </w:rPr>
            </w:pPr>
            <w:r w:rsidRPr="005C29F8">
              <w:rPr>
                <w:rFonts w:cs="Arial"/>
                <w:color w:val="000000" w:themeColor="text1"/>
                <w:szCs w:val="16"/>
              </w:rPr>
              <w:t>94.00%</w:t>
            </w:r>
          </w:p>
        </w:tc>
        <w:tc>
          <w:tcPr>
            <w:tcW w:w="641" w:type="pct"/>
            <w:shd w:val="clear" w:color="auto" w:fill="auto"/>
            <w:vAlign w:val="bottom"/>
          </w:tcPr>
          <w:p w14:paraId="5B629EE0" w14:textId="14A4A1B7" w:rsidR="008667B9" w:rsidRPr="005C29F8" w:rsidRDefault="008667B9" w:rsidP="00A018D4">
            <w:pPr>
              <w:jc w:val="center"/>
              <w:rPr>
                <w:rFonts w:cs="Arial"/>
                <w:color w:val="000000" w:themeColor="text1"/>
                <w:szCs w:val="16"/>
              </w:rPr>
            </w:pPr>
            <w:r w:rsidRPr="005C29F8">
              <w:rPr>
                <w:rFonts w:cs="Arial"/>
                <w:color w:val="000000" w:themeColor="text1"/>
                <w:szCs w:val="16"/>
              </w:rPr>
              <w:t>94.50%</w:t>
            </w:r>
          </w:p>
        </w:tc>
        <w:tc>
          <w:tcPr>
            <w:tcW w:w="624" w:type="pct"/>
            <w:shd w:val="clear" w:color="auto" w:fill="auto"/>
            <w:vAlign w:val="bottom"/>
          </w:tcPr>
          <w:p w14:paraId="7175E465" w14:textId="0ADCACB2" w:rsidR="008667B9" w:rsidRPr="005C29F8" w:rsidRDefault="008667B9" w:rsidP="00A018D4">
            <w:pPr>
              <w:jc w:val="center"/>
              <w:rPr>
                <w:rFonts w:cs="Arial"/>
                <w:color w:val="000000" w:themeColor="text1"/>
                <w:szCs w:val="16"/>
              </w:rPr>
            </w:pPr>
            <w:r w:rsidRPr="005C29F8">
              <w:rPr>
                <w:rFonts w:cs="Arial"/>
                <w:color w:val="000000" w:themeColor="text1"/>
                <w:szCs w:val="16"/>
              </w:rPr>
              <w:t>95.00%</w:t>
            </w:r>
          </w:p>
        </w:tc>
      </w:tr>
      <w:tr w:rsidR="005C29F8" w:rsidRPr="005C29F8" w14:paraId="2066F816" w14:textId="77777777" w:rsidTr="00044B5C">
        <w:trPr>
          <w:trHeight w:val="80"/>
        </w:trPr>
        <w:tc>
          <w:tcPr>
            <w:tcW w:w="331" w:type="pct"/>
            <w:shd w:val="clear" w:color="auto" w:fill="auto"/>
            <w:vAlign w:val="center"/>
          </w:tcPr>
          <w:p w14:paraId="23E76B34" w14:textId="5A0104BE" w:rsidR="00BB57F4" w:rsidRPr="00691ABA" w:rsidRDefault="00BB57F4">
            <w:pPr>
              <w:spacing w:before="0" w:after="0"/>
              <w:jc w:val="center"/>
              <w:rPr>
                <w:rFonts w:cs="Arial"/>
                <w:b/>
                <w:bCs/>
                <w:color w:val="000000" w:themeColor="text1"/>
                <w:szCs w:val="16"/>
              </w:rPr>
            </w:pPr>
            <w:r w:rsidRPr="00691ABA">
              <w:rPr>
                <w:rFonts w:cs="Arial"/>
                <w:b/>
                <w:bCs/>
                <w:color w:val="000000" w:themeColor="text1"/>
                <w:szCs w:val="16"/>
              </w:rPr>
              <w:t>A</w:t>
            </w:r>
          </w:p>
        </w:tc>
        <w:tc>
          <w:tcPr>
            <w:tcW w:w="542" w:type="pct"/>
            <w:shd w:val="clear" w:color="auto" w:fill="auto"/>
            <w:vAlign w:val="center"/>
          </w:tcPr>
          <w:p w14:paraId="0008811D" w14:textId="741FCAE8" w:rsidR="00BB57F4" w:rsidRPr="005C29F8" w:rsidRDefault="00BB57F4">
            <w:pPr>
              <w:spacing w:before="0" w:after="0"/>
              <w:jc w:val="center"/>
              <w:rPr>
                <w:rFonts w:cs="Arial"/>
                <w:color w:val="000000" w:themeColor="text1"/>
                <w:szCs w:val="16"/>
              </w:rPr>
            </w:pPr>
            <w:r w:rsidRPr="005C29F8">
              <w:rPr>
                <w:rFonts w:cs="Arial"/>
                <w:color w:val="000000" w:themeColor="text1"/>
                <w:szCs w:val="16"/>
              </w:rPr>
              <w:t>Overall</w:t>
            </w:r>
          </w:p>
        </w:tc>
        <w:tc>
          <w:tcPr>
            <w:tcW w:w="500" w:type="pct"/>
            <w:shd w:val="clear" w:color="auto" w:fill="auto"/>
            <w:vAlign w:val="center"/>
          </w:tcPr>
          <w:p w14:paraId="0AB4D77F" w14:textId="36F1C039" w:rsidR="00BB57F4" w:rsidRPr="005C29F8" w:rsidRDefault="004A74D2">
            <w:pPr>
              <w:spacing w:before="0" w:after="0"/>
              <w:jc w:val="center"/>
              <w:rPr>
                <w:rFonts w:cs="Arial"/>
                <w:color w:val="000000" w:themeColor="text1"/>
                <w:szCs w:val="16"/>
              </w:rPr>
            </w:pPr>
            <w:r w:rsidRPr="005C29F8">
              <w:rPr>
                <w:rFonts w:cs="Arial"/>
                <w:color w:val="000000" w:themeColor="text1"/>
                <w:szCs w:val="16"/>
              </w:rPr>
              <w:t>85.00%</w:t>
            </w:r>
          </w:p>
        </w:tc>
        <w:tc>
          <w:tcPr>
            <w:tcW w:w="455" w:type="pct"/>
            <w:shd w:val="clear" w:color="auto" w:fill="auto"/>
            <w:vAlign w:val="center"/>
          </w:tcPr>
          <w:p w14:paraId="69983D52" w14:textId="6F4A2686" w:rsidR="00BB57F4" w:rsidRPr="005C29F8" w:rsidRDefault="00BB57F4" w:rsidP="00A018D4">
            <w:pPr>
              <w:spacing w:before="0" w:after="0"/>
              <w:rPr>
                <w:rFonts w:cs="Arial"/>
                <w:color w:val="000000" w:themeColor="text1"/>
                <w:szCs w:val="16"/>
              </w:rPr>
            </w:pPr>
            <w:r w:rsidRPr="005C29F8">
              <w:rPr>
                <w:rFonts w:cs="Arial"/>
                <w:color w:val="000000" w:themeColor="text1"/>
                <w:szCs w:val="16"/>
              </w:rPr>
              <w:t>Actual</w:t>
            </w:r>
          </w:p>
        </w:tc>
        <w:tc>
          <w:tcPr>
            <w:tcW w:w="625" w:type="pct"/>
            <w:shd w:val="clear" w:color="auto" w:fill="auto"/>
            <w:vAlign w:val="bottom"/>
          </w:tcPr>
          <w:p w14:paraId="10756FD9" w14:textId="427E2C88" w:rsidR="00BB57F4" w:rsidRPr="005C29F8" w:rsidRDefault="00BB57F4" w:rsidP="00A018D4">
            <w:pPr>
              <w:jc w:val="center"/>
              <w:rPr>
                <w:rFonts w:cs="Arial"/>
                <w:color w:val="000000" w:themeColor="text1"/>
                <w:szCs w:val="16"/>
              </w:rPr>
            </w:pPr>
            <w:r w:rsidRPr="005C29F8">
              <w:rPr>
                <w:rFonts w:cs="Arial"/>
                <w:color w:val="000000" w:themeColor="text1"/>
                <w:szCs w:val="16"/>
              </w:rPr>
              <w:t>92.23%</w:t>
            </w:r>
          </w:p>
        </w:tc>
        <w:tc>
          <w:tcPr>
            <w:tcW w:w="641" w:type="pct"/>
            <w:tcBorders>
              <w:bottom w:val="single" w:sz="4" w:space="0" w:color="auto"/>
            </w:tcBorders>
            <w:shd w:val="clear" w:color="auto" w:fill="auto"/>
            <w:vAlign w:val="bottom"/>
          </w:tcPr>
          <w:p w14:paraId="04509162" w14:textId="02238D78" w:rsidR="00BB57F4" w:rsidRPr="005C29F8" w:rsidRDefault="00BB57F4" w:rsidP="00A018D4">
            <w:pPr>
              <w:jc w:val="center"/>
              <w:rPr>
                <w:rFonts w:cs="Arial"/>
                <w:color w:val="000000" w:themeColor="text1"/>
                <w:szCs w:val="16"/>
              </w:rPr>
            </w:pPr>
            <w:r w:rsidRPr="005C29F8">
              <w:rPr>
                <w:rFonts w:cs="Arial"/>
                <w:color w:val="000000" w:themeColor="text1"/>
                <w:szCs w:val="16"/>
              </w:rPr>
              <w:t>92.76%</w:t>
            </w:r>
          </w:p>
        </w:tc>
        <w:tc>
          <w:tcPr>
            <w:tcW w:w="641" w:type="pct"/>
            <w:tcBorders>
              <w:bottom w:val="single" w:sz="4" w:space="0" w:color="auto"/>
            </w:tcBorders>
            <w:shd w:val="clear" w:color="auto" w:fill="auto"/>
            <w:vAlign w:val="bottom"/>
          </w:tcPr>
          <w:p w14:paraId="21E5FCE6" w14:textId="5DBD4808" w:rsidR="00BB57F4" w:rsidRPr="005C29F8" w:rsidRDefault="00BB57F4" w:rsidP="00A018D4">
            <w:pPr>
              <w:jc w:val="center"/>
              <w:rPr>
                <w:rFonts w:cs="Arial"/>
                <w:color w:val="000000" w:themeColor="text1"/>
                <w:szCs w:val="16"/>
              </w:rPr>
            </w:pPr>
            <w:r w:rsidRPr="005C29F8">
              <w:rPr>
                <w:rFonts w:cs="Arial"/>
                <w:color w:val="000000" w:themeColor="text1"/>
                <w:szCs w:val="16"/>
              </w:rPr>
              <w:t>84.99%</w:t>
            </w:r>
          </w:p>
        </w:tc>
        <w:tc>
          <w:tcPr>
            <w:tcW w:w="641" w:type="pct"/>
            <w:tcBorders>
              <w:bottom w:val="single" w:sz="4" w:space="0" w:color="auto"/>
            </w:tcBorders>
            <w:shd w:val="clear" w:color="auto" w:fill="auto"/>
            <w:vAlign w:val="bottom"/>
          </w:tcPr>
          <w:p w14:paraId="0F23C20C" w14:textId="3768BC1D" w:rsidR="00BB57F4" w:rsidRPr="005C29F8" w:rsidRDefault="00BB57F4" w:rsidP="00A018D4">
            <w:pPr>
              <w:jc w:val="center"/>
              <w:rPr>
                <w:rFonts w:cs="Arial"/>
                <w:color w:val="000000" w:themeColor="text1"/>
                <w:szCs w:val="16"/>
              </w:rPr>
            </w:pPr>
            <w:r w:rsidRPr="005C29F8">
              <w:rPr>
                <w:rFonts w:cs="Arial"/>
                <w:color w:val="000000" w:themeColor="text1"/>
                <w:szCs w:val="16"/>
              </w:rPr>
              <w:t>92.08%</w:t>
            </w:r>
          </w:p>
        </w:tc>
        <w:tc>
          <w:tcPr>
            <w:tcW w:w="624" w:type="pct"/>
            <w:tcBorders>
              <w:bottom w:val="single" w:sz="4" w:space="0" w:color="auto"/>
            </w:tcBorders>
            <w:shd w:val="clear" w:color="auto" w:fill="auto"/>
            <w:vAlign w:val="bottom"/>
          </w:tcPr>
          <w:p w14:paraId="69D80C91" w14:textId="7C1E4069" w:rsidR="00BB57F4" w:rsidRPr="005C29F8" w:rsidRDefault="00BB57F4" w:rsidP="00A018D4">
            <w:pPr>
              <w:jc w:val="center"/>
              <w:rPr>
                <w:rFonts w:cs="Arial"/>
                <w:color w:val="000000" w:themeColor="text1"/>
                <w:szCs w:val="16"/>
              </w:rPr>
            </w:pPr>
            <w:r w:rsidRPr="005C29F8">
              <w:rPr>
                <w:rFonts w:cs="Arial"/>
                <w:color w:val="000000" w:themeColor="text1"/>
                <w:szCs w:val="16"/>
              </w:rPr>
              <w:t>95.66%</w:t>
            </w:r>
          </w:p>
        </w:tc>
      </w:tr>
    </w:tbl>
    <w:p w14:paraId="4E5C7995" w14:textId="77777777" w:rsidR="004D0044" w:rsidRPr="005C29F8" w:rsidRDefault="004D0044" w:rsidP="004369B2">
      <w:pPr>
        <w:rPr>
          <w:color w:val="000000" w:themeColor="text1"/>
        </w:rPr>
      </w:pPr>
    </w:p>
    <w:p w14:paraId="38F110A8" w14:textId="3014A321" w:rsidR="00E539AB" w:rsidRDefault="00E539AB" w:rsidP="004369B2">
      <w:pPr>
        <w:rPr>
          <w:b/>
          <w:color w:val="000000" w:themeColor="text1"/>
        </w:rPr>
      </w:pPr>
      <w:r w:rsidRPr="005C29F8">
        <w:rPr>
          <w:b/>
          <w:color w:val="000000" w:themeColor="text1"/>
        </w:rPr>
        <w:t>Targets</w:t>
      </w:r>
    </w:p>
    <w:tbl>
      <w:tblPr>
        <w:tblW w:w="34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896"/>
        <w:gridCol w:w="720"/>
        <w:gridCol w:w="2429"/>
        <w:gridCol w:w="3420"/>
      </w:tblGrid>
      <w:tr w:rsidR="00085D89" w:rsidRPr="005C29F8" w14:paraId="241559C7" w14:textId="655B4951" w:rsidTr="00085D89">
        <w:tc>
          <w:tcPr>
            <w:tcW w:w="600" w:type="pct"/>
            <w:tcBorders>
              <w:bottom w:val="single" w:sz="4" w:space="0" w:color="auto"/>
            </w:tcBorders>
            <w:shd w:val="clear" w:color="auto" w:fill="auto"/>
          </w:tcPr>
          <w:p w14:paraId="5F6C0247" w14:textId="02A2F5D1" w:rsidR="00085D89" w:rsidRPr="005C29F8" w:rsidRDefault="002B6965" w:rsidP="004369B2">
            <w:pPr>
              <w:jc w:val="center"/>
              <w:rPr>
                <w:b/>
                <w:color w:val="000000" w:themeColor="text1"/>
              </w:rPr>
            </w:pPr>
            <w:r>
              <w:rPr>
                <w:b/>
                <w:color w:val="000000" w:themeColor="text1"/>
              </w:rPr>
              <w:t>Subject</w:t>
            </w:r>
          </w:p>
        </w:tc>
        <w:tc>
          <w:tcPr>
            <w:tcW w:w="482" w:type="pct"/>
            <w:tcBorders>
              <w:bottom w:val="single" w:sz="4" w:space="0" w:color="auto"/>
            </w:tcBorders>
            <w:shd w:val="clear" w:color="auto" w:fill="auto"/>
          </w:tcPr>
          <w:p w14:paraId="1318C08B" w14:textId="57349DD9" w:rsidR="00085D89" w:rsidRPr="005C29F8" w:rsidRDefault="00085D89" w:rsidP="004369B2">
            <w:pPr>
              <w:jc w:val="center"/>
              <w:rPr>
                <w:b/>
                <w:color w:val="000000" w:themeColor="text1"/>
              </w:rPr>
            </w:pPr>
            <w:r w:rsidRPr="005C29F8">
              <w:rPr>
                <w:b/>
                <w:color w:val="000000" w:themeColor="text1"/>
              </w:rPr>
              <w:t>Group</w:t>
            </w:r>
          </w:p>
        </w:tc>
        <w:tc>
          <w:tcPr>
            <w:tcW w:w="1627" w:type="pct"/>
            <w:shd w:val="clear" w:color="auto" w:fill="auto"/>
          </w:tcPr>
          <w:p w14:paraId="7EAB09FA" w14:textId="030EC418" w:rsidR="00085D89" w:rsidRPr="005C29F8" w:rsidDel="008E7B87" w:rsidRDefault="00085D89" w:rsidP="004369B2">
            <w:pPr>
              <w:jc w:val="center"/>
              <w:rPr>
                <w:b/>
                <w:color w:val="000000" w:themeColor="text1"/>
              </w:rPr>
            </w:pPr>
            <w:r w:rsidRPr="005C29F8">
              <w:rPr>
                <w:b/>
                <w:color w:val="000000" w:themeColor="text1"/>
              </w:rPr>
              <w:t>Group Name</w:t>
            </w:r>
          </w:p>
        </w:tc>
        <w:tc>
          <w:tcPr>
            <w:tcW w:w="2291" w:type="pct"/>
            <w:shd w:val="clear" w:color="auto" w:fill="auto"/>
            <w:vAlign w:val="center"/>
          </w:tcPr>
          <w:p w14:paraId="547F4988" w14:textId="1F981DE2" w:rsidR="00085D89" w:rsidRPr="005C29F8" w:rsidRDefault="00085D89" w:rsidP="004369B2">
            <w:pPr>
              <w:jc w:val="center"/>
              <w:rPr>
                <w:b/>
                <w:color w:val="000000" w:themeColor="text1"/>
              </w:rPr>
            </w:pPr>
            <w:r w:rsidRPr="005C29F8">
              <w:rPr>
                <w:b/>
                <w:color w:val="000000" w:themeColor="text1"/>
              </w:rPr>
              <w:t>2019</w:t>
            </w:r>
          </w:p>
        </w:tc>
      </w:tr>
      <w:tr w:rsidR="00085D89" w:rsidRPr="005C29F8" w14:paraId="6D8B6989" w14:textId="1E4F2292" w:rsidTr="0033429D">
        <w:tc>
          <w:tcPr>
            <w:tcW w:w="600" w:type="pct"/>
            <w:shd w:val="clear" w:color="auto" w:fill="auto"/>
            <w:vAlign w:val="center"/>
          </w:tcPr>
          <w:p w14:paraId="1B70FAC0" w14:textId="0849CE9C"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482" w:type="pct"/>
            <w:shd w:val="clear" w:color="auto" w:fill="auto"/>
            <w:vAlign w:val="center"/>
          </w:tcPr>
          <w:p w14:paraId="6221F405" w14:textId="189877A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6D2C8AC8" w14:textId="4765670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1794FDC8" w14:textId="2C32479D"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r w:rsidR="00085D89" w:rsidRPr="005C29F8" w14:paraId="734BCCC4" w14:textId="29C6C74E" w:rsidTr="0033429D">
        <w:tc>
          <w:tcPr>
            <w:tcW w:w="600" w:type="pct"/>
            <w:shd w:val="clear" w:color="auto" w:fill="auto"/>
            <w:vAlign w:val="center"/>
          </w:tcPr>
          <w:p w14:paraId="20286AC8" w14:textId="018C9C4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482" w:type="pct"/>
            <w:shd w:val="clear" w:color="auto" w:fill="auto"/>
            <w:vAlign w:val="center"/>
          </w:tcPr>
          <w:p w14:paraId="185C8DA8" w14:textId="6254892D"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627" w:type="pct"/>
            <w:shd w:val="clear" w:color="auto" w:fill="auto"/>
            <w:vAlign w:val="center"/>
          </w:tcPr>
          <w:p w14:paraId="16FD84A2" w14:textId="58C7118E" w:rsidR="00085D89" w:rsidRPr="005C29F8" w:rsidDel="00DB0A73" w:rsidRDefault="00085D89" w:rsidP="00A018D4">
            <w:pPr>
              <w:jc w:val="center"/>
              <w:rPr>
                <w:rFonts w:cs="Arial"/>
                <w:color w:val="000000" w:themeColor="text1"/>
                <w:szCs w:val="16"/>
              </w:rPr>
            </w:pPr>
            <w:r w:rsidRPr="005C29F8">
              <w:rPr>
                <w:rFonts w:cs="Arial"/>
                <w:color w:val="000000" w:themeColor="text1"/>
                <w:szCs w:val="16"/>
              </w:rPr>
              <w:t>Overall</w:t>
            </w:r>
          </w:p>
        </w:tc>
        <w:tc>
          <w:tcPr>
            <w:tcW w:w="2291" w:type="pct"/>
            <w:shd w:val="clear" w:color="auto" w:fill="auto"/>
            <w:vAlign w:val="center"/>
          </w:tcPr>
          <w:p w14:paraId="0005999A" w14:textId="601F796F" w:rsidR="00085D89" w:rsidRPr="005C29F8" w:rsidRDefault="00085D89" w:rsidP="00A018D4">
            <w:pPr>
              <w:jc w:val="center"/>
              <w:rPr>
                <w:rFonts w:cs="Arial"/>
                <w:color w:val="000000" w:themeColor="text1"/>
                <w:szCs w:val="16"/>
              </w:rPr>
            </w:pPr>
            <w:r w:rsidRPr="005C29F8">
              <w:rPr>
                <w:rFonts w:cs="Arial"/>
                <w:color w:val="000000" w:themeColor="text1"/>
                <w:szCs w:val="16"/>
              </w:rPr>
              <w:t>95.00%</w:t>
            </w:r>
          </w:p>
        </w:tc>
      </w:tr>
    </w:tbl>
    <w:p w14:paraId="102C9294" w14:textId="426FC0A1" w:rsidR="002D145D" w:rsidRDefault="002D145D" w:rsidP="004369B2">
      <w:pPr>
        <w:rPr>
          <w:b/>
          <w:color w:val="000000" w:themeColor="text1"/>
        </w:rPr>
      </w:pPr>
      <w:r w:rsidRPr="005C29F8">
        <w:rPr>
          <w:b/>
          <w:color w:val="000000" w:themeColor="text1"/>
        </w:rPr>
        <w:t xml:space="preserve">Targets: Description of Stakeholder Input </w:t>
      </w:r>
    </w:p>
    <w:p w14:paraId="2C104549" w14:textId="03A0AB0D"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Due to the COVID-19 pandemic and school closures throughout the nation, all schools did not administer the Spring 2020 state-wide assessments. Per OSEP's instruction, it is understood that Indicator 3 data will not be submitted by any state or entity for FFY 2019.</w:t>
      </w:r>
    </w:p>
    <w:p w14:paraId="2446B7C2" w14:textId="77777777" w:rsidR="00F20369" w:rsidRPr="005C29F8" w:rsidRDefault="00F20369" w:rsidP="004369B2">
      <w:pPr>
        <w:rPr>
          <w:color w:val="000000" w:themeColor="text1"/>
        </w:rPr>
      </w:pPr>
      <w:bookmarkStart w:id="13" w:name="_Toc392159273"/>
    </w:p>
    <w:p w14:paraId="2F64E7B3" w14:textId="729C4F93" w:rsidR="00344AE0" w:rsidRPr="005C29F8" w:rsidRDefault="00344AE0">
      <w:pPr>
        <w:rPr>
          <w:b/>
          <w:color w:val="000000" w:themeColor="text1"/>
        </w:rPr>
      </w:pPr>
      <w:r w:rsidRPr="005C29F8">
        <w:rPr>
          <w:b/>
          <w:color w:val="000000" w:themeColor="text1"/>
        </w:rPr>
        <w:t xml:space="preserve">FFY 2019 Data Disaggregation from </w:t>
      </w:r>
      <w:proofErr w:type="spellStart"/>
      <w:r w:rsidRPr="005C29F8">
        <w:rPr>
          <w:b/>
          <w:color w:val="000000" w:themeColor="text1"/>
        </w:rPr>
        <w:t>EDFacts</w:t>
      </w:r>
      <w:proofErr w:type="spellEnd"/>
    </w:p>
    <w:p w14:paraId="5162684D" w14:textId="425FEE31" w:rsidR="009D0D68" w:rsidRPr="005C29F8" w:rsidRDefault="009D0D68">
      <w:pPr>
        <w:rPr>
          <w:rFonts w:cs="Arial"/>
          <w:b/>
          <w:color w:val="000000" w:themeColor="text1"/>
          <w:szCs w:val="16"/>
        </w:rPr>
      </w:pPr>
      <w:r w:rsidRPr="005C29F8">
        <w:rPr>
          <w:rFonts w:cs="Arial"/>
          <w:b/>
          <w:color w:val="000000" w:themeColor="text1"/>
          <w:szCs w:val="16"/>
        </w:rPr>
        <w:t>Include the disaggregated data in your final SPP/APR. (yes/no)</w:t>
      </w:r>
    </w:p>
    <w:p w14:paraId="49857F61" w14:textId="58F0D37C" w:rsidR="009D0D68" w:rsidRPr="005C29F8" w:rsidRDefault="009D0D68" w:rsidP="004369B2">
      <w:pPr>
        <w:rPr>
          <w:color w:val="000000" w:themeColor="text1"/>
        </w:rPr>
      </w:pPr>
      <w:r w:rsidRPr="005C29F8">
        <w:rPr>
          <w:rFonts w:cs="Arial"/>
          <w:color w:val="000000" w:themeColor="text1"/>
          <w:szCs w:val="16"/>
        </w:rPr>
        <w:t>YES</w:t>
      </w:r>
    </w:p>
    <w:p w14:paraId="6BDCF123"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Data Source:  </w:t>
      </w:r>
    </w:p>
    <w:p w14:paraId="5EBDA348" w14:textId="41B0F325"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Reading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FS188; Data Group: 589)</w:t>
      </w:r>
    </w:p>
    <w:p w14:paraId="435988E5" w14:textId="77777777" w:rsidR="00C01339" w:rsidRPr="005C29F8" w:rsidRDefault="00344AE0" w:rsidP="00552927">
      <w:pPr>
        <w:rPr>
          <w:rFonts w:cs="Arial"/>
          <w:b/>
          <w:color w:val="000000" w:themeColor="text1"/>
          <w:szCs w:val="16"/>
        </w:rPr>
      </w:pPr>
      <w:r w:rsidRPr="005C29F8">
        <w:rPr>
          <w:rFonts w:cs="Arial"/>
          <w:b/>
          <w:color w:val="000000" w:themeColor="text1"/>
          <w:szCs w:val="16"/>
        </w:rPr>
        <w:t xml:space="preserve">Date: </w:t>
      </w:r>
    </w:p>
    <w:p w14:paraId="1E2D8106" w14:textId="3C6CAF94" w:rsidR="00344AE0" w:rsidRPr="005C29F8" w:rsidRDefault="00344AE0" w:rsidP="00552927">
      <w:pPr>
        <w:rPr>
          <w:rFonts w:cs="Arial"/>
          <w:color w:val="000000" w:themeColor="text1"/>
          <w:szCs w:val="16"/>
        </w:rPr>
      </w:pPr>
    </w:p>
    <w:p w14:paraId="59BC6B2E" w14:textId="5D329230" w:rsidR="009D0D68" w:rsidRPr="005C29F8" w:rsidRDefault="00FE2056">
      <w:pPr>
        <w:rPr>
          <w:b/>
          <w:color w:val="000000" w:themeColor="text1"/>
        </w:rPr>
      </w:pPr>
      <w:r w:rsidRPr="005C29F8">
        <w:rPr>
          <w:b/>
          <w:color w:val="000000" w:themeColor="text1"/>
        </w:rPr>
        <w:t>Reading Assessment Participation Data by Grade</w:t>
      </w:r>
    </w:p>
    <w:tbl>
      <w:tblPr>
        <w:tblStyle w:val="TableGrid"/>
        <w:tblW w:w="5002" w:type="pct"/>
        <w:tblLayout w:type="fixed"/>
        <w:tblLook w:val="04A0" w:firstRow="1" w:lastRow="0" w:firstColumn="1" w:lastColumn="0" w:noHBand="0" w:noVBand="1"/>
        <w:tblCaption w:val="B03BASSPARTDATABYGRDRLA"/>
      </w:tblPr>
      <w:tblGrid>
        <w:gridCol w:w="1618"/>
        <w:gridCol w:w="834"/>
        <w:gridCol w:w="834"/>
        <w:gridCol w:w="836"/>
        <w:gridCol w:w="833"/>
        <w:gridCol w:w="835"/>
        <w:gridCol w:w="833"/>
        <w:gridCol w:w="835"/>
        <w:gridCol w:w="833"/>
        <w:gridCol w:w="835"/>
        <w:gridCol w:w="833"/>
        <w:gridCol w:w="835"/>
      </w:tblGrid>
      <w:tr w:rsidR="005C29F8" w:rsidRPr="005C29F8" w14:paraId="35CB1461" w14:textId="77777777" w:rsidTr="00044B5C">
        <w:trPr>
          <w:tblHeader/>
        </w:trPr>
        <w:tc>
          <w:tcPr>
            <w:tcW w:w="749" w:type="pct"/>
            <w:shd w:val="clear" w:color="auto" w:fill="auto"/>
          </w:tcPr>
          <w:p w14:paraId="39D40F1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17538CC6"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7B4C40D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7" w:type="pct"/>
            <w:shd w:val="clear" w:color="auto" w:fill="auto"/>
          </w:tcPr>
          <w:p w14:paraId="3761AD0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6" w:type="pct"/>
            <w:shd w:val="clear" w:color="auto" w:fill="auto"/>
          </w:tcPr>
          <w:p w14:paraId="39372BA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7" w:type="pct"/>
            <w:shd w:val="clear" w:color="auto" w:fill="auto"/>
          </w:tcPr>
          <w:p w14:paraId="149163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289B7A6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7" w:type="pct"/>
            <w:shd w:val="clear" w:color="auto" w:fill="auto"/>
          </w:tcPr>
          <w:p w14:paraId="6FB4B8A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6" w:type="pct"/>
            <w:shd w:val="clear" w:color="auto" w:fill="auto"/>
          </w:tcPr>
          <w:p w14:paraId="031CF80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7" w:type="pct"/>
            <w:shd w:val="clear" w:color="auto" w:fill="auto"/>
          </w:tcPr>
          <w:p w14:paraId="0964B74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77D9081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88" w:type="pct"/>
            <w:shd w:val="clear" w:color="auto" w:fill="auto"/>
          </w:tcPr>
          <w:p w14:paraId="5C1892F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568B2C00" w14:textId="77777777" w:rsidTr="00044B5C">
        <w:tc>
          <w:tcPr>
            <w:tcW w:w="749" w:type="pct"/>
            <w:shd w:val="clear" w:color="auto" w:fill="auto"/>
          </w:tcPr>
          <w:p w14:paraId="4AD99060"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17848320" w14:textId="77777777" w:rsidR="00346807" w:rsidRPr="005C29F8" w:rsidRDefault="00346807" w:rsidP="00F0577A">
            <w:pPr>
              <w:rPr>
                <w:rFonts w:cs="Arial"/>
                <w:color w:val="000000" w:themeColor="text1"/>
                <w:szCs w:val="16"/>
              </w:rPr>
            </w:pPr>
          </w:p>
        </w:tc>
        <w:tc>
          <w:tcPr>
            <w:tcW w:w="386" w:type="pct"/>
            <w:shd w:val="clear" w:color="auto" w:fill="auto"/>
          </w:tcPr>
          <w:p w14:paraId="51A72AB5" w14:textId="77777777" w:rsidR="00346807" w:rsidRPr="005C29F8" w:rsidRDefault="00346807" w:rsidP="00F0577A">
            <w:pPr>
              <w:rPr>
                <w:rFonts w:cs="Arial"/>
                <w:color w:val="000000" w:themeColor="text1"/>
                <w:szCs w:val="16"/>
              </w:rPr>
            </w:pPr>
          </w:p>
        </w:tc>
        <w:tc>
          <w:tcPr>
            <w:tcW w:w="387" w:type="pct"/>
            <w:shd w:val="clear" w:color="auto" w:fill="auto"/>
          </w:tcPr>
          <w:p w14:paraId="151E318E" w14:textId="77777777" w:rsidR="00346807" w:rsidRPr="005C29F8" w:rsidRDefault="00346807" w:rsidP="00F0577A">
            <w:pPr>
              <w:rPr>
                <w:rFonts w:cs="Arial"/>
                <w:color w:val="000000" w:themeColor="text1"/>
                <w:szCs w:val="16"/>
              </w:rPr>
            </w:pPr>
          </w:p>
        </w:tc>
        <w:tc>
          <w:tcPr>
            <w:tcW w:w="386" w:type="pct"/>
            <w:shd w:val="clear" w:color="auto" w:fill="auto"/>
          </w:tcPr>
          <w:p w14:paraId="425FD938" w14:textId="77777777" w:rsidR="00346807" w:rsidRPr="005C29F8" w:rsidRDefault="00346807" w:rsidP="00F0577A">
            <w:pPr>
              <w:rPr>
                <w:rFonts w:cs="Arial"/>
                <w:color w:val="000000" w:themeColor="text1"/>
                <w:szCs w:val="16"/>
              </w:rPr>
            </w:pPr>
          </w:p>
        </w:tc>
        <w:tc>
          <w:tcPr>
            <w:tcW w:w="387" w:type="pct"/>
            <w:shd w:val="clear" w:color="auto" w:fill="auto"/>
          </w:tcPr>
          <w:p w14:paraId="721D21DE" w14:textId="77777777" w:rsidR="00346807" w:rsidRPr="005C29F8" w:rsidRDefault="00346807" w:rsidP="00F0577A">
            <w:pPr>
              <w:rPr>
                <w:rFonts w:cs="Arial"/>
                <w:color w:val="000000" w:themeColor="text1"/>
                <w:szCs w:val="16"/>
              </w:rPr>
            </w:pPr>
          </w:p>
        </w:tc>
        <w:tc>
          <w:tcPr>
            <w:tcW w:w="386" w:type="pct"/>
            <w:shd w:val="clear" w:color="auto" w:fill="auto"/>
          </w:tcPr>
          <w:p w14:paraId="62A92A65" w14:textId="77777777" w:rsidR="00346807" w:rsidRPr="005C29F8" w:rsidRDefault="00346807" w:rsidP="00F0577A">
            <w:pPr>
              <w:rPr>
                <w:rFonts w:cs="Arial"/>
                <w:color w:val="000000" w:themeColor="text1"/>
                <w:szCs w:val="16"/>
              </w:rPr>
            </w:pPr>
          </w:p>
        </w:tc>
        <w:tc>
          <w:tcPr>
            <w:tcW w:w="387" w:type="pct"/>
            <w:shd w:val="clear" w:color="auto" w:fill="auto"/>
          </w:tcPr>
          <w:p w14:paraId="0ECC6280" w14:textId="77777777" w:rsidR="00346807" w:rsidRPr="005C29F8" w:rsidRDefault="00346807" w:rsidP="00F0577A">
            <w:pPr>
              <w:rPr>
                <w:rFonts w:cs="Arial"/>
                <w:color w:val="000000" w:themeColor="text1"/>
                <w:szCs w:val="16"/>
              </w:rPr>
            </w:pPr>
          </w:p>
        </w:tc>
        <w:tc>
          <w:tcPr>
            <w:tcW w:w="386" w:type="pct"/>
            <w:shd w:val="clear" w:color="auto" w:fill="auto"/>
          </w:tcPr>
          <w:p w14:paraId="51EB7B00" w14:textId="77777777" w:rsidR="00346807" w:rsidRPr="005C29F8" w:rsidRDefault="00346807" w:rsidP="00F0577A">
            <w:pPr>
              <w:rPr>
                <w:rFonts w:cs="Arial"/>
                <w:color w:val="000000" w:themeColor="text1"/>
                <w:szCs w:val="16"/>
              </w:rPr>
            </w:pPr>
          </w:p>
        </w:tc>
        <w:tc>
          <w:tcPr>
            <w:tcW w:w="387" w:type="pct"/>
            <w:shd w:val="clear" w:color="auto" w:fill="auto"/>
          </w:tcPr>
          <w:p w14:paraId="51DA992C" w14:textId="77777777" w:rsidR="00346807" w:rsidRPr="005C29F8" w:rsidRDefault="00346807" w:rsidP="00F0577A">
            <w:pPr>
              <w:rPr>
                <w:rFonts w:cs="Arial"/>
                <w:color w:val="000000" w:themeColor="text1"/>
                <w:szCs w:val="16"/>
              </w:rPr>
            </w:pPr>
          </w:p>
        </w:tc>
        <w:tc>
          <w:tcPr>
            <w:tcW w:w="386" w:type="pct"/>
            <w:shd w:val="clear" w:color="auto" w:fill="auto"/>
          </w:tcPr>
          <w:p w14:paraId="4A331595" w14:textId="77777777" w:rsidR="00346807" w:rsidRPr="005C29F8" w:rsidRDefault="00346807" w:rsidP="00F0577A">
            <w:pPr>
              <w:rPr>
                <w:rFonts w:cs="Arial"/>
                <w:color w:val="000000" w:themeColor="text1"/>
                <w:szCs w:val="16"/>
              </w:rPr>
            </w:pPr>
          </w:p>
        </w:tc>
        <w:tc>
          <w:tcPr>
            <w:tcW w:w="388" w:type="pct"/>
            <w:shd w:val="clear" w:color="auto" w:fill="auto"/>
          </w:tcPr>
          <w:p w14:paraId="24CFE4D9" w14:textId="77777777" w:rsidR="00346807" w:rsidRPr="005C29F8" w:rsidRDefault="00346807" w:rsidP="00F0577A">
            <w:pPr>
              <w:rPr>
                <w:rFonts w:cs="Arial"/>
                <w:color w:val="000000" w:themeColor="text1"/>
                <w:szCs w:val="16"/>
              </w:rPr>
            </w:pPr>
          </w:p>
        </w:tc>
      </w:tr>
      <w:tr w:rsidR="005C29F8" w:rsidRPr="005C29F8" w14:paraId="4F287E15" w14:textId="77777777" w:rsidTr="00044B5C">
        <w:tc>
          <w:tcPr>
            <w:tcW w:w="749" w:type="pct"/>
            <w:shd w:val="clear" w:color="auto" w:fill="auto"/>
          </w:tcPr>
          <w:p w14:paraId="3423EDA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16181A6" w14:textId="77777777" w:rsidR="00346807" w:rsidRPr="005C29F8" w:rsidRDefault="00346807" w:rsidP="00F0577A">
            <w:pPr>
              <w:rPr>
                <w:rFonts w:cs="Arial"/>
                <w:color w:val="000000" w:themeColor="text1"/>
                <w:szCs w:val="16"/>
              </w:rPr>
            </w:pPr>
          </w:p>
        </w:tc>
        <w:tc>
          <w:tcPr>
            <w:tcW w:w="386" w:type="pct"/>
            <w:shd w:val="clear" w:color="auto" w:fill="auto"/>
          </w:tcPr>
          <w:p w14:paraId="74B7B6E9" w14:textId="77777777" w:rsidR="00346807" w:rsidRPr="005C29F8" w:rsidRDefault="00346807" w:rsidP="00F0577A">
            <w:pPr>
              <w:rPr>
                <w:rFonts w:cs="Arial"/>
                <w:color w:val="000000" w:themeColor="text1"/>
                <w:szCs w:val="16"/>
              </w:rPr>
            </w:pPr>
          </w:p>
        </w:tc>
        <w:tc>
          <w:tcPr>
            <w:tcW w:w="387" w:type="pct"/>
            <w:shd w:val="clear" w:color="auto" w:fill="auto"/>
          </w:tcPr>
          <w:p w14:paraId="46F10147" w14:textId="77777777" w:rsidR="00346807" w:rsidRPr="005C29F8" w:rsidRDefault="00346807" w:rsidP="00F0577A">
            <w:pPr>
              <w:rPr>
                <w:rFonts w:cs="Arial"/>
                <w:color w:val="000000" w:themeColor="text1"/>
                <w:szCs w:val="16"/>
              </w:rPr>
            </w:pPr>
          </w:p>
        </w:tc>
        <w:tc>
          <w:tcPr>
            <w:tcW w:w="386" w:type="pct"/>
            <w:shd w:val="clear" w:color="auto" w:fill="auto"/>
          </w:tcPr>
          <w:p w14:paraId="26CAEBB8" w14:textId="77777777" w:rsidR="00346807" w:rsidRPr="005C29F8" w:rsidRDefault="00346807" w:rsidP="00F0577A">
            <w:pPr>
              <w:rPr>
                <w:rFonts w:cs="Arial"/>
                <w:color w:val="000000" w:themeColor="text1"/>
                <w:szCs w:val="16"/>
              </w:rPr>
            </w:pPr>
          </w:p>
        </w:tc>
        <w:tc>
          <w:tcPr>
            <w:tcW w:w="387" w:type="pct"/>
            <w:shd w:val="clear" w:color="auto" w:fill="auto"/>
          </w:tcPr>
          <w:p w14:paraId="51C1AD09" w14:textId="77777777" w:rsidR="00346807" w:rsidRPr="005C29F8" w:rsidRDefault="00346807" w:rsidP="00F0577A">
            <w:pPr>
              <w:rPr>
                <w:rFonts w:cs="Arial"/>
                <w:color w:val="000000" w:themeColor="text1"/>
                <w:szCs w:val="16"/>
              </w:rPr>
            </w:pPr>
          </w:p>
        </w:tc>
        <w:tc>
          <w:tcPr>
            <w:tcW w:w="386" w:type="pct"/>
            <w:shd w:val="clear" w:color="auto" w:fill="auto"/>
          </w:tcPr>
          <w:p w14:paraId="0E181F25" w14:textId="77777777" w:rsidR="00346807" w:rsidRPr="005C29F8" w:rsidRDefault="00346807" w:rsidP="00F0577A">
            <w:pPr>
              <w:rPr>
                <w:rFonts w:cs="Arial"/>
                <w:color w:val="000000" w:themeColor="text1"/>
                <w:szCs w:val="16"/>
              </w:rPr>
            </w:pPr>
          </w:p>
        </w:tc>
        <w:tc>
          <w:tcPr>
            <w:tcW w:w="387" w:type="pct"/>
            <w:shd w:val="clear" w:color="auto" w:fill="auto"/>
          </w:tcPr>
          <w:p w14:paraId="4E6F7EFF" w14:textId="77777777" w:rsidR="00346807" w:rsidRPr="005C29F8" w:rsidRDefault="00346807" w:rsidP="00F0577A">
            <w:pPr>
              <w:rPr>
                <w:rFonts w:cs="Arial"/>
                <w:color w:val="000000" w:themeColor="text1"/>
                <w:szCs w:val="16"/>
              </w:rPr>
            </w:pPr>
          </w:p>
        </w:tc>
        <w:tc>
          <w:tcPr>
            <w:tcW w:w="386" w:type="pct"/>
            <w:shd w:val="clear" w:color="auto" w:fill="auto"/>
          </w:tcPr>
          <w:p w14:paraId="2667CB17" w14:textId="77777777" w:rsidR="00346807" w:rsidRPr="005C29F8" w:rsidRDefault="00346807" w:rsidP="00F0577A">
            <w:pPr>
              <w:rPr>
                <w:rFonts w:cs="Arial"/>
                <w:color w:val="000000" w:themeColor="text1"/>
                <w:szCs w:val="16"/>
              </w:rPr>
            </w:pPr>
          </w:p>
        </w:tc>
        <w:tc>
          <w:tcPr>
            <w:tcW w:w="387" w:type="pct"/>
            <w:shd w:val="clear" w:color="auto" w:fill="auto"/>
          </w:tcPr>
          <w:p w14:paraId="76E6EBA6" w14:textId="77777777" w:rsidR="00346807" w:rsidRPr="005C29F8" w:rsidRDefault="00346807" w:rsidP="00F0577A">
            <w:pPr>
              <w:rPr>
                <w:rFonts w:cs="Arial"/>
                <w:color w:val="000000" w:themeColor="text1"/>
                <w:szCs w:val="16"/>
              </w:rPr>
            </w:pPr>
          </w:p>
        </w:tc>
        <w:tc>
          <w:tcPr>
            <w:tcW w:w="386" w:type="pct"/>
            <w:shd w:val="clear" w:color="auto" w:fill="auto"/>
          </w:tcPr>
          <w:p w14:paraId="13EB2549" w14:textId="77777777" w:rsidR="00346807" w:rsidRPr="005C29F8" w:rsidRDefault="00346807" w:rsidP="00F0577A">
            <w:pPr>
              <w:rPr>
                <w:rFonts w:cs="Arial"/>
                <w:color w:val="000000" w:themeColor="text1"/>
                <w:szCs w:val="16"/>
              </w:rPr>
            </w:pPr>
          </w:p>
        </w:tc>
        <w:tc>
          <w:tcPr>
            <w:tcW w:w="388" w:type="pct"/>
            <w:shd w:val="clear" w:color="auto" w:fill="auto"/>
          </w:tcPr>
          <w:p w14:paraId="3F021D3D" w14:textId="77777777" w:rsidR="00346807" w:rsidRPr="005C29F8" w:rsidRDefault="00346807" w:rsidP="00F0577A">
            <w:pPr>
              <w:rPr>
                <w:rFonts w:cs="Arial"/>
                <w:color w:val="000000" w:themeColor="text1"/>
                <w:szCs w:val="16"/>
              </w:rPr>
            </w:pPr>
          </w:p>
        </w:tc>
      </w:tr>
      <w:tr w:rsidR="005C29F8" w:rsidRPr="005C29F8" w14:paraId="41239D5E" w14:textId="77777777" w:rsidTr="00044B5C">
        <w:tc>
          <w:tcPr>
            <w:tcW w:w="749" w:type="pct"/>
            <w:shd w:val="clear" w:color="auto" w:fill="auto"/>
          </w:tcPr>
          <w:p w14:paraId="5F79CC0F"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5E9652E2" w14:textId="77777777" w:rsidR="00346807" w:rsidRPr="005C29F8" w:rsidRDefault="00346807" w:rsidP="00F0577A">
            <w:pPr>
              <w:rPr>
                <w:rFonts w:cs="Arial"/>
                <w:color w:val="000000" w:themeColor="text1"/>
                <w:szCs w:val="16"/>
              </w:rPr>
            </w:pPr>
          </w:p>
        </w:tc>
        <w:tc>
          <w:tcPr>
            <w:tcW w:w="386" w:type="pct"/>
            <w:shd w:val="clear" w:color="auto" w:fill="auto"/>
          </w:tcPr>
          <w:p w14:paraId="47F69679" w14:textId="77777777" w:rsidR="00346807" w:rsidRPr="005C29F8" w:rsidRDefault="00346807" w:rsidP="00F0577A">
            <w:pPr>
              <w:rPr>
                <w:rFonts w:cs="Arial"/>
                <w:color w:val="000000" w:themeColor="text1"/>
                <w:szCs w:val="16"/>
              </w:rPr>
            </w:pPr>
          </w:p>
        </w:tc>
        <w:tc>
          <w:tcPr>
            <w:tcW w:w="387" w:type="pct"/>
            <w:shd w:val="clear" w:color="auto" w:fill="auto"/>
          </w:tcPr>
          <w:p w14:paraId="59F768C9" w14:textId="77777777" w:rsidR="00346807" w:rsidRPr="005C29F8" w:rsidRDefault="00346807" w:rsidP="00F0577A">
            <w:pPr>
              <w:rPr>
                <w:rFonts w:cs="Arial"/>
                <w:color w:val="000000" w:themeColor="text1"/>
                <w:szCs w:val="16"/>
              </w:rPr>
            </w:pPr>
          </w:p>
        </w:tc>
        <w:tc>
          <w:tcPr>
            <w:tcW w:w="386" w:type="pct"/>
            <w:shd w:val="clear" w:color="auto" w:fill="auto"/>
          </w:tcPr>
          <w:p w14:paraId="037BD624" w14:textId="77777777" w:rsidR="00346807" w:rsidRPr="005C29F8" w:rsidRDefault="00346807" w:rsidP="00F0577A">
            <w:pPr>
              <w:rPr>
                <w:rFonts w:cs="Arial"/>
                <w:color w:val="000000" w:themeColor="text1"/>
                <w:szCs w:val="16"/>
              </w:rPr>
            </w:pPr>
          </w:p>
        </w:tc>
        <w:tc>
          <w:tcPr>
            <w:tcW w:w="387" w:type="pct"/>
            <w:shd w:val="clear" w:color="auto" w:fill="auto"/>
          </w:tcPr>
          <w:p w14:paraId="40D2E4DE" w14:textId="77777777" w:rsidR="00346807" w:rsidRPr="005C29F8" w:rsidRDefault="00346807" w:rsidP="00F0577A">
            <w:pPr>
              <w:rPr>
                <w:rFonts w:cs="Arial"/>
                <w:color w:val="000000" w:themeColor="text1"/>
                <w:szCs w:val="16"/>
              </w:rPr>
            </w:pPr>
          </w:p>
        </w:tc>
        <w:tc>
          <w:tcPr>
            <w:tcW w:w="386" w:type="pct"/>
            <w:shd w:val="clear" w:color="auto" w:fill="auto"/>
          </w:tcPr>
          <w:p w14:paraId="75A2DE8E" w14:textId="77777777" w:rsidR="00346807" w:rsidRPr="005C29F8" w:rsidRDefault="00346807" w:rsidP="00F0577A">
            <w:pPr>
              <w:rPr>
                <w:rFonts w:cs="Arial"/>
                <w:color w:val="000000" w:themeColor="text1"/>
                <w:szCs w:val="16"/>
              </w:rPr>
            </w:pPr>
          </w:p>
        </w:tc>
        <w:tc>
          <w:tcPr>
            <w:tcW w:w="387" w:type="pct"/>
            <w:shd w:val="clear" w:color="auto" w:fill="auto"/>
          </w:tcPr>
          <w:p w14:paraId="0440D97D" w14:textId="77777777" w:rsidR="00346807" w:rsidRPr="005C29F8" w:rsidRDefault="00346807" w:rsidP="00F0577A">
            <w:pPr>
              <w:rPr>
                <w:rFonts w:cs="Arial"/>
                <w:color w:val="000000" w:themeColor="text1"/>
                <w:szCs w:val="16"/>
              </w:rPr>
            </w:pPr>
          </w:p>
        </w:tc>
        <w:tc>
          <w:tcPr>
            <w:tcW w:w="386" w:type="pct"/>
            <w:shd w:val="clear" w:color="auto" w:fill="auto"/>
          </w:tcPr>
          <w:p w14:paraId="46E4331A" w14:textId="77777777" w:rsidR="00346807" w:rsidRPr="005C29F8" w:rsidRDefault="00346807" w:rsidP="00F0577A">
            <w:pPr>
              <w:rPr>
                <w:rFonts w:cs="Arial"/>
                <w:color w:val="000000" w:themeColor="text1"/>
                <w:szCs w:val="16"/>
              </w:rPr>
            </w:pPr>
          </w:p>
        </w:tc>
        <w:tc>
          <w:tcPr>
            <w:tcW w:w="387" w:type="pct"/>
            <w:shd w:val="clear" w:color="auto" w:fill="auto"/>
          </w:tcPr>
          <w:p w14:paraId="3B894A1B" w14:textId="77777777" w:rsidR="00346807" w:rsidRPr="005C29F8" w:rsidRDefault="00346807" w:rsidP="00F0577A">
            <w:pPr>
              <w:rPr>
                <w:rFonts w:cs="Arial"/>
                <w:color w:val="000000" w:themeColor="text1"/>
                <w:szCs w:val="16"/>
              </w:rPr>
            </w:pPr>
          </w:p>
        </w:tc>
        <w:tc>
          <w:tcPr>
            <w:tcW w:w="386" w:type="pct"/>
            <w:shd w:val="clear" w:color="auto" w:fill="auto"/>
          </w:tcPr>
          <w:p w14:paraId="1CECC999" w14:textId="77777777" w:rsidR="00346807" w:rsidRPr="005C29F8" w:rsidRDefault="00346807" w:rsidP="00F0577A">
            <w:pPr>
              <w:rPr>
                <w:rFonts w:cs="Arial"/>
                <w:color w:val="000000" w:themeColor="text1"/>
                <w:szCs w:val="16"/>
              </w:rPr>
            </w:pPr>
          </w:p>
        </w:tc>
        <w:tc>
          <w:tcPr>
            <w:tcW w:w="388" w:type="pct"/>
            <w:shd w:val="clear" w:color="auto" w:fill="auto"/>
          </w:tcPr>
          <w:p w14:paraId="42FEB99D" w14:textId="77777777" w:rsidR="00346807" w:rsidRPr="005C29F8" w:rsidRDefault="00346807" w:rsidP="00F0577A">
            <w:pPr>
              <w:rPr>
                <w:rFonts w:cs="Arial"/>
                <w:color w:val="000000" w:themeColor="text1"/>
                <w:szCs w:val="16"/>
              </w:rPr>
            </w:pPr>
          </w:p>
        </w:tc>
      </w:tr>
      <w:tr w:rsidR="005C29F8" w:rsidRPr="005C29F8" w14:paraId="07EEC835" w14:textId="77777777" w:rsidTr="00044B5C">
        <w:tc>
          <w:tcPr>
            <w:tcW w:w="749" w:type="pct"/>
            <w:shd w:val="clear" w:color="auto" w:fill="auto"/>
          </w:tcPr>
          <w:p w14:paraId="0E58F71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0CF6D2" w14:textId="77777777" w:rsidR="00346807" w:rsidRPr="005C29F8" w:rsidRDefault="00346807" w:rsidP="00F0577A">
            <w:pPr>
              <w:rPr>
                <w:rFonts w:cs="Arial"/>
                <w:color w:val="000000" w:themeColor="text1"/>
                <w:szCs w:val="16"/>
              </w:rPr>
            </w:pPr>
          </w:p>
        </w:tc>
        <w:tc>
          <w:tcPr>
            <w:tcW w:w="386" w:type="pct"/>
            <w:shd w:val="clear" w:color="auto" w:fill="auto"/>
          </w:tcPr>
          <w:p w14:paraId="3A657D41" w14:textId="77777777" w:rsidR="00346807" w:rsidRPr="005C29F8" w:rsidRDefault="00346807" w:rsidP="00F0577A">
            <w:pPr>
              <w:rPr>
                <w:rFonts w:cs="Arial"/>
                <w:color w:val="000000" w:themeColor="text1"/>
                <w:szCs w:val="16"/>
              </w:rPr>
            </w:pPr>
          </w:p>
        </w:tc>
        <w:tc>
          <w:tcPr>
            <w:tcW w:w="387" w:type="pct"/>
            <w:shd w:val="clear" w:color="auto" w:fill="auto"/>
          </w:tcPr>
          <w:p w14:paraId="6282EB78" w14:textId="77777777" w:rsidR="00346807" w:rsidRPr="005C29F8" w:rsidRDefault="00346807" w:rsidP="00F0577A">
            <w:pPr>
              <w:rPr>
                <w:rFonts w:cs="Arial"/>
                <w:color w:val="000000" w:themeColor="text1"/>
                <w:szCs w:val="16"/>
              </w:rPr>
            </w:pPr>
          </w:p>
        </w:tc>
        <w:tc>
          <w:tcPr>
            <w:tcW w:w="386" w:type="pct"/>
            <w:shd w:val="clear" w:color="auto" w:fill="auto"/>
          </w:tcPr>
          <w:p w14:paraId="53905806" w14:textId="77777777" w:rsidR="00346807" w:rsidRPr="005C29F8" w:rsidRDefault="00346807" w:rsidP="00F0577A">
            <w:pPr>
              <w:rPr>
                <w:rFonts w:cs="Arial"/>
                <w:color w:val="000000" w:themeColor="text1"/>
                <w:szCs w:val="16"/>
              </w:rPr>
            </w:pPr>
          </w:p>
        </w:tc>
        <w:tc>
          <w:tcPr>
            <w:tcW w:w="387" w:type="pct"/>
            <w:shd w:val="clear" w:color="auto" w:fill="auto"/>
          </w:tcPr>
          <w:p w14:paraId="638DBA90" w14:textId="77777777" w:rsidR="00346807" w:rsidRPr="005C29F8" w:rsidRDefault="00346807" w:rsidP="00F0577A">
            <w:pPr>
              <w:rPr>
                <w:rFonts w:cs="Arial"/>
                <w:color w:val="000000" w:themeColor="text1"/>
                <w:szCs w:val="16"/>
              </w:rPr>
            </w:pPr>
          </w:p>
        </w:tc>
        <w:tc>
          <w:tcPr>
            <w:tcW w:w="386" w:type="pct"/>
            <w:shd w:val="clear" w:color="auto" w:fill="auto"/>
          </w:tcPr>
          <w:p w14:paraId="4F3B2517" w14:textId="77777777" w:rsidR="00346807" w:rsidRPr="005C29F8" w:rsidRDefault="00346807" w:rsidP="00F0577A">
            <w:pPr>
              <w:rPr>
                <w:rFonts w:cs="Arial"/>
                <w:color w:val="000000" w:themeColor="text1"/>
                <w:szCs w:val="16"/>
              </w:rPr>
            </w:pPr>
          </w:p>
        </w:tc>
        <w:tc>
          <w:tcPr>
            <w:tcW w:w="387" w:type="pct"/>
            <w:shd w:val="clear" w:color="auto" w:fill="auto"/>
          </w:tcPr>
          <w:p w14:paraId="2B0ACA15" w14:textId="77777777" w:rsidR="00346807" w:rsidRPr="005C29F8" w:rsidRDefault="00346807" w:rsidP="00F0577A">
            <w:pPr>
              <w:rPr>
                <w:rFonts w:cs="Arial"/>
                <w:color w:val="000000" w:themeColor="text1"/>
                <w:szCs w:val="16"/>
              </w:rPr>
            </w:pPr>
          </w:p>
        </w:tc>
        <w:tc>
          <w:tcPr>
            <w:tcW w:w="386" w:type="pct"/>
            <w:shd w:val="clear" w:color="auto" w:fill="auto"/>
          </w:tcPr>
          <w:p w14:paraId="57F76297" w14:textId="77777777" w:rsidR="00346807" w:rsidRPr="005C29F8" w:rsidRDefault="00346807" w:rsidP="00F0577A">
            <w:pPr>
              <w:rPr>
                <w:rFonts w:cs="Arial"/>
                <w:color w:val="000000" w:themeColor="text1"/>
                <w:szCs w:val="16"/>
              </w:rPr>
            </w:pPr>
          </w:p>
        </w:tc>
        <w:tc>
          <w:tcPr>
            <w:tcW w:w="387" w:type="pct"/>
            <w:shd w:val="clear" w:color="auto" w:fill="auto"/>
          </w:tcPr>
          <w:p w14:paraId="488E2853" w14:textId="77777777" w:rsidR="00346807" w:rsidRPr="005C29F8" w:rsidRDefault="00346807" w:rsidP="00F0577A">
            <w:pPr>
              <w:rPr>
                <w:rFonts w:cs="Arial"/>
                <w:color w:val="000000" w:themeColor="text1"/>
                <w:szCs w:val="16"/>
              </w:rPr>
            </w:pPr>
          </w:p>
        </w:tc>
        <w:tc>
          <w:tcPr>
            <w:tcW w:w="386" w:type="pct"/>
            <w:shd w:val="clear" w:color="auto" w:fill="auto"/>
          </w:tcPr>
          <w:p w14:paraId="10ADE075" w14:textId="77777777" w:rsidR="00346807" w:rsidRPr="005C29F8" w:rsidRDefault="00346807" w:rsidP="00F0577A">
            <w:pPr>
              <w:rPr>
                <w:rFonts w:cs="Arial"/>
                <w:color w:val="000000" w:themeColor="text1"/>
                <w:szCs w:val="16"/>
              </w:rPr>
            </w:pPr>
          </w:p>
        </w:tc>
        <w:tc>
          <w:tcPr>
            <w:tcW w:w="388" w:type="pct"/>
            <w:shd w:val="clear" w:color="auto" w:fill="auto"/>
          </w:tcPr>
          <w:p w14:paraId="798895FB" w14:textId="77777777" w:rsidR="00346807" w:rsidRPr="005C29F8" w:rsidRDefault="00346807" w:rsidP="00F0577A">
            <w:pPr>
              <w:rPr>
                <w:rFonts w:cs="Arial"/>
                <w:color w:val="000000" w:themeColor="text1"/>
                <w:szCs w:val="16"/>
              </w:rPr>
            </w:pPr>
          </w:p>
        </w:tc>
      </w:tr>
    </w:tbl>
    <w:p w14:paraId="5994F67E" w14:textId="77777777" w:rsidR="00346807" w:rsidRPr="005C29F8" w:rsidRDefault="00346807">
      <w:pPr>
        <w:rPr>
          <w:b/>
          <w:color w:val="000000" w:themeColor="text1"/>
        </w:rPr>
      </w:pPr>
    </w:p>
    <w:p w14:paraId="6D3557DD"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Data Source: </w:t>
      </w:r>
    </w:p>
    <w:p w14:paraId="1FB962F7" w14:textId="781F2336" w:rsidR="00C470E8" w:rsidRPr="005C29F8" w:rsidRDefault="002B7490" w:rsidP="00552927">
      <w:pPr>
        <w:rPr>
          <w:rFonts w:cs="Arial"/>
          <w:color w:val="000000" w:themeColor="text1"/>
          <w:szCs w:val="16"/>
        </w:rPr>
      </w:pPr>
      <w:r w:rsidRPr="005C29F8">
        <w:rPr>
          <w:rFonts w:cs="Arial"/>
          <w:color w:val="000000" w:themeColor="text1"/>
          <w:szCs w:val="16"/>
        </w:rPr>
        <w:t xml:space="preserve">SY 2019-20 Assessment Data Groups - </w:t>
      </w:r>
      <w:proofErr w:type="gramStart"/>
      <w:r w:rsidRPr="005C29F8">
        <w:rPr>
          <w:rFonts w:cs="Arial"/>
          <w:color w:val="000000" w:themeColor="text1"/>
          <w:szCs w:val="16"/>
        </w:rPr>
        <w:t>Math  (</w:t>
      </w:r>
      <w:proofErr w:type="spellStart"/>
      <w:proofErr w:type="gramEnd"/>
      <w:r w:rsidRPr="005C29F8">
        <w:rPr>
          <w:rFonts w:cs="Arial"/>
          <w:color w:val="000000" w:themeColor="text1"/>
          <w:szCs w:val="16"/>
        </w:rPr>
        <w:t>EDFacts</w:t>
      </w:r>
      <w:proofErr w:type="spellEnd"/>
      <w:r w:rsidRPr="005C29F8">
        <w:rPr>
          <w:rFonts w:cs="Arial"/>
          <w:color w:val="000000" w:themeColor="text1"/>
          <w:szCs w:val="16"/>
        </w:rPr>
        <w:t xml:space="preserve"> file spec FS185; Data Group: 588)</w:t>
      </w:r>
    </w:p>
    <w:p w14:paraId="57CD97A4" w14:textId="77777777" w:rsidR="00C01339" w:rsidRPr="005C29F8" w:rsidRDefault="00382F22" w:rsidP="00552927">
      <w:pPr>
        <w:rPr>
          <w:rFonts w:cs="Arial"/>
          <w:b/>
          <w:color w:val="000000" w:themeColor="text1"/>
          <w:szCs w:val="16"/>
        </w:rPr>
      </w:pPr>
      <w:r w:rsidRPr="005C29F8">
        <w:rPr>
          <w:rFonts w:cs="Arial"/>
          <w:b/>
          <w:color w:val="000000" w:themeColor="text1"/>
          <w:szCs w:val="16"/>
        </w:rPr>
        <w:t xml:space="preserve">Date: </w:t>
      </w:r>
    </w:p>
    <w:p w14:paraId="26169998" w14:textId="5D96BE69" w:rsidR="00382F22" w:rsidRPr="005C29F8" w:rsidRDefault="00382F22" w:rsidP="00552927">
      <w:pPr>
        <w:rPr>
          <w:rFonts w:cs="Arial"/>
          <w:color w:val="000000" w:themeColor="text1"/>
          <w:szCs w:val="16"/>
        </w:rPr>
      </w:pPr>
    </w:p>
    <w:p w14:paraId="33DEC24F" w14:textId="77777777" w:rsidR="005D18BE" w:rsidRPr="005C29F8" w:rsidRDefault="005D18BE" w:rsidP="00552927">
      <w:pPr>
        <w:rPr>
          <w:rFonts w:cs="Arial"/>
          <w:color w:val="000000" w:themeColor="text1"/>
          <w:szCs w:val="16"/>
        </w:rPr>
      </w:pPr>
    </w:p>
    <w:p w14:paraId="5767F488" w14:textId="7D572812" w:rsidR="00FE2056" w:rsidRPr="005C29F8" w:rsidRDefault="00FE2056">
      <w:pPr>
        <w:rPr>
          <w:b/>
          <w:color w:val="000000" w:themeColor="text1"/>
        </w:rPr>
      </w:pPr>
      <w:r w:rsidRPr="005C29F8">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BASSPARTDATABYGRDMATH"/>
      </w:tblPr>
      <w:tblGrid>
        <w:gridCol w:w="1612"/>
        <w:gridCol w:w="833"/>
        <w:gridCol w:w="833"/>
        <w:gridCol w:w="833"/>
        <w:gridCol w:w="835"/>
        <w:gridCol w:w="833"/>
        <w:gridCol w:w="833"/>
        <w:gridCol w:w="833"/>
        <w:gridCol w:w="835"/>
        <w:gridCol w:w="833"/>
        <w:gridCol w:w="833"/>
        <w:gridCol w:w="844"/>
      </w:tblGrid>
      <w:tr w:rsidR="005C29F8" w:rsidRPr="005C29F8" w14:paraId="1F3A5453" w14:textId="77777777" w:rsidTr="0033429D">
        <w:trPr>
          <w:tblHeader/>
        </w:trPr>
        <w:tc>
          <w:tcPr>
            <w:tcW w:w="747" w:type="pct"/>
            <w:shd w:val="clear" w:color="auto" w:fill="auto"/>
          </w:tcPr>
          <w:p w14:paraId="5BF018F9"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Grade</w:t>
            </w:r>
          </w:p>
        </w:tc>
        <w:tc>
          <w:tcPr>
            <w:tcW w:w="386" w:type="pct"/>
            <w:shd w:val="clear" w:color="auto" w:fill="auto"/>
          </w:tcPr>
          <w:p w14:paraId="24FAE140"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3</w:t>
            </w:r>
          </w:p>
        </w:tc>
        <w:tc>
          <w:tcPr>
            <w:tcW w:w="386" w:type="pct"/>
            <w:shd w:val="clear" w:color="auto" w:fill="auto"/>
          </w:tcPr>
          <w:p w14:paraId="47A0111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4</w:t>
            </w:r>
          </w:p>
        </w:tc>
        <w:tc>
          <w:tcPr>
            <w:tcW w:w="386" w:type="pct"/>
            <w:shd w:val="clear" w:color="auto" w:fill="auto"/>
          </w:tcPr>
          <w:p w14:paraId="62BC8C1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5</w:t>
            </w:r>
          </w:p>
        </w:tc>
        <w:tc>
          <w:tcPr>
            <w:tcW w:w="387" w:type="pct"/>
            <w:shd w:val="clear" w:color="auto" w:fill="auto"/>
          </w:tcPr>
          <w:p w14:paraId="7656A43E"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6</w:t>
            </w:r>
          </w:p>
        </w:tc>
        <w:tc>
          <w:tcPr>
            <w:tcW w:w="386" w:type="pct"/>
            <w:shd w:val="clear" w:color="auto" w:fill="auto"/>
          </w:tcPr>
          <w:p w14:paraId="74E7DB93"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7</w:t>
            </w:r>
          </w:p>
        </w:tc>
        <w:tc>
          <w:tcPr>
            <w:tcW w:w="386" w:type="pct"/>
            <w:shd w:val="clear" w:color="auto" w:fill="auto"/>
          </w:tcPr>
          <w:p w14:paraId="7DDF9CBF"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8</w:t>
            </w:r>
          </w:p>
        </w:tc>
        <w:tc>
          <w:tcPr>
            <w:tcW w:w="386" w:type="pct"/>
            <w:shd w:val="clear" w:color="auto" w:fill="auto"/>
          </w:tcPr>
          <w:p w14:paraId="068D3F7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9</w:t>
            </w:r>
          </w:p>
        </w:tc>
        <w:tc>
          <w:tcPr>
            <w:tcW w:w="387" w:type="pct"/>
            <w:shd w:val="clear" w:color="auto" w:fill="auto"/>
          </w:tcPr>
          <w:p w14:paraId="73C8068D"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10</w:t>
            </w:r>
          </w:p>
        </w:tc>
        <w:tc>
          <w:tcPr>
            <w:tcW w:w="386" w:type="pct"/>
            <w:shd w:val="clear" w:color="auto" w:fill="auto"/>
          </w:tcPr>
          <w:p w14:paraId="5BB03F04"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11</w:t>
            </w:r>
          </w:p>
        </w:tc>
        <w:tc>
          <w:tcPr>
            <w:tcW w:w="386" w:type="pct"/>
            <w:shd w:val="clear" w:color="auto" w:fill="auto"/>
          </w:tcPr>
          <w:p w14:paraId="136E5698"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12</w:t>
            </w:r>
          </w:p>
        </w:tc>
        <w:tc>
          <w:tcPr>
            <w:tcW w:w="391" w:type="pct"/>
            <w:shd w:val="clear" w:color="auto" w:fill="auto"/>
          </w:tcPr>
          <w:p w14:paraId="0AFCCC67" w14:textId="77777777" w:rsidR="00346807" w:rsidRPr="005C29F8" w:rsidRDefault="00346807" w:rsidP="004369B2">
            <w:pPr>
              <w:jc w:val="center"/>
              <w:rPr>
                <w:rFonts w:cs="Arial"/>
                <w:b/>
                <w:bCs/>
                <w:color w:val="000000" w:themeColor="text1"/>
                <w:szCs w:val="16"/>
              </w:rPr>
            </w:pPr>
            <w:r w:rsidRPr="005C29F8">
              <w:rPr>
                <w:rFonts w:cs="Arial"/>
                <w:b/>
                <w:bCs/>
                <w:color w:val="000000" w:themeColor="text1"/>
                <w:szCs w:val="16"/>
              </w:rPr>
              <w:t>HS</w:t>
            </w:r>
          </w:p>
        </w:tc>
      </w:tr>
      <w:tr w:rsidR="005C29F8" w:rsidRPr="005C29F8" w14:paraId="3E50404B" w14:textId="77777777" w:rsidTr="00044B5C">
        <w:tc>
          <w:tcPr>
            <w:tcW w:w="747" w:type="pct"/>
            <w:shd w:val="clear" w:color="auto" w:fill="auto"/>
          </w:tcPr>
          <w:p w14:paraId="1BC1C3E1" w14:textId="77777777" w:rsidR="00346807" w:rsidRPr="005C29F8" w:rsidRDefault="00346807" w:rsidP="00F0577A">
            <w:pPr>
              <w:rPr>
                <w:rFonts w:cs="Arial"/>
                <w:color w:val="000000" w:themeColor="text1"/>
                <w:szCs w:val="16"/>
              </w:rPr>
            </w:pPr>
            <w:r w:rsidRPr="005C29F8">
              <w:rPr>
                <w:rFonts w:cs="Arial"/>
                <w:color w:val="000000" w:themeColor="text1"/>
                <w:szCs w:val="16"/>
              </w:rPr>
              <w:t>a. Children with IEPs</w:t>
            </w:r>
          </w:p>
        </w:tc>
        <w:tc>
          <w:tcPr>
            <w:tcW w:w="386" w:type="pct"/>
            <w:shd w:val="clear" w:color="auto" w:fill="auto"/>
          </w:tcPr>
          <w:p w14:paraId="73844C67" w14:textId="77777777" w:rsidR="00346807" w:rsidRPr="005C29F8" w:rsidRDefault="00346807" w:rsidP="00F0577A">
            <w:pPr>
              <w:rPr>
                <w:rFonts w:cs="Arial"/>
                <w:color w:val="000000" w:themeColor="text1"/>
                <w:szCs w:val="16"/>
              </w:rPr>
            </w:pPr>
          </w:p>
        </w:tc>
        <w:tc>
          <w:tcPr>
            <w:tcW w:w="386" w:type="pct"/>
            <w:shd w:val="clear" w:color="auto" w:fill="auto"/>
          </w:tcPr>
          <w:p w14:paraId="3573F811" w14:textId="77777777" w:rsidR="00346807" w:rsidRPr="005C29F8" w:rsidRDefault="00346807" w:rsidP="00F0577A">
            <w:pPr>
              <w:rPr>
                <w:rFonts w:cs="Arial"/>
                <w:color w:val="000000" w:themeColor="text1"/>
                <w:szCs w:val="16"/>
              </w:rPr>
            </w:pPr>
          </w:p>
        </w:tc>
        <w:tc>
          <w:tcPr>
            <w:tcW w:w="386" w:type="pct"/>
            <w:shd w:val="clear" w:color="auto" w:fill="auto"/>
          </w:tcPr>
          <w:p w14:paraId="3D006657" w14:textId="77777777" w:rsidR="00346807" w:rsidRPr="005C29F8" w:rsidRDefault="00346807" w:rsidP="00F0577A">
            <w:pPr>
              <w:rPr>
                <w:rFonts w:cs="Arial"/>
                <w:color w:val="000000" w:themeColor="text1"/>
                <w:szCs w:val="16"/>
              </w:rPr>
            </w:pPr>
          </w:p>
        </w:tc>
        <w:tc>
          <w:tcPr>
            <w:tcW w:w="387" w:type="pct"/>
            <w:shd w:val="clear" w:color="auto" w:fill="auto"/>
          </w:tcPr>
          <w:p w14:paraId="5362D9FE" w14:textId="77777777" w:rsidR="00346807" w:rsidRPr="005C29F8" w:rsidRDefault="00346807" w:rsidP="00F0577A">
            <w:pPr>
              <w:rPr>
                <w:rFonts w:cs="Arial"/>
                <w:color w:val="000000" w:themeColor="text1"/>
                <w:szCs w:val="16"/>
              </w:rPr>
            </w:pPr>
          </w:p>
        </w:tc>
        <w:tc>
          <w:tcPr>
            <w:tcW w:w="386" w:type="pct"/>
            <w:shd w:val="clear" w:color="auto" w:fill="auto"/>
          </w:tcPr>
          <w:p w14:paraId="1251BC91" w14:textId="77777777" w:rsidR="00346807" w:rsidRPr="005C29F8" w:rsidRDefault="00346807" w:rsidP="00F0577A">
            <w:pPr>
              <w:rPr>
                <w:rFonts w:cs="Arial"/>
                <w:color w:val="000000" w:themeColor="text1"/>
                <w:szCs w:val="16"/>
              </w:rPr>
            </w:pPr>
          </w:p>
        </w:tc>
        <w:tc>
          <w:tcPr>
            <w:tcW w:w="386" w:type="pct"/>
            <w:shd w:val="clear" w:color="auto" w:fill="auto"/>
          </w:tcPr>
          <w:p w14:paraId="64BBD19A" w14:textId="77777777" w:rsidR="00346807" w:rsidRPr="005C29F8" w:rsidRDefault="00346807" w:rsidP="00F0577A">
            <w:pPr>
              <w:rPr>
                <w:rFonts w:cs="Arial"/>
                <w:color w:val="000000" w:themeColor="text1"/>
                <w:szCs w:val="16"/>
              </w:rPr>
            </w:pPr>
          </w:p>
        </w:tc>
        <w:tc>
          <w:tcPr>
            <w:tcW w:w="386" w:type="pct"/>
            <w:shd w:val="clear" w:color="auto" w:fill="auto"/>
          </w:tcPr>
          <w:p w14:paraId="1464F35D" w14:textId="77777777" w:rsidR="00346807" w:rsidRPr="005C29F8" w:rsidRDefault="00346807" w:rsidP="00F0577A">
            <w:pPr>
              <w:rPr>
                <w:rFonts w:cs="Arial"/>
                <w:color w:val="000000" w:themeColor="text1"/>
                <w:szCs w:val="16"/>
              </w:rPr>
            </w:pPr>
          </w:p>
        </w:tc>
        <w:tc>
          <w:tcPr>
            <w:tcW w:w="387" w:type="pct"/>
            <w:shd w:val="clear" w:color="auto" w:fill="auto"/>
          </w:tcPr>
          <w:p w14:paraId="7FD8F845" w14:textId="77777777" w:rsidR="00346807" w:rsidRPr="005C29F8" w:rsidRDefault="00346807" w:rsidP="00F0577A">
            <w:pPr>
              <w:rPr>
                <w:rFonts w:cs="Arial"/>
                <w:color w:val="000000" w:themeColor="text1"/>
                <w:szCs w:val="16"/>
              </w:rPr>
            </w:pPr>
          </w:p>
        </w:tc>
        <w:tc>
          <w:tcPr>
            <w:tcW w:w="386" w:type="pct"/>
            <w:shd w:val="clear" w:color="auto" w:fill="auto"/>
          </w:tcPr>
          <w:p w14:paraId="41B965D4" w14:textId="77777777" w:rsidR="00346807" w:rsidRPr="005C29F8" w:rsidRDefault="00346807" w:rsidP="00F0577A">
            <w:pPr>
              <w:rPr>
                <w:rFonts w:cs="Arial"/>
                <w:color w:val="000000" w:themeColor="text1"/>
                <w:szCs w:val="16"/>
              </w:rPr>
            </w:pPr>
          </w:p>
        </w:tc>
        <w:tc>
          <w:tcPr>
            <w:tcW w:w="386" w:type="pct"/>
            <w:shd w:val="clear" w:color="auto" w:fill="auto"/>
          </w:tcPr>
          <w:p w14:paraId="00844C1D" w14:textId="77777777" w:rsidR="00346807" w:rsidRPr="005C29F8" w:rsidRDefault="00346807" w:rsidP="00F0577A">
            <w:pPr>
              <w:rPr>
                <w:rFonts w:cs="Arial"/>
                <w:color w:val="000000" w:themeColor="text1"/>
                <w:szCs w:val="16"/>
              </w:rPr>
            </w:pPr>
          </w:p>
        </w:tc>
        <w:tc>
          <w:tcPr>
            <w:tcW w:w="391" w:type="pct"/>
            <w:shd w:val="clear" w:color="auto" w:fill="auto"/>
          </w:tcPr>
          <w:p w14:paraId="6E689CB2" w14:textId="77777777" w:rsidR="00346807" w:rsidRPr="005C29F8" w:rsidRDefault="00346807" w:rsidP="00F0577A">
            <w:pPr>
              <w:rPr>
                <w:rFonts w:cs="Arial"/>
                <w:color w:val="000000" w:themeColor="text1"/>
                <w:szCs w:val="16"/>
              </w:rPr>
            </w:pPr>
          </w:p>
        </w:tc>
      </w:tr>
      <w:tr w:rsidR="005C29F8" w:rsidRPr="005C29F8" w14:paraId="4482EF44" w14:textId="77777777" w:rsidTr="00044B5C">
        <w:tc>
          <w:tcPr>
            <w:tcW w:w="747" w:type="pct"/>
            <w:shd w:val="clear" w:color="auto" w:fill="auto"/>
          </w:tcPr>
          <w:p w14:paraId="27BF445B" w14:textId="77777777" w:rsidR="00346807" w:rsidRPr="005C29F8" w:rsidRDefault="00346807" w:rsidP="00F0577A">
            <w:pPr>
              <w:rPr>
                <w:rFonts w:cs="Arial"/>
                <w:color w:val="000000" w:themeColor="text1"/>
                <w:szCs w:val="16"/>
              </w:rPr>
            </w:pPr>
            <w:r w:rsidRPr="005C29F8">
              <w:rPr>
                <w:rFonts w:cs="Arial"/>
                <w:color w:val="000000" w:themeColor="text1"/>
                <w:szCs w:val="16"/>
              </w:rPr>
              <w:t>b. IEPs in regular assessment with no accommodations</w:t>
            </w:r>
          </w:p>
        </w:tc>
        <w:tc>
          <w:tcPr>
            <w:tcW w:w="386" w:type="pct"/>
            <w:shd w:val="clear" w:color="auto" w:fill="auto"/>
          </w:tcPr>
          <w:p w14:paraId="6FAE18FE" w14:textId="77777777" w:rsidR="00346807" w:rsidRPr="005C29F8" w:rsidRDefault="00346807" w:rsidP="00F0577A">
            <w:pPr>
              <w:rPr>
                <w:rFonts w:cs="Arial"/>
                <w:color w:val="000000" w:themeColor="text1"/>
                <w:szCs w:val="16"/>
              </w:rPr>
            </w:pPr>
          </w:p>
        </w:tc>
        <w:tc>
          <w:tcPr>
            <w:tcW w:w="386" w:type="pct"/>
            <w:shd w:val="clear" w:color="auto" w:fill="auto"/>
          </w:tcPr>
          <w:p w14:paraId="0501C27C" w14:textId="77777777" w:rsidR="00346807" w:rsidRPr="005C29F8" w:rsidRDefault="00346807" w:rsidP="00F0577A">
            <w:pPr>
              <w:rPr>
                <w:rFonts w:cs="Arial"/>
                <w:color w:val="000000" w:themeColor="text1"/>
                <w:szCs w:val="16"/>
              </w:rPr>
            </w:pPr>
          </w:p>
        </w:tc>
        <w:tc>
          <w:tcPr>
            <w:tcW w:w="386" w:type="pct"/>
            <w:shd w:val="clear" w:color="auto" w:fill="auto"/>
          </w:tcPr>
          <w:p w14:paraId="2F8ECC6A" w14:textId="77777777" w:rsidR="00346807" w:rsidRPr="005C29F8" w:rsidRDefault="00346807" w:rsidP="00F0577A">
            <w:pPr>
              <w:rPr>
                <w:rFonts w:cs="Arial"/>
                <w:color w:val="000000" w:themeColor="text1"/>
                <w:szCs w:val="16"/>
              </w:rPr>
            </w:pPr>
          </w:p>
        </w:tc>
        <w:tc>
          <w:tcPr>
            <w:tcW w:w="387" w:type="pct"/>
            <w:shd w:val="clear" w:color="auto" w:fill="auto"/>
          </w:tcPr>
          <w:p w14:paraId="1444CF49" w14:textId="77777777" w:rsidR="00346807" w:rsidRPr="005C29F8" w:rsidRDefault="00346807" w:rsidP="00F0577A">
            <w:pPr>
              <w:rPr>
                <w:rFonts w:cs="Arial"/>
                <w:color w:val="000000" w:themeColor="text1"/>
                <w:szCs w:val="16"/>
              </w:rPr>
            </w:pPr>
          </w:p>
        </w:tc>
        <w:tc>
          <w:tcPr>
            <w:tcW w:w="386" w:type="pct"/>
            <w:shd w:val="clear" w:color="auto" w:fill="auto"/>
          </w:tcPr>
          <w:p w14:paraId="2ED0CFA7" w14:textId="77777777" w:rsidR="00346807" w:rsidRPr="005C29F8" w:rsidRDefault="00346807" w:rsidP="00F0577A">
            <w:pPr>
              <w:rPr>
                <w:rFonts w:cs="Arial"/>
                <w:color w:val="000000" w:themeColor="text1"/>
                <w:szCs w:val="16"/>
              </w:rPr>
            </w:pPr>
          </w:p>
        </w:tc>
        <w:tc>
          <w:tcPr>
            <w:tcW w:w="386" w:type="pct"/>
            <w:shd w:val="clear" w:color="auto" w:fill="auto"/>
          </w:tcPr>
          <w:p w14:paraId="1BBB12FC" w14:textId="77777777" w:rsidR="00346807" w:rsidRPr="005C29F8" w:rsidRDefault="00346807" w:rsidP="00F0577A">
            <w:pPr>
              <w:rPr>
                <w:rFonts w:cs="Arial"/>
                <w:color w:val="000000" w:themeColor="text1"/>
                <w:szCs w:val="16"/>
              </w:rPr>
            </w:pPr>
          </w:p>
        </w:tc>
        <w:tc>
          <w:tcPr>
            <w:tcW w:w="386" w:type="pct"/>
            <w:shd w:val="clear" w:color="auto" w:fill="auto"/>
          </w:tcPr>
          <w:p w14:paraId="72D414CD" w14:textId="77777777" w:rsidR="00346807" w:rsidRPr="005C29F8" w:rsidRDefault="00346807" w:rsidP="00F0577A">
            <w:pPr>
              <w:rPr>
                <w:rFonts w:cs="Arial"/>
                <w:color w:val="000000" w:themeColor="text1"/>
                <w:szCs w:val="16"/>
              </w:rPr>
            </w:pPr>
          </w:p>
        </w:tc>
        <w:tc>
          <w:tcPr>
            <w:tcW w:w="387" w:type="pct"/>
            <w:shd w:val="clear" w:color="auto" w:fill="auto"/>
          </w:tcPr>
          <w:p w14:paraId="4D2EF2B6" w14:textId="77777777" w:rsidR="00346807" w:rsidRPr="005C29F8" w:rsidRDefault="00346807" w:rsidP="00F0577A">
            <w:pPr>
              <w:rPr>
                <w:rFonts w:cs="Arial"/>
                <w:color w:val="000000" w:themeColor="text1"/>
                <w:szCs w:val="16"/>
              </w:rPr>
            </w:pPr>
          </w:p>
        </w:tc>
        <w:tc>
          <w:tcPr>
            <w:tcW w:w="386" w:type="pct"/>
            <w:shd w:val="clear" w:color="auto" w:fill="auto"/>
          </w:tcPr>
          <w:p w14:paraId="1D21FBDF" w14:textId="77777777" w:rsidR="00346807" w:rsidRPr="005C29F8" w:rsidRDefault="00346807" w:rsidP="00F0577A">
            <w:pPr>
              <w:rPr>
                <w:rFonts w:cs="Arial"/>
                <w:color w:val="000000" w:themeColor="text1"/>
                <w:szCs w:val="16"/>
              </w:rPr>
            </w:pPr>
          </w:p>
        </w:tc>
        <w:tc>
          <w:tcPr>
            <w:tcW w:w="386" w:type="pct"/>
            <w:shd w:val="clear" w:color="auto" w:fill="auto"/>
          </w:tcPr>
          <w:p w14:paraId="3BC865FD" w14:textId="77777777" w:rsidR="00346807" w:rsidRPr="005C29F8" w:rsidRDefault="00346807" w:rsidP="00F0577A">
            <w:pPr>
              <w:rPr>
                <w:rFonts w:cs="Arial"/>
                <w:color w:val="000000" w:themeColor="text1"/>
                <w:szCs w:val="16"/>
              </w:rPr>
            </w:pPr>
          </w:p>
        </w:tc>
        <w:tc>
          <w:tcPr>
            <w:tcW w:w="391" w:type="pct"/>
            <w:shd w:val="clear" w:color="auto" w:fill="auto"/>
          </w:tcPr>
          <w:p w14:paraId="11FD7BCC" w14:textId="77777777" w:rsidR="00346807" w:rsidRPr="005C29F8" w:rsidRDefault="00346807" w:rsidP="00F0577A">
            <w:pPr>
              <w:rPr>
                <w:rFonts w:cs="Arial"/>
                <w:color w:val="000000" w:themeColor="text1"/>
                <w:szCs w:val="16"/>
              </w:rPr>
            </w:pPr>
          </w:p>
        </w:tc>
      </w:tr>
      <w:tr w:rsidR="005C29F8" w:rsidRPr="005C29F8" w14:paraId="7ED983D3" w14:textId="77777777" w:rsidTr="00044B5C">
        <w:tc>
          <w:tcPr>
            <w:tcW w:w="747" w:type="pct"/>
            <w:shd w:val="clear" w:color="auto" w:fill="auto"/>
          </w:tcPr>
          <w:p w14:paraId="6E21D958" w14:textId="77777777" w:rsidR="00346807" w:rsidRPr="005C29F8" w:rsidRDefault="00346807" w:rsidP="00F0577A">
            <w:pPr>
              <w:rPr>
                <w:rFonts w:cs="Arial"/>
                <w:color w:val="000000" w:themeColor="text1"/>
                <w:szCs w:val="16"/>
              </w:rPr>
            </w:pPr>
            <w:r w:rsidRPr="005C29F8">
              <w:rPr>
                <w:rFonts w:cs="Arial"/>
                <w:color w:val="000000" w:themeColor="text1"/>
                <w:szCs w:val="16"/>
              </w:rPr>
              <w:t>c. IEPs in regular assessment with accommodations</w:t>
            </w:r>
          </w:p>
        </w:tc>
        <w:tc>
          <w:tcPr>
            <w:tcW w:w="386" w:type="pct"/>
            <w:shd w:val="clear" w:color="auto" w:fill="auto"/>
          </w:tcPr>
          <w:p w14:paraId="239BF66A" w14:textId="77777777" w:rsidR="00346807" w:rsidRPr="005C29F8" w:rsidRDefault="00346807" w:rsidP="00F0577A">
            <w:pPr>
              <w:rPr>
                <w:rFonts w:cs="Arial"/>
                <w:color w:val="000000" w:themeColor="text1"/>
                <w:szCs w:val="16"/>
              </w:rPr>
            </w:pPr>
          </w:p>
        </w:tc>
        <w:tc>
          <w:tcPr>
            <w:tcW w:w="386" w:type="pct"/>
            <w:shd w:val="clear" w:color="auto" w:fill="auto"/>
          </w:tcPr>
          <w:p w14:paraId="3148F449" w14:textId="77777777" w:rsidR="00346807" w:rsidRPr="005C29F8" w:rsidRDefault="00346807" w:rsidP="00F0577A">
            <w:pPr>
              <w:rPr>
                <w:rFonts w:cs="Arial"/>
                <w:color w:val="000000" w:themeColor="text1"/>
                <w:szCs w:val="16"/>
              </w:rPr>
            </w:pPr>
          </w:p>
        </w:tc>
        <w:tc>
          <w:tcPr>
            <w:tcW w:w="386" w:type="pct"/>
            <w:shd w:val="clear" w:color="auto" w:fill="auto"/>
          </w:tcPr>
          <w:p w14:paraId="56D05BB3" w14:textId="77777777" w:rsidR="00346807" w:rsidRPr="005C29F8" w:rsidRDefault="00346807" w:rsidP="00F0577A">
            <w:pPr>
              <w:rPr>
                <w:rFonts w:cs="Arial"/>
                <w:color w:val="000000" w:themeColor="text1"/>
                <w:szCs w:val="16"/>
              </w:rPr>
            </w:pPr>
          </w:p>
        </w:tc>
        <w:tc>
          <w:tcPr>
            <w:tcW w:w="387" w:type="pct"/>
            <w:shd w:val="clear" w:color="auto" w:fill="auto"/>
          </w:tcPr>
          <w:p w14:paraId="125AD14D" w14:textId="77777777" w:rsidR="00346807" w:rsidRPr="005C29F8" w:rsidRDefault="00346807" w:rsidP="00F0577A">
            <w:pPr>
              <w:rPr>
                <w:rFonts w:cs="Arial"/>
                <w:color w:val="000000" w:themeColor="text1"/>
                <w:szCs w:val="16"/>
              </w:rPr>
            </w:pPr>
          </w:p>
        </w:tc>
        <w:tc>
          <w:tcPr>
            <w:tcW w:w="386" w:type="pct"/>
            <w:shd w:val="clear" w:color="auto" w:fill="auto"/>
          </w:tcPr>
          <w:p w14:paraId="411C2055" w14:textId="77777777" w:rsidR="00346807" w:rsidRPr="005C29F8" w:rsidRDefault="00346807" w:rsidP="00F0577A">
            <w:pPr>
              <w:rPr>
                <w:rFonts w:cs="Arial"/>
                <w:color w:val="000000" w:themeColor="text1"/>
                <w:szCs w:val="16"/>
              </w:rPr>
            </w:pPr>
          </w:p>
        </w:tc>
        <w:tc>
          <w:tcPr>
            <w:tcW w:w="386" w:type="pct"/>
            <w:shd w:val="clear" w:color="auto" w:fill="auto"/>
          </w:tcPr>
          <w:p w14:paraId="6F1140E8" w14:textId="77777777" w:rsidR="00346807" w:rsidRPr="005C29F8" w:rsidRDefault="00346807" w:rsidP="00F0577A">
            <w:pPr>
              <w:rPr>
                <w:rFonts w:cs="Arial"/>
                <w:color w:val="000000" w:themeColor="text1"/>
                <w:szCs w:val="16"/>
              </w:rPr>
            </w:pPr>
          </w:p>
        </w:tc>
        <w:tc>
          <w:tcPr>
            <w:tcW w:w="386" w:type="pct"/>
            <w:shd w:val="clear" w:color="auto" w:fill="auto"/>
          </w:tcPr>
          <w:p w14:paraId="03F3F0EE" w14:textId="77777777" w:rsidR="00346807" w:rsidRPr="005C29F8" w:rsidRDefault="00346807" w:rsidP="00F0577A">
            <w:pPr>
              <w:rPr>
                <w:rFonts w:cs="Arial"/>
                <w:color w:val="000000" w:themeColor="text1"/>
                <w:szCs w:val="16"/>
              </w:rPr>
            </w:pPr>
          </w:p>
        </w:tc>
        <w:tc>
          <w:tcPr>
            <w:tcW w:w="387" w:type="pct"/>
            <w:shd w:val="clear" w:color="auto" w:fill="auto"/>
          </w:tcPr>
          <w:p w14:paraId="406E9C9F" w14:textId="77777777" w:rsidR="00346807" w:rsidRPr="005C29F8" w:rsidRDefault="00346807" w:rsidP="00F0577A">
            <w:pPr>
              <w:rPr>
                <w:rFonts w:cs="Arial"/>
                <w:color w:val="000000" w:themeColor="text1"/>
                <w:szCs w:val="16"/>
              </w:rPr>
            </w:pPr>
          </w:p>
        </w:tc>
        <w:tc>
          <w:tcPr>
            <w:tcW w:w="386" w:type="pct"/>
            <w:shd w:val="clear" w:color="auto" w:fill="auto"/>
          </w:tcPr>
          <w:p w14:paraId="6E7B6882" w14:textId="77777777" w:rsidR="00346807" w:rsidRPr="005C29F8" w:rsidRDefault="00346807" w:rsidP="00F0577A">
            <w:pPr>
              <w:rPr>
                <w:rFonts w:cs="Arial"/>
                <w:color w:val="000000" w:themeColor="text1"/>
                <w:szCs w:val="16"/>
              </w:rPr>
            </w:pPr>
          </w:p>
        </w:tc>
        <w:tc>
          <w:tcPr>
            <w:tcW w:w="386" w:type="pct"/>
            <w:shd w:val="clear" w:color="auto" w:fill="auto"/>
          </w:tcPr>
          <w:p w14:paraId="0F6540E2" w14:textId="77777777" w:rsidR="00346807" w:rsidRPr="005C29F8" w:rsidRDefault="00346807" w:rsidP="00F0577A">
            <w:pPr>
              <w:rPr>
                <w:rFonts w:cs="Arial"/>
                <w:color w:val="000000" w:themeColor="text1"/>
                <w:szCs w:val="16"/>
              </w:rPr>
            </w:pPr>
          </w:p>
        </w:tc>
        <w:tc>
          <w:tcPr>
            <w:tcW w:w="391" w:type="pct"/>
            <w:shd w:val="clear" w:color="auto" w:fill="auto"/>
          </w:tcPr>
          <w:p w14:paraId="3A76E91B" w14:textId="77777777" w:rsidR="00346807" w:rsidRPr="005C29F8" w:rsidRDefault="00346807" w:rsidP="00F0577A">
            <w:pPr>
              <w:rPr>
                <w:rFonts w:cs="Arial"/>
                <w:color w:val="000000" w:themeColor="text1"/>
                <w:szCs w:val="16"/>
              </w:rPr>
            </w:pPr>
          </w:p>
        </w:tc>
      </w:tr>
      <w:tr w:rsidR="005C29F8" w:rsidRPr="005C29F8" w14:paraId="49E31891" w14:textId="77777777" w:rsidTr="00044B5C">
        <w:tc>
          <w:tcPr>
            <w:tcW w:w="747" w:type="pct"/>
            <w:shd w:val="clear" w:color="auto" w:fill="auto"/>
          </w:tcPr>
          <w:p w14:paraId="79A33FBE" w14:textId="77777777" w:rsidR="00346807" w:rsidRPr="005C29F8" w:rsidRDefault="00346807" w:rsidP="00F0577A">
            <w:pPr>
              <w:rPr>
                <w:rFonts w:cs="Arial"/>
                <w:color w:val="000000" w:themeColor="text1"/>
                <w:szCs w:val="16"/>
              </w:rPr>
            </w:pPr>
            <w:r w:rsidRPr="005C29F8">
              <w:rPr>
                <w:rFonts w:cs="Arial"/>
                <w:color w:val="000000" w:themeColor="text1"/>
                <w:szCs w:val="16"/>
              </w:rPr>
              <w:t>f. IEPs in alternate assessment against alternate standards</w:t>
            </w:r>
          </w:p>
        </w:tc>
        <w:tc>
          <w:tcPr>
            <w:tcW w:w="386" w:type="pct"/>
            <w:shd w:val="clear" w:color="auto" w:fill="auto"/>
          </w:tcPr>
          <w:p w14:paraId="06D1533D" w14:textId="77777777" w:rsidR="00346807" w:rsidRPr="005C29F8" w:rsidRDefault="00346807" w:rsidP="00F0577A">
            <w:pPr>
              <w:rPr>
                <w:rFonts w:cs="Arial"/>
                <w:color w:val="000000" w:themeColor="text1"/>
                <w:szCs w:val="16"/>
              </w:rPr>
            </w:pPr>
          </w:p>
        </w:tc>
        <w:tc>
          <w:tcPr>
            <w:tcW w:w="386" w:type="pct"/>
            <w:shd w:val="clear" w:color="auto" w:fill="auto"/>
          </w:tcPr>
          <w:p w14:paraId="2772FE57" w14:textId="77777777" w:rsidR="00346807" w:rsidRPr="005C29F8" w:rsidRDefault="00346807" w:rsidP="00F0577A">
            <w:pPr>
              <w:rPr>
                <w:rFonts w:cs="Arial"/>
                <w:color w:val="000000" w:themeColor="text1"/>
                <w:szCs w:val="16"/>
              </w:rPr>
            </w:pPr>
          </w:p>
        </w:tc>
        <w:tc>
          <w:tcPr>
            <w:tcW w:w="386" w:type="pct"/>
            <w:shd w:val="clear" w:color="auto" w:fill="auto"/>
          </w:tcPr>
          <w:p w14:paraId="01940568" w14:textId="77777777" w:rsidR="00346807" w:rsidRPr="005C29F8" w:rsidRDefault="00346807" w:rsidP="00F0577A">
            <w:pPr>
              <w:rPr>
                <w:rFonts w:cs="Arial"/>
                <w:color w:val="000000" w:themeColor="text1"/>
                <w:szCs w:val="16"/>
              </w:rPr>
            </w:pPr>
          </w:p>
        </w:tc>
        <w:tc>
          <w:tcPr>
            <w:tcW w:w="387" w:type="pct"/>
            <w:shd w:val="clear" w:color="auto" w:fill="auto"/>
          </w:tcPr>
          <w:p w14:paraId="26A02A4B" w14:textId="77777777" w:rsidR="00346807" w:rsidRPr="005C29F8" w:rsidRDefault="00346807" w:rsidP="00F0577A">
            <w:pPr>
              <w:rPr>
                <w:rFonts w:cs="Arial"/>
                <w:color w:val="000000" w:themeColor="text1"/>
                <w:szCs w:val="16"/>
              </w:rPr>
            </w:pPr>
          </w:p>
        </w:tc>
        <w:tc>
          <w:tcPr>
            <w:tcW w:w="386" w:type="pct"/>
            <w:shd w:val="clear" w:color="auto" w:fill="auto"/>
          </w:tcPr>
          <w:p w14:paraId="69834BF9" w14:textId="77777777" w:rsidR="00346807" w:rsidRPr="005C29F8" w:rsidRDefault="00346807" w:rsidP="00F0577A">
            <w:pPr>
              <w:rPr>
                <w:rFonts w:cs="Arial"/>
                <w:color w:val="000000" w:themeColor="text1"/>
                <w:szCs w:val="16"/>
              </w:rPr>
            </w:pPr>
          </w:p>
        </w:tc>
        <w:tc>
          <w:tcPr>
            <w:tcW w:w="386" w:type="pct"/>
            <w:shd w:val="clear" w:color="auto" w:fill="auto"/>
          </w:tcPr>
          <w:p w14:paraId="6D0674CC" w14:textId="77777777" w:rsidR="00346807" w:rsidRPr="005C29F8" w:rsidRDefault="00346807" w:rsidP="00F0577A">
            <w:pPr>
              <w:rPr>
                <w:rFonts w:cs="Arial"/>
                <w:color w:val="000000" w:themeColor="text1"/>
                <w:szCs w:val="16"/>
              </w:rPr>
            </w:pPr>
          </w:p>
        </w:tc>
        <w:tc>
          <w:tcPr>
            <w:tcW w:w="386" w:type="pct"/>
            <w:shd w:val="clear" w:color="auto" w:fill="auto"/>
          </w:tcPr>
          <w:p w14:paraId="2BBB9678" w14:textId="77777777" w:rsidR="00346807" w:rsidRPr="005C29F8" w:rsidRDefault="00346807" w:rsidP="00F0577A">
            <w:pPr>
              <w:rPr>
                <w:rFonts w:cs="Arial"/>
                <w:color w:val="000000" w:themeColor="text1"/>
                <w:szCs w:val="16"/>
              </w:rPr>
            </w:pPr>
          </w:p>
        </w:tc>
        <w:tc>
          <w:tcPr>
            <w:tcW w:w="387" w:type="pct"/>
            <w:shd w:val="clear" w:color="auto" w:fill="auto"/>
          </w:tcPr>
          <w:p w14:paraId="568843D9" w14:textId="77777777" w:rsidR="00346807" w:rsidRPr="005C29F8" w:rsidRDefault="00346807" w:rsidP="00F0577A">
            <w:pPr>
              <w:rPr>
                <w:rFonts w:cs="Arial"/>
                <w:color w:val="000000" w:themeColor="text1"/>
                <w:szCs w:val="16"/>
              </w:rPr>
            </w:pPr>
          </w:p>
        </w:tc>
        <w:tc>
          <w:tcPr>
            <w:tcW w:w="386" w:type="pct"/>
            <w:shd w:val="clear" w:color="auto" w:fill="auto"/>
          </w:tcPr>
          <w:p w14:paraId="449FB5E5" w14:textId="77777777" w:rsidR="00346807" w:rsidRPr="005C29F8" w:rsidRDefault="00346807" w:rsidP="00F0577A">
            <w:pPr>
              <w:rPr>
                <w:rFonts w:cs="Arial"/>
                <w:color w:val="000000" w:themeColor="text1"/>
                <w:szCs w:val="16"/>
              </w:rPr>
            </w:pPr>
          </w:p>
        </w:tc>
        <w:tc>
          <w:tcPr>
            <w:tcW w:w="386" w:type="pct"/>
            <w:shd w:val="clear" w:color="auto" w:fill="auto"/>
          </w:tcPr>
          <w:p w14:paraId="3E11F8C5" w14:textId="77777777" w:rsidR="00346807" w:rsidRPr="005C29F8" w:rsidRDefault="00346807" w:rsidP="00F0577A">
            <w:pPr>
              <w:rPr>
                <w:rFonts w:cs="Arial"/>
                <w:color w:val="000000" w:themeColor="text1"/>
                <w:szCs w:val="16"/>
              </w:rPr>
            </w:pPr>
          </w:p>
        </w:tc>
        <w:tc>
          <w:tcPr>
            <w:tcW w:w="391" w:type="pct"/>
            <w:shd w:val="clear" w:color="auto" w:fill="auto"/>
          </w:tcPr>
          <w:p w14:paraId="52816A98" w14:textId="77777777" w:rsidR="00346807" w:rsidRPr="005C29F8" w:rsidRDefault="00346807" w:rsidP="00F0577A">
            <w:pPr>
              <w:rPr>
                <w:rFonts w:cs="Arial"/>
                <w:color w:val="000000" w:themeColor="text1"/>
                <w:szCs w:val="16"/>
              </w:rPr>
            </w:pPr>
          </w:p>
        </w:tc>
      </w:tr>
      <w:bookmarkEnd w:id="13"/>
    </w:tbl>
    <w:p w14:paraId="1A4F8ED6" w14:textId="77777777" w:rsidR="00966232" w:rsidRPr="005C29F8" w:rsidRDefault="00966232" w:rsidP="004369B2">
      <w:pPr>
        <w:rPr>
          <w:color w:val="000000" w:themeColor="text1"/>
        </w:rPr>
      </w:pPr>
    </w:p>
    <w:p w14:paraId="1E1876C6" w14:textId="71A59F2E" w:rsidR="00E539AB" w:rsidRDefault="00EC46E4"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RLA"/>
      </w:tblPr>
      <w:tblGrid>
        <w:gridCol w:w="696"/>
        <w:gridCol w:w="900"/>
        <w:gridCol w:w="1413"/>
        <w:gridCol w:w="1286"/>
        <w:gridCol w:w="1179"/>
        <w:gridCol w:w="1645"/>
        <w:gridCol w:w="1084"/>
        <w:gridCol w:w="1311"/>
        <w:gridCol w:w="1276"/>
      </w:tblGrid>
      <w:tr w:rsidR="005C29F8" w:rsidRPr="005C29F8" w14:paraId="52CF9222" w14:textId="5C9FC6C2" w:rsidTr="0033429D">
        <w:trPr>
          <w:tblHeader/>
        </w:trPr>
        <w:tc>
          <w:tcPr>
            <w:tcW w:w="290" w:type="pct"/>
            <w:shd w:val="clear" w:color="auto" w:fill="auto"/>
            <w:vAlign w:val="bottom"/>
          </w:tcPr>
          <w:p w14:paraId="5B0C0A4E" w14:textId="31160362" w:rsidR="004E1F6F" w:rsidRPr="005C29F8" w:rsidRDefault="004E1F6F" w:rsidP="004369B2">
            <w:pPr>
              <w:jc w:val="center"/>
              <w:rPr>
                <w:b/>
                <w:color w:val="000000" w:themeColor="text1"/>
              </w:rPr>
            </w:pPr>
            <w:r w:rsidRPr="005C29F8">
              <w:rPr>
                <w:b/>
                <w:color w:val="000000" w:themeColor="text1"/>
              </w:rPr>
              <w:t>Group</w:t>
            </w:r>
          </w:p>
        </w:tc>
        <w:tc>
          <w:tcPr>
            <w:tcW w:w="421" w:type="pct"/>
            <w:shd w:val="clear" w:color="auto" w:fill="auto"/>
            <w:vAlign w:val="bottom"/>
          </w:tcPr>
          <w:p w14:paraId="08D526E5" w14:textId="4BDB327D"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198DD72E" w14:textId="17A750D8" w:rsidR="004E1F6F" w:rsidRPr="005C29F8" w:rsidRDefault="004E1F6F" w:rsidP="004369B2">
            <w:pPr>
              <w:jc w:val="center"/>
              <w:rPr>
                <w:b/>
                <w:color w:val="000000" w:themeColor="text1"/>
              </w:rPr>
            </w:pPr>
            <w:r w:rsidRPr="005C29F8">
              <w:rPr>
                <w:b/>
                <w:color w:val="000000" w:themeColor="text1"/>
              </w:rPr>
              <w:t>Number of Children with IEPs</w:t>
            </w:r>
          </w:p>
        </w:tc>
        <w:tc>
          <w:tcPr>
            <w:tcW w:w="600" w:type="pct"/>
            <w:shd w:val="clear" w:color="auto" w:fill="auto"/>
            <w:vAlign w:val="bottom"/>
          </w:tcPr>
          <w:p w14:paraId="43067EB5" w14:textId="4D999FA2"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0" w:type="pct"/>
            <w:shd w:val="clear" w:color="auto" w:fill="auto"/>
            <w:vAlign w:val="bottom"/>
          </w:tcPr>
          <w:p w14:paraId="18374487" w14:textId="79D88D63"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3E51680E" w14:textId="03B4FB8A" w:rsidR="004E1F6F" w:rsidRPr="005C29F8" w:rsidRDefault="004E1F6F" w:rsidP="004369B2">
            <w:pPr>
              <w:jc w:val="center"/>
              <w:rPr>
                <w:b/>
                <w:color w:val="000000" w:themeColor="text1"/>
              </w:rPr>
            </w:pPr>
            <w:r w:rsidRPr="005C29F8">
              <w:rPr>
                <w:b/>
                <w:color w:val="000000" w:themeColor="text1"/>
              </w:rPr>
              <w:t>FFY 2019 Target</w:t>
            </w:r>
          </w:p>
        </w:tc>
        <w:tc>
          <w:tcPr>
            <w:tcW w:w="506" w:type="pct"/>
            <w:shd w:val="clear" w:color="auto" w:fill="auto"/>
            <w:vAlign w:val="bottom"/>
          </w:tcPr>
          <w:p w14:paraId="29685ECA" w14:textId="51229840"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5E9D6295" w14:textId="7F28EB50"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898EF38" w14:textId="75DFA010"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7760B96D" w14:textId="1E1E2305" w:rsidTr="0033429D">
        <w:tc>
          <w:tcPr>
            <w:tcW w:w="290" w:type="pct"/>
            <w:shd w:val="clear" w:color="auto" w:fill="auto"/>
            <w:vAlign w:val="center"/>
          </w:tcPr>
          <w:p w14:paraId="6F54F4BD" w14:textId="3AB2A2E6"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21" w:type="pct"/>
            <w:shd w:val="clear" w:color="auto" w:fill="auto"/>
            <w:vAlign w:val="center"/>
          </w:tcPr>
          <w:p w14:paraId="1AF12AAB" w14:textId="0BCC0A2E"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D75EC1C" w14:textId="4759AE54" w:rsidR="004E1F6F" w:rsidRPr="005C29F8" w:rsidRDefault="004E1F6F" w:rsidP="004E1F6F">
            <w:pPr>
              <w:jc w:val="center"/>
              <w:rPr>
                <w:rFonts w:cs="Arial"/>
                <w:color w:val="000000" w:themeColor="text1"/>
                <w:szCs w:val="16"/>
              </w:rPr>
            </w:pPr>
          </w:p>
        </w:tc>
        <w:tc>
          <w:tcPr>
            <w:tcW w:w="600" w:type="pct"/>
            <w:shd w:val="clear" w:color="auto" w:fill="auto"/>
            <w:vAlign w:val="center"/>
          </w:tcPr>
          <w:p w14:paraId="7E6A021B" w14:textId="0871405F" w:rsidR="004E1F6F" w:rsidRPr="005C29F8" w:rsidRDefault="004E1F6F" w:rsidP="004E1F6F">
            <w:pPr>
              <w:jc w:val="center"/>
              <w:rPr>
                <w:rFonts w:cs="Arial"/>
                <w:color w:val="000000" w:themeColor="text1"/>
                <w:szCs w:val="16"/>
              </w:rPr>
            </w:pPr>
          </w:p>
        </w:tc>
        <w:tc>
          <w:tcPr>
            <w:tcW w:w="550" w:type="pct"/>
            <w:shd w:val="clear" w:color="auto" w:fill="auto"/>
            <w:vAlign w:val="center"/>
          </w:tcPr>
          <w:p w14:paraId="69FD37B5" w14:textId="09B40B87" w:rsidR="004E1F6F" w:rsidRPr="005C29F8" w:rsidRDefault="004E1F6F" w:rsidP="004E1F6F">
            <w:pPr>
              <w:jc w:val="center"/>
              <w:rPr>
                <w:rFonts w:cs="Arial"/>
                <w:color w:val="000000" w:themeColor="text1"/>
                <w:szCs w:val="16"/>
              </w:rPr>
            </w:pPr>
            <w:r w:rsidRPr="005C29F8">
              <w:rPr>
                <w:rFonts w:cs="Arial"/>
                <w:color w:val="000000" w:themeColor="text1"/>
                <w:szCs w:val="16"/>
              </w:rPr>
              <w:t>95.04%</w:t>
            </w:r>
          </w:p>
        </w:tc>
        <w:tc>
          <w:tcPr>
            <w:tcW w:w="766" w:type="pct"/>
            <w:shd w:val="clear" w:color="auto" w:fill="auto"/>
            <w:vAlign w:val="center"/>
          </w:tcPr>
          <w:p w14:paraId="482B7D09" w14:textId="62AFAA78"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6" w:type="pct"/>
            <w:shd w:val="clear" w:color="auto" w:fill="auto"/>
            <w:vAlign w:val="center"/>
          </w:tcPr>
          <w:p w14:paraId="120D94C1" w14:textId="45B7E096" w:rsidR="004E1F6F" w:rsidRPr="005C29F8" w:rsidRDefault="004E1F6F" w:rsidP="004E1F6F">
            <w:pPr>
              <w:jc w:val="center"/>
              <w:rPr>
                <w:rFonts w:cs="Arial"/>
                <w:color w:val="000000" w:themeColor="text1"/>
                <w:szCs w:val="16"/>
              </w:rPr>
            </w:pPr>
          </w:p>
        </w:tc>
        <w:tc>
          <w:tcPr>
            <w:tcW w:w="611" w:type="pct"/>
            <w:shd w:val="clear" w:color="auto" w:fill="auto"/>
            <w:vAlign w:val="center"/>
          </w:tcPr>
          <w:p w14:paraId="4C985877" w14:textId="6C415586"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vAlign w:val="center"/>
          </w:tcPr>
          <w:p w14:paraId="05322B0C" w14:textId="7DA1FCC0"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EBD556E" w14:textId="365ECBA6" w:rsidR="004D0044" w:rsidRPr="005004AB" w:rsidRDefault="004D0044" w:rsidP="002423F2">
      <w:pPr>
        <w:rPr>
          <w:rFonts w:cs="Arial"/>
          <w:iCs/>
          <w:color w:val="000000" w:themeColor="text1"/>
          <w:szCs w:val="16"/>
        </w:rPr>
      </w:pPr>
    </w:p>
    <w:p w14:paraId="1E0C977F" w14:textId="77777777" w:rsidR="005004AB" w:rsidRPr="005C29F8" w:rsidRDefault="005004AB" w:rsidP="005004AB">
      <w:pPr>
        <w:rPr>
          <w:color w:val="000000" w:themeColor="text1"/>
        </w:rPr>
      </w:pPr>
    </w:p>
    <w:p w14:paraId="324457C6" w14:textId="3737B527" w:rsidR="00497DE4" w:rsidRDefault="00497DE4"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BFFYAPRDATAMATHASS"/>
      </w:tblPr>
      <w:tblGrid>
        <w:gridCol w:w="696"/>
        <w:gridCol w:w="1019"/>
        <w:gridCol w:w="1395"/>
        <w:gridCol w:w="1270"/>
        <w:gridCol w:w="1162"/>
        <w:gridCol w:w="1626"/>
        <w:gridCol w:w="1069"/>
        <w:gridCol w:w="1294"/>
        <w:gridCol w:w="1259"/>
      </w:tblGrid>
      <w:tr w:rsidR="005C29F8" w:rsidRPr="005C29F8" w14:paraId="1ECD1184" w14:textId="77777777" w:rsidTr="005004AB">
        <w:trPr>
          <w:tblHeader/>
        </w:trPr>
        <w:tc>
          <w:tcPr>
            <w:tcW w:w="222" w:type="pct"/>
            <w:shd w:val="clear" w:color="auto" w:fill="auto"/>
            <w:vAlign w:val="bottom"/>
          </w:tcPr>
          <w:p w14:paraId="2B938423" w14:textId="01A79B33" w:rsidR="004E1F6F" w:rsidRPr="005C29F8" w:rsidRDefault="004E1F6F" w:rsidP="004369B2">
            <w:pPr>
              <w:jc w:val="center"/>
              <w:rPr>
                <w:b/>
                <w:color w:val="000000" w:themeColor="text1"/>
              </w:rPr>
            </w:pPr>
            <w:r w:rsidRPr="005C29F8">
              <w:rPr>
                <w:b/>
                <w:color w:val="000000" w:themeColor="text1"/>
              </w:rPr>
              <w:lastRenderedPageBreak/>
              <w:t>Group</w:t>
            </w:r>
          </w:p>
        </w:tc>
        <w:tc>
          <w:tcPr>
            <w:tcW w:w="485" w:type="pct"/>
            <w:shd w:val="clear" w:color="auto" w:fill="auto"/>
            <w:vAlign w:val="bottom"/>
          </w:tcPr>
          <w:p w14:paraId="45BFCF3F" w14:textId="3F4AB58B"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5541073C" w14:textId="3E03CB36" w:rsidR="004E1F6F" w:rsidRPr="005C29F8" w:rsidRDefault="004E1F6F" w:rsidP="004369B2">
            <w:pPr>
              <w:jc w:val="center"/>
              <w:rPr>
                <w:b/>
                <w:color w:val="000000" w:themeColor="text1"/>
              </w:rPr>
            </w:pPr>
            <w:r w:rsidRPr="005C29F8">
              <w:rPr>
                <w:b/>
                <w:color w:val="000000" w:themeColor="text1"/>
              </w:rPr>
              <w:t>Number of Children with IEPs</w:t>
            </w:r>
          </w:p>
        </w:tc>
        <w:tc>
          <w:tcPr>
            <w:tcW w:w="601" w:type="pct"/>
            <w:shd w:val="clear" w:color="auto" w:fill="auto"/>
            <w:vAlign w:val="bottom"/>
          </w:tcPr>
          <w:p w14:paraId="3ABF5E71" w14:textId="26323B68" w:rsidR="004E1F6F" w:rsidRPr="005C29F8" w:rsidRDefault="004E1F6F" w:rsidP="004369B2">
            <w:pPr>
              <w:jc w:val="center"/>
              <w:rPr>
                <w:b/>
                <w:color w:val="000000" w:themeColor="text1"/>
              </w:rPr>
            </w:pPr>
            <w:r w:rsidRPr="005C29F8">
              <w:rPr>
                <w:b/>
                <w:color w:val="000000" w:themeColor="text1"/>
              </w:rPr>
              <w:t>Number of Children with IEPs Participating</w:t>
            </w:r>
          </w:p>
        </w:tc>
        <w:tc>
          <w:tcPr>
            <w:tcW w:w="551" w:type="pct"/>
            <w:shd w:val="clear" w:color="auto" w:fill="auto"/>
            <w:vAlign w:val="bottom"/>
          </w:tcPr>
          <w:p w14:paraId="5A96E021" w14:textId="6F2D7434"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69212BFA" w14:textId="6B50F1D8"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8A0F56E" w14:textId="1B5ACDA1"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11F44E1D" w14:textId="39A61F5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4655725" w14:textId="350D326F"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14220C43" w14:textId="77777777" w:rsidTr="0033429D">
        <w:tc>
          <w:tcPr>
            <w:tcW w:w="222" w:type="pct"/>
            <w:shd w:val="clear" w:color="auto" w:fill="auto"/>
            <w:vAlign w:val="center"/>
          </w:tcPr>
          <w:p w14:paraId="16A9CDD2" w14:textId="5DBA3D3A"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5" w:type="pct"/>
            <w:shd w:val="clear" w:color="auto" w:fill="auto"/>
            <w:vAlign w:val="center"/>
          </w:tcPr>
          <w:p w14:paraId="1392C443" w14:textId="27471772"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vAlign w:val="center"/>
          </w:tcPr>
          <w:p w14:paraId="0B49B780" w14:textId="21FD2762" w:rsidR="004E1F6F" w:rsidRPr="005C29F8" w:rsidRDefault="004E1F6F" w:rsidP="004E1F6F">
            <w:pPr>
              <w:jc w:val="center"/>
              <w:rPr>
                <w:rFonts w:cs="Arial"/>
                <w:color w:val="000000" w:themeColor="text1"/>
                <w:szCs w:val="16"/>
              </w:rPr>
            </w:pPr>
          </w:p>
        </w:tc>
        <w:tc>
          <w:tcPr>
            <w:tcW w:w="601" w:type="pct"/>
            <w:shd w:val="clear" w:color="auto" w:fill="auto"/>
            <w:vAlign w:val="center"/>
          </w:tcPr>
          <w:p w14:paraId="2611648C" w14:textId="4A7DC76D" w:rsidR="004E1F6F" w:rsidRPr="005C29F8" w:rsidRDefault="004E1F6F" w:rsidP="004E1F6F">
            <w:pPr>
              <w:jc w:val="center"/>
              <w:rPr>
                <w:rFonts w:cs="Arial"/>
                <w:color w:val="000000" w:themeColor="text1"/>
                <w:szCs w:val="16"/>
              </w:rPr>
            </w:pPr>
          </w:p>
        </w:tc>
        <w:tc>
          <w:tcPr>
            <w:tcW w:w="551" w:type="pct"/>
            <w:shd w:val="clear" w:color="auto" w:fill="auto"/>
            <w:vAlign w:val="center"/>
          </w:tcPr>
          <w:p w14:paraId="044B076F" w14:textId="2D73EFD2" w:rsidR="004E1F6F" w:rsidRPr="005C29F8" w:rsidRDefault="004E1F6F" w:rsidP="004E1F6F">
            <w:pPr>
              <w:jc w:val="center"/>
              <w:rPr>
                <w:rFonts w:cs="Arial"/>
                <w:color w:val="000000" w:themeColor="text1"/>
                <w:szCs w:val="16"/>
              </w:rPr>
            </w:pPr>
            <w:r w:rsidRPr="005C29F8">
              <w:rPr>
                <w:rFonts w:cs="Arial"/>
                <w:color w:val="000000" w:themeColor="text1"/>
                <w:szCs w:val="16"/>
              </w:rPr>
              <w:t>95.66%</w:t>
            </w:r>
          </w:p>
        </w:tc>
        <w:tc>
          <w:tcPr>
            <w:tcW w:w="766" w:type="pct"/>
            <w:shd w:val="clear" w:color="auto" w:fill="auto"/>
            <w:vAlign w:val="center"/>
          </w:tcPr>
          <w:p w14:paraId="4D68E61F" w14:textId="36DB0B83" w:rsidR="004E1F6F" w:rsidRPr="005C29F8" w:rsidRDefault="004E1F6F" w:rsidP="004E1F6F">
            <w:pPr>
              <w:jc w:val="center"/>
              <w:rPr>
                <w:rFonts w:cs="Arial"/>
                <w:color w:val="000000" w:themeColor="text1"/>
                <w:szCs w:val="16"/>
              </w:rPr>
            </w:pPr>
            <w:r w:rsidRPr="005C29F8">
              <w:rPr>
                <w:rFonts w:cs="Arial"/>
                <w:color w:val="000000" w:themeColor="text1"/>
                <w:szCs w:val="16"/>
              </w:rPr>
              <w:t>95.00%</w:t>
            </w:r>
          </w:p>
        </w:tc>
        <w:tc>
          <w:tcPr>
            <w:tcW w:w="508" w:type="pct"/>
            <w:shd w:val="clear" w:color="auto" w:fill="auto"/>
            <w:vAlign w:val="center"/>
          </w:tcPr>
          <w:p w14:paraId="4C5100F6" w14:textId="23EB35C9" w:rsidR="004E1F6F" w:rsidRPr="005C29F8" w:rsidRDefault="004E1F6F" w:rsidP="004E1F6F">
            <w:pPr>
              <w:jc w:val="center"/>
              <w:rPr>
                <w:rFonts w:cs="Arial"/>
                <w:color w:val="000000" w:themeColor="text1"/>
                <w:szCs w:val="16"/>
              </w:rPr>
            </w:pPr>
          </w:p>
        </w:tc>
        <w:tc>
          <w:tcPr>
            <w:tcW w:w="612" w:type="pct"/>
            <w:shd w:val="clear" w:color="auto" w:fill="auto"/>
            <w:vAlign w:val="center"/>
          </w:tcPr>
          <w:p w14:paraId="5A9EC511" w14:textId="6D6B7DF8"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vAlign w:val="center"/>
          </w:tcPr>
          <w:p w14:paraId="17FB0601" w14:textId="6AA7FF5B"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08CD7761" w14:textId="04E8B6D8" w:rsidR="005004AB" w:rsidRDefault="005004AB" w:rsidP="00580134">
      <w:pPr>
        <w:rPr>
          <w:rFonts w:cs="Arial"/>
          <w:iCs/>
          <w:color w:val="000000" w:themeColor="text1"/>
          <w:szCs w:val="16"/>
        </w:rPr>
      </w:pPr>
    </w:p>
    <w:p w14:paraId="3D6382E8" w14:textId="3FF585D4" w:rsidR="00497DE4" w:rsidRPr="005C29F8" w:rsidRDefault="00497DE4" w:rsidP="004369B2">
      <w:pPr>
        <w:rPr>
          <w:color w:val="000000" w:themeColor="text1"/>
        </w:rPr>
      </w:pPr>
      <w:r w:rsidRPr="005C29F8">
        <w:rPr>
          <w:b/>
          <w:color w:val="000000" w:themeColor="text1"/>
        </w:rPr>
        <w:t>Regulatory Information</w:t>
      </w:r>
    </w:p>
    <w:p w14:paraId="3C6B4961" w14:textId="47AFDEDF" w:rsidR="00497DE4" w:rsidRPr="005C29F8" w:rsidRDefault="00A14B5D" w:rsidP="00552927">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5C29F8">
        <w:rPr>
          <w:rFonts w:cs="Arial"/>
          <w:b/>
          <w:color w:val="000000" w:themeColor="text1"/>
          <w:szCs w:val="16"/>
          <w:shd w:val="clear" w:color="auto" w:fill="FFFFFF"/>
        </w:rPr>
        <w:t xml:space="preserve"> </w:t>
      </w:r>
    </w:p>
    <w:p w14:paraId="0071F535" w14:textId="77777777" w:rsidR="00585959" w:rsidRPr="005C29F8" w:rsidRDefault="00585959" w:rsidP="004369B2">
      <w:pPr>
        <w:rPr>
          <w:color w:val="000000" w:themeColor="text1"/>
        </w:rPr>
      </w:pPr>
    </w:p>
    <w:p w14:paraId="36CE185D" w14:textId="50CA6AD9" w:rsidR="000A5A2E" w:rsidRPr="005C29F8" w:rsidRDefault="000A5A2E" w:rsidP="004369B2">
      <w:pPr>
        <w:rPr>
          <w:color w:val="000000" w:themeColor="text1"/>
        </w:rPr>
      </w:pPr>
      <w:r w:rsidRPr="005C29F8">
        <w:rPr>
          <w:b/>
          <w:color w:val="000000" w:themeColor="text1"/>
        </w:rPr>
        <w:t>Public Reporting Information</w:t>
      </w:r>
    </w:p>
    <w:p w14:paraId="09EDA537" w14:textId="77777777" w:rsidR="00E539AB" w:rsidRPr="005C29F8" w:rsidRDefault="00E539AB" w:rsidP="00E539AB">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11DD1A5" w14:textId="0E809EBD" w:rsidR="00A869E9" w:rsidRPr="005C29F8" w:rsidRDefault="002B7490" w:rsidP="00E539AB">
      <w:pPr>
        <w:rPr>
          <w:rFonts w:cs="Arial"/>
          <w:color w:val="000000" w:themeColor="text1"/>
          <w:szCs w:val="16"/>
        </w:rPr>
      </w:pPr>
      <w:r w:rsidRPr="005C29F8">
        <w:rPr>
          <w:rFonts w:cs="Arial"/>
          <w:color w:val="000000" w:themeColor="text1"/>
          <w:szCs w:val="16"/>
        </w:rPr>
        <w:t xml:space="preserve">The CNMI Assessment Results can be found on the following </w:t>
      </w:r>
      <w:proofErr w:type="spellStart"/>
      <w:r w:rsidRPr="005C29F8">
        <w:rPr>
          <w:rFonts w:cs="Arial"/>
          <w:color w:val="000000" w:themeColor="text1"/>
          <w:szCs w:val="16"/>
        </w:rPr>
        <w:t>url</w:t>
      </w:r>
      <w:proofErr w:type="spellEnd"/>
      <w:r w:rsidRPr="005C29F8">
        <w:rPr>
          <w:rFonts w:cs="Arial"/>
          <w:color w:val="000000" w:themeColor="text1"/>
          <w:szCs w:val="16"/>
        </w:rPr>
        <w:t xml:space="preserve"> link: https://www.cnmipss.org/special-education-program</w:t>
      </w:r>
    </w:p>
    <w:p w14:paraId="2BE473B4" w14:textId="77777777" w:rsidR="00053391" w:rsidRPr="005C29F8" w:rsidRDefault="00053391" w:rsidP="004369B2">
      <w:pPr>
        <w:rPr>
          <w:b/>
          <w:color w:val="000000" w:themeColor="text1"/>
        </w:rPr>
      </w:pPr>
      <w:bookmarkStart w:id="14" w:name="_Toc382082367"/>
      <w:bookmarkStart w:id="15" w:name="_Toc392159276"/>
      <w:r w:rsidRPr="005C29F8">
        <w:rPr>
          <w:b/>
          <w:color w:val="000000" w:themeColor="text1"/>
        </w:rPr>
        <w:t>Provide additional information about this indicator (optional)</w:t>
      </w:r>
    </w:p>
    <w:p w14:paraId="3E9E8793" w14:textId="126D5C73" w:rsidR="00A869E9" w:rsidRPr="005C29F8" w:rsidRDefault="00A869E9" w:rsidP="000E33D0">
      <w:pPr>
        <w:rPr>
          <w:rFonts w:cs="Arial"/>
          <w:color w:val="000000" w:themeColor="text1"/>
          <w:szCs w:val="16"/>
        </w:rPr>
      </w:pPr>
    </w:p>
    <w:p w14:paraId="7E90E47A" w14:textId="1FCF2660" w:rsidR="000A2C83" w:rsidRPr="0033429D" w:rsidRDefault="00573F6C" w:rsidP="008645AD">
      <w:pPr>
        <w:pStyle w:val="Heading2"/>
      </w:pPr>
      <w:r w:rsidRPr="0033429D">
        <w:t>3B</w:t>
      </w:r>
      <w:r w:rsidR="00BB4FD7" w:rsidRPr="0033429D">
        <w:t xml:space="preserve"> </w:t>
      </w:r>
      <w:r w:rsidRPr="0033429D">
        <w:t xml:space="preserve">- </w:t>
      </w:r>
      <w:r w:rsidR="000A2C83" w:rsidRPr="0033429D">
        <w:t>Prior FFY Required Actions</w:t>
      </w:r>
    </w:p>
    <w:p w14:paraId="020116A7" w14:textId="30989224" w:rsidR="00CA1E5A" w:rsidRPr="005C29F8" w:rsidRDefault="002B7490" w:rsidP="000A2C83">
      <w:pPr>
        <w:rPr>
          <w:rFonts w:cs="Arial"/>
          <w:color w:val="000000" w:themeColor="text1"/>
          <w:szCs w:val="16"/>
        </w:rPr>
      </w:pPr>
      <w:r w:rsidRPr="005C29F8">
        <w:rPr>
          <w:rFonts w:cs="Arial"/>
          <w:color w:val="000000" w:themeColor="text1"/>
          <w:szCs w:val="16"/>
        </w:rPr>
        <w:t>None</w:t>
      </w:r>
    </w:p>
    <w:p w14:paraId="40E83F51" w14:textId="68FFF50F" w:rsidR="00053391" w:rsidRPr="0033429D" w:rsidRDefault="00573F6C" w:rsidP="008645AD">
      <w:pPr>
        <w:pStyle w:val="Heading2"/>
      </w:pPr>
      <w:r w:rsidRPr="0033429D">
        <w:t>3B - OSEP Response</w:t>
      </w:r>
    </w:p>
    <w:p w14:paraId="3ED35024" w14:textId="0A8D2725" w:rsidR="00A869E9" w:rsidRPr="005C29F8" w:rsidRDefault="002B7490" w:rsidP="001F692C">
      <w:pPr>
        <w:rPr>
          <w:rFonts w:cs="Arial"/>
          <w:color w:val="000000" w:themeColor="text1"/>
          <w:szCs w:val="16"/>
        </w:rPr>
      </w:pPr>
      <w:r w:rsidRPr="005C29F8">
        <w:rPr>
          <w:rFonts w:cs="Arial"/>
          <w:color w:val="000000" w:themeColor="text1"/>
          <w:szCs w:val="16"/>
          <w:shd w:val="clear" w:color="auto" w:fill="FFFFFF"/>
        </w:rPr>
        <w:t xml:space="preserve">Due to the circumstances created by the COVID-19 pandemic, the Commonwealth of the Northern Mariana Islands did not report any FFY 2019 data for this indicator. </w:t>
      </w:r>
    </w:p>
    <w:p w14:paraId="4E98DE68" w14:textId="3E692587" w:rsidR="00053391" w:rsidRPr="0033429D" w:rsidRDefault="00573F6C" w:rsidP="008645AD">
      <w:pPr>
        <w:pStyle w:val="Heading2"/>
      </w:pPr>
      <w:r w:rsidRPr="0033429D">
        <w:t>3B - Required Actions</w:t>
      </w:r>
    </w:p>
    <w:p w14:paraId="54E3AE73" w14:textId="681577C9" w:rsidR="00A869E9" w:rsidRPr="005C29F8" w:rsidRDefault="00A869E9" w:rsidP="001F692C">
      <w:pPr>
        <w:rPr>
          <w:rFonts w:cs="Arial"/>
          <w:color w:val="000000" w:themeColor="text1"/>
          <w:szCs w:val="16"/>
        </w:rPr>
      </w:pPr>
    </w:p>
    <w:p w14:paraId="4DBC1CB9" w14:textId="77777777" w:rsidR="00D37BF0" w:rsidRPr="005C29F8" w:rsidRDefault="00D37BF0">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62E86A4" w14:textId="004ADC3D" w:rsidR="009D378C" w:rsidRPr="005C29F8" w:rsidRDefault="009D378C">
      <w:pPr>
        <w:pStyle w:val="Heading1"/>
        <w:rPr>
          <w:color w:val="000000" w:themeColor="text1"/>
          <w:sz w:val="22"/>
        </w:rPr>
      </w:pPr>
      <w:r w:rsidRPr="005C29F8">
        <w:rPr>
          <w:color w:val="000000" w:themeColor="text1"/>
          <w:sz w:val="22"/>
        </w:rPr>
        <w:lastRenderedPageBreak/>
        <w:t>Indicator 3C: Proficiency for Students with IEPs</w:t>
      </w:r>
      <w:bookmarkEnd w:id="14"/>
      <w:bookmarkEnd w:id="15"/>
    </w:p>
    <w:p w14:paraId="52EFBCBE" w14:textId="26DA486B" w:rsidR="008878CC" w:rsidRPr="005C29F8" w:rsidRDefault="008878CC" w:rsidP="00A018D4">
      <w:pPr>
        <w:rPr>
          <w:color w:val="000000" w:themeColor="text1"/>
          <w:szCs w:val="20"/>
        </w:rPr>
      </w:pPr>
      <w:r w:rsidRPr="005C29F8">
        <w:rPr>
          <w:b/>
          <w:color w:val="000000" w:themeColor="text1"/>
          <w:sz w:val="20"/>
          <w:szCs w:val="20"/>
        </w:rPr>
        <w:t xml:space="preserve">Instructions and Measurement </w:t>
      </w:r>
    </w:p>
    <w:p w14:paraId="241F1C78" w14:textId="77777777" w:rsidR="000A5A2E" w:rsidRPr="005C29F8" w:rsidRDefault="000A5A2E" w:rsidP="004369B2">
      <w:pPr>
        <w:rPr>
          <w:color w:val="000000" w:themeColor="text1"/>
        </w:rPr>
      </w:pPr>
      <w:bookmarkStart w:id="16" w:name="_Toc384383330"/>
      <w:bookmarkStart w:id="17" w:name="_Toc392159282"/>
      <w:bookmarkStart w:id="18" w:name="_Toc382082372"/>
      <w:r w:rsidRPr="005C29F8">
        <w:rPr>
          <w:b/>
          <w:color w:val="000000" w:themeColor="text1"/>
        </w:rPr>
        <w:t xml:space="preserve">Monitoring Priority: </w:t>
      </w:r>
      <w:r w:rsidRPr="005C29F8">
        <w:rPr>
          <w:color w:val="000000" w:themeColor="text1"/>
        </w:rPr>
        <w:t>FAPE in the LRE</w:t>
      </w:r>
    </w:p>
    <w:p w14:paraId="40B194E0" w14:textId="1AA1580D" w:rsidR="000A5A2E" w:rsidRPr="005C29F8" w:rsidRDefault="000A5A2E" w:rsidP="00552927">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Participation and performance </w:t>
      </w:r>
      <w:r w:rsidR="00DA7FAE" w:rsidRPr="005C29F8">
        <w:rPr>
          <w:rFonts w:cs="Arial"/>
          <w:color w:val="000000" w:themeColor="text1"/>
          <w:szCs w:val="16"/>
        </w:rPr>
        <w:t xml:space="preserve">of </w:t>
      </w:r>
      <w:r w:rsidRPr="005C29F8">
        <w:rPr>
          <w:rFonts w:cs="Arial"/>
          <w:color w:val="000000" w:themeColor="text1"/>
          <w:szCs w:val="16"/>
        </w:rPr>
        <w:t>children with IEPs on statewide assessments:</w:t>
      </w:r>
    </w:p>
    <w:p w14:paraId="77A9374E" w14:textId="53BE2CB1" w:rsidR="000A5A2E" w:rsidRPr="005C29F8" w:rsidRDefault="00C516D2" w:rsidP="006A01BD">
      <w:pPr>
        <w:ind w:firstLine="720"/>
        <w:rPr>
          <w:rFonts w:cs="Arial"/>
          <w:color w:val="000000" w:themeColor="text1"/>
          <w:szCs w:val="16"/>
        </w:rPr>
      </w:pPr>
      <w:r w:rsidRPr="005C29F8">
        <w:rPr>
          <w:rFonts w:cs="Arial"/>
          <w:color w:val="000000" w:themeColor="text1"/>
          <w:szCs w:val="16"/>
        </w:rPr>
        <w:t>A. Indicator 3A – Reserved</w:t>
      </w:r>
    </w:p>
    <w:p w14:paraId="31BB94B0" w14:textId="6261B0F5" w:rsidR="000A5A2E" w:rsidRPr="005C29F8" w:rsidRDefault="00C516D2" w:rsidP="006A01BD">
      <w:pPr>
        <w:ind w:firstLine="720"/>
        <w:rPr>
          <w:rFonts w:cs="Arial"/>
          <w:color w:val="000000" w:themeColor="text1"/>
          <w:szCs w:val="16"/>
        </w:rPr>
      </w:pPr>
      <w:r w:rsidRPr="005C29F8">
        <w:rPr>
          <w:rFonts w:cs="Arial"/>
          <w:color w:val="000000" w:themeColor="text1"/>
          <w:szCs w:val="16"/>
        </w:rPr>
        <w:t>B. Participation rate for children with IEPs</w:t>
      </w:r>
    </w:p>
    <w:p w14:paraId="0443E667" w14:textId="5053607C" w:rsidR="000A5A2E" w:rsidRPr="005C29F8" w:rsidRDefault="00C516D2" w:rsidP="006A01BD">
      <w:pPr>
        <w:ind w:firstLine="720"/>
        <w:rPr>
          <w:rFonts w:cs="Arial"/>
          <w:color w:val="000000" w:themeColor="text1"/>
          <w:szCs w:val="16"/>
        </w:rPr>
      </w:pPr>
      <w:r w:rsidRPr="005C29F8">
        <w:rPr>
          <w:rFonts w:cs="Arial"/>
          <w:color w:val="000000" w:themeColor="text1"/>
          <w:szCs w:val="16"/>
        </w:rPr>
        <w:t>C. Proficiency rate for children with IEPs against grade level and alternate academic achievement standards.</w:t>
      </w:r>
    </w:p>
    <w:p w14:paraId="3BEAB551" w14:textId="1740F3BD" w:rsidR="000A5A2E" w:rsidRPr="005C29F8" w:rsidRDefault="0011074D" w:rsidP="000A5A2E">
      <w:pPr>
        <w:rPr>
          <w:rFonts w:cs="Arial"/>
          <w:b/>
          <w:color w:val="000000" w:themeColor="text1"/>
          <w:szCs w:val="16"/>
        </w:rPr>
      </w:pPr>
      <w:r w:rsidRPr="005C29F8">
        <w:rPr>
          <w:rFonts w:cs="Arial"/>
          <w:color w:val="000000" w:themeColor="text1"/>
          <w:szCs w:val="16"/>
        </w:rPr>
        <w:t>(20 U.S.C. 1416 (a)(3)(A))</w:t>
      </w:r>
    </w:p>
    <w:p w14:paraId="363AAB3C" w14:textId="77777777" w:rsidR="000A5A2E" w:rsidRPr="005C29F8" w:rsidRDefault="000A5A2E" w:rsidP="004369B2">
      <w:pPr>
        <w:rPr>
          <w:color w:val="000000" w:themeColor="text1"/>
        </w:rPr>
      </w:pPr>
      <w:r w:rsidRPr="005C29F8">
        <w:rPr>
          <w:b/>
          <w:color w:val="000000" w:themeColor="text1"/>
        </w:rPr>
        <w:t>Data Source</w:t>
      </w:r>
    </w:p>
    <w:p w14:paraId="274B140A" w14:textId="3ABBB221" w:rsidR="000A5A2E" w:rsidRPr="005C29F8" w:rsidRDefault="000A5A2E" w:rsidP="00552927">
      <w:pPr>
        <w:rPr>
          <w:rFonts w:cs="Arial"/>
          <w:color w:val="000000" w:themeColor="text1"/>
          <w:szCs w:val="16"/>
        </w:rPr>
      </w:pPr>
      <w:r w:rsidRPr="005C29F8">
        <w:rPr>
          <w:rFonts w:cs="Arial"/>
          <w:color w:val="000000" w:themeColor="text1"/>
          <w:szCs w:val="16"/>
        </w:rPr>
        <w:t xml:space="preserve">3C. Same data as used for reporting to the Department under Title I of the ESEA, using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specifications FS175 and 178.</w:t>
      </w:r>
    </w:p>
    <w:p w14:paraId="064C7F6E" w14:textId="77777777" w:rsidR="000A5A2E" w:rsidRPr="005C29F8" w:rsidRDefault="000A5A2E" w:rsidP="004369B2">
      <w:pPr>
        <w:rPr>
          <w:color w:val="000000" w:themeColor="text1"/>
        </w:rPr>
      </w:pPr>
      <w:r w:rsidRPr="005C29F8">
        <w:rPr>
          <w:b/>
          <w:color w:val="000000" w:themeColor="text1"/>
        </w:rPr>
        <w:t>Measurement</w:t>
      </w:r>
    </w:p>
    <w:p w14:paraId="7639A7B8" w14:textId="030A9D64" w:rsidR="000A5A2E" w:rsidRPr="005C29F8" w:rsidRDefault="000A5A2E" w:rsidP="00552927">
      <w:pPr>
        <w:rPr>
          <w:rFonts w:cs="Arial"/>
          <w:color w:val="000000" w:themeColor="text1"/>
          <w:szCs w:val="16"/>
        </w:rPr>
      </w:pPr>
      <w:r w:rsidRPr="005C29F8">
        <w:rPr>
          <w:rFonts w:cs="Arial"/>
          <w:color w:val="000000" w:themeColor="text1"/>
          <w:szCs w:val="16"/>
        </w:rPr>
        <w:t>C. Proficiency rate percent = [(# of children with IEPs scoring at or above proficient against grade level and alternate academic achievement standards) divided by the (total # of children with IEPs who received a valid score and for whom a proficiency level was assigned)]. Calculate separately for reading and math. The proficiency rate includes both children with IEPs enrolled for a full academic year and those not enrolled for a full academic year.</w:t>
      </w:r>
    </w:p>
    <w:p w14:paraId="1CE435A8" w14:textId="77777777" w:rsidR="000A5A2E" w:rsidRPr="005C29F8" w:rsidRDefault="000A5A2E" w:rsidP="004369B2">
      <w:pPr>
        <w:rPr>
          <w:color w:val="000000" w:themeColor="text1"/>
        </w:rPr>
      </w:pPr>
      <w:r w:rsidRPr="005C29F8">
        <w:rPr>
          <w:b/>
          <w:color w:val="000000" w:themeColor="text1"/>
        </w:rPr>
        <w:t>Instructions</w:t>
      </w:r>
    </w:p>
    <w:p w14:paraId="79EB3296" w14:textId="77777777" w:rsidR="000A5A2E" w:rsidRPr="005C29F8" w:rsidRDefault="000A5A2E" w:rsidP="00552927">
      <w:pPr>
        <w:rPr>
          <w:rFonts w:cs="Arial"/>
          <w:color w:val="000000" w:themeColor="text1"/>
          <w:szCs w:val="16"/>
        </w:rPr>
      </w:pPr>
      <w:r w:rsidRPr="005C29F8">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5C29F8" w:rsidRDefault="000A5A2E" w:rsidP="00552927">
      <w:pPr>
        <w:rPr>
          <w:rFonts w:cs="Arial"/>
          <w:color w:val="000000" w:themeColor="text1"/>
          <w:szCs w:val="16"/>
        </w:rPr>
      </w:pPr>
      <w:r w:rsidRPr="005C29F8">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1015A11D" w14:textId="77777777" w:rsidR="000A5A2E" w:rsidRPr="005C29F8" w:rsidRDefault="000A5A2E" w:rsidP="00552927">
      <w:pPr>
        <w:rPr>
          <w:rFonts w:cs="Arial"/>
          <w:color w:val="000000" w:themeColor="text1"/>
          <w:szCs w:val="16"/>
        </w:rPr>
      </w:pPr>
      <w:r w:rsidRPr="005C29F8">
        <w:rPr>
          <w:rFonts w:cs="Arial"/>
          <w:color w:val="000000" w:themeColor="text1"/>
          <w:szCs w:val="16"/>
        </w:rPr>
        <w:t>Indicator 3C: Proficiency calculations in this SPP/APR must result in proficiency rates for reading/language arts and mathematics assessments (combining regular and alternate) for children with IEPs, in all grades assessed (3-8 and high school), including both children with IEPs enrolled for a full academic year and those not enrolled for a full academic year. Only include children with disabilities who had an IEP at the time of testing.</w:t>
      </w:r>
    </w:p>
    <w:p w14:paraId="7CE600A3" w14:textId="62D18727" w:rsidR="001B5210" w:rsidRPr="0033429D" w:rsidRDefault="00573F6C" w:rsidP="008645AD">
      <w:pPr>
        <w:pStyle w:val="Heading2"/>
      </w:pPr>
      <w:r w:rsidRPr="0033429D">
        <w:t>3C</w:t>
      </w:r>
      <w:r w:rsidR="00BB4FD7" w:rsidRPr="0033429D">
        <w:t xml:space="preserve"> </w:t>
      </w:r>
      <w:r w:rsidRPr="0033429D">
        <w:t xml:space="preserve">- </w:t>
      </w:r>
      <w:r w:rsidR="001B5210" w:rsidRPr="0033429D">
        <w:t>Indicator Data</w:t>
      </w:r>
    </w:p>
    <w:p w14:paraId="4B49BFE5" w14:textId="260706EC" w:rsidR="000A5A2E" w:rsidRPr="005C29F8" w:rsidRDefault="000A5A2E" w:rsidP="004369B2">
      <w:pPr>
        <w:rPr>
          <w:color w:val="000000" w:themeColor="text1"/>
        </w:rPr>
      </w:pPr>
      <w:r w:rsidRPr="005C29F8">
        <w:rPr>
          <w:b/>
          <w:color w:val="000000" w:themeColor="text1"/>
        </w:rPr>
        <w:t>Reporting Group Selection</w:t>
      </w:r>
    </w:p>
    <w:p w14:paraId="16D8E255" w14:textId="42EB7DA3" w:rsidR="006D7F77" w:rsidRDefault="007F5071" w:rsidP="00286BDF">
      <w:pPr>
        <w:rPr>
          <w:rFonts w:cs="Arial"/>
          <w:b/>
          <w:color w:val="000000" w:themeColor="text1"/>
          <w:szCs w:val="16"/>
        </w:rPr>
      </w:pPr>
      <w:r w:rsidRPr="005C29F8">
        <w:rPr>
          <w:rFonts w:cs="Arial"/>
          <w:b/>
          <w:color w:val="000000" w:themeColor="text1"/>
          <w:szCs w:val="16"/>
        </w:rPr>
        <w:t>Based on previously reported data, these are the grade groups defined for this indicator.</w:t>
      </w:r>
    </w:p>
    <w:tbl>
      <w:tblPr>
        <w:tblpPr w:leftFromText="180" w:rightFromText="180" w:vertAnchor="text" w:horzAnchor="margin" w:tblpY="168"/>
        <w:tblW w:w="5000" w:type="pct"/>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000" w:firstRow="0" w:lastRow="0" w:firstColumn="0" w:lastColumn="0" w:noHBand="0" w:noVBand="0"/>
        <w:tblCaption w:val="B03CGRADEGRPS"/>
      </w:tblPr>
      <w:tblGrid>
        <w:gridCol w:w="584"/>
        <w:gridCol w:w="850"/>
        <w:gridCol w:w="850"/>
        <w:gridCol w:w="851"/>
        <w:gridCol w:w="851"/>
        <w:gridCol w:w="851"/>
        <w:gridCol w:w="851"/>
        <w:gridCol w:w="851"/>
        <w:gridCol w:w="851"/>
        <w:gridCol w:w="851"/>
        <w:gridCol w:w="851"/>
        <w:gridCol w:w="851"/>
        <w:gridCol w:w="851"/>
      </w:tblGrid>
      <w:tr w:rsidR="005C29F8" w:rsidRPr="005C29F8" w14:paraId="6080CDA7" w14:textId="77777777" w:rsidTr="00044B5C">
        <w:trPr>
          <w:trHeight w:val="280"/>
          <w:tblHeader/>
        </w:trPr>
        <w:tc>
          <w:tcPr>
            <w:tcW w:w="271" w:type="pct"/>
            <w:shd w:val="clear" w:color="auto" w:fill="auto"/>
            <w:vAlign w:val="bottom"/>
          </w:tcPr>
          <w:p w14:paraId="41480B1D" w14:textId="77777777" w:rsidR="00421D14" w:rsidRPr="005C29F8" w:rsidRDefault="00421D14" w:rsidP="007D7A20">
            <w:pPr>
              <w:spacing w:before="0" w:after="0"/>
              <w:jc w:val="center"/>
              <w:rPr>
                <w:rFonts w:cs="Arial"/>
                <w:b/>
                <w:bCs/>
                <w:color w:val="000000" w:themeColor="text1"/>
                <w:szCs w:val="16"/>
              </w:rPr>
            </w:pPr>
            <w:r w:rsidRPr="005C29F8">
              <w:rPr>
                <w:rFonts w:cs="Arial"/>
                <w:b/>
                <w:bCs/>
                <w:color w:val="000000" w:themeColor="text1"/>
                <w:szCs w:val="16"/>
              </w:rPr>
              <w:t>Group</w:t>
            </w:r>
          </w:p>
        </w:tc>
        <w:tc>
          <w:tcPr>
            <w:tcW w:w="394" w:type="pct"/>
            <w:shd w:val="clear" w:color="auto" w:fill="auto"/>
            <w:vAlign w:val="bottom"/>
          </w:tcPr>
          <w:p w14:paraId="03DF3CB1" w14:textId="4944C53E"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Group Name</w:t>
            </w:r>
          </w:p>
        </w:tc>
        <w:tc>
          <w:tcPr>
            <w:tcW w:w="394" w:type="pct"/>
            <w:shd w:val="clear" w:color="auto" w:fill="auto"/>
            <w:vAlign w:val="bottom"/>
          </w:tcPr>
          <w:p w14:paraId="26280E0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3</w:t>
            </w:r>
          </w:p>
        </w:tc>
        <w:tc>
          <w:tcPr>
            <w:tcW w:w="394" w:type="pct"/>
            <w:shd w:val="clear" w:color="auto" w:fill="auto"/>
            <w:vAlign w:val="bottom"/>
          </w:tcPr>
          <w:p w14:paraId="69AEA6BD"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4</w:t>
            </w:r>
          </w:p>
        </w:tc>
        <w:tc>
          <w:tcPr>
            <w:tcW w:w="394" w:type="pct"/>
            <w:shd w:val="clear" w:color="auto" w:fill="auto"/>
            <w:vAlign w:val="bottom"/>
          </w:tcPr>
          <w:p w14:paraId="6C3F8117"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5</w:t>
            </w:r>
          </w:p>
        </w:tc>
        <w:tc>
          <w:tcPr>
            <w:tcW w:w="394" w:type="pct"/>
            <w:shd w:val="clear" w:color="auto" w:fill="auto"/>
            <w:vAlign w:val="bottom"/>
          </w:tcPr>
          <w:p w14:paraId="5B4846C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6</w:t>
            </w:r>
          </w:p>
        </w:tc>
        <w:tc>
          <w:tcPr>
            <w:tcW w:w="394" w:type="pct"/>
            <w:shd w:val="clear" w:color="auto" w:fill="auto"/>
            <w:vAlign w:val="bottom"/>
          </w:tcPr>
          <w:p w14:paraId="7ED0A1E6"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7</w:t>
            </w:r>
          </w:p>
        </w:tc>
        <w:tc>
          <w:tcPr>
            <w:tcW w:w="394" w:type="pct"/>
            <w:shd w:val="clear" w:color="auto" w:fill="auto"/>
            <w:vAlign w:val="bottom"/>
          </w:tcPr>
          <w:p w14:paraId="24DFF1B0"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8</w:t>
            </w:r>
          </w:p>
        </w:tc>
        <w:tc>
          <w:tcPr>
            <w:tcW w:w="394" w:type="pct"/>
            <w:shd w:val="clear" w:color="auto" w:fill="auto"/>
            <w:vAlign w:val="bottom"/>
          </w:tcPr>
          <w:p w14:paraId="3E47AD9A"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9</w:t>
            </w:r>
          </w:p>
        </w:tc>
        <w:tc>
          <w:tcPr>
            <w:tcW w:w="394" w:type="pct"/>
            <w:shd w:val="clear" w:color="auto" w:fill="auto"/>
            <w:vAlign w:val="bottom"/>
          </w:tcPr>
          <w:p w14:paraId="5EDBBD6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10</w:t>
            </w:r>
          </w:p>
        </w:tc>
        <w:tc>
          <w:tcPr>
            <w:tcW w:w="394" w:type="pct"/>
            <w:shd w:val="clear" w:color="auto" w:fill="auto"/>
            <w:vAlign w:val="bottom"/>
          </w:tcPr>
          <w:p w14:paraId="2EFE8EDC"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11</w:t>
            </w:r>
          </w:p>
        </w:tc>
        <w:tc>
          <w:tcPr>
            <w:tcW w:w="394" w:type="pct"/>
            <w:shd w:val="clear" w:color="auto" w:fill="auto"/>
            <w:vAlign w:val="bottom"/>
          </w:tcPr>
          <w:p w14:paraId="76BB515B"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Grade 12</w:t>
            </w:r>
          </w:p>
        </w:tc>
        <w:tc>
          <w:tcPr>
            <w:tcW w:w="394" w:type="pct"/>
            <w:shd w:val="clear" w:color="auto" w:fill="auto"/>
            <w:vAlign w:val="bottom"/>
          </w:tcPr>
          <w:p w14:paraId="0B2CFC2F"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HS</w:t>
            </w:r>
          </w:p>
        </w:tc>
      </w:tr>
      <w:tr w:rsidR="005C29F8" w:rsidRPr="005C29F8" w14:paraId="385C2918" w14:textId="77777777" w:rsidTr="0033429D">
        <w:trPr>
          <w:trHeight w:val="361"/>
        </w:trPr>
        <w:tc>
          <w:tcPr>
            <w:tcW w:w="271" w:type="pct"/>
            <w:shd w:val="clear" w:color="auto" w:fill="auto"/>
            <w:vAlign w:val="center"/>
          </w:tcPr>
          <w:p w14:paraId="485E5875" w14:textId="77777777" w:rsidR="00421D14" w:rsidRPr="005C29F8" w:rsidRDefault="00421D14" w:rsidP="007D7A20">
            <w:pPr>
              <w:pStyle w:val="Default"/>
              <w:jc w:val="center"/>
              <w:rPr>
                <w:b/>
                <w:color w:val="000000" w:themeColor="text1"/>
                <w:sz w:val="16"/>
                <w:szCs w:val="16"/>
              </w:rPr>
            </w:pPr>
            <w:r w:rsidRPr="005C29F8">
              <w:rPr>
                <w:b/>
                <w:color w:val="000000" w:themeColor="text1"/>
                <w:sz w:val="16"/>
                <w:szCs w:val="16"/>
              </w:rPr>
              <w:t>A</w:t>
            </w:r>
          </w:p>
        </w:tc>
        <w:tc>
          <w:tcPr>
            <w:tcW w:w="394" w:type="pct"/>
            <w:shd w:val="clear" w:color="auto" w:fill="auto"/>
            <w:vAlign w:val="center"/>
          </w:tcPr>
          <w:p w14:paraId="667463B5" w14:textId="40FA5906" w:rsidR="00421D14" w:rsidRPr="005C29F8" w:rsidRDefault="00421D14" w:rsidP="007D7A20">
            <w:pPr>
              <w:pStyle w:val="Default"/>
              <w:jc w:val="center"/>
              <w:rPr>
                <w:color w:val="000000" w:themeColor="text1"/>
                <w:sz w:val="16"/>
                <w:szCs w:val="16"/>
              </w:rPr>
            </w:pPr>
            <w:r w:rsidRPr="005C29F8">
              <w:rPr>
                <w:color w:val="000000" w:themeColor="text1"/>
                <w:sz w:val="16"/>
                <w:szCs w:val="16"/>
              </w:rPr>
              <w:t>Overall</w:t>
            </w:r>
          </w:p>
        </w:tc>
        <w:tc>
          <w:tcPr>
            <w:tcW w:w="394" w:type="pct"/>
            <w:shd w:val="clear" w:color="auto" w:fill="auto"/>
            <w:vAlign w:val="center"/>
          </w:tcPr>
          <w:p w14:paraId="1A22037A" w14:textId="39C8675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25EC284D" w14:textId="1D697E23"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FD2E8A9" w14:textId="1A9D909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934A1AB" w14:textId="60A08934"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432AE3C7" w14:textId="1BCF4101"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5F712E25" w14:textId="3273BD5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14042E04" w14:textId="78FA080C"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7F660A7E" w14:textId="2A0937D8"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8AD8913" w14:textId="040FC487"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047056C7" w14:textId="6A4C30CE"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c>
          <w:tcPr>
            <w:tcW w:w="394" w:type="pct"/>
            <w:shd w:val="clear" w:color="auto" w:fill="auto"/>
            <w:vAlign w:val="center"/>
          </w:tcPr>
          <w:p w14:paraId="64BDBE99" w14:textId="7EB0EE76" w:rsidR="00421D14" w:rsidRPr="005C29F8" w:rsidRDefault="00421D14" w:rsidP="007D7A20">
            <w:pPr>
              <w:pStyle w:val="Default"/>
              <w:jc w:val="center"/>
              <w:rPr>
                <w:b/>
                <w:color w:val="000000" w:themeColor="text1"/>
                <w:sz w:val="16"/>
                <w:szCs w:val="16"/>
              </w:rPr>
            </w:pPr>
            <w:r w:rsidRPr="005C29F8">
              <w:rPr>
                <w:color w:val="000000" w:themeColor="text1"/>
                <w:sz w:val="16"/>
                <w:szCs w:val="16"/>
              </w:rPr>
              <w:t>X</w:t>
            </w:r>
          </w:p>
        </w:tc>
      </w:tr>
    </w:tbl>
    <w:p w14:paraId="0B1C0DD7" w14:textId="1E5339C3" w:rsidR="00A10323" w:rsidRPr="005C29F8" w:rsidRDefault="00A10323">
      <w:pPr>
        <w:rPr>
          <w:b/>
          <w:color w:val="000000" w:themeColor="text1"/>
        </w:rPr>
      </w:pPr>
      <w:r w:rsidRPr="005C29F8">
        <w:rPr>
          <w:b/>
          <w:color w:val="000000" w:themeColor="text1"/>
        </w:rPr>
        <w:t xml:space="preserve">Historical Data: Reading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RLA"/>
      </w:tblPr>
      <w:tblGrid>
        <w:gridCol w:w="445"/>
        <w:gridCol w:w="1081"/>
        <w:gridCol w:w="1172"/>
        <w:gridCol w:w="723"/>
        <w:gridCol w:w="1476"/>
        <w:gridCol w:w="1476"/>
        <w:gridCol w:w="1476"/>
        <w:gridCol w:w="1476"/>
        <w:gridCol w:w="1465"/>
      </w:tblGrid>
      <w:tr w:rsidR="005C29F8" w:rsidRPr="005C29F8" w14:paraId="7D8498EA" w14:textId="77777777" w:rsidTr="00044B5C">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3E1F7D76" w14:textId="3163E403" w:rsidR="00A447E0" w:rsidRPr="005C29F8" w:rsidRDefault="00A447E0" w:rsidP="004369B2">
            <w:pPr>
              <w:jc w:val="center"/>
              <w:rPr>
                <w:rFonts w:cs="Arial"/>
                <w:b/>
                <w:color w:val="000000" w:themeColor="text1"/>
                <w:szCs w:val="16"/>
              </w:rPr>
            </w:pPr>
            <w:r w:rsidRPr="005C29F8">
              <w:rPr>
                <w:rFonts w:cs="Arial"/>
                <w:b/>
                <w:color w:val="000000" w:themeColor="text1"/>
                <w:szCs w:val="16"/>
              </w:rPr>
              <w:t>Group</w:t>
            </w: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14:paraId="591CDB14" w14:textId="602F20DA" w:rsidR="00A447E0" w:rsidRPr="005C29F8" w:rsidRDefault="00A447E0" w:rsidP="004369B2">
            <w:pPr>
              <w:jc w:val="center"/>
              <w:rPr>
                <w:rFonts w:cs="Arial"/>
                <w:b/>
                <w:color w:val="000000" w:themeColor="text1"/>
                <w:szCs w:val="16"/>
              </w:rPr>
            </w:pPr>
            <w:r w:rsidRPr="005C29F8">
              <w:rPr>
                <w:rFonts w:cs="Arial"/>
                <w:b/>
                <w:color w:val="000000" w:themeColor="text1"/>
                <w:szCs w:val="16"/>
              </w:rPr>
              <w:t>Group Name</w:t>
            </w:r>
          </w:p>
        </w:tc>
        <w:tc>
          <w:tcPr>
            <w:tcW w:w="543" w:type="pct"/>
            <w:tcBorders>
              <w:top w:val="single" w:sz="4" w:space="0" w:color="auto"/>
              <w:left w:val="single" w:sz="4" w:space="0" w:color="auto"/>
              <w:bottom w:val="single" w:sz="4" w:space="0" w:color="auto"/>
              <w:right w:val="single" w:sz="4" w:space="0" w:color="auto"/>
            </w:tcBorders>
            <w:shd w:val="clear" w:color="auto" w:fill="auto"/>
            <w:vAlign w:val="bottom"/>
          </w:tcPr>
          <w:p w14:paraId="430D70F2" w14:textId="6E4FB30A" w:rsidR="00A447E0" w:rsidRPr="005C29F8" w:rsidRDefault="00A447E0" w:rsidP="004369B2">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bottom"/>
          </w:tcPr>
          <w:p w14:paraId="75B2D638"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FFY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8D1082B"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6335421"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6A2F4F27"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4" w:space="0" w:color="auto"/>
              <w:left w:val="single" w:sz="4" w:space="0" w:color="auto"/>
              <w:bottom w:val="single" w:sz="4" w:space="0" w:color="auto"/>
              <w:right w:val="single" w:sz="4" w:space="0" w:color="auto"/>
            </w:tcBorders>
            <w:shd w:val="clear" w:color="auto" w:fill="auto"/>
            <w:vAlign w:val="bottom"/>
          </w:tcPr>
          <w:p w14:paraId="33FC6ADA"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14:paraId="759C054F" w14:textId="77777777" w:rsidR="00A447E0" w:rsidRPr="005C29F8" w:rsidRDefault="00A447E0" w:rsidP="004369B2">
            <w:pPr>
              <w:jc w:val="center"/>
              <w:rPr>
                <w:rFonts w:cs="Arial"/>
                <w:b/>
                <w:color w:val="000000" w:themeColor="text1"/>
                <w:szCs w:val="16"/>
              </w:rPr>
            </w:pPr>
            <w:r w:rsidRPr="005C29F8">
              <w:rPr>
                <w:rFonts w:cs="Arial"/>
                <w:b/>
                <w:color w:val="000000" w:themeColor="text1"/>
                <w:szCs w:val="16"/>
              </w:rPr>
              <w:t>2018</w:t>
            </w:r>
          </w:p>
        </w:tc>
      </w:tr>
      <w:tr w:rsidR="005C29F8" w:rsidRPr="005C29F8" w14:paraId="703F59EA"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2EB3487" w14:textId="77777777" w:rsidR="00A447E0" w:rsidRPr="00691ABA" w:rsidRDefault="00A447E0"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744B120E" w14:textId="60BB891B" w:rsidR="00A447E0" w:rsidRPr="005C29F8" w:rsidRDefault="00A447E0"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7F009C51" w14:textId="21186CFD" w:rsidR="00D342B0" w:rsidRPr="005C29F8" w:rsidRDefault="00D342B0" w:rsidP="00A018D4">
            <w:pPr>
              <w:jc w:val="center"/>
              <w:rPr>
                <w:rFonts w:cs="Arial"/>
                <w:color w:val="000000" w:themeColor="text1"/>
                <w:szCs w:val="16"/>
              </w:rPr>
            </w:pPr>
            <w:r w:rsidRPr="005C29F8">
              <w:rPr>
                <w:rFonts w:cs="Arial"/>
                <w:color w:val="000000" w:themeColor="text1"/>
                <w:szCs w:val="16"/>
              </w:rPr>
              <w:t>2005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579CBBB" w14:textId="77777777" w:rsidR="00A447E0" w:rsidRPr="005C29F8" w:rsidRDefault="00A447E0">
            <w:pPr>
              <w:rPr>
                <w:rFonts w:cs="Arial"/>
                <w:color w:val="000000" w:themeColor="text1"/>
                <w:szCs w:val="16"/>
              </w:rPr>
            </w:pPr>
            <w:r w:rsidRPr="005C29F8">
              <w:rPr>
                <w:rFonts w:cs="Arial"/>
                <w:color w:val="000000" w:themeColor="text1"/>
                <w:szCs w:val="16"/>
              </w:rPr>
              <w:t>Target &gt;=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C89ABF6" w14:textId="2A43FA80" w:rsidR="00A447E0" w:rsidRPr="005C29F8" w:rsidRDefault="00A447E0" w:rsidP="00A018D4">
            <w:pPr>
              <w:jc w:val="center"/>
              <w:rPr>
                <w:rFonts w:cs="Arial"/>
                <w:color w:val="000000" w:themeColor="text1"/>
                <w:szCs w:val="16"/>
              </w:rPr>
            </w:pPr>
            <w:r w:rsidRPr="005C29F8">
              <w:rPr>
                <w:rFonts w:cs="Arial"/>
                <w:color w:val="000000" w:themeColor="text1"/>
                <w:szCs w:val="16"/>
              </w:rPr>
              <w:t>20.00%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896CCD8" w14:textId="17EA3ACE" w:rsidR="00A447E0" w:rsidRPr="005C29F8" w:rsidRDefault="00A447E0" w:rsidP="00A018D4">
            <w:pPr>
              <w:jc w:val="center"/>
              <w:rPr>
                <w:rFonts w:cs="Arial"/>
                <w:color w:val="000000" w:themeColor="text1"/>
                <w:szCs w:val="16"/>
              </w:rPr>
            </w:pPr>
            <w:r w:rsidRPr="005C29F8">
              <w:rPr>
                <w:rFonts w:cs="Arial"/>
                <w:color w:val="000000" w:themeColor="text1"/>
                <w:szCs w:val="16"/>
              </w:rPr>
              <w:t>30.00%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3D3118" w14:textId="6A2D2FEC" w:rsidR="00A447E0" w:rsidRPr="005C29F8" w:rsidRDefault="00A447E0" w:rsidP="00A018D4">
            <w:pPr>
              <w:jc w:val="center"/>
              <w:rPr>
                <w:rFonts w:cs="Arial"/>
                <w:color w:val="000000" w:themeColor="text1"/>
                <w:szCs w:val="16"/>
              </w:rPr>
            </w:pPr>
            <w:r w:rsidRPr="005C29F8">
              <w:rPr>
                <w:rFonts w:cs="Arial"/>
                <w:color w:val="000000" w:themeColor="text1"/>
                <w:szCs w:val="16"/>
              </w:rPr>
              <w:t>40.00%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2912927" w14:textId="736CFC7A" w:rsidR="00A447E0" w:rsidRPr="005C29F8" w:rsidRDefault="00A447E0" w:rsidP="00A018D4">
            <w:pPr>
              <w:jc w:val="center"/>
              <w:rPr>
                <w:rFonts w:cs="Arial"/>
                <w:color w:val="000000" w:themeColor="text1"/>
                <w:szCs w:val="16"/>
              </w:rPr>
            </w:pPr>
            <w:r w:rsidRPr="005C29F8">
              <w:rPr>
                <w:rFonts w:cs="Arial"/>
                <w:color w:val="000000" w:themeColor="text1"/>
                <w:szCs w:val="16"/>
              </w:rPr>
              <w:t>50.00%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5E4A94A" w14:textId="34C62AB0" w:rsidR="00A447E0" w:rsidRPr="005C29F8" w:rsidRDefault="00A447E0" w:rsidP="00A018D4">
            <w:pPr>
              <w:jc w:val="center"/>
              <w:rPr>
                <w:rFonts w:cs="Arial"/>
                <w:color w:val="000000" w:themeColor="text1"/>
                <w:szCs w:val="16"/>
              </w:rPr>
            </w:pPr>
            <w:r w:rsidRPr="005C29F8">
              <w:rPr>
                <w:rFonts w:cs="Arial"/>
                <w:color w:val="000000" w:themeColor="text1"/>
                <w:szCs w:val="16"/>
              </w:rPr>
              <w:t>60.00%</w:t>
            </w:r>
          </w:p>
        </w:tc>
      </w:tr>
      <w:tr w:rsidR="005C29F8" w:rsidRPr="005C29F8" w14:paraId="713481B3" w14:textId="77777777" w:rsidTr="0033429D">
        <w:trPr>
          <w:trHeight w:val="80"/>
        </w:trPr>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496964A3" w14:textId="73817F35" w:rsidR="004427EB" w:rsidRPr="00691ABA" w:rsidRDefault="004427EB" w:rsidP="00A018D4">
            <w:pPr>
              <w:jc w:val="center"/>
              <w:rPr>
                <w:rFonts w:cs="Arial"/>
                <w:b/>
                <w:bCs/>
                <w:color w:val="000000" w:themeColor="text1"/>
                <w:szCs w:val="16"/>
              </w:rPr>
            </w:pPr>
            <w:r w:rsidRPr="00691ABA">
              <w:rPr>
                <w:rFonts w:cs="Arial"/>
                <w:b/>
                <w:bCs/>
                <w:color w:val="000000" w:themeColor="text1"/>
                <w:szCs w:val="16"/>
              </w:rPr>
              <w:t>A</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14:paraId="6B469A27" w14:textId="49FA1069" w:rsidR="004427EB" w:rsidRPr="005C29F8" w:rsidRDefault="004427EB" w:rsidP="00A018D4">
            <w:pPr>
              <w:jc w:val="center"/>
              <w:rPr>
                <w:rFonts w:cs="Arial"/>
                <w:color w:val="000000" w:themeColor="text1"/>
                <w:szCs w:val="16"/>
              </w:rPr>
            </w:pPr>
            <w:r w:rsidRPr="005C29F8">
              <w:rPr>
                <w:rFonts w:cs="Arial"/>
                <w:color w:val="000000" w:themeColor="text1"/>
                <w:szCs w:val="16"/>
              </w:rPr>
              <w:t>Overall</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14:paraId="0E94BB50" w14:textId="1B4CCC15" w:rsidR="004427EB" w:rsidRPr="005C29F8" w:rsidRDefault="00D342B0" w:rsidP="00A018D4">
            <w:pPr>
              <w:jc w:val="center"/>
              <w:rPr>
                <w:rFonts w:cs="Arial"/>
                <w:color w:val="000000" w:themeColor="text1"/>
                <w:szCs w:val="16"/>
              </w:rPr>
            </w:pPr>
            <w:r w:rsidRPr="005C29F8">
              <w:rPr>
                <w:rFonts w:cs="Arial"/>
                <w:color w:val="000000" w:themeColor="text1"/>
                <w:szCs w:val="16"/>
              </w:rPr>
              <w:t>11.00%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AE2AA53" w14:textId="77777777" w:rsidR="004427EB" w:rsidRPr="005C29F8" w:rsidRDefault="004427EB">
            <w:pPr>
              <w:rPr>
                <w:rFonts w:cs="Arial"/>
                <w:color w:val="000000" w:themeColor="text1"/>
                <w:szCs w:val="16"/>
              </w:rPr>
            </w:pPr>
            <w:r w:rsidRPr="005C29F8">
              <w:rPr>
                <w:rFonts w:cs="Arial"/>
                <w:color w:val="000000" w:themeColor="text1"/>
                <w:szCs w:val="16"/>
              </w:rPr>
              <w:t>Actual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AD302E" w14:textId="59EFDBB4" w:rsidR="004427EB" w:rsidRPr="005C29F8" w:rsidRDefault="004427EB" w:rsidP="00A018D4">
            <w:pPr>
              <w:jc w:val="center"/>
              <w:rPr>
                <w:rFonts w:cs="Arial"/>
                <w:color w:val="000000" w:themeColor="text1"/>
                <w:szCs w:val="16"/>
              </w:rPr>
            </w:pPr>
            <w:r w:rsidRPr="005C29F8">
              <w:rPr>
                <w:rFonts w:cs="Arial"/>
                <w:color w:val="000000" w:themeColor="text1"/>
                <w:szCs w:val="16"/>
              </w:rPr>
              <w:t>4.00%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31E42A1" w14:textId="77E16E9D" w:rsidR="004427EB" w:rsidRPr="005C29F8" w:rsidRDefault="004427EB" w:rsidP="00A018D4">
            <w:pPr>
              <w:jc w:val="center"/>
              <w:rPr>
                <w:rFonts w:cs="Arial"/>
                <w:color w:val="000000" w:themeColor="text1"/>
                <w:szCs w:val="16"/>
              </w:rPr>
            </w:pPr>
            <w:r w:rsidRPr="005C29F8">
              <w:rPr>
                <w:rFonts w:cs="Arial"/>
                <w:color w:val="000000" w:themeColor="text1"/>
                <w:szCs w:val="16"/>
              </w:rPr>
              <w:t>5.01%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AEF063D" w14:textId="01025CB6" w:rsidR="004427EB" w:rsidRPr="005C29F8" w:rsidRDefault="004427EB" w:rsidP="00A018D4">
            <w:pPr>
              <w:jc w:val="center"/>
              <w:rPr>
                <w:rFonts w:cs="Arial"/>
                <w:color w:val="000000" w:themeColor="text1"/>
                <w:szCs w:val="16"/>
              </w:rPr>
            </w:pPr>
            <w:r w:rsidRPr="005C29F8">
              <w:rPr>
                <w:rFonts w:cs="Arial"/>
                <w:color w:val="000000" w:themeColor="text1"/>
                <w:szCs w:val="16"/>
              </w:rPr>
              <w:t>6.07%</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ECF0D47" w14:textId="1342F6F5" w:rsidR="004427EB" w:rsidRPr="005C29F8" w:rsidRDefault="004427EB" w:rsidP="00A018D4">
            <w:pPr>
              <w:jc w:val="center"/>
              <w:rPr>
                <w:rFonts w:cs="Arial"/>
                <w:color w:val="000000" w:themeColor="text1"/>
                <w:szCs w:val="16"/>
              </w:rPr>
            </w:pPr>
            <w:r w:rsidRPr="005C29F8">
              <w:rPr>
                <w:rFonts w:cs="Arial"/>
                <w:color w:val="000000" w:themeColor="text1"/>
                <w:szCs w:val="16"/>
              </w:rPr>
              <w:t>7.52%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83D42B2" w14:textId="6BC91F4D" w:rsidR="004427EB" w:rsidRPr="005C29F8" w:rsidRDefault="004427EB" w:rsidP="00A018D4">
            <w:pPr>
              <w:jc w:val="center"/>
              <w:rPr>
                <w:rFonts w:cs="Arial"/>
                <w:color w:val="000000" w:themeColor="text1"/>
                <w:szCs w:val="16"/>
              </w:rPr>
            </w:pPr>
            <w:r w:rsidRPr="005C29F8">
              <w:rPr>
                <w:rFonts w:cs="Arial"/>
                <w:color w:val="000000" w:themeColor="text1"/>
                <w:szCs w:val="16"/>
              </w:rPr>
              <w:t>3.26%</w:t>
            </w:r>
          </w:p>
        </w:tc>
      </w:tr>
    </w:tbl>
    <w:p w14:paraId="08C54CF4" w14:textId="683C55A4" w:rsidR="00A10323" w:rsidRDefault="00A10323" w:rsidP="004369B2">
      <w:pPr>
        <w:rPr>
          <w:b/>
          <w:color w:val="000000" w:themeColor="text1"/>
        </w:rPr>
      </w:pPr>
      <w:r w:rsidRPr="005C29F8">
        <w:rPr>
          <w:b/>
          <w:color w:val="000000" w:themeColor="text1"/>
        </w:rPr>
        <w:t>Historical Data: Math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MATH"/>
      </w:tblPr>
      <w:tblGrid>
        <w:gridCol w:w="535"/>
        <w:gridCol w:w="991"/>
        <w:gridCol w:w="1167"/>
        <w:gridCol w:w="723"/>
        <w:gridCol w:w="1474"/>
        <w:gridCol w:w="1476"/>
        <w:gridCol w:w="1476"/>
        <w:gridCol w:w="1476"/>
        <w:gridCol w:w="1472"/>
      </w:tblGrid>
      <w:tr w:rsidR="005C29F8" w:rsidRPr="005C29F8" w14:paraId="1A195441" w14:textId="77777777" w:rsidTr="0033429D">
        <w:trPr>
          <w:trHeight w:val="300"/>
        </w:trPr>
        <w:tc>
          <w:tcPr>
            <w:tcW w:w="248" w:type="pct"/>
            <w:tcBorders>
              <w:top w:val="single" w:sz="2" w:space="0" w:color="262626" w:themeColor="text1" w:themeTint="D9"/>
            </w:tcBorders>
            <w:shd w:val="clear" w:color="auto" w:fill="auto"/>
            <w:vAlign w:val="bottom"/>
          </w:tcPr>
          <w:p w14:paraId="17AD0806" w14:textId="0297E062"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Group </w:t>
            </w:r>
          </w:p>
        </w:tc>
        <w:tc>
          <w:tcPr>
            <w:tcW w:w="459" w:type="pct"/>
            <w:tcBorders>
              <w:top w:val="single" w:sz="2" w:space="0" w:color="262626" w:themeColor="text1" w:themeTint="D9"/>
              <w:bottom w:val="single" w:sz="4" w:space="0" w:color="auto"/>
            </w:tcBorders>
            <w:shd w:val="clear" w:color="auto" w:fill="auto"/>
            <w:vAlign w:val="bottom"/>
          </w:tcPr>
          <w:p w14:paraId="6EA04F79" w14:textId="59B0D9C6" w:rsidR="00162F4A" w:rsidRPr="005C29F8" w:rsidRDefault="00162F4A" w:rsidP="00162F4A">
            <w:pPr>
              <w:jc w:val="center"/>
              <w:rPr>
                <w:rFonts w:cs="Arial"/>
                <w:b/>
                <w:color w:val="000000" w:themeColor="text1"/>
                <w:szCs w:val="16"/>
              </w:rPr>
            </w:pPr>
            <w:r w:rsidRPr="005C29F8">
              <w:rPr>
                <w:rFonts w:cs="Arial"/>
                <w:b/>
                <w:color w:val="000000" w:themeColor="text1"/>
                <w:szCs w:val="16"/>
              </w:rPr>
              <w:t>Group Name</w:t>
            </w:r>
          </w:p>
        </w:tc>
        <w:tc>
          <w:tcPr>
            <w:tcW w:w="541" w:type="pct"/>
            <w:tcBorders>
              <w:top w:val="single" w:sz="2" w:space="0" w:color="262626" w:themeColor="text1" w:themeTint="D9"/>
            </w:tcBorders>
            <w:shd w:val="clear" w:color="auto" w:fill="auto"/>
            <w:vAlign w:val="bottom"/>
          </w:tcPr>
          <w:p w14:paraId="4ED5A5C5" w14:textId="709F6F4C" w:rsidR="00162F4A" w:rsidRPr="005C29F8" w:rsidRDefault="00162F4A" w:rsidP="00162F4A">
            <w:pPr>
              <w:jc w:val="center"/>
              <w:rPr>
                <w:rFonts w:cs="Arial"/>
                <w:b/>
                <w:color w:val="000000" w:themeColor="text1"/>
                <w:szCs w:val="16"/>
              </w:rPr>
            </w:pPr>
            <w:r w:rsidRPr="005C29F8">
              <w:rPr>
                <w:rFonts w:cs="Arial"/>
                <w:b/>
                <w:color w:val="000000" w:themeColor="text1"/>
                <w:szCs w:val="16"/>
              </w:rPr>
              <w:t xml:space="preserve">Baseline </w:t>
            </w:r>
          </w:p>
        </w:tc>
        <w:tc>
          <w:tcPr>
            <w:tcW w:w="335" w:type="pct"/>
            <w:tcBorders>
              <w:top w:val="single" w:sz="2" w:space="0" w:color="262626" w:themeColor="text1" w:themeTint="D9"/>
            </w:tcBorders>
            <w:shd w:val="clear" w:color="auto" w:fill="auto"/>
            <w:vAlign w:val="bottom"/>
          </w:tcPr>
          <w:p w14:paraId="64199270" w14:textId="083E086B" w:rsidR="00162F4A" w:rsidRPr="005C29F8" w:rsidRDefault="00162F4A" w:rsidP="00162F4A">
            <w:pPr>
              <w:jc w:val="center"/>
              <w:rPr>
                <w:rFonts w:cs="Arial"/>
                <w:b/>
                <w:color w:val="000000" w:themeColor="text1"/>
                <w:szCs w:val="16"/>
              </w:rPr>
            </w:pPr>
            <w:r w:rsidRPr="005C29F8">
              <w:rPr>
                <w:rFonts w:cs="Arial"/>
                <w:b/>
                <w:color w:val="000000" w:themeColor="text1"/>
                <w:szCs w:val="16"/>
              </w:rPr>
              <w:t>FFY</w:t>
            </w:r>
          </w:p>
        </w:tc>
        <w:tc>
          <w:tcPr>
            <w:tcW w:w="683" w:type="pct"/>
            <w:tcBorders>
              <w:top w:val="single" w:sz="2" w:space="0" w:color="262626" w:themeColor="text1" w:themeTint="D9"/>
              <w:bottom w:val="single" w:sz="4" w:space="0" w:color="auto"/>
            </w:tcBorders>
            <w:shd w:val="clear" w:color="auto" w:fill="auto"/>
            <w:vAlign w:val="bottom"/>
          </w:tcPr>
          <w:p w14:paraId="4413BEBC" w14:textId="4F4FD61B" w:rsidR="00162F4A" w:rsidRPr="005C29F8" w:rsidRDefault="00162F4A" w:rsidP="00162F4A">
            <w:pPr>
              <w:jc w:val="center"/>
              <w:rPr>
                <w:rFonts w:cs="Arial"/>
                <w:b/>
                <w:color w:val="000000" w:themeColor="text1"/>
                <w:szCs w:val="16"/>
              </w:rPr>
            </w:pPr>
            <w:r w:rsidRPr="005C29F8">
              <w:rPr>
                <w:rFonts w:cs="Arial"/>
                <w:b/>
                <w:color w:val="000000" w:themeColor="text1"/>
                <w:szCs w:val="16"/>
              </w:rPr>
              <w:t>2014</w:t>
            </w:r>
          </w:p>
        </w:tc>
        <w:tc>
          <w:tcPr>
            <w:tcW w:w="684" w:type="pct"/>
            <w:tcBorders>
              <w:top w:val="single" w:sz="2" w:space="0" w:color="262626" w:themeColor="text1" w:themeTint="D9"/>
            </w:tcBorders>
            <w:shd w:val="clear" w:color="auto" w:fill="auto"/>
            <w:vAlign w:val="bottom"/>
          </w:tcPr>
          <w:p w14:paraId="4489094A" w14:textId="50B1500E" w:rsidR="00162F4A" w:rsidRPr="005C29F8" w:rsidRDefault="00162F4A" w:rsidP="00162F4A">
            <w:pPr>
              <w:jc w:val="center"/>
              <w:rPr>
                <w:rFonts w:cs="Arial"/>
                <w:b/>
                <w:color w:val="000000" w:themeColor="text1"/>
                <w:szCs w:val="16"/>
              </w:rPr>
            </w:pPr>
            <w:r w:rsidRPr="005C29F8">
              <w:rPr>
                <w:rFonts w:cs="Arial"/>
                <w:b/>
                <w:color w:val="000000" w:themeColor="text1"/>
                <w:szCs w:val="16"/>
              </w:rPr>
              <w:t>2015</w:t>
            </w:r>
          </w:p>
        </w:tc>
        <w:tc>
          <w:tcPr>
            <w:tcW w:w="684" w:type="pct"/>
            <w:tcBorders>
              <w:top w:val="single" w:sz="2" w:space="0" w:color="262626" w:themeColor="text1" w:themeTint="D9"/>
            </w:tcBorders>
            <w:shd w:val="clear" w:color="auto" w:fill="auto"/>
            <w:vAlign w:val="bottom"/>
          </w:tcPr>
          <w:p w14:paraId="5836314D" w14:textId="1B544C22" w:rsidR="00162F4A" w:rsidRPr="005C29F8" w:rsidRDefault="00162F4A" w:rsidP="00162F4A">
            <w:pPr>
              <w:jc w:val="center"/>
              <w:rPr>
                <w:rFonts w:cs="Arial"/>
                <w:b/>
                <w:color w:val="000000" w:themeColor="text1"/>
                <w:szCs w:val="16"/>
              </w:rPr>
            </w:pPr>
            <w:r w:rsidRPr="005C29F8">
              <w:rPr>
                <w:rFonts w:cs="Arial"/>
                <w:b/>
                <w:color w:val="000000" w:themeColor="text1"/>
                <w:szCs w:val="16"/>
              </w:rPr>
              <w:t>2016</w:t>
            </w:r>
          </w:p>
        </w:tc>
        <w:tc>
          <w:tcPr>
            <w:tcW w:w="684" w:type="pct"/>
            <w:tcBorders>
              <w:top w:val="single" w:sz="2" w:space="0" w:color="262626" w:themeColor="text1" w:themeTint="D9"/>
            </w:tcBorders>
            <w:shd w:val="clear" w:color="auto" w:fill="auto"/>
            <w:vAlign w:val="bottom"/>
          </w:tcPr>
          <w:p w14:paraId="320E3383" w14:textId="16FADC25" w:rsidR="00162F4A" w:rsidRPr="005C29F8" w:rsidRDefault="00162F4A" w:rsidP="00162F4A">
            <w:pPr>
              <w:jc w:val="center"/>
              <w:rPr>
                <w:rFonts w:cs="Arial"/>
                <w:b/>
                <w:color w:val="000000" w:themeColor="text1"/>
                <w:szCs w:val="16"/>
              </w:rPr>
            </w:pPr>
            <w:r w:rsidRPr="005C29F8">
              <w:rPr>
                <w:rFonts w:cs="Arial"/>
                <w:b/>
                <w:color w:val="000000" w:themeColor="text1"/>
                <w:szCs w:val="16"/>
              </w:rPr>
              <w:t>2017</w:t>
            </w:r>
          </w:p>
        </w:tc>
        <w:tc>
          <w:tcPr>
            <w:tcW w:w="682" w:type="pct"/>
            <w:tcBorders>
              <w:top w:val="single" w:sz="2" w:space="0" w:color="262626" w:themeColor="text1" w:themeTint="D9"/>
            </w:tcBorders>
            <w:shd w:val="clear" w:color="auto" w:fill="auto"/>
            <w:vAlign w:val="bottom"/>
          </w:tcPr>
          <w:p w14:paraId="65DAE894" w14:textId="17DC684B" w:rsidR="00162F4A" w:rsidRPr="005C29F8" w:rsidRDefault="00162F4A" w:rsidP="00162F4A">
            <w:pPr>
              <w:jc w:val="center"/>
              <w:rPr>
                <w:rFonts w:cs="Arial"/>
                <w:b/>
                <w:color w:val="000000" w:themeColor="text1"/>
                <w:szCs w:val="16"/>
              </w:rPr>
            </w:pPr>
            <w:r w:rsidRPr="005C29F8">
              <w:rPr>
                <w:rFonts w:cs="Arial"/>
                <w:b/>
                <w:color w:val="000000" w:themeColor="text1"/>
                <w:szCs w:val="16"/>
              </w:rPr>
              <w:t>2018</w:t>
            </w:r>
          </w:p>
        </w:tc>
      </w:tr>
      <w:tr w:rsidR="005C29F8" w:rsidRPr="005C29F8" w14:paraId="0EF5BCBF" w14:textId="77777777" w:rsidTr="00AB0D6A">
        <w:trPr>
          <w:trHeight w:val="152"/>
        </w:trPr>
        <w:tc>
          <w:tcPr>
            <w:tcW w:w="248" w:type="pct"/>
            <w:shd w:val="clear" w:color="auto" w:fill="auto"/>
            <w:vAlign w:val="center"/>
          </w:tcPr>
          <w:p w14:paraId="728F2A22" w14:textId="77777777" w:rsidR="00911AA1" w:rsidRPr="00691ABA" w:rsidRDefault="00911AA1">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62FBAB2C" w14:textId="6BE2B037" w:rsidR="00911AA1" w:rsidRPr="005C29F8" w:rsidDel="00DE5045" w:rsidRDefault="00911AA1" w:rsidP="00A018D4">
            <w:pPr>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008927AE" w14:textId="1C40C102" w:rsidR="00EF0D49" w:rsidRPr="005C29F8" w:rsidRDefault="00EF0D49">
            <w:pPr>
              <w:spacing w:before="0" w:after="0"/>
              <w:jc w:val="center"/>
              <w:rPr>
                <w:rFonts w:cs="Arial"/>
                <w:color w:val="000000" w:themeColor="text1"/>
                <w:szCs w:val="16"/>
              </w:rPr>
            </w:pPr>
            <w:r w:rsidRPr="005C29F8">
              <w:rPr>
                <w:rFonts w:cs="Arial"/>
                <w:color w:val="000000" w:themeColor="text1"/>
                <w:szCs w:val="16"/>
              </w:rPr>
              <w:t>2005</w:t>
            </w:r>
          </w:p>
        </w:tc>
        <w:tc>
          <w:tcPr>
            <w:tcW w:w="335" w:type="pct"/>
            <w:shd w:val="clear" w:color="auto" w:fill="auto"/>
            <w:vAlign w:val="center"/>
          </w:tcPr>
          <w:p w14:paraId="242C21CC" w14:textId="7B392FA2" w:rsidR="00911AA1" w:rsidRPr="005C29F8" w:rsidRDefault="00911AA1" w:rsidP="00A018D4">
            <w:pPr>
              <w:spacing w:before="0" w:after="0"/>
              <w:rPr>
                <w:rFonts w:cs="Arial"/>
                <w:color w:val="000000" w:themeColor="text1"/>
                <w:szCs w:val="16"/>
              </w:rPr>
            </w:pPr>
            <w:r w:rsidRPr="005C29F8">
              <w:rPr>
                <w:rFonts w:cs="Arial"/>
                <w:color w:val="000000" w:themeColor="text1"/>
                <w:szCs w:val="16"/>
              </w:rPr>
              <w:t>Target &gt;=</w:t>
            </w:r>
          </w:p>
        </w:tc>
        <w:tc>
          <w:tcPr>
            <w:tcW w:w="683" w:type="pct"/>
            <w:shd w:val="clear" w:color="auto" w:fill="auto"/>
            <w:vAlign w:val="bottom"/>
          </w:tcPr>
          <w:p w14:paraId="4C194E33" w14:textId="50E2B3DB" w:rsidR="00911AA1" w:rsidRPr="005C29F8" w:rsidRDefault="00911AA1" w:rsidP="00A018D4">
            <w:pPr>
              <w:jc w:val="center"/>
              <w:rPr>
                <w:rFonts w:cs="Arial"/>
                <w:color w:val="000000" w:themeColor="text1"/>
                <w:szCs w:val="16"/>
              </w:rPr>
            </w:pPr>
            <w:r w:rsidRPr="005C29F8">
              <w:rPr>
                <w:rFonts w:cs="Arial"/>
                <w:color w:val="000000" w:themeColor="text1"/>
                <w:szCs w:val="16"/>
              </w:rPr>
              <w:t>20.00%</w:t>
            </w:r>
          </w:p>
        </w:tc>
        <w:tc>
          <w:tcPr>
            <w:tcW w:w="684" w:type="pct"/>
            <w:shd w:val="clear" w:color="auto" w:fill="auto"/>
            <w:vAlign w:val="bottom"/>
          </w:tcPr>
          <w:p w14:paraId="01D9D21F" w14:textId="3F7E75CD" w:rsidR="00911AA1" w:rsidRPr="005C29F8" w:rsidRDefault="00911AA1" w:rsidP="00A018D4">
            <w:pPr>
              <w:jc w:val="center"/>
              <w:rPr>
                <w:rFonts w:cs="Arial"/>
                <w:color w:val="000000" w:themeColor="text1"/>
                <w:szCs w:val="16"/>
              </w:rPr>
            </w:pPr>
            <w:r w:rsidRPr="005C29F8">
              <w:rPr>
                <w:rFonts w:cs="Arial"/>
                <w:color w:val="000000" w:themeColor="text1"/>
                <w:szCs w:val="16"/>
              </w:rPr>
              <w:t>30.00%</w:t>
            </w:r>
          </w:p>
        </w:tc>
        <w:tc>
          <w:tcPr>
            <w:tcW w:w="684" w:type="pct"/>
            <w:shd w:val="clear" w:color="auto" w:fill="auto"/>
            <w:vAlign w:val="bottom"/>
          </w:tcPr>
          <w:p w14:paraId="1C5EAFB4" w14:textId="56F72B3E" w:rsidR="00911AA1" w:rsidRPr="005C29F8" w:rsidRDefault="00911AA1" w:rsidP="00A018D4">
            <w:pPr>
              <w:jc w:val="center"/>
              <w:rPr>
                <w:rFonts w:cs="Arial"/>
                <w:color w:val="000000" w:themeColor="text1"/>
                <w:szCs w:val="16"/>
              </w:rPr>
            </w:pPr>
            <w:r w:rsidRPr="005C29F8">
              <w:rPr>
                <w:rFonts w:cs="Arial"/>
                <w:color w:val="000000" w:themeColor="text1"/>
                <w:szCs w:val="16"/>
              </w:rPr>
              <w:t>40.00%</w:t>
            </w:r>
          </w:p>
        </w:tc>
        <w:tc>
          <w:tcPr>
            <w:tcW w:w="684" w:type="pct"/>
            <w:shd w:val="clear" w:color="auto" w:fill="auto"/>
            <w:vAlign w:val="bottom"/>
          </w:tcPr>
          <w:p w14:paraId="778747F5" w14:textId="5FAE52D8" w:rsidR="00911AA1" w:rsidRPr="005C29F8" w:rsidRDefault="00911AA1" w:rsidP="00A018D4">
            <w:pPr>
              <w:jc w:val="center"/>
              <w:rPr>
                <w:rFonts w:cs="Arial"/>
                <w:color w:val="000000" w:themeColor="text1"/>
                <w:szCs w:val="16"/>
              </w:rPr>
            </w:pPr>
            <w:r w:rsidRPr="005C29F8">
              <w:rPr>
                <w:rFonts w:cs="Arial"/>
                <w:color w:val="000000" w:themeColor="text1"/>
                <w:szCs w:val="16"/>
              </w:rPr>
              <w:t>50.00%</w:t>
            </w:r>
          </w:p>
        </w:tc>
        <w:tc>
          <w:tcPr>
            <w:tcW w:w="682" w:type="pct"/>
            <w:shd w:val="clear" w:color="auto" w:fill="auto"/>
            <w:vAlign w:val="bottom"/>
          </w:tcPr>
          <w:p w14:paraId="1BE0825C" w14:textId="6C340F48" w:rsidR="00911AA1" w:rsidRPr="005C29F8" w:rsidRDefault="00911AA1" w:rsidP="00A018D4">
            <w:pPr>
              <w:jc w:val="center"/>
              <w:rPr>
                <w:rFonts w:cs="Arial"/>
                <w:color w:val="000000" w:themeColor="text1"/>
                <w:szCs w:val="16"/>
              </w:rPr>
            </w:pPr>
            <w:r w:rsidRPr="005C29F8">
              <w:rPr>
                <w:rFonts w:cs="Arial"/>
                <w:color w:val="000000" w:themeColor="text1"/>
                <w:szCs w:val="16"/>
              </w:rPr>
              <w:t>60.00%</w:t>
            </w:r>
          </w:p>
        </w:tc>
      </w:tr>
      <w:tr w:rsidR="005C29F8" w:rsidRPr="005C29F8" w14:paraId="052BBF2E" w14:textId="77777777" w:rsidTr="00AB0D6A">
        <w:trPr>
          <w:trHeight w:val="80"/>
        </w:trPr>
        <w:tc>
          <w:tcPr>
            <w:tcW w:w="248" w:type="pct"/>
            <w:shd w:val="clear" w:color="auto" w:fill="auto"/>
            <w:vAlign w:val="center"/>
          </w:tcPr>
          <w:p w14:paraId="1A098B45" w14:textId="31A66B0C" w:rsidR="009F5EEA" w:rsidRPr="00691ABA" w:rsidRDefault="009F5EEA">
            <w:pPr>
              <w:spacing w:before="0" w:after="0"/>
              <w:jc w:val="center"/>
              <w:rPr>
                <w:rFonts w:cs="Arial"/>
                <w:b/>
                <w:bCs/>
                <w:color w:val="000000" w:themeColor="text1"/>
                <w:szCs w:val="16"/>
              </w:rPr>
            </w:pPr>
            <w:r w:rsidRPr="00691ABA">
              <w:rPr>
                <w:rFonts w:cs="Arial"/>
                <w:b/>
                <w:bCs/>
                <w:color w:val="000000" w:themeColor="text1"/>
                <w:szCs w:val="16"/>
              </w:rPr>
              <w:t>A</w:t>
            </w:r>
          </w:p>
        </w:tc>
        <w:tc>
          <w:tcPr>
            <w:tcW w:w="459" w:type="pct"/>
            <w:shd w:val="clear" w:color="auto" w:fill="auto"/>
            <w:vAlign w:val="center"/>
          </w:tcPr>
          <w:p w14:paraId="7B30A018" w14:textId="58657E74" w:rsidR="009F5EEA" w:rsidRPr="005C29F8" w:rsidRDefault="009F5EEA">
            <w:pPr>
              <w:spacing w:before="0" w:after="0"/>
              <w:jc w:val="center"/>
              <w:rPr>
                <w:rFonts w:cs="Arial"/>
                <w:color w:val="000000" w:themeColor="text1"/>
                <w:szCs w:val="16"/>
              </w:rPr>
            </w:pPr>
            <w:r w:rsidRPr="005C29F8">
              <w:rPr>
                <w:rFonts w:cs="Arial"/>
                <w:color w:val="000000" w:themeColor="text1"/>
                <w:szCs w:val="16"/>
              </w:rPr>
              <w:t>Overall</w:t>
            </w:r>
          </w:p>
        </w:tc>
        <w:tc>
          <w:tcPr>
            <w:tcW w:w="541" w:type="pct"/>
            <w:shd w:val="clear" w:color="auto" w:fill="auto"/>
            <w:vAlign w:val="center"/>
          </w:tcPr>
          <w:p w14:paraId="7F6F465E" w14:textId="5FA8C219" w:rsidR="009F5EEA" w:rsidRPr="005C29F8" w:rsidRDefault="00EF0D49">
            <w:pPr>
              <w:spacing w:before="0" w:after="0"/>
              <w:jc w:val="center"/>
              <w:rPr>
                <w:rFonts w:cs="Arial"/>
                <w:color w:val="000000" w:themeColor="text1"/>
                <w:szCs w:val="16"/>
              </w:rPr>
            </w:pPr>
            <w:r w:rsidRPr="005C29F8">
              <w:rPr>
                <w:rFonts w:cs="Arial"/>
                <w:color w:val="000000" w:themeColor="text1"/>
                <w:szCs w:val="16"/>
              </w:rPr>
              <w:t>10.00%</w:t>
            </w:r>
          </w:p>
        </w:tc>
        <w:tc>
          <w:tcPr>
            <w:tcW w:w="335" w:type="pct"/>
            <w:shd w:val="clear" w:color="auto" w:fill="auto"/>
            <w:vAlign w:val="center"/>
          </w:tcPr>
          <w:p w14:paraId="09D738EF" w14:textId="28C3ED31" w:rsidR="009F5EEA" w:rsidRPr="005C29F8" w:rsidRDefault="009F5EEA" w:rsidP="00A018D4">
            <w:pPr>
              <w:spacing w:before="0" w:after="0"/>
              <w:rPr>
                <w:rFonts w:cs="Arial"/>
                <w:color w:val="000000" w:themeColor="text1"/>
                <w:szCs w:val="16"/>
              </w:rPr>
            </w:pPr>
            <w:r w:rsidRPr="005C29F8">
              <w:rPr>
                <w:rFonts w:cs="Arial"/>
                <w:color w:val="000000" w:themeColor="text1"/>
                <w:szCs w:val="16"/>
              </w:rPr>
              <w:t>Actual</w:t>
            </w:r>
          </w:p>
        </w:tc>
        <w:tc>
          <w:tcPr>
            <w:tcW w:w="683" w:type="pct"/>
            <w:shd w:val="clear" w:color="auto" w:fill="auto"/>
            <w:vAlign w:val="bottom"/>
          </w:tcPr>
          <w:p w14:paraId="20AFEDE9" w14:textId="32769F7B" w:rsidR="009F5EEA" w:rsidRPr="005C29F8" w:rsidRDefault="009F5EEA" w:rsidP="00A018D4">
            <w:pPr>
              <w:jc w:val="center"/>
              <w:rPr>
                <w:rFonts w:cs="Arial"/>
                <w:color w:val="000000" w:themeColor="text1"/>
                <w:szCs w:val="16"/>
              </w:rPr>
            </w:pPr>
            <w:r w:rsidRPr="005C29F8">
              <w:rPr>
                <w:rFonts w:cs="Arial"/>
                <w:color w:val="000000" w:themeColor="text1"/>
                <w:szCs w:val="16"/>
              </w:rPr>
              <w:t>7.98%</w:t>
            </w:r>
          </w:p>
        </w:tc>
        <w:tc>
          <w:tcPr>
            <w:tcW w:w="684" w:type="pct"/>
            <w:tcBorders>
              <w:bottom w:val="single" w:sz="4" w:space="0" w:color="auto"/>
            </w:tcBorders>
            <w:shd w:val="clear" w:color="auto" w:fill="auto"/>
            <w:vAlign w:val="bottom"/>
          </w:tcPr>
          <w:p w14:paraId="1846C941" w14:textId="218BCD53" w:rsidR="009F5EEA" w:rsidRPr="005C29F8" w:rsidRDefault="009F5EEA" w:rsidP="00A018D4">
            <w:pPr>
              <w:jc w:val="center"/>
              <w:rPr>
                <w:rFonts w:cs="Arial"/>
                <w:color w:val="000000" w:themeColor="text1"/>
                <w:szCs w:val="16"/>
              </w:rPr>
            </w:pPr>
            <w:r w:rsidRPr="005C29F8">
              <w:rPr>
                <w:rFonts w:cs="Arial"/>
                <w:color w:val="000000" w:themeColor="text1"/>
                <w:szCs w:val="16"/>
              </w:rPr>
              <w:t>6.86%</w:t>
            </w:r>
          </w:p>
        </w:tc>
        <w:tc>
          <w:tcPr>
            <w:tcW w:w="684" w:type="pct"/>
            <w:tcBorders>
              <w:bottom w:val="single" w:sz="4" w:space="0" w:color="auto"/>
            </w:tcBorders>
            <w:shd w:val="clear" w:color="auto" w:fill="auto"/>
            <w:vAlign w:val="bottom"/>
          </w:tcPr>
          <w:p w14:paraId="6EA392A2" w14:textId="30FB9779" w:rsidR="009F5EEA" w:rsidRPr="005C29F8" w:rsidRDefault="009F5EEA" w:rsidP="00A018D4">
            <w:pPr>
              <w:jc w:val="center"/>
              <w:rPr>
                <w:rFonts w:cs="Arial"/>
                <w:color w:val="000000" w:themeColor="text1"/>
                <w:szCs w:val="16"/>
              </w:rPr>
            </w:pPr>
            <w:r w:rsidRPr="005C29F8">
              <w:rPr>
                <w:rFonts w:cs="Arial"/>
                <w:color w:val="000000" w:themeColor="text1"/>
                <w:szCs w:val="16"/>
              </w:rPr>
              <w:t>8.83%</w:t>
            </w:r>
          </w:p>
        </w:tc>
        <w:tc>
          <w:tcPr>
            <w:tcW w:w="684" w:type="pct"/>
            <w:tcBorders>
              <w:bottom w:val="single" w:sz="4" w:space="0" w:color="auto"/>
            </w:tcBorders>
            <w:shd w:val="clear" w:color="auto" w:fill="auto"/>
            <w:vAlign w:val="bottom"/>
          </w:tcPr>
          <w:p w14:paraId="143D50C2" w14:textId="5204B1F0" w:rsidR="009F5EEA" w:rsidRPr="005C29F8" w:rsidRDefault="009F5EEA" w:rsidP="00A018D4">
            <w:pPr>
              <w:jc w:val="center"/>
              <w:rPr>
                <w:rFonts w:cs="Arial"/>
                <w:color w:val="000000" w:themeColor="text1"/>
                <w:szCs w:val="16"/>
              </w:rPr>
            </w:pPr>
            <w:r w:rsidRPr="005C29F8">
              <w:rPr>
                <w:rFonts w:cs="Arial"/>
                <w:color w:val="000000" w:themeColor="text1"/>
                <w:szCs w:val="16"/>
              </w:rPr>
              <w:t>9.73%</w:t>
            </w:r>
          </w:p>
        </w:tc>
        <w:tc>
          <w:tcPr>
            <w:tcW w:w="682" w:type="pct"/>
            <w:tcBorders>
              <w:bottom w:val="single" w:sz="4" w:space="0" w:color="auto"/>
            </w:tcBorders>
            <w:shd w:val="clear" w:color="auto" w:fill="auto"/>
            <w:vAlign w:val="bottom"/>
          </w:tcPr>
          <w:p w14:paraId="0F4FD85A" w14:textId="0F627091" w:rsidR="009F5EEA" w:rsidRPr="005C29F8" w:rsidRDefault="009F5EEA" w:rsidP="00A018D4">
            <w:pPr>
              <w:jc w:val="center"/>
              <w:rPr>
                <w:rFonts w:cs="Arial"/>
                <w:color w:val="000000" w:themeColor="text1"/>
                <w:szCs w:val="16"/>
              </w:rPr>
            </w:pPr>
            <w:r w:rsidRPr="005C29F8">
              <w:rPr>
                <w:rFonts w:cs="Arial"/>
                <w:color w:val="000000" w:themeColor="text1"/>
                <w:szCs w:val="16"/>
              </w:rPr>
              <w:t>4.75%</w:t>
            </w:r>
          </w:p>
        </w:tc>
      </w:tr>
    </w:tbl>
    <w:p w14:paraId="764C016B" w14:textId="48180105" w:rsidR="00A10323" w:rsidRDefault="00A10323" w:rsidP="004369B2">
      <w:pPr>
        <w:rPr>
          <w:b/>
          <w:color w:val="000000" w:themeColor="text1"/>
        </w:rPr>
      </w:pPr>
      <w:r w:rsidRPr="005C29F8">
        <w:rPr>
          <w:b/>
          <w:color w:val="000000" w:themeColor="text1"/>
        </w:rPr>
        <w:t>Targets</w:t>
      </w:r>
    </w:p>
    <w:tbl>
      <w:tblPr>
        <w:tblW w:w="3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TARGETS"/>
      </w:tblPr>
      <w:tblGrid>
        <w:gridCol w:w="813"/>
        <w:gridCol w:w="753"/>
        <w:gridCol w:w="2149"/>
        <w:gridCol w:w="3680"/>
      </w:tblGrid>
      <w:tr w:rsidR="00085D89" w:rsidRPr="005C29F8" w14:paraId="6FE97918" w14:textId="6786F570" w:rsidTr="0033429D">
        <w:tc>
          <w:tcPr>
            <w:tcW w:w="550" w:type="pct"/>
            <w:tcBorders>
              <w:bottom w:val="single" w:sz="4" w:space="0" w:color="auto"/>
            </w:tcBorders>
            <w:shd w:val="clear" w:color="auto" w:fill="auto"/>
          </w:tcPr>
          <w:p w14:paraId="5CDF6985" w14:textId="5342FC63" w:rsidR="00085D89" w:rsidRPr="005C29F8" w:rsidRDefault="002B6965" w:rsidP="004369B2">
            <w:pPr>
              <w:jc w:val="center"/>
              <w:rPr>
                <w:b/>
                <w:color w:val="000000" w:themeColor="text1"/>
              </w:rPr>
            </w:pPr>
            <w:r>
              <w:rPr>
                <w:b/>
                <w:color w:val="000000" w:themeColor="text1"/>
              </w:rPr>
              <w:t>Subject</w:t>
            </w:r>
          </w:p>
        </w:tc>
        <w:tc>
          <w:tcPr>
            <w:tcW w:w="509" w:type="pct"/>
            <w:tcBorders>
              <w:bottom w:val="single" w:sz="4" w:space="0" w:color="auto"/>
            </w:tcBorders>
            <w:shd w:val="clear" w:color="auto" w:fill="auto"/>
          </w:tcPr>
          <w:p w14:paraId="01DFF2B4" w14:textId="2094C240" w:rsidR="00085D89" w:rsidRPr="005C29F8" w:rsidRDefault="00085D89" w:rsidP="004369B2">
            <w:pPr>
              <w:jc w:val="center"/>
              <w:rPr>
                <w:b/>
                <w:color w:val="000000" w:themeColor="text1"/>
              </w:rPr>
            </w:pPr>
            <w:r w:rsidRPr="005C29F8">
              <w:rPr>
                <w:b/>
                <w:color w:val="000000" w:themeColor="text1"/>
              </w:rPr>
              <w:t>Group</w:t>
            </w:r>
          </w:p>
        </w:tc>
        <w:tc>
          <w:tcPr>
            <w:tcW w:w="1453" w:type="pct"/>
            <w:shd w:val="clear" w:color="auto" w:fill="auto"/>
          </w:tcPr>
          <w:p w14:paraId="3976F221" w14:textId="32F28582" w:rsidR="00085D89" w:rsidRPr="005C29F8" w:rsidDel="008E7B87" w:rsidRDefault="00085D89" w:rsidP="004369B2">
            <w:pPr>
              <w:jc w:val="center"/>
              <w:rPr>
                <w:b/>
                <w:color w:val="000000" w:themeColor="text1"/>
              </w:rPr>
            </w:pPr>
            <w:r w:rsidRPr="005C29F8">
              <w:rPr>
                <w:b/>
                <w:color w:val="000000" w:themeColor="text1"/>
              </w:rPr>
              <w:t>Group Name</w:t>
            </w:r>
          </w:p>
        </w:tc>
        <w:tc>
          <w:tcPr>
            <w:tcW w:w="2488" w:type="pct"/>
            <w:shd w:val="clear" w:color="auto" w:fill="auto"/>
          </w:tcPr>
          <w:p w14:paraId="076E9FA3" w14:textId="2BDFEC53" w:rsidR="00085D89" w:rsidRPr="005C29F8" w:rsidRDefault="00085D89" w:rsidP="004369B2">
            <w:pPr>
              <w:jc w:val="center"/>
              <w:rPr>
                <w:b/>
                <w:color w:val="000000" w:themeColor="text1"/>
              </w:rPr>
            </w:pPr>
            <w:r w:rsidRPr="005C29F8">
              <w:rPr>
                <w:b/>
                <w:color w:val="000000" w:themeColor="text1"/>
              </w:rPr>
              <w:t>2019</w:t>
            </w:r>
          </w:p>
        </w:tc>
      </w:tr>
      <w:tr w:rsidR="00085D89" w:rsidRPr="005C29F8" w14:paraId="24016D03" w14:textId="13B6AD79" w:rsidTr="00085D89">
        <w:tc>
          <w:tcPr>
            <w:tcW w:w="550" w:type="pct"/>
            <w:shd w:val="clear" w:color="auto" w:fill="auto"/>
          </w:tcPr>
          <w:p w14:paraId="6AD78348"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Reading</w:t>
            </w:r>
          </w:p>
        </w:tc>
        <w:tc>
          <w:tcPr>
            <w:tcW w:w="509" w:type="pct"/>
            <w:shd w:val="clear" w:color="auto" w:fill="auto"/>
            <w:vAlign w:val="center"/>
          </w:tcPr>
          <w:p w14:paraId="68D451C5" w14:textId="0D62DF33"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10A86524" w14:textId="5A0D56E6"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3451F312" w14:textId="2295E6F6" w:rsidR="00085D89" w:rsidRPr="005C29F8" w:rsidRDefault="00085D89" w:rsidP="00A018D4">
            <w:pPr>
              <w:jc w:val="center"/>
              <w:rPr>
                <w:rFonts w:cs="Arial"/>
                <w:color w:val="000000" w:themeColor="text1"/>
                <w:szCs w:val="16"/>
              </w:rPr>
            </w:pPr>
            <w:r w:rsidRPr="005C29F8">
              <w:rPr>
                <w:rFonts w:cs="Arial"/>
                <w:color w:val="000000" w:themeColor="text1"/>
                <w:szCs w:val="16"/>
              </w:rPr>
              <w:t>60.00%</w:t>
            </w:r>
          </w:p>
        </w:tc>
      </w:tr>
      <w:tr w:rsidR="00085D89" w:rsidRPr="005C29F8" w14:paraId="4D7E1CB4" w14:textId="424ACF7D" w:rsidTr="00085D89">
        <w:tc>
          <w:tcPr>
            <w:tcW w:w="550" w:type="pct"/>
            <w:shd w:val="clear" w:color="auto" w:fill="auto"/>
          </w:tcPr>
          <w:p w14:paraId="3E17FC71" w14:textId="77777777"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Math</w:t>
            </w:r>
          </w:p>
        </w:tc>
        <w:tc>
          <w:tcPr>
            <w:tcW w:w="509" w:type="pct"/>
            <w:shd w:val="clear" w:color="auto" w:fill="auto"/>
          </w:tcPr>
          <w:p w14:paraId="393C59D6" w14:textId="4FA6AC82" w:rsidR="00085D89" w:rsidRPr="005C29F8" w:rsidRDefault="00085D89" w:rsidP="00EC2237">
            <w:pPr>
              <w:spacing w:before="0" w:after="0"/>
              <w:jc w:val="center"/>
              <w:rPr>
                <w:rFonts w:cs="Arial"/>
                <w:color w:val="000000" w:themeColor="text1"/>
                <w:szCs w:val="16"/>
              </w:rPr>
            </w:pPr>
            <w:r w:rsidRPr="005C29F8">
              <w:rPr>
                <w:rFonts w:cs="Arial"/>
                <w:color w:val="000000" w:themeColor="text1"/>
                <w:szCs w:val="16"/>
              </w:rPr>
              <w:t>A &gt;=</w:t>
            </w:r>
          </w:p>
        </w:tc>
        <w:tc>
          <w:tcPr>
            <w:tcW w:w="1453" w:type="pct"/>
            <w:shd w:val="clear" w:color="auto" w:fill="auto"/>
          </w:tcPr>
          <w:p w14:paraId="06CBBAA1" w14:textId="37FD6A87" w:rsidR="00085D89" w:rsidRPr="005C29F8" w:rsidDel="00DE5045" w:rsidRDefault="00085D89" w:rsidP="00A018D4">
            <w:pPr>
              <w:jc w:val="center"/>
              <w:rPr>
                <w:rFonts w:cs="Arial"/>
                <w:color w:val="000000" w:themeColor="text1"/>
                <w:szCs w:val="16"/>
              </w:rPr>
            </w:pPr>
            <w:r w:rsidRPr="005C29F8">
              <w:rPr>
                <w:rFonts w:cs="Arial"/>
                <w:color w:val="000000" w:themeColor="text1"/>
                <w:szCs w:val="16"/>
              </w:rPr>
              <w:t>Overall</w:t>
            </w:r>
          </w:p>
        </w:tc>
        <w:tc>
          <w:tcPr>
            <w:tcW w:w="2488" w:type="pct"/>
            <w:shd w:val="clear" w:color="auto" w:fill="auto"/>
            <w:vAlign w:val="center"/>
          </w:tcPr>
          <w:p w14:paraId="5B4F37F7" w14:textId="0586B65B" w:rsidR="00085D89" w:rsidRPr="005C29F8" w:rsidRDefault="00085D89" w:rsidP="00A018D4">
            <w:pPr>
              <w:jc w:val="center"/>
              <w:rPr>
                <w:rFonts w:cs="Arial"/>
                <w:color w:val="000000" w:themeColor="text1"/>
                <w:szCs w:val="16"/>
              </w:rPr>
            </w:pPr>
            <w:r w:rsidRPr="005C29F8">
              <w:rPr>
                <w:rFonts w:cs="Arial"/>
                <w:color w:val="000000" w:themeColor="text1"/>
                <w:szCs w:val="16"/>
              </w:rPr>
              <w:t>60.00%</w:t>
            </w:r>
          </w:p>
        </w:tc>
      </w:tr>
    </w:tbl>
    <w:p w14:paraId="0A08A514" w14:textId="2DB51945" w:rsidR="002D145D" w:rsidRDefault="002D145D" w:rsidP="004369B2">
      <w:pPr>
        <w:rPr>
          <w:b/>
          <w:color w:val="000000" w:themeColor="text1"/>
        </w:rPr>
      </w:pPr>
      <w:r w:rsidRPr="005C29F8">
        <w:rPr>
          <w:b/>
          <w:color w:val="000000" w:themeColor="text1"/>
        </w:rPr>
        <w:t xml:space="preserve">Targets: Description of Stakeholder Input </w:t>
      </w:r>
    </w:p>
    <w:p w14:paraId="2261CE05" w14:textId="31E113F2"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r w:rsidRPr="005C29F8">
        <w:rPr>
          <w:rFonts w:cs="Arial"/>
          <w:color w:val="000000" w:themeColor="text1"/>
          <w:szCs w:val="16"/>
        </w:rPr>
        <w:br/>
      </w:r>
      <w:r w:rsidRPr="005C29F8">
        <w:rPr>
          <w:rFonts w:cs="Arial"/>
          <w:color w:val="000000" w:themeColor="text1"/>
          <w:szCs w:val="16"/>
        </w:rPr>
        <w:br/>
        <w:t>Due to the COVID-19 pandemic and school closures throughout the nation, all schools did not administer the Spring 2020 state-wide assessments.  Per OSEP's instruction, it is understood that Indicator 3 data will not be submitted by any state or entity for FFY 2019.</w:t>
      </w:r>
    </w:p>
    <w:p w14:paraId="4A15E54A" w14:textId="77777777" w:rsidR="00B8751C" w:rsidRPr="005C29F8" w:rsidRDefault="00B8751C">
      <w:pPr>
        <w:rPr>
          <w:b/>
          <w:color w:val="000000" w:themeColor="text1"/>
        </w:rPr>
      </w:pPr>
    </w:p>
    <w:p w14:paraId="01651096" w14:textId="65437481" w:rsidR="000A5A2E" w:rsidRPr="005C29F8" w:rsidRDefault="000A5A2E">
      <w:pPr>
        <w:rPr>
          <w:b/>
          <w:color w:val="000000" w:themeColor="text1"/>
        </w:rPr>
      </w:pPr>
      <w:r w:rsidRPr="005C29F8">
        <w:rPr>
          <w:b/>
          <w:color w:val="000000" w:themeColor="text1"/>
        </w:rPr>
        <w:lastRenderedPageBreak/>
        <w:t xml:space="preserve">FFY 2019 Data Disaggregation from </w:t>
      </w:r>
      <w:proofErr w:type="spellStart"/>
      <w:r w:rsidRPr="005C29F8">
        <w:rPr>
          <w:b/>
          <w:color w:val="000000" w:themeColor="text1"/>
        </w:rPr>
        <w:t>EDFacts</w:t>
      </w:r>
      <w:proofErr w:type="spellEnd"/>
    </w:p>
    <w:p w14:paraId="4A1354B9" w14:textId="4BC8E3AA" w:rsidR="00B8751C" w:rsidRPr="005C29F8" w:rsidRDefault="00B8751C">
      <w:pPr>
        <w:rPr>
          <w:rFonts w:cs="Arial"/>
          <w:b/>
          <w:color w:val="000000" w:themeColor="text1"/>
          <w:szCs w:val="16"/>
        </w:rPr>
      </w:pPr>
      <w:r w:rsidRPr="005C29F8">
        <w:rPr>
          <w:rFonts w:cs="Arial"/>
          <w:b/>
          <w:color w:val="000000" w:themeColor="text1"/>
          <w:szCs w:val="16"/>
        </w:rPr>
        <w:t>Include the disaggregated data in your final SPP/APR. (yes/no)</w:t>
      </w:r>
    </w:p>
    <w:p w14:paraId="74D2BC48" w14:textId="2C845965" w:rsidR="00B8751C" w:rsidRPr="005C29F8" w:rsidRDefault="00B8751C" w:rsidP="004369B2">
      <w:pPr>
        <w:rPr>
          <w:color w:val="000000" w:themeColor="text1"/>
        </w:rPr>
      </w:pPr>
      <w:r w:rsidRPr="005C29F8">
        <w:rPr>
          <w:rFonts w:cs="Arial"/>
          <w:color w:val="000000" w:themeColor="text1"/>
          <w:szCs w:val="16"/>
        </w:rPr>
        <w:t>YES</w:t>
      </w:r>
    </w:p>
    <w:p w14:paraId="42AECFE6"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Data Source: </w:t>
      </w:r>
    </w:p>
    <w:p w14:paraId="4E62FCFE" w14:textId="0B9900E2" w:rsidR="00A10323" w:rsidRPr="005C29F8" w:rsidRDefault="002B7490" w:rsidP="00286BDF">
      <w:pPr>
        <w:rPr>
          <w:rFonts w:cs="Arial"/>
          <w:color w:val="000000" w:themeColor="text1"/>
          <w:szCs w:val="16"/>
        </w:rPr>
      </w:pPr>
      <w:r w:rsidRPr="005C29F8">
        <w:rPr>
          <w:rFonts w:cs="Arial"/>
          <w:color w:val="000000" w:themeColor="text1"/>
          <w:szCs w:val="16"/>
        </w:rPr>
        <w:t>SY 2019-20 Assessment Data Groups - Reading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FS178; Data Group: 584)</w:t>
      </w:r>
    </w:p>
    <w:p w14:paraId="5E404A07" w14:textId="77777777" w:rsidR="00F41DFF" w:rsidRPr="005C29F8" w:rsidRDefault="00A10323" w:rsidP="00286BDF">
      <w:pPr>
        <w:rPr>
          <w:rFonts w:cs="Arial"/>
          <w:b/>
          <w:color w:val="000000" w:themeColor="text1"/>
          <w:szCs w:val="16"/>
        </w:rPr>
      </w:pPr>
      <w:r w:rsidRPr="005C29F8">
        <w:rPr>
          <w:rFonts w:cs="Arial"/>
          <w:b/>
          <w:color w:val="000000" w:themeColor="text1"/>
          <w:szCs w:val="16"/>
        </w:rPr>
        <w:t xml:space="preserve">Date: </w:t>
      </w:r>
    </w:p>
    <w:p w14:paraId="46908A6B" w14:textId="07C3945A" w:rsidR="00A10323" w:rsidRPr="005C29F8" w:rsidRDefault="00A10323" w:rsidP="00286BDF">
      <w:pPr>
        <w:rPr>
          <w:rFonts w:cs="Arial"/>
          <w:color w:val="000000" w:themeColor="text1"/>
          <w:szCs w:val="16"/>
        </w:rPr>
      </w:pPr>
    </w:p>
    <w:p w14:paraId="7A786FF9" w14:textId="77777777" w:rsidR="00A63347" w:rsidRPr="005C29F8" w:rsidRDefault="00A63347">
      <w:pPr>
        <w:rPr>
          <w:b/>
          <w:color w:val="000000" w:themeColor="text1"/>
        </w:rPr>
      </w:pPr>
    </w:p>
    <w:p w14:paraId="603FD8CB" w14:textId="2DBE4B25" w:rsidR="00162F4A" w:rsidRPr="005C29F8" w:rsidRDefault="00162F4A">
      <w:pPr>
        <w:rPr>
          <w:b/>
          <w:color w:val="000000" w:themeColor="text1"/>
        </w:rPr>
      </w:pPr>
      <w:r w:rsidRPr="005C29F8">
        <w:rPr>
          <w:b/>
          <w:color w:val="000000" w:themeColor="text1"/>
        </w:rPr>
        <w:t>Reading Proficiency Data by Grade</w:t>
      </w:r>
    </w:p>
    <w:tbl>
      <w:tblPr>
        <w:tblStyle w:val="TableGrid"/>
        <w:tblW w:w="0" w:type="auto"/>
        <w:tblLayout w:type="fixed"/>
        <w:tblLook w:val="04A0" w:firstRow="1" w:lastRow="0" w:firstColumn="1" w:lastColumn="0" w:noHBand="0" w:noVBand="1"/>
        <w:tblCaption w:val="B03CASSPARTDATABYGRDRLA"/>
      </w:tblPr>
      <w:tblGrid>
        <w:gridCol w:w="1795"/>
        <w:gridCol w:w="810"/>
        <w:gridCol w:w="900"/>
        <w:gridCol w:w="720"/>
        <w:gridCol w:w="900"/>
        <w:gridCol w:w="810"/>
        <w:gridCol w:w="810"/>
        <w:gridCol w:w="810"/>
        <w:gridCol w:w="810"/>
        <w:gridCol w:w="810"/>
        <w:gridCol w:w="810"/>
        <w:gridCol w:w="805"/>
      </w:tblGrid>
      <w:tr w:rsidR="005C29F8" w:rsidRPr="005C29F8" w14:paraId="428FB0F7" w14:textId="08DAAE1B" w:rsidTr="00AB0D6A">
        <w:trPr>
          <w:tblHeader/>
        </w:trPr>
        <w:tc>
          <w:tcPr>
            <w:tcW w:w="1795" w:type="dxa"/>
            <w:shd w:val="clear" w:color="auto" w:fill="auto"/>
          </w:tcPr>
          <w:p w14:paraId="3C2A5B11" w14:textId="5D9E5182"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3FF46CFF" w14:textId="385448B3"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1F0659F7" w14:textId="58EC34DC"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51B61EB6" w14:textId="676D3EB3"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52C51EFB" w14:textId="7482683D"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F426E7A" w14:textId="2C3FB294"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629542B8" w14:textId="32DC43BB"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132D6530" w14:textId="08A8802D"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4F8F9BD5" w14:textId="702D209D"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535A1976" w14:textId="49D22332"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6DBADB5F" w14:textId="33B8ABDE"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4855EE3E" w14:textId="520F4910" w:rsidR="000013E5" w:rsidRPr="005C29F8" w:rsidRDefault="000013E5" w:rsidP="004369B2">
            <w:pPr>
              <w:jc w:val="center"/>
              <w:rPr>
                <w:b/>
                <w:color w:val="000000" w:themeColor="text1"/>
              </w:rPr>
            </w:pPr>
            <w:r w:rsidRPr="005C29F8">
              <w:rPr>
                <w:b/>
                <w:color w:val="000000" w:themeColor="text1"/>
              </w:rPr>
              <w:t>HS</w:t>
            </w:r>
          </w:p>
        </w:tc>
      </w:tr>
      <w:tr w:rsidR="005C29F8" w:rsidRPr="005C29F8" w14:paraId="15C4E2F5" w14:textId="23A18F5A" w:rsidTr="00AB0D6A">
        <w:tc>
          <w:tcPr>
            <w:tcW w:w="1795" w:type="dxa"/>
            <w:shd w:val="clear" w:color="auto" w:fill="auto"/>
          </w:tcPr>
          <w:p w14:paraId="1D84B931" w14:textId="28E46D65" w:rsidR="000013E5" w:rsidRPr="005C29F8" w:rsidRDefault="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07C14EE4" w14:textId="021BBA49" w:rsidR="000013E5" w:rsidRPr="005C29F8" w:rsidRDefault="000013E5">
            <w:pPr>
              <w:rPr>
                <w:b/>
                <w:color w:val="000000" w:themeColor="text1"/>
              </w:rPr>
            </w:pPr>
          </w:p>
        </w:tc>
        <w:tc>
          <w:tcPr>
            <w:tcW w:w="900" w:type="dxa"/>
            <w:shd w:val="clear" w:color="auto" w:fill="auto"/>
          </w:tcPr>
          <w:p w14:paraId="1DFC3C40" w14:textId="57D1B48C" w:rsidR="000013E5" w:rsidRPr="005C29F8" w:rsidRDefault="000013E5">
            <w:pPr>
              <w:rPr>
                <w:b/>
                <w:color w:val="000000" w:themeColor="text1"/>
              </w:rPr>
            </w:pPr>
          </w:p>
        </w:tc>
        <w:tc>
          <w:tcPr>
            <w:tcW w:w="720" w:type="dxa"/>
            <w:shd w:val="clear" w:color="auto" w:fill="auto"/>
          </w:tcPr>
          <w:p w14:paraId="70A0184C" w14:textId="2C6E5544" w:rsidR="000013E5" w:rsidRPr="005C29F8" w:rsidRDefault="000013E5">
            <w:pPr>
              <w:rPr>
                <w:b/>
                <w:color w:val="000000" w:themeColor="text1"/>
              </w:rPr>
            </w:pPr>
          </w:p>
        </w:tc>
        <w:tc>
          <w:tcPr>
            <w:tcW w:w="900" w:type="dxa"/>
            <w:shd w:val="clear" w:color="auto" w:fill="auto"/>
          </w:tcPr>
          <w:p w14:paraId="48D10C87" w14:textId="33739589" w:rsidR="000013E5" w:rsidRPr="005C29F8" w:rsidRDefault="000013E5">
            <w:pPr>
              <w:rPr>
                <w:b/>
                <w:color w:val="000000" w:themeColor="text1"/>
              </w:rPr>
            </w:pPr>
          </w:p>
        </w:tc>
        <w:tc>
          <w:tcPr>
            <w:tcW w:w="810" w:type="dxa"/>
            <w:shd w:val="clear" w:color="auto" w:fill="auto"/>
          </w:tcPr>
          <w:p w14:paraId="16DA66B2" w14:textId="61E79284" w:rsidR="000013E5" w:rsidRPr="005C29F8" w:rsidRDefault="000013E5">
            <w:pPr>
              <w:rPr>
                <w:b/>
                <w:color w:val="000000" w:themeColor="text1"/>
              </w:rPr>
            </w:pPr>
          </w:p>
        </w:tc>
        <w:tc>
          <w:tcPr>
            <w:tcW w:w="810" w:type="dxa"/>
            <w:shd w:val="clear" w:color="auto" w:fill="auto"/>
          </w:tcPr>
          <w:p w14:paraId="53A2715C" w14:textId="04C7172E" w:rsidR="000013E5" w:rsidRPr="005C29F8" w:rsidRDefault="000013E5">
            <w:pPr>
              <w:rPr>
                <w:b/>
                <w:color w:val="000000" w:themeColor="text1"/>
              </w:rPr>
            </w:pPr>
          </w:p>
        </w:tc>
        <w:tc>
          <w:tcPr>
            <w:tcW w:w="810" w:type="dxa"/>
            <w:shd w:val="clear" w:color="auto" w:fill="auto"/>
          </w:tcPr>
          <w:p w14:paraId="19E3C731" w14:textId="669E4F97" w:rsidR="000013E5" w:rsidRPr="005C29F8" w:rsidRDefault="000013E5">
            <w:pPr>
              <w:rPr>
                <w:b/>
                <w:color w:val="000000" w:themeColor="text1"/>
              </w:rPr>
            </w:pPr>
          </w:p>
        </w:tc>
        <w:tc>
          <w:tcPr>
            <w:tcW w:w="810" w:type="dxa"/>
            <w:shd w:val="clear" w:color="auto" w:fill="auto"/>
          </w:tcPr>
          <w:p w14:paraId="525D6470" w14:textId="55B862D4" w:rsidR="000013E5" w:rsidRPr="005C29F8" w:rsidRDefault="000013E5">
            <w:pPr>
              <w:rPr>
                <w:b/>
                <w:color w:val="000000" w:themeColor="text1"/>
              </w:rPr>
            </w:pPr>
          </w:p>
        </w:tc>
        <w:tc>
          <w:tcPr>
            <w:tcW w:w="810" w:type="dxa"/>
            <w:shd w:val="clear" w:color="auto" w:fill="auto"/>
          </w:tcPr>
          <w:p w14:paraId="63E2FB05" w14:textId="049569C7" w:rsidR="000013E5" w:rsidRPr="005C29F8" w:rsidRDefault="000013E5">
            <w:pPr>
              <w:rPr>
                <w:b/>
                <w:color w:val="000000" w:themeColor="text1"/>
              </w:rPr>
            </w:pPr>
          </w:p>
        </w:tc>
        <w:tc>
          <w:tcPr>
            <w:tcW w:w="810" w:type="dxa"/>
            <w:shd w:val="clear" w:color="auto" w:fill="auto"/>
          </w:tcPr>
          <w:p w14:paraId="7E740792" w14:textId="11687F1D" w:rsidR="000013E5" w:rsidRPr="005C29F8" w:rsidRDefault="000013E5">
            <w:pPr>
              <w:rPr>
                <w:b/>
                <w:color w:val="000000" w:themeColor="text1"/>
              </w:rPr>
            </w:pPr>
          </w:p>
        </w:tc>
        <w:tc>
          <w:tcPr>
            <w:tcW w:w="805" w:type="dxa"/>
            <w:shd w:val="clear" w:color="auto" w:fill="auto"/>
          </w:tcPr>
          <w:p w14:paraId="08052679" w14:textId="38276BFD" w:rsidR="000013E5" w:rsidRPr="005C29F8" w:rsidRDefault="000013E5">
            <w:pPr>
              <w:rPr>
                <w:b/>
                <w:color w:val="000000" w:themeColor="text1"/>
              </w:rPr>
            </w:pPr>
          </w:p>
        </w:tc>
      </w:tr>
      <w:tr w:rsidR="005C29F8" w:rsidRPr="005C29F8" w14:paraId="3BE009FE" w14:textId="48A19AF7" w:rsidTr="00AB0D6A">
        <w:tc>
          <w:tcPr>
            <w:tcW w:w="1795" w:type="dxa"/>
            <w:shd w:val="clear" w:color="auto" w:fill="auto"/>
          </w:tcPr>
          <w:p w14:paraId="3D43994F" w14:textId="3BD4A4E4"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55D5067" w14:textId="08B6B0DF" w:rsidR="000013E5" w:rsidRPr="005C29F8" w:rsidRDefault="000013E5" w:rsidP="000013E5">
            <w:pPr>
              <w:rPr>
                <w:b/>
                <w:color w:val="000000" w:themeColor="text1"/>
              </w:rPr>
            </w:pPr>
          </w:p>
        </w:tc>
        <w:tc>
          <w:tcPr>
            <w:tcW w:w="900" w:type="dxa"/>
            <w:shd w:val="clear" w:color="auto" w:fill="auto"/>
          </w:tcPr>
          <w:p w14:paraId="47E25E0D" w14:textId="496685FF" w:rsidR="000013E5" w:rsidRPr="005C29F8" w:rsidRDefault="000013E5" w:rsidP="000013E5">
            <w:pPr>
              <w:rPr>
                <w:b/>
                <w:color w:val="000000" w:themeColor="text1"/>
              </w:rPr>
            </w:pPr>
          </w:p>
        </w:tc>
        <w:tc>
          <w:tcPr>
            <w:tcW w:w="720" w:type="dxa"/>
            <w:shd w:val="clear" w:color="auto" w:fill="auto"/>
          </w:tcPr>
          <w:p w14:paraId="523F025F" w14:textId="0724881A" w:rsidR="000013E5" w:rsidRPr="005C29F8" w:rsidRDefault="000013E5" w:rsidP="000013E5">
            <w:pPr>
              <w:rPr>
                <w:b/>
                <w:color w:val="000000" w:themeColor="text1"/>
              </w:rPr>
            </w:pPr>
          </w:p>
        </w:tc>
        <w:tc>
          <w:tcPr>
            <w:tcW w:w="900" w:type="dxa"/>
            <w:shd w:val="clear" w:color="auto" w:fill="auto"/>
          </w:tcPr>
          <w:p w14:paraId="564AD4B2" w14:textId="5E49F5CF" w:rsidR="000013E5" w:rsidRPr="005C29F8" w:rsidRDefault="000013E5" w:rsidP="000013E5">
            <w:pPr>
              <w:rPr>
                <w:b/>
                <w:color w:val="000000" w:themeColor="text1"/>
              </w:rPr>
            </w:pPr>
          </w:p>
        </w:tc>
        <w:tc>
          <w:tcPr>
            <w:tcW w:w="810" w:type="dxa"/>
            <w:shd w:val="clear" w:color="auto" w:fill="auto"/>
          </w:tcPr>
          <w:p w14:paraId="0FCE96DF" w14:textId="7D37A4EE" w:rsidR="000013E5" w:rsidRPr="005C29F8" w:rsidRDefault="000013E5" w:rsidP="000013E5">
            <w:pPr>
              <w:rPr>
                <w:b/>
                <w:color w:val="000000" w:themeColor="text1"/>
              </w:rPr>
            </w:pPr>
          </w:p>
        </w:tc>
        <w:tc>
          <w:tcPr>
            <w:tcW w:w="810" w:type="dxa"/>
            <w:shd w:val="clear" w:color="auto" w:fill="auto"/>
          </w:tcPr>
          <w:p w14:paraId="037E9333" w14:textId="61B8E21A" w:rsidR="000013E5" w:rsidRPr="005C29F8" w:rsidRDefault="000013E5" w:rsidP="000013E5">
            <w:pPr>
              <w:rPr>
                <w:b/>
                <w:color w:val="000000" w:themeColor="text1"/>
              </w:rPr>
            </w:pPr>
          </w:p>
        </w:tc>
        <w:tc>
          <w:tcPr>
            <w:tcW w:w="810" w:type="dxa"/>
            <w:shd w:val="clear" w:color="auto" w:fill="auto"/>
          </w:tcPr>
          <w:p w14:paraId="29E1C91F" w14:textId="609985E0" w:rsidR="000013E5" w:rsidRPr="005C29F8" w:rsidRDefault="000013E5" w:rsidP="000013E5">
            <w:pPr>
              <w:rPr>
                <w:b/>
                <w:color w:val="000000" w:themeColor="text1"/>
              </w:rPr>
            </w:pPr>
          </w:p>
        </w:tc>
        <w:tc>
          <w:tcPr>
            <w:tcW w:w="810" w:type="dxa"/>
            <w:shd w:val="clear" w:color="auto" w:fill="auto"/>
          </w:tcPr>
          <w:p w14:paraId="55ED6993" w14:textId="1EAAF3EA" w:rsidR="000013E5" w:rsidRPr="005C29F8" w:rsidRDefault="000013E5" w:rsidP="000013E5">
            <w:pPr>
              <w:rPr>
                <w:b/>
                <w:color w:val="000000" w:themeColor="text1"/>
              </w:rPr>
            </w:pPr>
          </w:p>
        </w:tc>
        <w:tc>
          <w:tcPr>
            <w:tcW w:w="810" w:type="dxa"/>
            <w:shd w:val="clear" w:color="auto" w:fill="auto"/>
          </w:tcPr>
          <w:p w14:paraId="0FF818E7" w14:textId="5C13B8FB" w:rsidR="000013E5" w:rsidRPr="005C29F8" w:rsidRDefault="000013E5" w:rsidP="000013E5">
            <w:pPr>
              <w:rPr>
                <w:b/>
                <w:color w:val="000000" w:themeColor="text1"/>
              </w:rPr>
            </w:pPr>
          </w:p>
        </w:tc>
        <w:tc>
          <w:tcPr>
            <w:tcW w:w="810" w:type="dxa"/>
            <w:shd w:val="clear" w:color="auto" w:fill="auto"/>
          </w:tcPr>
          <w:p w14:paraId="4E1087FE" w14:textId="1AB73453" w:rsidR="000013E5" w:rsidRPr="005C29F8" w:rsidRDefault="000013E5" w:rsidP="000013E5">
            <w:pPr>
              <w:rPr>
                <w:b/>
                <w:color w:val="000000" w:themeColor="text1"/>
              </w:rPr>
            </w:pPr>
          </w:p>
        </w:tc>
        <w:tc>
          <w:tcPr>
            <w:tcW w:w="805" w:type="dxa"/>
            <w:shd w:val="clear" w:color="auto" w:fill="auto"/>
          </w:tcPr>
          <w:p w14:paraId="7AC2D99B" w14:textId="0C6BECDC" w:rsidR="000013E5" w:rsidRPr="005C29F8" w:rsidRDefault="000013E5" w:rsidP="000013E5">
            <w:pPr>
              <w:rPr>
                <w:b/>
                <w:color w:val="000000" w:themeColor="text1"/>
              </w:rPr>
            </w:pPr>
          </w:p>
        </w:tc>
      </w:tr>
      <w:tr w:rsidR="005C29F8" w:rsidRPr="005C29F8" w14:paraId="741EE88F" w14:textId="20231462" w:rsidTr="00AB0D6A">
        <w:tc>
          <w:tcPr>
            <w:tcW w:w="1795" w:type="dxa"/>
            <w:shd w:val="clear" w:color="auto" w:fill="auto"/>
          </w:tcPr>
          <w:p w14:paraId="1CEC3855" w14:textId="16A2B748"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2D39CD4D" w14:textId="56A70B03" w:rsidR="000013E5" w:rsidRPr="005C29F8" w:rsidRDefault="000013E5" w:rsidP="000013E5">
            <w:pPr>
              <w:rPr>
                <w:b/>
                <w:color w:val="000000" w:themeColor="text1"/>
              </w:rPr>
            </w:pPr>
          </w:p>
        </w:tc>
        <w:tc>
          <w:tcPr>
            <w:tcW w:w="900" w:type="dxa"/>
            <w:shd w:val="clear" w:color="auto" w:fill="auto"/>
          </w:tcPr>
          <w:p w14:paraId="1D85D433" w14:textId="25DF70B0" w:rsidR="000013E5" w:rsidRPr="005C29F8" w:rsidRDefault="000013E5" w:rsidP="000013E5">
            <w:pPr>
              <w:rPr>
                <w:b/>
                <w:color w:val="000000" w:themeColor="text1"/>
              </w:rPr>
            </w:pPr>
          </w:p>
        </w:tc>
        <w:tc>
          <w:tcPr>
            <w:tcW w:w="720" w:type="dxa"/>
            <w:shd w:val="clear" w:color="auto" w:fill="auto"/>
          </w:tcPr>
          <w:p w14:paraId="322A581C" w14:textId="6E4BD2BE" w:rsidR="000013E5" w:rsidRPr="005C29F8" w:rsidRDefault="000013E5" w:rsidP="000013E5">
            <w:pPr>
              <w:rPr>
                <w:b/>
                <w:color w:val="000000" w:themeColor="text1"/>
              </w:rPr>
            </w:pPr>
          </w:p>
        </w:tc>
        <w:tc>
          <w:tcPr>
            <w:tcW w:w="900" w:type="dxa"/>
            <w:shd w:val="clear" w:color="auto" w:fill="auto"/>
          </w:tcPr>
          <w:p w14:paraId="1D82EAC3" w14:textId="2DD38BE2" w:rsidR="000013E5" w:rsidRPr="005C29F8" w:rsidRDefault="000013E5" w:rsidP="000013E5">
            <w:pPr>
              <w:rPr>
                <w:b/>
                <w:color w:val="000000" w:themeColor="text1"/>
              </w:rPr>
            </w:pPr>
          </w:p>
        </w:tc>
        <w:tc>
          <w:tcPr>
            <w:tcW w:w="810" w:type="dxa"/>
            <w:shd w:val="clear" w:color="auto" w:fill="auto"/>
          </w:tcPr>
          <w:p w14:paraId="42750458" w14:textId="1981C24A" w:rsidR="000013E5" w:rsidRPr="005C29F8" w:rsidRDefault="000013E5" w:rsidP="000013E5">
            <w:pPr>
              <w:rPr>
                <w:b/>
                <w:color w:val="000000" w:themeColor="text1"/>
              </w:rPr>
            </w:pPr>
          </w:p>
        </w:tc>
        <w:tc>
          <w:tcPr>
            <w:tcW w:w="810" w:type="dxa"/>
            <w:shd w:val="clear" w:color="auto" w:fill="auto"/>
          </w:tcPr>
          <w:p w14:paraId="1E348514" w14:textId="00FF9ABD" w:rsidR="000013E5" w:rsidRPr="005C29F8" w:rsidRDefault="000013E5" w:rsidP="000013E5">
            <w:pPr>
              <w:rPr>
                <w:b/>
                <w:color w:val="000000" w:themeColor="text1"/>
              </w:rPr>
            </w:pPr>
          </w:p>
        </w:tc>
        <w:tc>
          <w:tcPr>
            <w:tcW w:w="810" w:type="dxa"/>
            <w:shd w:val="clear" w:color="auto" w:fill="auto"/>
          </w:tcPr>
          <w:p w14:paraId="5FE21353" w14:textId="2F5680E8" w:rsidR="000013E5" w:rsidRPr="005C29F8" w:rsidRDefault="000013E5" w:rsidP="000013E5">
            <w:pPr>
              <w:rPr>
                <w:b/>
                <w:color w:val="000000" w:themeColor="text1"/>
              </w:rPr>
            </w:pPr>
          </w:p>
        </w:tc>
        <w:tc>
          <w:tcPr>
            <w:tcW w:w="810" w:type="dxa"/>
            <w:shd w:val="clear" w:color="auto" w:fill="auto"/>
          </w:tcPr>
          <w:p w14:paraId="7F0C46CB" w14:textId="3AFA0ABF" w:rsidR="000013E5" w:rsidRPr="005C29F8" w:rsidRDefault="000013E5" w:rsidP="000013E5">
            <w:pPr>
              <w:rPr>
                <w:b/>
                <w:color w:val="000000" w:themeColor="text1"/>
              </w:rPr>
            </w:pPr>
          </w:p>
        </w:tc>
        <w:tc>
          <w:tcPr>
            <w:tcW w:w="810" w:type="dxa"/>
            <w:shd w:val="clear" w:color="auto" w:fill="auto"/>
          </w:tcPr>
          <w:p w14:paraId="1504CC50" w14:textId="33CC3564" w:rsidR="000013E5" w:rsidRPr="005C29F8" w:rsidRDefault="000013E5" w:rsidP="000013E5">
            <w:pPr>
              <w:rPr>
                <w:b/>
                <w:color w:val="000000" w:themeColor="text1"/>
              </w:rPr>
            </w:pPr>
          </w:p>
        </w:tc>
        <w:tc>
          <w:tcPr>
            <w:tcW w:w="810" w:type="dxa"/>
            <w:shd w:val="clear" w:color="auto" w:fill="auto"/>
          </w:tcPr>
          <w:p w14:paraId="44F3B40F" w14:textId="0A714A94" w:rsidR="000013E5" w:rsidRPr="005C29F8" w:rsidRDefault="000013E5" w:rsidP="000013E5">
            <w:pPr>
              <w:rPr>
                <w:b/>
                <w:color w:val="000000" w:themeColor="text1"/>
              </w:rPr>
            </w:pPr>
          </w:p>
        </w:tc>
        <w:tc>
          <w:tcPr>
            <w:tcW w:w="805" w:type="dxa"/>
            <w:shd w:val="clear" w:color="auto" w:fill="auto"/>
          </w:tcPr>
          <w:p w14:paraId="7CD1BDDA" w14:textId="315ED9B3" w:rsidR="000013E5" w:rsidRPr="005C29F8" w:rsidRDefault="000013E5" w:rsidP="000013E5">
            <w:pPr>
              <w:rPr>
                <w:b/>
                <w:color w:val="000000" w:themeColor="text1"/>
              </w:rPr>
            </w:pPr>
          </w:p>
        </w:tc>
      </w:tr>
      <w:tr w:rsidR="005C29F8" w:rsidRPr="005C29F8" w14:paraId="03FA4E09" w14:textId="156D54A0" w:rsidTr="00AB0D6A">
        <w:tc>
          <w:tcPr>
            <w:tcW w:w="1795" w:type="dxa"/>
            <w:shd w:val="clear" w:color="auto" w:fill="auto"/>
          </w:tcPr>
          <w:p w14:paraId="60CCAB6F" w14:textId="03B43A71"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26D9BA56" w14:textId="2ED4B022" w:rsidR="000013E5" w:rsidRPr="005C29F8" w:rsidRDefault="000013E5" w:rsidP="000013E5">
            <w:pPr>
              <w:rPr>
                <w:b/>
                <w:color w:val="000000" w:themeColor="text1"/>
              </w:rPr>
            </w:pPr>
          </w:p>
        </w:tc>
        <w:tc>
          <w:tcPr>
            <w:tcW w:w="900" w:type="dxa"/>
            <w:shd w:val="clear" w:color="auto" w:fill="auto"/>
          </w:tcPr>
          <w:p w14:paraId="09CE3622" w14:textId="35340652" w:rsidR="000013E5" w:rsidRPr="005C29F8" w:rsidRDefault="000013E5" w:rsidP="000013E5">
            <w:pPr>
              <w:rPr>
                <w:b/>
                <w:color w:val="000000" w:themeColor="text1"/>
              </w:rPr>
            </w:pPr>
          </w:p>
        </w:tc>
        <w:tc>
          <w:tcPr>
            <w:tcW w:w="720" w:type="dxa"/>
            <w:shd w:val="clear" w:color="auto" w:fill="auto"/>
          </w:tcPr>
          <w:p w14:paraId="46FF755E" w14:textId="53050A18" w:rsidR="000013E5" w:rsidRPr="005C29F8" w:rsidRDefault="000013E5" w:rsidP="000013E5">
            <w:pPr>
              <w:rPr>
                <w:b/>
                <w:color w:val="000000" w:themeColor="text1"/>
              </w:rPr>
            </w:pPr>
          </w:p>
        </w:tc>
        <w:tc>
          <w:tcPr>
            <w:tcW w:w="900" w:type="dxa"/>
            <w:shd w:val="clear" w:color="auto" w:fill="auto"/>
          </w:tcPr>
          <w:p w14:paraId="514667C5" w14:textId="421E986D" w:rsidR="000013E5" w:rsidRPr="005C29F8" w:rsidRDefault="000013E5" w:rsidP="000013E5">
            <w:pPr>
              <w:rPr>
                <w:b/>
                <w:color w:val="000000" w:themeColor="text1"/>
              </w:rPr>
            </w:pPr>
          </w:p>
        </w:tc>
        <w:tc>
          <w:tcPr>
            <w:tcW w:w="810" w:type="dxa"/>
            <w:shd w:val="clear" w:color="auto" w:fill="auto"/>
          </w:tcPr>
          <w:p w14:paraId="1507DB7E" w14:textId="328FFE1E" w:rsidR="000013E5" w:rsidRPr="005C29F8" w:rsidRDefault="000013E5" w:rsidP="000013E5">
            <w:pPr>
              <w:rPr>
                <w:b/>
                <w:color w:val="000000" w:themeColor="text1"/>
              </w:rPr>
            </w:pPr>
          </w:p>
        </w:tc>
        <w:tc>
          <w:tcPr>
            <w:tcW w:w="810" w:type="dxa"/>
            <w:shd w:val="clear" w:color="auto" w:fill="auto"/>
          </w:tcPr>
          <w:p w14:paraId="697C2BF7" w14:textId="06F24C25" w:rsidR="000013E5" w:rsidRPr="005C29F8" w:rsidRDefault="000013E5" w:rsidP="000013E5">
            <w:pPr>
              <w:rPr>
                <w:b/>
                <w:color w:val="000000" w:themeColor="text1"/>
              </w:rPr>
            </w:pPr>
          </w:p>
        </w:tc>
        <w:tc>
          <w:tcPr>
            <w:tcW w:w="810" w:type="dxa"/>
            <w:shd w:val="clear" w:color="auto" w:fill="auto"/>
          </w:tcPr>
          <w:p w14:paraId="5BAF8F9A" w14:textId="33329A74" w:rsidR="000013E5" w:rsidRPr="005C29F8" w:rsidRDefault="000013E5" w:rsidP="000013E5">
            <w:pPr>
              <w:rPr>
                <w:b/>
                <w:color w:val="000000" w:themeColor="text1"/>
              </w:rPr>
            </w:pPr>
          </w:p>
        </w:tc>
        <w:tc>
          <w:tcPr>
            <w:tcW w:w="810" w:type="dxa"/>
            <w:shd w:val="clear" w:color="auto" w:fill="auto"/>
          </w:tcPr>
          <w:p w14:paraId="7924DDDC" w14:textId="65E40D49" w:rsidR="000013E5" w:rsidRPr="005C29F8" w:rsidRDefault="000013E5" w:rsidP="000013E5">
            <w:pPr>
              <w:rPr>
                <w:b/>
                <w:color w:val="000000" w:themeColor="text1"/>
              </w:rPr>
            </w:pPr>
          </w:p>
        </w:tc>
        <w:tc>
          <w:tcPr>
            <w:tcW w:w="810" w:type="dxa"/>
            <w:shd w:val="clear" w:color="auto" w:fill="auto"/>
          </w:tcPr>
          <w:p w14:paraId="166035BD" w14:textId="0E4210FD" w:rsidR="000013E5" w:rsidRPr="005C29F8" w:rsidRDefault="000013E5" w:rsidP="000013E5">
            <w:pPr>
              <w:rPr>
                <w:b/>
                <w:color w:val="000000" w:themeColor="text1"/>
              </w:rPr>
            </w:pPr>
          </w:p>
        </w:tc>
        <w:tc>
          <w:tcPr>
            <w:tcW w:w="810" w:type="dxa"/>
            <w:shd w:val="clear" w:color="auto" w:fill="auto"/>
          </w:tcPr>
          <w:p w14:paraId="0727A156" w14:textId="6A4FA00B" w:rsidR="000013E5" w:rsidRPr="005C29F8" w:rsidRDefault="000013E5" w:rsidP="000013E5">
            <w:pPr>
              <w:rPr>
                <w:b/>
                <w:color w:val="000000" w:themeColor="text1"/>
              </w:rPr>
            </w:pPr>
          </w:p>
        </w:tc>
        <w:tc>
          <w:tcPr>
            <w:tcW w:w="805" w:type="dxa"/>
            <w:shd w:val="clear" w:color="auto" w:fill="auto"/>
          </w:tcPr>
          <w:p w14:paraId="1E543E7E" w14:textId="3D36A9A2" w:rsidR="000013E5" w:rsidRPr="005C29F8" w:rsidRDefault="000013E5" w:rsidP="000013E5">
            <w:pPr>
              <w:rPr>
                <w:b/>
                <w:color w:val="000000" w:themeColor="text1"/>
              </w:rPr>
            </w:pPr>
          </w:p>
        </w:tc>
      </w:tr>
    </w:tbl>
    <w:p w14:paraId="31899BDA"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Data Source:  </w:t>
      </w:r>
    </w:p>
    <w:p w14:paraId="6AEE1AE1" w14:textId="785594EB" w:rsidR="00BD7229" w:rsidRPr="005C29F8" w:rsidRDefault="002B7490" w:rsidP="00286BDF">
      <w:pPr>
        <w:rPr>
          <w:rFonts w:cs="Arial"/>
          <w:color w:val="000000" w:themeColor="text1"/>
          <w:szCs w:val="16"/>
        </w:rPr>
      </w:pPr>
      <w:r w:rsidRPr="005C29F8">
        <w:rPr>
          <w:rFonts w:cs="Arial"/>
          <w:color w:val="000000" w:themeColor="text1"/>
          <w:szCs w:val="16"/>
        </w:rPr>
        <w:t>SY 2019-20 Assessment Data Groups - Math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FS175; Data Group: 583)</w:t>
      </w:r>
    </w:p>
    <w:p w14:paraId="59F25B6E" w14:textId="77777777" w:rsidR="00F41DFF" w:rsidRPr="005C29F8" w:rsidRDefault="00BD7229" w:rsidP="00286BDF">
      <w:pPr>
        <w:rPr>
          <w:rFonts w:cs="Arial"/>
          <w:b/>
          <w:color w:val="000000" w:themeColor="text1"/>
          <w:szCs w:val="16"/>
        </w:rPr>
      </w:pPr>
      <w:r w:rsidRPr="005C29F8">
        <w:rPr>
          <w:rFonts w:cs="Arial"/>
          <w:b/>
          <w:color w:val="000000" w:themeColor="text1"/>
          <w:szCs w:val="16"/>
        </w:rPr>
        <w:t xml:space="preserve">Date: </w:t>
      </w:r>
    </w:p>
    <w:p w14:paraId="4B8A206D" w14:textId="36B0E5E5" w:rsidR="00BD7229" w:rsidRPr="005C29F8" w:rsidRDefault="00BD7229" w:rsidP="00286BDF">
      <w:pPr>
        <w:rPr>
          <w:rFonts w:cs="Arial"/>
          <w:color w:val="000000" w:themeColor="text1"/>
          <w:szCs w:val="16"/>
        </w:rPr>
      </w:pPr>
    </w:p>
    <w:p w14:paraId="3365AF3D" w14:textId="23A2A80C" w:rsidR="00162F4A" w:rsidRPr="005C29F8" w:rsidRDefault="00162F4A">
      <w:pPr>
        <w:rPr>
          <w:b/>
          <w:color w:val="000000" w:themeColor="text1"/>
        </w:rPr>
      </w:pPr>
      <w:r w:rsidRPr="005C29F8">
        <w:rPr>
          <w:b/>
          <w:color w:val="000000" w:themeColor="text1"/>
        </w:rPr>
        <w:t>Math Proficiency Data by Grade</w:t>
      </w:r>
    </w:p>
    <w:tbl>
      <w:tblPr>
        <w:tblStyle w:val="TableGrid"/>
        <w:tblW w:w="0" w:type="auto"/>
        <w:tblLayout w:type="fixed"/>
        <w:tblLook w:val="04A0" w:firstRow="1" w:lastRow="0" w:firstColumn="1" w:lastColumn="0" w:noHBand="0" w:noVBand="1"/>
        <w:tblCaption w:val="B03CASSPARTDATABYGRDMATH"/>
      </w:tblPr>
      <w:tblGrid>
        <w:gridCol w:w="1795"/>
        <w:gridCol w:w="810"/>
        <w:gridCol w:w="900"/>
        <w:gridCol w:w="720"/>
        <w:gridCol w:w="900"/>
        <w:gridCol w:w="810"/>
        <w:gridCol w:w="810"/>
        <w:gridCol w:w="810"/>
        <w:gridCol w:w="810"/>
        <w:gridCol w:w="810"/>
        <w:gridCol w:w="810"/>
        <w:gridCol w:w="805"/>
      </w:tblGrid>
      <w:tr w:rsidR="005C29F8" w:rsidRPr="005C29F8" w14:paraId="62DE1B1F" w14:textId="77777777" w:rsidTr="00AB0D6A">
        <w:trPr>
          <w:tblHeader/>
        </w:trPr>
        <w:tc>
          <w:tcPr>
            <w:tcW w:w="1795" w:type="dxa"/>
            <w:shd w:val="clear" w:color="auto" w:fill="auto"/>
          </w:tcPr>
          <w:p w14:paraId="190C09EE" w14:textId="77777777" w:rsidR="000013E5" w:rsidRPr="005C29F8" w:rsidRDefault="000013E5" w:rsidP="004369B2">
            <w:pPr>
              <w:jc w:val="center"/>
              <w:rPr>
                <w:b/>
                <w:color w:val="000000" w:themeColor="text1"/>
              </w:rPr>
            </w:pPr>
            <w:r w:rsidRPr="005C29F8">
              <w:rPr>
                <w:b/>
                <w:color w:val="000000" w:themeColor="text1"/>
              </w:rPr>
              <w:t>Grade</w:t>
            </w:r>
          </w:p>
        </w:tc>
        <w:tc>
          <w:tcPr>
            <w:tcW w:w="810" w:type="dxa"/>
            <w:shd w:val="clear" w:color="auto" w:fill="auto"/>
          </w:tcPr>
          <w:p w14:paraId="7DE5B404" w14:textId="77777777" w:rsidR="000013E5" w:rsidRPr="005C29F8" w:rsidRDefault="000013E5" w:rsidP="004369B2">
            <w:pPr>
              <w:jc w:val="center"/>
              <w:rPr>
                <w:b/>
                <w:color w:val="000000" w:themeColor="text1"/>
              </w:rPr>
            </w:pPr>
            <w:r w:rsidRPr="005C29F8">
              <w:rPr>
                <w:b/>
                <w:color w:val="000000" w:themeColor="text1"/>
              </w:rPr>
              <w:t>3</w:t>
            </w:r>
          </w:p>
        </w:tc>
        <w:tc>
          <w:tcPr>
            <w:tcW w:w="900" w:type="dxa"/>
            <w:shd w:val="clear" w:color="auto" w:fill="auto"/>
          </w:tcPr>
          <w:p w14:paraId="7038055F" w14:textId="77777777" w:rsidR="000013E5" w:rsidRPr="005C29F8" w:rsidRDefault="000013E5" w:rsidP="004369B2">
            <w:pPr>
              <w:jc w:val="center"/>
              <w:rPr>
                <w:b/>
                <w:color w:val="000000" w:themeColor="text1"/>
              </w:rPr>
            </w:pPr>
            <w:r w:rsidRPr="005C29F8">
              <w:rPr>
                <w:b/>
                <w:color w:val="000000" w:themeColor="text1"/>
              </w:rPr>
              <w:t>4</w:t>
            </w:r>
          </w:p>
        </w:tc>
        <w:tc>
          <w:tcPr>
            <w:tcW w:w="720" w:type="dxa"/>
            <w:shd w:val="clear" w:color="auto" w:fill="auto"/>
          </w:tcPr>
          <w:p w14:paraId="3032FA89" w14:textId="77777777" w:rsidR="000013E5" w:rsidRPr="005C29F8" w:rsidRDefault="000013E5" w:rsidP="004369B2">
            <w:pPr>
              <w:jc w:val="center"/>
              <w:rPr>
                <w:b/>
                <w:color w:val="000000" w:themeColor="text1"/>
              </w:rPr>
            </w:pPr>
            <w:r w:rsidRPr="005C29F8">
              <w:rPr>
                <w:b/>
                <w:color w:val="000000" w:themeColor="text1"/>
              </w:rPr>
              <w:t>5</w:t>
            </w:r>
          </w:p>
        </w:tc>
        <w:tc>
          <w:tcPr>
            <w:tcW w:w="900" w:type="dxa"/>
            <w:shd w:val="clear" w:color="auto" w:fill="auto"/>
          </w:tcPr>
          <w:p w14:paraId="2EC21856" w14:textId="77777777" w:rsidR="000013E5" w:rsidRPr="005C29F8" w:rsidRDefault="000013E5" w:rsidP="004369B2">
            <w:pPr>
              <w:jc w:val="center"/>
              <w:rPr>
                <w:b/>
                <w:color w:val="000000" w:themeColor="text1"/>
              </w:rPr>
            </w:pPr>
            <w:r w:rsidRPr="005C29F8">
              <w:rPr>
                <w:b/>
                <w:color w:val="000000" w:themeColor="text1"/>
              </w:rPr>
              <w:t>6</w:t>
            </w:r>
          </w:p>
        </w:tc>
        <w:tc>
          <w:tcPr>
            <w:tcW w:w="810" w:type="dxa"/>
            <w:shd w:val="clear" w:color="auto" w:fill="auto"/>
          </w:tcPr>
          <w:p w14:paraId="672C686B" w14:textId="77777777" w:rsidR="000013E5" w:rsidRPr="005C29F8" w:rsidRDefault="000013E5" w:rsidP="004369B2">
            <w:pPr>
              <w:jc w:val="center"/>
              <w:rPr>
                <w:b/>
                <w:color w:val="000000" w:themeColor="text1"/>
              </w:rPr>
            </w:pPr>
            <w:r w:rsidRPr="005C29F8">
              <w:rPr>
                <w:b/>
                <w:color w:val="000000" w:themeColor="text1"/>
              </w:rPr>
              <w:t>7</w:t>
            </w:r>
          </w:p>
        </w:tc>
        <w:tc>
          <w:tcPr>
            <w:tcW w:w="810" w:type="dxa"/>
            <w:shd w:val="clear" w:color="auto" w:fill="auto"/>
          </w:tcPr>
          <w:p w14:paraId="2DAEAE29" w14:textId="77777777" w:rsidR="000013E5" w:rsidRPr="005C29F8" w:rsidRDefault="000013E5" w:rsidP="004369B2">
            <w:pPr>
              <w:jc w:val="center"/>
              <w:rPr>
                <w:b/>
                <w:color w:val="000000" w:themeColor="text1"/>
              </w:rPr>
            </w:pPr>
            <w:r w:rsidRPr="005C29F8">
              <w:rPr>
                <w:b/>
                <w:color w:val="000000" w:themeColor="text1"/>
              </w:rPr>
              <w:t>8</w:t>
            </w:r>
          </w:p>
        </w:tc>
        <w:tc>
          <w:tcPr>
            <w:tcW w:w="810" w:type="dxa"/>
            <w:shd w:val="clear" w:color="auto" w:fill="auto"/>
          </w:tcPr>
          <w:p w14:paraId="215C13D8" w14:textId="77777777" w:rsidR="000013E5" w:rsidRPr="005C29F8" w:rsidRDefault="000013E5" w:rsidP="004369B2">
            <w:pPr>
              <w:jc w:val="center"/>
              <w:rPr>
                <w:b/>
                <w:color w:val="000000" w:themeColor="text1"/>
              </w:rPr>
            </w:pPr>
            <w:r w:rsidRPr="005C29F8">
              <w:rPr>
                <w:b/>
                <w:color w:val="000000" w:themeColor="text1"/>
              </w:rPr>
              <w:t>9</w:t>
            </w:r>
          </w:p>
        </w:tc>
        <w:tc>
          <w:tcPr>
            <w:tcW w:w="810" w:type="dxa"/>
            <w:shd w:val="clear" w:color="auto" w:fill="auto"/>
          </w:tcPr>
          <w:p w14:paraId="6471FABE" w14:textId="77777777" w:rsidR="000013E5" w:rsidRPr="005C29F8" w:rsidRDefault="000013E5" w:rsidP="004369B2">
            <w:pPr>
              <w:jc w:val="center"/>
              <w:rPr>
                <w:b/>
                <w:color w:val="000000" w:themeColor="text1"/>
              </w:rPr>
            </w:pPr>
            <w:r w:rsidRPr="005C29F8">
              <w:rPr>
                <w:b/>
                <w:color w:val="000000" w:themeColor="text1"/>
              </w:rPr>
              <w:t>10</w:t>
            </w:r>
          </w:p>
        </w:tc>
        <w:tc>
          <w:tcPr>
            <w:tcW w:w="810" w:type="dxa"/>
            <w:shd w:val="clear" w:color="auto" w:fill="auto"/>
          </w:tcPr>
          <w:p w14:paraId="03AD2A7C" w14:textId="77777777" w:rsidR="000013E5" w:rsidRPr="005C29F8" w:rsidRDefault="000013E5" w:rsidP="004369B2">
            <w:pPr>
              <w:jc w:val="center"/>
              <w:rPr>
                <w:b/>
                <w:color w:val="000000" w:themeColor="text1"/>
              </w:rPr>
            </w:pPr>
            <w:r w:rsidRPr="005C29F8">
              <w:rPr>
                <w:b/>
                <w:color w:val="000000" w:themeColor="text1"/>
              </w:rPr>
              <w:t>11</w:t>
            </w:r>
          </w:p>
        </w:tc>
        <w:tc>
          <w:tcPr>
            <w:tcW w:w="810" w:type="dxa"/>
            <w:shd w:val="clear" w:color="auto" w:fill="auto"/>
          </w:tcPr>
          <w:p w14:paraId="25439A42" w14:textId="77777777" w:rsidR="000013E5" w:rsidRPr="005C29F8" w:rsidRDefault="000013E5" w:rsidP="004369B2">
            <w:pPr>
              <w:jc w:val="center"/>
              <w:rPr>
                <w:b/>
                <w:color w:val="000000" w:themeColor="text1"/>
              </w:rPr>
            </w:pPr>
            <w:r w:rsidRPr="005C29F8">
              <w:rPr>
                <w:b/>
                <w:color w:val="000000" w:themeColor="text1"/>
              </w:rPr>
              <w:t>12</w:t>
            </w:r>
          </w:p>
        </w:tc>
        <w:tc>
          <w:tcPr>
            <w:tcW w:w="805" w:type="dxa"/>
            <w:shd w:val="clear" w:color="auto" w:fill="auto"/>
          </w:tcPr>
          <w:p w14:paraId="2D81AD32" w14:textId="77777777" w:rsidR="000013E5" w:rsidRPr="005C29F8" w:rsidRDefault="000013E5" w:rsidP="004369B2">
            <w:pPr>
              <w:jc w:val="center"/>
              <w:rPr>
                <w:b/>
                <w:color w:val="000000" w:themeColor="text1"/>
              </w:rPr>
            </w:pPr>
            <w:r w:rsidRPr="005C29F8">
              <w:rPr>
                <w:b/>
                <w:color w:val="000000" w:themeColor="text1"/>
              </w:rPr>
              <w:t>HS</w:t>
            </w:r>
          </w:p>
        </w:tc>
      </w:tr>
      <w:tr w:rsidR="005C29F8" w:rsidRPr="005C29F8" w14:paraId="33333988" w14:textId="77777777" w:rsidTr="00AB0D6A">
        <w:tc>
          <w:tcPr>
            <w:tcW w:w="1795" w:type="dxa"/>
            <w:shd w:val="clear" w:color="auto" w:fill="auto"/>
          </w:tcPr>
          <w:p w14:paraId="7DC36ACB" w14:textId="77777777" w:rsidR="000013E5" w:rsidRPr="005C29F8" w:rsidRDefault="000013E5" w:rsidP="000013E5">
            <w:pPr>
              <w:rPr>
                <w:b/>
                <w:color w:val="000000" w:themeColor="text1"/>
              </w:rPr>
            </w:pPr>
            <w:r w:rsidRPr="005C29F8">
              <w:rPr>
                <w:color w:val="000000" w:themeColor="text1"/>
              </w:rPr>
              <w:t>a. Children with IEPs who received a valid score and a proficiency was assigned</w:t>
            </w:r>
          </w:p>
        </w:tc>
        <w:tc>
          <w:tcPr>
            <w:tcW w:w="810" w:type="dxa"/>
            <w:shd w:val="clear" w:color="auto" w:fill="auto"/>
          </w:tcPr>
          <w:p w14:paraId="4CE4FB96" w14:textId="0A687676" w:rsidR="000013E5" w:rsidRPr="005C29F8" w:rsidRDefault="000013E5" w:rsidP="000013E5">
            <w:pPr>
              <w:rPr>
                <w:b/>
                <w:color w:val="000000" w:themeColor="text1"/>
              </w:rPr>
            </w:pPr>
          </w:p>
        </w:tc>
        <w:tc>
          <w:tcPr>
            <w:tcW w:w="900" w:type="dxa"/>
            <w:shd w:val="clear" w:color="auto" w:fill="auto"/>
          </w:tcPr>
          <w:p w14:paraId="07947D7E" w14:textId="47074ABD" w:rsidR="000013E5" w:rsidRPr="005C29F8" w:rsidRDefault="000013E5" w:rsidP="000013E5">
            <w:pPr>
              <w:rPr>
                <w:b/>
                <w:color w:val="000000" w:themeColor="text1"/>
              </w:rPr>
            </w:pPr>
          </w:p>
        </w:tc>
        <w:tc>
          <w:tcPr>
            <w:tcW w:w="720" w:type="dxa"/>
            <w:shd w:val="clear" w:color="auto" w:fill="auto"/>
          </w:tcPr>
          <w:p w14:paraId="669EEFA3" w14:textId="09F33016" w:rsidR="000013E5" w:rsidRPr="005C29F8" w:rsidRDefault="000013E5" w:rsidP="000013E5">
            <w:pPr>
              <w:rPr>
                <w:b/>
                <w:color w:val="000000" w:themeColor="text1"/>
              </w:rPr>
            </w:pPr>
          </w:p>
        </w:tc>
        <w:tc>
          <w:tcPr>
            <w:tcW w:w="900" w:type="dxa"/>
            <w:shd w:val="clear" w:color="auto" w:fill="auto"/>
          </w:tcPr>
          <w:p w14:paraId="7A5C2823" w14:textId="5972199B" w:rsidR="000013E5" w:rsidRPr="005C29F8" w:rsidRDefault="000013E5" w:rsidP="000013E5">
            <w:pPr>
              <w:rPr>
                <w:b/>
                <w:color w:val="000000" w:themeColor="text1"/>
              </w:rPr>
            </w:pPr>
          </w:p>
        </w:tc>
        <w:tc>
          <w:tcPr>
            <w:tcW w:w="810" w:type="dxa"/>
            <w:shd w:val="clear" w:color="auto" w:fill="auto"/>
          </w:tcPr>
          <w:p w14:paraId="3C7CC472" w14:textId="0F346539" w:rsidR="000013E5" w:rsidRPr="005C29F8" w:rsidRDefault="000013E5" w:rsidP="000013E5">
            <w:pPr>
              <w:rPr>
                <w:b/>
                <w:color w:val="000000" w:themeColor="text1"/>
              </w:rPr>
            </w:pPr>
          </w:p>
        </w:tc>
        <w:tc>
          <w:tcPr>
            <w:tcW w:w="810" w:type="dxa"/>
            <w:shd w:val="clear" w:color="auto" w:fill="auto"/>
          </w:tcPr>
          <w:p w14:paraId="19891B77" w14:textId="51A4F8AF" w:rsidR="000013E5" w:rsidRPr="005C29F8" w:rsidRDefault="000013E5" w:rsidP="000013E5">
            <w:pPr>
              <w:rPr>
                <w:b/>
                <w:color w:val="000000" w:themeColor="text1"/>
              </w:rPr>
            </w:pPr>
          </w:p>
        </w:tc>
        <w:tc>
          <w:tcPr>
            <w:tcW w:w="810" w:type="dxa"/>
            <w:shd w:val="clear" w:color="auto" w:fill="auto"/>
          </w:tcPr>
          <w:p w14:paraId="3BEF53BC" w14:textId="13E8AABF" w:rsidR="000013E5" w:rsidRPr="005C29F8" w:rsidRDefault="000013E5" w:rsidP="000013E5">
            <w:pPr>
              <w:rPr>
                <w:b/>
                <w:color w:val="000000" w:themeColor="text1"/>
              </w:rPr>
            </w:pPr>
          </w:p>
        </w:tc>
        <w:tc>
          <w:tcPr>
            <w:tcW w:w="810" w:type="dxa"/>
            <w:shd w:val="clear" w:color="auto" w:fill="auto"/>
          </w:tcPr>
          <w:p w14:paraId="676C3347" w14:textId="0363D4E0" w:rsidR="000013E5" w:rsidRPr="005C29F8" w:rsidRDefault="000013E5" w:rsidP="000013E5">
            <w:pPr>
              <w:rPr>
                <w:b/>
                <w:color w:val="000000" w:themeColor="text1"/>
              </w:rPr>
            </w:pPr>
          </w:p>
        </w:tc>
        <w:tc>
          <w:tcPr>
            <w:tcW w:w="810" w:type="dxa"/>
            <w:shd w:val="clear" w:color="auto" w:fill="auto"/>
          </w:tcPr>
          <w:p w14:paraId="3CF81EC8" w14:textId="513EC91A" w:rsidR="000013E5" w:rsidRPr="005C29F8" w:rsidRDefault="000013E5" w:rsidP="000013E5">
            <w:pPr>
              <w:rPr>
                <w:b/>
                <w:color w:val="000000" w:themeColor="text1"/>
              </w:rPr>
            </w:pPr>
          </w:p>
        </w:tc>
        <w:tc>
          <w:tcPr>
            <w:tcW w:w="810" w:type="dxa"/>
            <w:shd w:val="clear" w:color="auto" w:fill="auto"/>
          </w:tcPr>
          <w:p w14:paraId="15C1BF64" w14:textId="228D49EF" w:rsidR="000013E5" w:rsidRPr="005C29F8" w:rsidRDefault="000013E5" w:rsidP="000013E5">
            <w:pPr>
              <w:rPr>
                <w:b/>
                <w:color w:val="000000" w:themeColor="text1"/>
              </w:rPr>
            </w:pPr>
          </w:p>
        </w:tc>
        <w:tc>
          <w:tcPr>
            <w:tcW w:w="805" w:type="dxa"/>
            <w:shd w:val="clear" w:color="auto" w:fill="auto"/>
          </w:tcPr>
          <w:p w14:paraId="44D825E9" w14:textId="3DC68396" w:rsidR="000013E5" w:rsidRPr="005C29F8" w:rsidRDefault="000013E5" w:rsidP="000013E5">
            <w:pPr>
              <w:rPr>
                <w:b/>
                <w:color w:val="000000" w:themeColor="text1"/>
              </w:rPr>
            </w:pPr>
          </w:p>
        </w:tc>
      </w:tr>
      <w:tr w:rsidR="005C29F8" w:rsidRPr="005C29F8" w14:paraId="7E58498F" w14:textId="77777777" w:rsidTr="00AB0D6A">
        <w:tc>
          <w:tcPr>
            <w:tcW w:w="1795" w:type="dxa"/>
            <w:shd w:val="clear" w:color="auto" w:fill="auto"/>
          </w:tcPr>
          <w:p w14:paraId="4F32E0BC" w14:textId="77777777" w:rsidR="000013E5" w:rsidRPr="005C29F8" w:rsidRDefault="000013E5" w:rsidP="000013E5">
            <w:pPr>
              <w:rPr>
                <w:b/>
                <w:color w:val="000000" w:themeColor="text1"/>
              </w:rPr>
            </w:pPr>
            <w:r w:rsidRPr="005C29F8">
              <w:rPr>
                <w:color w:val="000000" w:themeColor="text1"/>
              </w:rPr>
              <w:t>b. IEPs in regular assessment with no accommodations scored at or above proficient against grade level</w:t>
            </w:r>
          </w:p>
        </w:tc>
        <w:tc>
          <w:tcPr>
            <w:tcW w:w="810" w:type="dxa"/>
            <w:shd w:val="clear" w:color="auto" w:fill="auto"/>
          </w:tcPr>
          <w:p w14:paraId="6DE46D54" w14:textId="2C27DC50" w:rsidR="000013E5" w:rsidRPr="005C29F8" w:rsidRDefault="000013E5" w:rsidP="000013E5">
            <w:pPr>
              <w:rPr>
                <w:b/>
                <w:color w:val="000000" w:themeColor="text1"/>
              </w:rPr>
            </w:pPr>
          </w:p>
        </w:tc>
        <w:tc>
          <w:tcPr>
            <w:tcW w:w="900" w:type="dxa"/>
            <w:shd w:val="clear" w:color="auto" w:fill="auto"/>
          </w:tcPr>
          <w:p w14:paraId="6F4311F8" w14:textId="0B711CD6" w:rsidR="000013E5" w:rsidRPr="005C29F8" w:rsidRDefault="000013E5" w:rsidP="000013E5">
            <w:pPr>
              <w:rPr>
                <w:b/>
                <w:color w:val="000000" w:themeColor="text1"/>
              </w:rPr>
            </w:pPr>
          </w:p>
        </w:tc>
        <w:tc>
          <w:tcPr>
            <w:tcW w:w="720" w:type="dxa"/>
            <w:shd w:val="clear" w:color="auto" w:fill="auto"/>
          </w:tcPr>
          <w:p w14:paraId="7B154B01" w14:textId="34178A92" w:rsidR="000013E5" w:rsidRPr="005C29F8" w:rsidRDefault="000013E5" w:rsidP="000013E5">
            <w:pPr>
              <w:rPr>
                <w:b/>
                <w:color w:val="000000" w:themeColor="text1"/>
              </w:rPr>
            </w:pPr>
          </w:p>
        </w:tc>
        <w:tc>
          <w:tcPr>
            <w:tcW w:w="900" w:type="dxa"/>
            <w:shd w:val="clear" w:color="auto" w:fill="auto"/>
          </w:tcPr>
          <w:p w14:paraId="7AEB6590" w14:textId="1B5DD304" w:rsidR="000013E5" w:rsidRPr="005C29F8" w:rsidRDefault="000013E5" w:rsidP="000013E5">
            <w:pPr>
              <w:rPr>
                <w:b/>
                <w:color w:val="000000" w:themeColor="text1"/>
              </w:rPr>
            </w:pPr>
          </w:p>
        </w:tc>
        <w:tc>
          <w:tcPr>
            <w:tcW w:w="810" w:type="dxa"/>
            <w:shd w:val="clear" w:color="auto" w:fill="auto"/>
          </w:tcPr>
          <w:p w14:paraId="33A43D6C" w14:textId="1F82D57B" w:rsidR="000013E5" w:rsidRPr="005C29F8" w:rsidRDefault="000013E5" w:rsidP="000013E5">
            <w:pPr>
              <w:rPr>
                <w:b/>
                <w:color w:val="000000" w:themeColor="text1"/>
              </w:rPr>
            </w:pPr>
          </w:p>
        </w:tc>
        <w:tc>
          <w:tcPr>
            <w:tcW w:w="810" w:type="dxa"/>
            <w:shd w:val="clear" w:color="auto" w:fill="auto"/>
          </w:tcPr>
          <w:p w14:paraId="3ED538AB" w14:textId="0EDC5859" w:rsidR="000013E5" w:rsidRPr="005C29F8" w:rsidRDefault="000013E5" w:rsidP="000013E5">
            <w:pPr>
              <w:rPr>
                <w:b/>
                <w:color w:val="000000" w:themeColor="text1"/>
              </w:rPr>
            </w:pPr>
          </w:p>
        </w:tc>
        <w:tc>
          <w:tcPr>
            <w:tcW w:w="810" w:type="dxa"/>
            <w:shd w:val="clear" w:color="auto" w:fill="auto"/>
          </w:tcPr>
          <w:p w14:paraId="14EBC932" w14:textId="6A5DC7D8" w:rsidR="000013E5" w:rsidRPr="005C29F8" w:rsidRDefault="000013E5" w:rsidP="000013E5">
            <w:pPr>
              <w:rPr>
                <w:b/>
                <w:color w:val="000000" w:themeColor="text1"/>
              </w:rPr>
            </w:pPr>
          </w:p>
        </w:tc>
        <w:tc>
          <w:tcPr>
            <w:tcW w:w="810" w:type="dxa"/>
            <w:shd w:val="clear" w:color="auto" w:fill="auto"/>
          </w:tcPr>
          <w:p w14:paraId="34924B2C" w14:textId="202C9AF5" w:rsidR="000013E5" w:rsidRPr="005C29F8" w:rsidRDefault="000013E5" w:rsidP="000013E5">
            <w:pPr>
              <w:rPr>
                <w:b/>
                <w:color w:val="000000" w:themeColor="text1"/>
              </w:rPr>
            </w:pPr>
          </w:p>
        </w:tc>
        <w:tc>
          <w:tcPr>
            <w:tcW w:w="810" w:type="dxa"/>
            <w:shd w:val="clear" w:color="auto" w:fill="auto"/>
          </w:tcPr>
          <w:p w14:paraId="6B5A9FD0" w14:textId="0DC82BE2" w:rsidR="000013E5" w:rsidRPr="005C29F8" w:rsidRDefault="000013E5" w:rsidP="000013E5">
            <w:pPr>
              <w:rPr>
                <w:b/>
                <w:color w:val="000000" w:themeColor="text1"/>
              </w:rPr>
            </w:pPr>
          </w:p>
        </w:tc>
        <w:tc>
          <w:tcPr>
            <w:tcW w:w="810" w:type="dxa"/>
            <w:shd w:val="clear" w:color="auto" w:fill="auto"/>
          </w:tcPr>
          <w:p w14:paraId="0EB1DDAF" w14:textId="7EC67879" w:rsidR="000013E5" w:rsidRPr="005C29F8" w:rsidRDefault="000013E5" w:rsidP="000013E5">
            <w:pPr>
              <w:rPr>
                <w:b/>
                <w:color w:val="000000" w:themeColor="text1"/>
              </w:rPr>
            </w:pPr>
          </w:p>
        </w:tc>
        <w:tc>
          <w:tcPr>
            <w:tcW w:w="805" w:type="dxa"/>
            <w:shd w:val="clear" w:color="auto" w:fill="auto"/>
          </w:tcPr>
          <w:p w14:paraId="5892446F" w14:textId="5B738AD2" w:rsidR="000013E5" w:rsidRPr="005C29F8" w:rsidRDefault="000013E5" w:rsidP="000013E5">
            <w:pPr>
              <w:rPr>
                <w:b/>
                <w:color w:val="000000" w:themeColor="text1"/>
              </w:rPr>
            </w:pPr>
          </w:p>
        </w:tc>
      </w:tr>
      <w:tr w:rsidR="005C29F8" w:rsidRPr="005C29F8" w14:paraId="5144A9B2" w14:textId="77777777" w:rsidTr="00AB0D6A">
        <w:tc>
          <w:tcPr>
            <w:tcW w:w="1795" w:type="dxa"/>
            <w:shd w:val="clear" w:color="auto" w:fill="auto"/>
          </w:tcPr>
          <w:p w14:paraId="1C0B0117" w14:textId="77777777" w:rsidR="000013E5" w:rsidRPr="005C29F8" w:rsidRDefault="000013E5" w:rsidP="000013E5">
            <w:pPr>
              <w:rPr>
                <w:b/>
                <w:color w:val="000000" w:themeColor="text1"/>
              </w:rPr>
            </w:pPr>
            <w:r w:rsidRPr="005C29F8">
              <w:rPr>
                <w:color w:val="000000" w:themeColor="text1"/>
              </w:rPr>
              <w:t>c. IEPs in regular assessment with accommodations scored at or above proficient against grade level</w:t>
            </w:r>
          </w:p>
        </w:tc>
        <w:tc>
          <w:tcPr>
            <w:tcW w:w="810" w:type="dxa"/>
            <w:shd w:val="clear" w:color="auto" w:fill="auto"/>
          </w:tcPr>
          <w:p w14:paraId="6D3598DC" w14:textId="313ABDE7" w:rsidR="000013E5" w:rsidRPr="005C29F8" w:rsidRDefault="000013E5" w:rsidP="000013E5">
            <w:pPr>
              <w:rPr>
                <w:b/>
                <w:color w:val="000000" w:themeColor="text1"/>
              </w:rPr>
            </w:pPr>
          </w:p>
        </w:tc>
        <w:tc>
          <w:tcPr>
            <w:tcW w:w="900" w:type="dxa"/>
            <w:shd w:val="clear" w:color="auto" w:fill="auto"/>
          </w:tcPr>
          <w:p w14:paraId="3C361108" w14:textId="7A7E3AA3" w:rsidR="000013E5" w:rsidRPr="005C29F8" w:rsidRDefault="000013E5" w:rsidP="000013E5">
            <w:pPr>
              <w:rPr>
                <w:b/>
                <w:color w:val="000000" w:themeColor="text1"/>
              </w:rPr>
            </w:pPr>
          </w:p>
        </w:tc>
        <w:tc>
          <w:tcPr>
            <w:tcW w:w="720" w:type="dxa"/>
            <w:shd w:val="clear" w:color="auto" w:fill="auto"/>
          </w:tcPr>
          <w:p w14:paraId="013822F9" w14:textId="1F4AB74B" w:rsidR="000013E5" w:rsidRPr="005C29F8" w:rsidRDefault="000013E5" w:rsidP="000013E5">
            <w:pPr>
              <w:rPr>
                <w:b/>
                <w:color w:val="000000" w:themeColor="text1"/>
              </w:rPr>
            </w:pPr>
          </w:p>
        </w:tc>
        <w:tc>
          <w:tcPr>
            <w:tcW w:w="900" w:type="dxa"/>
            <w:shd w:val="clear" w:color="auto" w:fill="auto"/>
          </w:tcPr>
          <w:p w14:paraId="61A24D5F" w14:textId="112ADE81" w:rsidR="000013E5" w:rsidRPr="005C29F8" w:rsidRDefault="000013E5" w:rsidP="000013E5">
            <w:pPr>
              <w:rPr>
                <w:b/>
                <w:color w:val="000000" w:themeColor="text1"/>
              </w:rPr>
            </w:pPr>
          </w:p>
        </w:tc>
        <w:tc>
          <w:tcPr>
            <w:tcW w:w="810" w:type="dxa"/>
            <w:shd w:val="clear" w:color="auto" w:fill="auto"/>
          </w:tcPr>
          <w:p w14:paraId="2A7F2814" w14:textId="1DE6A74C" w:rsidR="000013E5" w:rsidRPr="005C29F8" w:rsidRDefault="000013E5" w:rsidP="000013E5">
            <w:pPr>
              <w:rPr>
                <w:b/>
                <w:color w:val="000000" w:themeColor="text1"/>
              </w:rPr>
            </w:pPr>
          </w:p>
        </w:tc>
        <w:tc>
          <w:tcPr>
            <w:tcW w:w="810" w:type="dxa"/>
            <w:shd w:val="clear" w:color="auto" w:fill="auto"/>
          </w:tcPr>
          <w:p w14:paraId="6B316227" w14:textId="38277DBC" w:rsidR="000013E5" w:rsidRPr="005C29F8" w:rsidRDefault="000013E5" w:rsidP="000013E5">
            <w:pPr>
              <w:rPr>
                <w:b/>
                <w:color w:val="000000" w:themeColor="text1"/>
              </w:rPr>
            </w:pPr>
          </w:p>
        </w:tc>
        <w:tc>
          <w:tcPr>
            <w:tcW w:w="810" w:type="dxa"/>
            <w:shd w:val="clear" w:color="auto" w:fill="auto"/>
          </w:tcPr>
          <w:p w14:paraId="608F58AB" w14:textId="6AE9AD72" w:rsidR="000013E5" w:rsidRPr="005C29F8" w:rsidRDefault="000013E5" w:rsidP="000013E5">
            <w:pPr>
              <w:rPr>
                <w:b/>
                <w:color w:val="000000" w:themeColor="text1"/>
              </w:rPr>
            </w:pPr>
          </w:p>
        </w:tc>
        <w:tc>
          <w:tcPr>
            <w:tcW w:w="810" w:type="dxa"/>
            <w:shd w:val="clear" w:color="auto" w:fill="auto"/>
          </w:tcPr>
          <w:p w14:paraId="7649848A" w14:textId="6492690D" w:rsidR="000013E5" w:rsidRPr="005C29F8" w:rsidRDefault="000013E5" w:rsidP="000013E5">
            <w:pPr>
              <w:rPr>
                <w:b/>
                <w:color w:val="000000" w:themeColor="text1"/>
              </w:rPr>
            </w:pPr>
          </w:p>
        </w:tc>
        <w:tc>
          <w:tcPr>
            <w:tcW w:w="810" w:type="dxa"/>
            <w:shd w:val="clear" w:color="auto" w:fill="auto"/>
          </w:tcPr>
          <w:p w14:paraId="7D6E9BF6" w14:textId="4612DD26" w:rsidR="000013E5" w:rsidRPr="005C29F8" w:rsidRDefault="000013E5" w:rsidP="000013E5">
            <w:pPr>
              <w:rPr>
                <w:b/>
                <w:color w:val="000000" w:themeColor="text1"/>
              </w:rPr>
            </w:pPr>
          </w:p>
        </w:tc>
        <w:tc>
          <w:tcPr>
            <w:tcW w:w="810" w:type="dxa"/>
            <w:shd w:val="clear" w:color="auto" w:fill="auto"/>
          </w:tcPr>
          <w:p w14:paraId="17623A0F" w14:textId="665550B3" w:rsidR="000013E5" w:rsidRPr="005C29F8" w:rsidRDefault="000013E5" w:rsidP="000013E5">
            <w:pPr>
              <w:rPr>
                <w:b/>
                <w:color w:val="000000" w:themeColor="text1"/>
              </w:rPr>
            </w:pPr>
          </w:p>
        </w:tc>
        <w:tc>
          <w:tcPr>
            <w:tcW w:w="805" w:type="dxa"/>
            <w:shd w:val="clear" w:color="auto" w:fill="auto"/>
          </w:tcPr>
          <w:p w14:paraId="2E5A1782" w14:textId="361B5F74" w:rsidR="000013E5" w:rsidRPr="005C29F8" w:rsidRDefault="000013E5" w:rsidP="000013E5">
            <w:pPr>
              <w:rPr>
                <w:b/>
                <w:color w:val="000000" w:themeColor="text1"/>
              </w:rPr>
            </w:pPr>
          </w:p>
        </w:tc>
      </w:tr>
      <w:tr w:rsidR="005C29F8" w:rsidRPr="005C29F8" w14:paraId="524BE8F5" w14:textId="77777777" w:rsidTr="00AB0D6A">
        <w:tc>
          <w:tcPr>
            <w:tcW w:w="1795" w:type="dxa"/>
            <w:shd w:val="clear" w:color="auto" w:fill="auto"/>
          </w:tcPr>
          <w:p w14:paraId="522EF8D7" w14:textId="77777777" w:rsidR="000013E5" w:rsidRPr="005C29F8" w:rsidRDefault="000013E5" w:rsidP="000013E5">
            <w:pPr>
              <w:rPr>
                <w:b/>
                <w:color w:val="000000" w:themeColor="text1"/>
              </w:rPr>
            </w:pPr>
            <w:r w:rsidRPr="005C29F8">
              <w:rPr>
                <w:color w:val="000000" w:themeColor="text1"/>
              </w:rPr>
              <w:t>f. IEPs in alternate assessment against alternate standards scored at or above proficient against grade level</w:t>
            </w:r>
          </w:p>
        </w:tc>
        <w:tc>
          <w:tcPr>
            <w:tcW w:w="810" w:type="dxa"/>
            <w:shd w:val="clear" w:color="auto" w:fill="auto"/>
          </w:tcPr>
          <w:p w14:paraId="6F0D2E83" w14:textId="7933CA14" w:rsidR="000013E5" w:rsidRPr="005C29F8" w:rsidRDefault="000013E5" w:rsidP="000013E5">
            <w:pPr>
              <w:rPr>
                <w:b/>
                <w:color w:val="000000" w:themeColor="text1"/>
              </w:rPr>
            </w:pPr>
          </w:p>
        </w:tc>
        <w:tc>
          <w:tcPr>
            <w:tcW w:w="900" w:type="dxa"/>
            <w:shd w:val="clear" w:color="auto" w:fill="auto"/>
          </w:tcPr>
          <w:p w14:paraId="67BE52B2" w14:textId="68A8ABF7" w:rsidR="000013E5" w:rsidRPr="005C29F8" w:rsidRDefault="000013E5" w:rsidP="000013E5">
            <w:pPr>
              <w:rPr>
                <w:b/>
                <w:color w:val="000000" w:themeColor="text1"/>
              </w:rPr>
            </w:pPr>
          </w:p>
        </w:tc>
        <w:tc>
          <w:tcPr>
            <w:tcW w:w="720" w:type="dxa"/>
            <w:shd w:val="clear" w:color="auto" w:fill="auto"/>
          </w:tcPr>
          <w:p w14:paraId="0B77614A" w14:textId="2B4DD81E" w:rsidR="000013E5" w:rsidRPr="005C29F8" w:rsidRDefault="000013E5" w:rsidP="000013E5">
            <w:pPr>
              <w:rPr>
                <w:b/>
                <w:color w:val="000000" w:themeColor="text1"/>
              </w:rPr>
            </w:pPr>
          </w:p>
        </w:tc>
        <w:tc>
          <w:tcPr>
            <w:tcW w:w="900" w:type="dxa"/>
            <w:shd w:val="clear" w:color="auto" w:fill="auto"/>
          </w:tcPr>
          <w:p w14:paraId="7DDC1990" w14:textId="214B34CC" w:rsidR="000013E5" w:rsidRPr="005C29F8" w:rsidRDefault="000013E5" w:rsidP="000013E5">
            <w:pPr>
              <w:rPr>
                <w:b/>
                <w:color w:val="000000" w:themeColor="text1"/>
              </w:rPr>
            </w:pPr>
          </w:p>
        </w:tc>
        <w:tc>
          <w:tcPr>
            <w:tcW w:w="810" w:type="dxa"/>
            <w:shd w:val="clear" w:color="auto" w:fill="auto"/>
          </w:tcPr>
          <w:p w14:paraId="7FCDA6AA" w14:textId="5B415465" w:rsidR="000013E5" w:rsidRPr="005C29F8" w:rsidRDefault="000013E5" w:rsidP="000013E5">
            <w:pPr>
              <w:rPr>
                <w:b/>
                <w:color w:val="000000" w:themeColor="text1"/>
              </w:rPr>
            </w:pPr>
          </w:p>
        </w:tc>
        <w:tc>
          <w:tcPr>
            <w:tcW w:w="810" w:type="dxa"/>
            <w:shd w:val="clear" w:color="auto" w:fill="auto"/>
          </w:tcPr>
          <w:p w14:paraId="0F7FC39E" w14:textId="2CE26676" w:rsidR="000013E5" w:rsidRPr="005C29F8" w:rsidRDefault="000013E5" w:rsidP="000013E5">
            <w:pPr>
              <w:rPr>
                <w:b/>
                <w:color w:val="000000" w:themeColor="text1"/>
              </w:rPr>
            </w:pPr>
          </w:p>
        </w:tc>
        <w:tc>
          <w:tcPr>
            <w:tcW w:w="810" w:type="dxa"/>
            <w:shd w:val="clear" w:color="auto" w:fill="auto"/>
          </w:tcPr>
          <w:p w14:paraId="3380419E" w14:textId="7A17F414" w:rsidR="000013E5" w:rsidRPr="005C29F8" w:rsidRDefault="000013E5" w:rsidP="000013E5">
            <w:pPr>
              <w:rPr>
                <w:b/>
                <w:color w:val="000000" w:themeColor="text1"/>
              </w:rPr>
            </w:pPr>
          </w:p>
        </w:tc>
        <w:tc>
          <w:tcPr>
            <w:tcW w:w="810" w:type="dxa"/>
            <w:shd w:val="clear" w:color="auto" w:fill="auto"/>
          </w:tcPr>
          <w:p w14:paraId="5A620D3C" w14:textId="66E64DE9" w:rsidR="000013E5" w:rsidRPr="005C29F8" w:rsidRDefault="000013E5" w:rsidP="000013E5">
            <w:pPr>
              <w:rPr>
                <w:b/>
                <w:color w:val="000000" w:themeColor="text1"/>
              </w:rPr>
            </w:pPr>
          </w:p>
        </w:tc>
        <w:tc>
          <w:tcPr>
            <w:tcW w:w="810" w:type="dxa"/>
            <w:shd w:val="clear" w:color="auto" w:fill="auto"/>
          </w:tcPr>
          <w:p w14:paraId="7EA29188" w14:textId="57EC67D4" w:rsidR="000013E5" w:rsidRPr="005C29F8" w:rsidRDefault="000013E5" w:rsidP="000013E5">
            <w:pPr>
              <w:rPr>
                <w:b/>
                <w:color w:val="000000" w:themeColor="text1"/>
              </w:rPr>
            </w:pPr>
          </w:p>
        </w:tc>
        <w:tc>
          <w:tcPr>
            <w:tcW w:w="810" w:type="dxa"/>
            <w:shd w:val="clear" w:color="auto" w:fill="auto"/>
          </w:tcPr>
          <w:p w14:paraId="3DB60D56" w14:textId="05FFEB65" w:rsidR="000013E5" w:rsidRPr="005C29F8" w:rsidRDefault="000013E5" w:rsidP="000013E5">
            <w:pPr>
              <w:rPr>
                <w:b/>
                <w:color w:val="000000" w:themeColor="text1"/>
              </w:rPr>
            </w:pPr>
          </w:p>
        </w:tc>
        <w:tc>
          <w:tcPr>
            <w:tcW w:w="805" w:type="dxa"/>
            <w:shd w:val="clear" w:color="auto" w:fill="auto"/>
          </w:tcPr>
          <w:p w14:paraId="0C2A6AB2" w14:textId="11936219" w:rsidR="000013E5" w:rsidRPr="005C29F8" w:rsidRDefault="000013E5" w:rsidP="000013E5">
            <w:pPr>
              <w:rPr>
                <w:b/>
                <w:color w:val="000000" w:themeColor="text1"/>
              </w:rPr>
            </w:pPr>
          </w:p>
        </w:tc>
      </w:tr>
    </w:tbl>
    <w:p w14:paraId="56C37F05" w14:textId="77777777" w:rsidR="00241BD0" w:rsidRPr="005C29F8" w:rsidRDefault="00241BD0" w:rsidP="004369B2">
      <w:pPr>
        <w:rPr>
          <w:color w:val="000000" w:themeColor="text1"/>
        </w:rPr>
      </w:pPr>
    </w:p>
    <w:p w14:paraId="0E0A129D" w14:textId="67D9686E" w:rsidR="00BD7229" w:rsidRDefault="00BD7229" w:rsidP="004369B2">
      <w:pPr>
        <w:rPr>
          <w:b/>
          <w:color w:val="000000" w:themeColor="text1"/>
        </w:rPr>
      </w:pPr>
      <w:r w:rsidRPr="005C29F8">
        <w:rPr>
          <w:b/>
          <w:color w:val="000000" w:themeColor="text1"/>
        </w:rPr>
        <w:t>FFY 2019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028"/>
        <w:gridCol w:w="1395"/>
        <w:gridCol w:w="1268"/>
        <w:gridCol w:w="1160"/>
        <w:gridCol w:w="1626"/>
        <w:gridCol w:w="1067"/>
        <w:gridCol w:w="1292"/>
        <w:gridCol w:w="1258"/>
      </w:tblGrid>
      <w:tr w:rsidR="005C29F8" w:rsidRPr="005C29F8" w14:paraId="73241F59" w14:textId="77777777" w:rsidTr="000C3A20">
        <w:trPr>
          <w:tblHeader/>
        </w:trPr>
        <w:tc>
          <w:tcPr>
            <w:tcW w:w="222" w:type="pct"/>
            <w:shd w:val="clear" w:color="auto" w:fill="auto"/>
            <w:vAlign w:val="bottom"/>
          </w:tcPr>
          <w:p w14:paraId="3378C689" w14:textId="77777777" w:rsidR="004E1F6F" w:rsidRPr="005C29F8" w:rsidRDefault="004E1F6F" w:rsidP="004369B2">
            <w:pPr>
              <w:jc w:val="center"/>
              <w:rPr>
                <w:b/>
                <w:color w:val="000000" w:themeColor="text1"/>
              </w:rPr>
            </w:pPr>
            <w:r w:rsidRPr="005C29F8">
              <w:rPr>
                <w:b/>
                <w:color w:val="000000" w:themeColor="text1"/>
              </w:rPr>
              <w:lastRenderedPageBreak/>
              <w:t>Group</w:t>
            </w:r>
          </w:p>
        </w:tc>
        <w:tc>
          <w:tcPr>
            <w:tcW w:w="489" w:type="pct"/>
            <w:shd w:val="clear" w:color="auto" w:fill="auto"/>
            <w:vAlign w:val="bottom"/>
          </w:tcPr>
          <w:p w14:paraId="34B96D6C" w14:textId="2E1BB35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3B6543C5" w14:textId="32158AFC" w:rsidR="004E1F6F" w:rsidRPr="005C29F8" w:rsidRDefault="003A481F" w:rsidP="004369B2">
            <w:pPr>
              <w:jc w:val="center"/>
              <w:rPr>
                <w:b/>
                <w:color w:val="000000" w:themeColor="text1"/>
              </w:rPr>
            </w:pPr>
            <w:r w:rsidRPr="005C29F8">
              <w:rPr>
                <w:b/>
                <w:color w:val="000000" w:themeColor="text1"/>
              </w:rPr>
              <w:t>Children with IEPs who received a valid score and a proficiency was assigned</w:t>
            </w:r>
          </w:p>
        </w:tc>
        <w:tc>
          <w:tcPr>
            <w:tcW w:w="600" w:type="pct"/>
            <w:shd w:val="clear" w:color="auto" w:fill="auto"/>
            <w:vAlign w:val="bottom"/>
          </w:tcPr>
          <w:p w14:paraId="36E5B9C7" w14:textId="7F81A8FB"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0" w:type="pct"/>
            <w:shd w:val="clear" w:color="auto" w:fill="auto"/>
            <w:vAlign w:val="bottom"/>
          </w:tcPr>
          <w:p w14:paraId="2614DFA3" w14:textId="1A882F90" w:rsidR="004E1F6F" w:rsidRPr="005C29F8" w:rsidRDefault="004E1F6F" w:rsidP="004369B2">
            <w:pPr>
              <w:jc w:val="center"/>
              <w:rPr>
                <w:b/>
                <w:color w:val="000000" w:themeColor="text1"/>
              </w:rPr>
            </w:pPr>
            <w:r w:rsidRPr="005C29F8">
              <w:rPr>
                <w:b/>
                <w:color w:val="000000" w:themeColor="text1"/>
              </w:rPr>
              <w:t>FFY 2018 Data</w:t>
            </w:r>
          </w:p>
        </w:tc>
        <w:tc>
          <w:tcPr>
            <w:tcW w:w="766" w:type="pct"/>
            <w:shd w:val="clear" w:color="auto" w:fill="auto"/>
            <w:vAlign w:val="bottom"/>
          </w:tcPr>
          <w:p w14:paraId="09D4299D" w14:textId="7595547E" w:rsidR="004E1F6F" w:rsidRPr="005C29F8" w:rsidRDefault="004E1F6F" w:rsidP="004369B2">
            <w:pPr>
              <w:jc w:val="center"/>
              <w:rPr>
                <w:b/>
                <w:color w:val="000000" w:themeColor="text1"/>
              </w:rPr>
            </w:pPr>
            <w:r w:rsidRPr="005C29F8">
              <w:rPr>
                <w:b/>
                <w:color w:val="000000" w:themeColor="text1"/>
              </w:rPr>
              <w:t>FFY 2019 Target</w:t>
            </w:r>
          </w:p>
        </w:tc>
        <w:tc>
          <w:tcPr>
            <w:tcW w:w="507" w:type="pct"/>
            <w:shd w:val="clear" w:color="auto" w:fill="auto"/>
            <w:vAlign w:val="bottom"/>
          </w:tcPr>
          <w:p w14:paraId="2B4D24C2" w14:textId="7CD753EA" w:rsidR="004E1F6F" w:rsidRPr="005C29F8" w:rsidRDefault="004E1F6F" w:rsidP="004369B2">
            <w:pPr>
              <w:jc w:val="center"/>
              <w:rPr>
                <w:b/>
                <w:color w:val="000000" w:themeColor="text1"/>
              </w:rPr>
            </w:pPr>
            <w:r w:rsidRPr="005C29F8">
              <w:rPr>
                <w:b/>
                <w:color w:val="000000" w:themeColor="text1"/>
              </w:rPr>
              <w:t>FFY 2019 Data</w:t>
            </w:r>
          </w:p>
        </w:tc>
        <w:tc>
          <w:tcPr>
            <w:tcW w:w="611" w:type="pct"/>
            <w:shd w:val="clear" w:color="auto" w:fill="auto"/>
            <w:vAlign w:val="bottom"/>
          </w:tcPr>
          <w:p w14:paraId="4987ED35" w14:textId="77777777" w:rsidR="004E1F6F" w:rsidRPr="005C29F8" w:rsidRDefault="004E1F6F" w:rsidP="004369B2">
            <w:pPr>
              <w:jc w:val="center"/>
              <w:rPr>
                <w:b/>
                <w:color w:val="000000" w:themeColor="text1"/>
              </w:rPr>
            </w:pPr>
            <w:r w:rsidRPr="005C29F8">
              <w:rPr>
                <w:b/>
                <w:color w:val="000000" w:themeColor="text1"/>
              </w:rPr>
              <w:t>Status</w:t>
            </w:r>
          </w:p>
        </w:tc>
        <w:tc>
          <w:tcPr>
            <w:tcW w:w="595" w:type="pct"/>
            <w:shd w:val="clear" w:color="auto" w:fill="auto"/>
            <w:vAlign w:val="bottom"/>
          </w:tcPr>
          <w:p w14:paraId="7EA3F612"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318B8AAD" w14:textId="77777777" w:rsidTr="000C3A20">
        <w:tc>
          <w:tcPr>
            <w:tcW w:w="222" w:type="pct"/>
            <w:shd w:val="clear" w:color="auto" w:fill="auto"/>
            <w:vAlign w:val="center"/>
          </w:tcPr>
          <w:p w14:paraId="4BD3A1A0" w14:textId="77777777" w:rsidR="004E1F6F" w:rsidRPr="005C29F8" w:rsidRDefault="004E1F6F" w:rsidP="004E1F6F">
            <w:pPr>
              <w:pStyle w:val="Default"/>
              <w:jc w:val="center"/>
              <w:rPr>
                <w:rFonts w:eastAsiaTheme="minorHAnsi"/>
                <w:color w:val="000000" w:themeColor="text1"/>
                <w:sz w:val="16"/>
                <w:szCs w:val="16"/>
              </w:rPr>
            </w:pPr>
            <w:r w:rsidRPr="005C29F8">
              <w:rPr>
                <w:b/>
                <w:color w:val="000000" w:themeColor="text1"/>
                <w:sz w:val="16"/>
                <w:szCs w:val="16"/>
              </w:rPr>
              <w:t>A</w:t>
            </w:r>
          </w:p>
        </w:tc>
        <w:tc>
          <w:tcPr>
            <w:tcW w:w="489" w:type="pct"/>
            <w:shd w:val="clear" w:color="auto" w:fill="auto"/>
          </w:tcPr>
          <w:p w14:paraId="2D59B69E" w14:textId="6B4C5F20"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0EC608D" w14:textId="6AE464D9" w:rsidR="004E1F6F" w:rsidRPr="005C29F8" w:rsidRDefault="004E1F6F" w:rsidP="004E1F6F">
            <w:pPr>
              <w:jc w:val="center"/>
              <w:rPr>
                <w:rFonts w:cs="Arial"/>
                <w:color w:val="000000" w:themeColor="text1"/>
                <w:szCs w:val="16"/>
              </w:rPr>
            </w:pPr>
          </w:p>
        </w:tc>
        <w:tc>
          <w:tcPr>
            <w:tcW w:w="600" w:type="pct"/>
            <w:shd w:val="clear" w:color="auto" w:fill="auto"/>
          </w:tcPr>
          <w:p w14:paraId="5740CA80" w14:textId="2E1892DE" w:rsidR="004E1F6F" w:rsidRPr="005C29F8" w:rsidRDefault="004E1F6F" w:rsidP="004E1F6F">
            <w:pPr>
              <w:jc w:val="center"/>
              <w:rPr>
                <w:rFonts w:cs="Arial"/>
                <w:color w:val="000000" w:themeColor="text1"/>
                <w:szCs w:val="16"/>
              </w:rPr>
            </w:pPr>
          </w:p>
        </w:tc>
        <w:tc>
          <w:tcPr>
            <w:tcW w:w="550" w:type="pct"/>
            <w:shd w:val="clear" w:color="auto" w:fill="auto"/>
          </w:tcPr>
          <w:p w14:paraId="6BA58310" w14:textId="391F367C" w:rsidR="004E1F6F" w:rsidRPr="005C29F8" w:rsidRDefault="004E1F6F" w:rsidP="004E1F6F">
            <w:pPr>
              <w:jc w:val="center"/>
              <w:rPr>
                <w:rFonts w:cs="Arial"/>
                <w:color w:val="000000" w:themeColor="text1"/>
                <w:szCs w:val="16"/>
              </w:rPr>
            </w:pPr>
            <w:r w:rsidRPr="005C29F8">
              <w:rPr>
                <w:rFonts w:cs="Arial"/>
                <w:color w:val="000000" w:themeColor="text1"/>
                <w:szCs w:val="16"/>
              </w:rPr>
              <w:t>3.26%</w:t>
            </w:r>
          </w:p>
        </w:tc>
        <w:tc>
          <w:tcPr>
            <w:tcW w:w="766" w:type="pct"/>
            <w:shd w:val="clear" w:color="auto" w:fill="auto"/>
          </w:tcPr>
          <w:p w14:paraId="47A1F29A" w14:textId="0E923F64" w:rsidR="004E1F6F" w:rsidRPr="005C29F8" w:rsidRDefault="004E1F6F" w:rsidP="004E1F6F">
            <w:pPr>
              <w:jc w:val="center"/>
              <w:rPr>
                <w:rFonts w:cs="Arial"/>
                <w:color w:val="000000" w:themeColor="text1"/>
                <w:szCs w:val="16"/>
              </w:rPr>
            </w:pPr>
            <w:r w:rsidRPr="005C29F8">
              <w:rPr>
                <w:rFonts w:cs="Arial"/>
                <w:color w:val="000000" w:themeColor="text1"/>
                <w:szCs w:val="16"/>
              </w:rPr>
              <w:t>60.00%</w:t>
            </w:r>
          </w:p>
        </w:tc>
        <w:tc>
          <w:tcPr>
            <w:tcW w:w="507" w:type="pct"/>
            <w:shd w:val="clear" w:color="auto" w:fill="auto"/>
          </w:tcPr>
          <w:p w14:paraId="2AE4C61A" w14:textId="12BE6FDD" w:rsidR="004E1F6F" w:rsidRPr="005C29F8" w:rsidRDefault="004E1F6F" w:rsidP="004E1F6F">
            <w:pPr>
              <w:jc w:val="center"/>
              <w:rPr>
                <w:rFonts w:cs="Arial"/>
                <w:color w:val="000000" w:themeColor="text1"/>
                <w:szCs w:val="16"/>
              </w:rPr>
            </w:pPr>
          </w:p>
        </w:tc>
        <w:tc>
          <w:tcPr>
            <w:tcW w:w="611" w:type="pct"/>
            <w:shd w:val="clear" w:color="auto" w:fill="auto"/>
          </w:tcPr>
          <w:p w14:paraId="2590AA37" w14:textId="2B2E3DA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5" w:type="pct"/>
            <w:shd w:val="clear" w:color="auto" w:fill="auto"/>
          </w:tcPr>
          <w:p w14:paraId="39DEC07F" w14:textId="70B2866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32B02A11" w14:textId="77777777" w:rsidR="000C3A20" w:rsidRPr="000C3A20" w:rsidRDefault="000C3A20" w:rsidP="000C3A20">
      <w:pPr>
        <w:rPr>
          <w:color w:val="000000" w:themeColor="text1"/>
        </w:rPr>
      </w:pPr>
    </w:p>
    <w:p w14:paraId="105DF19B" w14:textId="77777777" w:rsidR="000C3A20" w:rsidRPr="005C29F8" w:rsidRDefault="000C3A20" w:rsidP="000C3A20">
      <w:pPr>
        <w:rPr>
          <w:color w:val="000000" w:themeColor="text1"/>
        </w:rPr>
      </w:pPr>
    </w:p>
    <w:p w14:paraId="73E73F7F" w14:textId="6BBB38CF" w:rsidR="00BD7229" w:rsidRDefault="00BD7229" w:rsidP="004369B2">
      <w:pPr>
        <w:rPr>
          <w:b/>
          <w:color w:val="000000" w:themeColor="text1"/>
        </w:rPr>
      </w:pPr>
      <w:r w:rsidRPr="005C29F8">
        <w:rPr>
          <w:b/>
          <w:color w:val="000000" w:themeColor="text1"/>
        </w:rPr>
        <w:t>FFY 2019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021"/>
        <w:gridCol w:w="1395"/>
        <w:gridCol w:w="1270"/>
        <w:gridCol w:w="1162"/>
        <w:gridCol w:w="1624"/>
        <w:gridCol w:w="1069"/>
        <w:gridCol w:w="1294"/>
        <w:gridCol w:w="1259"/>
      </w:tblGrid>
      <w:tr w:rsidR="005C29F8" w:rsidRPr="005C29F8" w14:paraId="2361B602" w14:textId="77777777" w:rsidTr="000C3A20">
        <w:trPr>
          <w:tblHeader/>
        </w:trPr>
        <w:tc>
          <w:tcPr>
            <w:tcW w:w="222" w:type="pct"/>
            <w:shd w:val="clear" w:color="auto" w:fill="auto"/>
            <w:vAlign w:val="bottom"/>
          </w:tcPr>
          <w:p w14:paraId="097BD4DD" w14:textId="77777777" w:rsidR="004E1F6F" w:rsidRPr="005C29F8" w:rsidRDefault="004E1F6F" w:rsidP="004369B2">
            <w:pPr>
              <w:jc w:val="center"/>
              <w:rPr>
                <w:b/>
                <w:color w:val="000000" w:themeColor="text1"/>
              </w:rPr>
            </w:pPr>
            <w:r w:rsidRPr="005C29F8">
              <w:rPr>
                <w:b/>
                <w:color w:val="000000" w:themeColor="text1"/>
              </w:rPr>
              <w:t>Group</w:t>
            </w:r>
          </w:p>
        </w:tc>
        <w:tc>
          <w:tcPr>
            <w:tcW w:w="486" w:type="pct"/>
            <w:shd w:val="clear" w:color="auto" w:fill="auto"/>
            <w:vAlign w:val="bottom"/>
          </w:tcPr>
          <w:p w14:paraId="221D62AE" w14:textId="46B1DC14" w:rsidR="004E1F6F" w:rsidRPr="005C29F8" w:rsidRDefault="004E1F6F" w:rsidP="004369B2">
            <w:pPr>
              <w:jc w:val="center"/>
              <w:rPr>
                <w:b/>
                <w:color w:val="000000" w:themeColor="text1"/>
              </w:rPr>
            </w:pPr>
            <w:r w:rsidRPr="005C29F8">
              <w:rPr>
                <w:b/>
                <w:color w:val="000000" w:themeColor="text1"/>
              </w:rPr>
              <w:t>Group Name</w:t>
            </w:r>
          </w:p>
        </w:tc>
        <w:tc>
          <w:tcPr>
            <w:tcW w:w="659" w:type="pct"/>
            <w:shd w:val="clear" w:color="auto" w:fill="auto"/>
            <w:vAlign w:val="bottom"/>
          </w:tcPr>
          <w:p w14:paraId="6EA1E126" w14:textId="2C3C914F" w:rsidR="004E1F6F" w:rsidRPr="005C29F8" w:rsidRDefault="00167BF7" w:rsidP="004369B2">
            <w:pPr>
              <w:jc w:val="center"/>
              <w:rPr>
                <w:b/>
                <w:color w:val="000000" w:themeColor="text1"/>
              </w:rPr>
            </w:pPr>
            <w:r w:rsidRPr="005C29F8">
              <w:rPr>
                <w:b/>
                <w:color w:val="000000" w:themeColor="text1"/>
              </w:rPr>
              <w:t>Children with IEPs who received a valid score and a proficiency was assigned</w:t>
            </w:r>
          </w:p>
        </w:tc>
        <w:tc>
          <w:tcPr>
            <w:tcW w:w="601" w:type="pct"/>
            <w:shd w:val="clear" w:color="auto" w:fill="auto"/>
            <w:vAlign w:val="bottom"/>
          </w:tcPr>
          <w:p w14:paraId="534757DA" w14:textId="2A9F3B5F" w:rsidR="004E1F6F" w:rsidRPr="005C29F8" w:rsidRDefault="004E1F6F" w:rsidP="004369B2">
            <w:pPr>
              <w:jc w:val="center"/>
              <w:rPr>
                <w:b/>
                <w:color w:val="000000" w:themeColor="text1"/>
              </w:rPr>
            </w:pPr>
            <w:r w:rsidRPr="005C29F8">
              <w:rPr>
                <w:b/>
                <w:color w:val="000000" w:themeColor="text1"/>
              </w:rPr>
              <w:t>Number of Children with IEPs Proficient</w:t>
            </w:r>
          </w:p>
        </w:tc>
        <w:tc>
          <w:tcPr>
            <w:tcW w:w="551" w:type="pct"/>
            <w:shd w:val="clear" w:color="auto" w:fill="auto"/>
            <w:vAlign w:val="bottom"/>
          </w:tcPr>
          <w:p w14:paraId="73023982" w14:textId="087F4055" w:rsidR="004E1F6F" w:rsidRPr="005C29F8" w:rsidRDefault="004E1F6F" w:rsidP="004369B2">
            <w:pPr>
              <w:jc w:val="center"/>
              <w:rPr>
                <w:b/>
                <w:color w:val="000000" w:themeColor="text1"/>
              </w:rPr>
            </w:pPr>
            <w:r w:rsidRPr="005C29F8">
              <w:rPr>
                <w:b/>
                <w:color w:val="000000" w:themeColor="text1"/>
              </w:rPr>
              <w:t>FFY 2018 Data</w:t>
            </w:r>
          </w:p>
        </w:tc>
        <w:tc>
          <w:tcPr>
            <w:tcW w:w="765" w:type="pct"/>
            <w:shd w:val="clear" w:color="auto" w:fill="auto"/>
            <w:vAlign w:val="bottom"/>
          </w:tcPr>
          <w:p w14:paraId="37651EF9" w14:textId="14D3BC59" w:rsidR="004E1F6F" w:rsidRPr="005C29F8" w:rsidRDefault="004E1F6F" w:rsidP="004369B2">
            <w:pPr>
              <w:jc w:val="center"/>
              <w:rPr>
                <w:b/>
                <w:color w:val="000000" w:themeColor="text1"/>
              </w:rPr>
            </w:pPr>
            <w:r w:rsidRPr="005C29F8">
              <w:rPr>
                <w:b/>
                <w:color w:val="000000" w:themeColor="text1"/>
              </w:rPr>
              <w:t>FFY 2019 Target</w:t>
            </w:r>
          </w:p>
        </w:tc>
        <w:tc>
          <w:tcPr>
            <w:tcW w:w="508" w:type="pct"/>
            <w:shd w:val="clear" w:color="auto" w:fill="auto"/>
            <w:vAlign w:val="bottom"/>
          </w:tcPr>
          <w:p w14:paraId="3D61FBEB" w14:textId="19ED500A" w:rsidR="004E1F6F" w:rsidRPr="005C29F8" w:rsidRDefault="004E1F6F" w:rsidP="004369B2">
            <w:pPr>
              <w:jc w:val="center"/>
              <w:rPr>
                <w:b/>
                <w:color w:val="000000" w:themeColor="text1"/>
              </w:rPr>
            </w:pPr>
            <w:r w:rsidRPr="005C29F8">
              <w:rPr>
                <w:b/>
                <w:color w:val="000000" w:themeColor="text1"/>
              </w:rPr>
              <w:t>FFY 2019 Data</w:t>
            </w:r>
          </w:p>
        </w:tc>
        <w:tc>
          <w:tcPr>
            <w:tcW w:w="612" w:type="pct"/>
            <w:shd w:val="clear" w:color="auto" w:fill="auto"/>
            <w:vAlign w:val="bottom"/>
          </w:tcPr>
          <w:p w14:paraId="730A2874" w14:textId="77777777" w:rsidR="004E1F6F" w:rsidRPr="005C29F8" w:rsidRDefault="004E1F6F" w:rsidP="004369B2">
            <w:pPr>
              <w:jc w:val="center"/>
              <w:rPr>
                <w:b/>
                <w:color w:val="000000" w:themeColor="text1"/>
              </w:rPr>
            </w:pPr>
            <w:r w:rsidRPr="005C29F8">
              <w:rPr>
                <w:b/>
                <w:color w:val="000000" w:themeColor="text1"/>
              </w:rPr>
              <w:t>Status</w:t>
            </w:r>
          </w:p>
        </w:tc>
        <w:tc>
          <w:tcPr>
            <w:tcW w:w="596" w:type="pct"/>
            <w:shd w:val="clear" w:color="auto" w:fill="auto"/>
            <w:vAlign w:val="bottom"/>
          </w:tcPr>
          <w:p w14:paraId="67BEF249" w14:textId="77777777" w:rsidR="004E1F6F" w:rsidRPr="005C29F8" w:rsidRDefault="004E1F6F" w:rsidP="004369B2">
            <w:pPr>
              <w:jc w:val="center"/>
              <w:rPr>
                <w:b/>
                <w:color w:val="000000" w:themeColor="text1"/>
              </w:rPr>
            </w:pPr>
            <w:r w:rsidRPr="005C29F8">
              <w:rPr>
                <w:b/>
                <w:color w:val="000000" w:themeColor="text1"/>
              </w:rPr>
              <w:t>Slippage</w:t>
            </w:r>
          </w:p>
        </w:tc>
      </w:tr>
      <w:tr w:rsidR="005C29F8" w:rsidRPr="005C29F8" w14:paraId="08D65837" w14:textId="77777777" w:rsidTr="000C3A20">
        <w:tc>
          <w:tcPr>
            <w:tcW w:w="222" w:type="pct"/>
            <w:shd w:val="clear" w:color="auto" w:fill="auto"/>
          </w:tcPr>
          <w:p w14:paraId="76903C3F" w14:textId="77777777" w:rsidR="004E1F6F" w:rsidRPr="005C29F8" w:rsidRDefault="004E1F6F" w:rsidP="004E1F6F">
            <w:pPr>
              <w:pStyle w:val="Default"/>
              <w:jc w:val="center"/>
              <w:rPr>
                <w:b/>
                <w:color w:val="000000" w:themeColor="text1"/>
                <w:sz w:val="16"/>
                <w:szCs w:val="16"/>
              </w:rPr>
            </w:pPr>
            <w:r w:rsidRPr="005C29F8">
              <w:rPr>
                <w:rFonts w:eastAsiaTheme="minorHAnsi"/>
                <w:b/>
                <w:color w:val="000000" w:themeColor="text1"/>
                <w:sz w:val="16"/>
                <w:szCs w:val="16"/>
              </w:rPr>
              <w:t>A</w:t>
            </w:r>
          </w:p>
        </w:tc>
        <w:tc>
          <w:tcPr>
            <w:tcW w:w="486" w:type="pct"/>
            <w:shd w:val="clear" w:color="auto" w:fill="auto"/>
          </w:tcPr>
          <w:p w14:paraId="02026CDE" w14:textId="48FAC1A1" w:rsidR="004E1F6F" w:rsidRPr="005C29F8" w:rsidDel="00DE5045" w:rsidRDefault="004E1F6F" w:rsidP="004E1F6F">
            <w:pPr>
              <w:jc w:val="center"/>
              <w:rPr>
                <w:rFonts w:cs="Arial"/>
                <w:color w:val="000000" w:themeColor="text1"/>
                <w:szCs w:val="16"/>
              </w:rPr>
            </w:pPr>
            <w:r w:rsidRPr="005C29F8">
              <w:rPr>
                <w:rFonts w:cs="Arial"/>
                <w:color w:val="000000" w:themeColor="text1"/>
                <w:szCs w:val="16"/>
              </w:rPr>
              <w:t>Overall</w:t>
            </w:r>
          </w:p>
        </w:tc>
        <w:tc>
          <w:tcPr>
            <w:tcW w:w="659" w:type="pct"/>
            <w:shd w:val="clear" w:color="auto" w:fill="auto"/>
          </w:tcPr>
          <w:p w14:paraId="16642EB5" w14:textId="0509238E" w:rsidR="004E1F6F" w:rsidRPr="005C29F8" w:rsidRDefault="004E1F6F" w:rsidP="004E1F6F">
            <w:pPr>
              <w:jc w:val="center"/>
              <w:rPr>
                <w:rFonts w:cs="Arial"/>
                <w:color w:val="000000" w:themeColor="text1"/>
                <w:szCs w:val="16"/>
              </w:rPr>
            </w:pPr>
          </w:p>
        </w:tc>
        <w:tc>
          <w:tcPr>
            <w:tcW w:w="601" w:type="pct"/>
            <w:shd w:val="clear" w:color="auto" w:fill="auto"/>
          </w:tcPr>
          <w:p w14:paraId="1C6085EF" w14:textId="6A8D76C1" w:rsidR="004E1F6F" w:rsidRPr="005C29F8" w:rsidRDefault="004E1F6F" w:rsidP="004E1F6F">
            <w:pPr>
              <w:jc w:val="center"/>
              <w:rPr>
                <w:rFonts w:cs="Arial"/>
                <w:color w:val="000000" w:themeColor="text1"/>
                <w:szCs w:val="16"/>
              </w:rPr>
            </w:pPr>
          </w:p>
        </w:tc>
        <w:tc>
          <w:tcPr>
            <w:tcW w:w="551" w:type="pct"/>
            <w:shd w:val="clear" w:color="auto" w:fill="auto"/>
          </w:tcPr>
          <w:p w14:paraId="3DFEF3CC" w14:textId="273D8D28" w:rsidR="004E1F6F" w:rsidRPr="005C29F8" w:rsidRDefault="004E1F6F" w:rsidP="004E1F6F">
            <w:pPr>
              <w:jc w:val="center"/>
              <w:rPr>
                <w:rFonts w:cs="Arial"/>
                <w:color w:val="000000" w:themeColor="text1"/>
                <w:szCs w:val="16"/>
              </w:rPr>
            </w:pPr>
            <w:r w:rsidRPr="005C29F8">
              <w:rPr>
                <w:rFonts w:cs="Arial"/>
                <w:color w:val="000000" w:themeColor="text1"/>
                <w:szCs w:val="16"/>
              </w:rPr>
              <w:t>4.75%</w:t>
            </w:r>
          </w:p>
        </w:tc>
        <w:tc>
          <w:tcPr>
            <w:tcW w:w="765" w:type="pct"/>
            <w:shd w:val="clear" w:color="auto" w:fill="auto"/>
          </w:tcPr>
          <w:p w14:paraId="78DBA801" w14:textId="0BA3B321" w:rsidR="004E1F6F" w:rsidRPr="005C29F8" w:rsidRDefault="004E1F6F" w:rsidP="004E1F6F">
            <w:pPr>
              <w:jc w:val="center"/>
              <w:rPr>
                <w:rFonts w:cs="Arial"/>
                <w:color w:val="000000" w:themeColor="text1"/>
                <w:szCs w:val="16"/>
              </w:rPr>
            </w:pPr>
            <w:r w:rsidRPr="005C29F8">
              <w:rPr>
                <w:rFonts w:cs="Arial"/>
                <w:color w:val="000000" w:themeColor="text1"/>
                <w:szCs w:val="16"/>
              </w:rPr>
              <w:t>60.00%</w:t>
            </w:r>
          </w:p>
        </w:tc>
        <w:tc>
          <w:tcPr>
            <w:tcW w:w="508" w:type="pct"/>
            <w:shd w:val="clear" w:color="auto" w:fill="auto"/>
          </w:tcPr>
          <w:p w14:paraId="1DC938D5" w14:textId="450CB901" w:rsidR="004E1F6F" w:rsidRPr="005C29F8" w:rsidRDefault="004E1F6F" w:rsidP="004E1F6F">
            <w:pPr>
              <w:jc w:val="center"/>
              <w:rPr>
                <w:rFonts w:cs="Arial"/>
                <w:color w:val="000000" w:themeColor="text1"/>
                <w:szCs w:val="16"/>
              </w:rPr>
            </w:pPr>
          </w:p>
        </w:tc>
        <w:tc>
          <w:tcPr>
            <w:tcW w:w="612" w:type="pct"/>
            <w:shd w:val="clear" w:color="auto" w:fill="auto"/>
          </w:tcPr>
          <w:p w14:paraId="4B9610A1" w14:textId="71C9791E"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c>
          <w:tcPr>
            <w:tcW w:w="596" w:type="pct"/>
            <w:shd w:val="clear" w:color="auto" w:fill="auto"/>
          </w:tcPr>
          <w:p w14:paraId="5708D4BE" w14:textId="328B6097" w:rsidR="004E1F6F" w:rsidRPr="005C29F8" w:rsidRDefault="004E1F6F" w:rsidP="004E1F6F">
            <w:pPr>
              <w:jc w:val="center"/>
              <w:rPr>
                <w:rFonts w:cs="Arial"/>
                <w:color w:val="000000" w:themeColor="text1"/>
                <w:szCs w:val="16"/>
              </w:rPr>
            </w:pPr>
            <w:r w:rsidRPr="005C29F8">
              <w:rPr>
                <w:rFonts w:cs="Arial"/>
                <w:color w:val="000000" w:themeColor="text1"/>
                <w:szCs w:val="16"/>
              </w:rPr>
              <w:t>N/A</w:t>
            </w:r>
          </w:p>
        </w:tc>
      </w:tr>
    </w:tbl>
    <w:p w14:paraId="4F477182" w14:textId="77777777" w:rsidR="000C3A20" w:rsidRPr="000C3A20" w:rsidRDefault="000C3A20" w:rsidP="000C3A20">
      <w:pPr>
        <w:rPr>
          <w:color w:val="000000" w:themeColor="text1"/>
        </w:rPr>
      </w:pPr>
    </w:p>
    <w:p w14:paraId="052B55C9" w14:textId="77777777" w:rsidR="000C3A20" w:rsidRPr="005C29F8" w:rsidRDefault="000C3A20" w:rsidP="000C3A20">
      <w:pPr>
        <w:rPr>
          <w:color w:val="000000" w:themeColor="text1"/>
        </w:rPr>
      </w:pPr>
    </w:p>
    <w:p w14:paraId="4F8B3B70" w14:textId="05453045" w:rsidR="000A5A2E" w:rsidRPr="005C29F8" w:rsidRDefault="000A5A2E" w:rsidP="004369B2">
      <w:pPr>
        <w:rPr>
          <w:color w:val="000000" w:themeColor="text1"/>
        </w:rPr>
      </w:pPr>
      <w:r w:rsidRPr="005C29F8">
        <w:rPr>
          <w:b/>
          <w:color w:val="000000" w:themeColor="text1"/>
        </w:rPr>
        <w:t>Regulatory Information</w:t>
      </w:r>
    </w:p>
    <w:p w14:paraId="2B741846" w14:textId="30EBAA23" w:rsidR="000A5A2E" w:rsidRPr="005C29F8" w:rsidRDefault="00A14B5D" w:rsidP="00286BDF">
      <w:pPr>
        <w:rPr>
          <w:rFonts w:cs="Arial"/>
          <w:b/>
          <w:color w:val="000000" w:themeColor="text1"/>
          <w:szCs w:val="16"/>
          <w:shd w:val="clear" w:color="auto" w:fill="FFFFFF"/>
        </w:rPr>
      </w:pPr>
      <w:r w:rsidRPr="005C29F8">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5C29F8" w:rsidRDefault="00241BD0" w:rsidP="004369B2">
      <w:pPr>
        <w:rPr>
          <w:color w:val="000000" w:themeColor="text1"/>
        </w:rPr>
      </w:pPr>
    </w:p>
    <w:p w14:paraId="1FD3EE14" w14:textId="6446691C" w:rsidR="000A5A2E" w:rsidRPr="005C29F8" w:rsidRDefault="000A5A2E" w:rsidP="004369B2">
      <w:pPr>
        <w:rPr>
          <w:color w:val="000000" w:themeColor="text1"/>
        </w:rPr>
      </w:pPr>
      <w:r w:rsidRPr="005C29F8">
        <w:rPr>
          <w:b/>
          <w:color w:val="000000" w:themeColor="text1"/>
        </w:rPr>
        <w:t>Public Reporting Information</w:t>
      </w:r>
    </w:p>
    <w:p w14:paraId="20613508" w14:textId="77777777" w:rsidR="000A5A2E" w:rsidRPr="005C29F8" w:rsidRDefault="000A5A2E" w:rsidP="000A5A2E">
      <w:pPr>
        <w:rPr>
          <w:rFonts w:cs="Arial"/>
          <w:b/>
          <w:color w:val="000000" w:themeColor="text1"/>
          <w:szCs w:val="16"/>
        </w:rPr>
      </w:pPr>
      <w:r w:rsidRPr="005C29F8">
        <w:rPr>
          <w:rFonts w:cs="Arial"/>
          <w:b/>
          <w:color w:val="000000" w:themeColor="text1"/>
          <w:szCs w:val="16"/>
        </w:rPr>
        <w:t xml:space="preserve">Provide links to the page(s) where you provide public reports of assessment results. </w:t>
      </w:r>
    </w:p>
    <w:p w14:paraId="1F0C4C7F" w14:textId="52384A95" w:rsidR="00A869E9" w:rsidRPr="005C29F8" w:rsidRDefault="00DD3719" w:rsidP="009C613A">
      <w:pPr>
        <w:rPr>
          <w:rFonts w:cs="Arial"/>
          <w:color w:val="000000" w:themeColor="text1"/>
          <w:szCs w:val="16"/>
        </w:rPr>
      </w:pPr>
      <w:r w:rsidRPr="00DD3719">
        <w:rPr>
          <w:rFonts w:cs="Arial"/>
          <w:color w:val="000000" w:themeColor="text1"/>
          <w:szCs w:val="16"/>
          <w:shd w:val="clear" w:color="auto" w:fill="FFFFFF"/>
        </w:rPr>
        <w:t xml:space="preserve">The CNMI Assessment Results can be found on the following </w:t>
      </w:r>
      <w:proofErr w:type="spellStart"/>
      <w:r w:rsidRPr="00DD3719">
        <w:rPr>
          <w:rFonts w:cs="Arial"/>
          <w:color w:val="000000" w:themeColor="text1"/>
          <w:szCs w:val="16"/>
          <w:shd w:val="clear" w:color="auto" w:fill="FFFFFF"/>
        </w:rPr>
        <w:t>url</w:t>
      </w:r>
      <w:proofErr w:type="spellEnd"/>
      <w:r w:rsidRPr="00DD3719">
        <w:rPr>
          <w:rFonts w:cs="Arial"/>
          <w:color w:val="000000" w:themeColor="text1"/>
          <w:szCs w:val="16"/>
          <w:shd w:val="clear" w:color="auto" w:fill="FFFFFF"/>
        </w:rPr>
        <w:t xml:space="preserve"> link: https://www.cnmipss.org/special-education-program.</w:t>
      </w:r>
    </w:p>
    <w:p w14:paraId="32BCE51B" w14:textId="77777777" w:rsidR="00796DC0" w:rsidRPr="005C29F8" w:rsidRDefault="00796DC0" w:rsidP="004369B2">
      <w:pPr>
        <w:rPr>
          <w:b/>
          <w:color w:val="000000" w:themeColor="text1"/>
        </w:rPr>
      </w:pPr>
      <w:r w:rsidRPr="005C29F8">
        <w:rPr>
          <w:b/>
          <w:color w:val="000000" w:themeColor="text1"/>
        </w:rPr>
        <w:t>Provide additional information about this indicator (optional)</w:t>
      </w:r>
    </w:p>
    <w:p w14:paraId="19728EE3" w14:textId="7FE6C853" w:rsidR="00A869E9" w:rsidRPr="005C29F8" w:rsidRDefault="00A869E9" w:rsidP="000E33D0">
      <w:pPr>
        <w:rPr>
          <w:rFonts w:cs="Arial"/>
          <w:color w:val="000000" w:themeColor="text1"/>
          <w:szCs w:val="16"/>
        </w:rPr>
      </w:pPr>
    </w:p>
    <w:p w14:paraId="1C326C48" w14:textId="1B3ADE94" w:rsidR="000A2C83" w:rsidRPr="0033429D" w:rsidRDefault="00573F6C" w:rsidP="008645AD">
      <w:pPr>
        <w:pStyle w:val="Heading2"/>
      </w:pPr>
      <w:r w:rsidRPr="0033429D">
        <w:t>3C</w:t>
      </w:r>
      <w:r w:rsidR="00BB4FD7" w:rsidRPr="0033429D">
        <w:t xml:space="preserve"> </w:t>
      </w:r>
      <w:r w:rsidRPr="0033429D">
        <w:t xml:space="preserve">- </w:t>
      </w:r>
      <w:r w:rsidR="000A2C83" w:rsidRPr="0033429D">
        <w:t>Prior FFY Required Actions</w:t>
      </w:r>
    </w:p>
    <w:p w14:paraId="5570C94B" w14:textId="51EF4ED4" w:rsidR="000A2C83" w:rsidRPr="005C29F8" w:rsidRDefault="002B7490" w:rsidP="000A2C83">
      <w:pPr>
        <w:rPr>
          <w:rFonts w:cs="Arial"/>
          <w:color w:val="000000" w:themeColor="text1"/>
          <w:szCs w:val="16"/>
        </w:rPr>
      </w:pPr>
      <w:r w:rsidRPr="005C29F8">
        <w:rPr>
          <w:rFonts w:cs="Arial"/>
          <w:color w:val="000000" w:themeColor="text1"/>
          <w:szCs w:val="16"/>
        </w:rPr>
        <w:t>None</w:t>
      </w:r>
    </w:p>
    <w:p w14:paraId="0EFAA7F7" w14:textId="77777777" w:rsidR="00247959" w:rsidRPr="005C29F8" w:rsidRDefault="00247959" w:rsidP="000A2C83">
      <w:pPr>
        <w:rPr>
          <w:rFonts w:cs="Arial"/>
          <w:color w:val="000000" w:themeColor="text1"/>
          <w:szCs w:val="16"/>
        </w:rPr>
      </w:pPr>
    </w:p>
    <w:p w14:paraId="1E98E6A2" w14:textId="3C798D76" w:rsidR="00796DC0" w:rsidRPr="0033429D" w:rsidRDefault="00573F6C" w:rsidP="008645AD">
      <w:pPr>
        <w:pStyle w:val="Heading2"/>
      </w:pPr>
      <w:r w:rsidRPr="0033429D">
        <w:t>3C - OSEP Response</w:t>
      </w:r>
    </w:p>
    <w:p w14:paraId="742F0548" w14:textId="6CBFA0D3" w:rsidR="00A869E9" w:rsidRPr="005C29F8" w:rsidRDefault="003D7F56" w:rsidP="001F692C">
      <w:pPr>
        <w:rPr>
          <w:rFonts w:cs="Arial"/>
          <w:color w:val="000000" w:themeColor="text1"/>
          <w:szCs w:val="16"/>
          <w:shd w:val="clear" w:color="auto" w:fill="FFFFFF"/>
        </w:rPr>
      </w:pPr>
      <w:r w:rsidRPr="005C29F8">
        <w:rPr>
          <w:rFonts w:cs="Arial"/>
          <w:color w:val="000000" w:themeColor="text1"/>
          <w:szCs w:val="16"/>
          <w:shd w:val="clear" w:color="auto" w:fill="FFFFFF"/>
        </w:rPr>
        <w:t xml:space="preserve">Due to the circumstances created by the COVID-19 pandemic, the Commonwealth of the Northern Mariana Islands did not report any FFY 2019 data for this indicator. </w:t>
      </w:r>
    </w:p>
    <w:p w14:paraId="0774F476" w14:textId="1E34BC77" w:rsidR="00796DC0" w:rsidRPr="0033429D" w:rsidRDefault="00573F6C" w:rsidP="008645AD">
      <w:pPr>
        <w:pStyle w:val="Heading2"/>
      </w:pPr>
      <w:r w:rsidRPr="0033429D">
        <w:t>3C - Required Actions</w:t>
      </w:r>
    </w:p>
    <w:p w14:paraId="5E46A453" w14:textId="5260AC47" w:rsidR="00A869E9" w:rsidRPr="005C29F8" w:rsidRDefault="00A869E9" w:rsidP="001F692C">
      <w:pPr>
        <w:rPr>
          <w:rFonts w:cs="Arial"/>
          <w:color w:val="000000" w:themeColor="text1"/>
          <w:szCs w:val="16"/>
          <w:shd w:val="clear" w:color="auto" w:fill="FFFFFF"/>
        </w:rPr>
      </w:pPr>
    </w:p>
    <w:p w14:paraId="5933CC1B" w14:textId="40F9F685" w:rsidR="00A63347" w:rsidRPr="005C29F8" w:rsidRDefault="00A63347">
      <w:pPr>
        <w:spacing w:before="0" w:after="200" w:line="276" w:lineRule="auto"/>
        <w:rPr>
          <w:rFonts w:cs="Arial"/>
          <w:color w:val="000000" w:themeColor="text1"/>
          <w:szCs w:val="16"/>
          <w:shd w:val="clear" w:color="auto" w:fill="FFFFFF"/>
        </w:rPr>
      </w:pPr>
      <w:r w:rsidRPr="005C29F8">
        <w:rPr>
          <w:rFonts w:cs="Arial"/>
          <w:color w:val="000000" w:themeColor="text1"/>
          <w:szCs w:val="16"/>
          <w:shd w:val="clear" w:color="auto" w:fill="FFFFFF"/>
        </w:rPr>
        <w:br w:type="page"/>
      </w:r>
    </w:p>
    <w:p w14:paraId="1E2B07DD" w14:textId="23FE27B8" w:rsidR="00D03701" w:rsidRPr="005C29F8" w:rsidRDefault="00D03701" w:rsidP="000444E2">
      <w:pPr>
        <w:pStyle w:val="Heading1"/>
        <w:rPr>
          <w:color w:val="000000" w:themeColor="text1"/>
          <w:sz w:val="22"/>
        </w:rPr>
      </w:pPr>
      <w:r w:rsidRPr="005C29F8">
        <w:rPr>
          <w:color w:val="000000" w:themeColor="text1"/>
          <w:sz w:val="22"/>
        </w:rPr>
        <w:lastRenderedPageBreak/>
        <w:t>Indicator 4A: Suspension/Expulsion</w:t>
      </w:r>
      <w:bookmarkEnd w:id="16"/>
      <w:bookmarkEnd w:id="17"/>
    </w:p>
    <w:p w14:paraId="6B24B370" w14:textId="77777777" w:rsidR="006E5AE4" w:rsidRPr="005C29F8" w:rsidRDefault="006E5AE4" w:rsidP="00A018D4">
      <w:pPr>
        <w:rPr>
          <w:color w:val="000000" w:themeColor="text1"/>
          <w:szCs w:val="20"/>
        </w:rPr>
      </w:pPr>
      <w:bookmarkStart w:id="19" w:name="_Toc384383331"/>
      <w:bookmarkStart w:id="20" w:name="_Toc392159283"/>
      <w:r w:rsidRPr="005C29F8">
        <w:rPr>
          <w:b/>
          <w:color w:val="000000" w:themeColor="text1"/>
          <w:sz w:val="20"/>
          <w:szCs w:val="20"/>
        </w:rPr>
        <w:t xml:space="preserve">Instructions and Measurement </w:t>
      </w:r>
    </w:p>
    <w:p w14:paraId="73D979E8" w14:textId="6D1D1338" w:rsidR="00DD1D55" w:rsidRPr="005C29F8" w:rsidRDefault="00DD1D55"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1281AA40" w14:textId="5BDAB0D4" w:rsidR="000A5A2E" w:rsidRPr="005C29F8" w:rsidRDefault="00DD1D55" w:rsidP="00286BDF">
      <w:pPr>
        <w:rPr>
          <w:rFonts w:cs="Arial"/>
          <w:color w:val="000000" w:themeColor="text1"/>
          <w:szCs w:val="16"/>
        </w:rPr>
      </w:pPr>
      <w:r w:rsidRPr="005C29F8">
        <w:rPr>
          <w:rFonts w:cs="Arial"/>
          <w:b/>
          <w:color w:val="000000" w:themeColor="text1"/>
          <w:szCs w:val="16"/>
        </w:rPr>
        <w:t>Results Indicator:</w:t>
      </w:r>
      <w:r w:rsidR="00286BDF" w:rsidRPr="005C29F8">
        <w:rPr>
          <w:rFonts w:cs="Arial"/>
          <w:color w:val="000000" w:themeColor="text1"/>
          <w:szCs w:val="16"/>
        </w:rPr>
        <w:t xml:space="preserve"> </w:t>
      </w:r>
      <w:r w:rsidR="000A5A2E" w:rsidRPr="005C29F8">
        <w:rPr>
          <w:rFonts w:cs="Arial"/>
          <w:color w:val="000000" w:themeColor="text1"/>
          <w:szCs w:val="16"/>
        </w:rPr>
        <w:t>Rates of suspension and expulsion:</w:t>
      </w:r>
    </w:p>
    <w:p w14:paraId="075F6BB9" w14:textId="00F8EDF6" w:rsidR="000A5A2E" w:rsidRPr="005C29F8" w:rsidRDefault="001D5BAF" w:rsidP="006A01BD">
      <w:pPr>
        <w:ind w:left="720"/>
        <w:rPr>
          <w:color w:val="000000" w:themeColor="text1"/>
        </w:rPr>
      </w:pPr>
      <w:r w:rsidRPr="005C29F8">
        <w:rPr>
          <w:rFonts w:cs="Arial"/>
          <w:color w:val="000000" w:themeColor="text1"/>
          <w:szCs w:val="16"/>
        </w:rPr>
        <w:t xml:space="preserve">A. Percent of districts that have a significant discrepancy in the rate of suspensions and expulsions of greater than 10 days in a school </w:t>
      </w:r>
      <w:r w:rsidR="00DD1D55" w:rsidRPr="005C29F8">
        <w:rPr>
          <w:color w:val="000000" w:themeColor="text1"/>
        </w:rPr>
        <w:t>year for children with IEPs</w:t>
      </w:r>
    </w:p>
    <w:p w14:paraId="104900D3" w14:textId="4D6824EB"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09801465" w14:textId="77777777" w:rsidR="000A5A2E" w:rsidRPr="005C29F8" w:rsidRDefault="000A5A2E" w:rsidP="004369B2">
      <w:pPr>
        <w:rPr>
          <w:color w:val="000000" w:themeColor="text1"/>
        </w:rPr>
      </w:pPr>
      <w:r w:rsidRPr="005C29F8">
        <w:rPr>
          <w:b/>
          <w:color w:val="000000" w:themeColor="text1"/>
        </w:rPr>
        <w:t>Data Source</w:t>
      </w:r>
    </w:p>
    <w:p w14:paraId="06368193" w14:textId="2006ADF5" w:rsidR="000A5A2E" w:rsidRPr="005C29F8" w:rsidRDefault="000A5A2E" w:rsidP="00286BDF">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5C29F8" w:rsidRDefault="000A5A2E" w:rsidP="004369B2">
      <w:pPr>
        <w:rPr>
          <w:color w:val="000000" w:themeColor="text1"/>
        </w:rPr>
      </w:pPr>
      <w:r w:rsidRPr="005C29F8">
        <w:rPr>
          <w:b/>
          <w:color w:val="000000" w:themeColor="text1"/>
        </w:rPr>
        <w:t>Measurement</w:t>
      </w:r>
    </w:p>
    <w:p w14:paraId="5CD903C0" w14:textId="63922C4B" w:rsidR="000A5A2E" w:rsidRPr="005C29F8" w:rsidRDefault="000A5A2E"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that have a significant discrepancy in the rates of suspensions and expulsions for greater than 10 days in a school year of children with IEPs)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w:t>
      </w:r>
      <w:r w:rsidR="009B02BC"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4D7272B6" w14:textId="2A0B0F5F" w:rsidR="00636061" w:rsidRPr="005C29F8" w:rsidRDefault="00636061"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0C71C487" w14:textId="316E6449" w:rsidR="000A5A2E" w:rsidRPr="005C29F8" w:rsidRDefault="000A5A2E" w:rsidP="004369B2">
      <w:pPr>
        <w:rPr>
          <w:color w:val="000000" w:themeColor="text1"/>
        </w:rPr>
      </w:pPr>
      <w:r w:rsidRPr="005C29F8">
        <w:rPr>
          <w:b/>
          <w:color w:val="000000" w:themeColor="text1"/>
        </w:rPr>
        <w:t>Instructions</w:t>
      </w:r>
    </w:p>
    <w:p w14:paraId="20DD9B9C" w14:textId="72BF958B" w:rsidR="000A5A2E" w:rsidRPr="005C29F8" w:rsidRDefault="00636061"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3AD8FD7E" w14:textId="32828108" w:rsidR="00636061" w:rsidRPr="005C29F8" w:rsidRDefault="00A14B5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4D5D1D9E" w14:textId="3C303A84"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671599A1" w14:textId="71D1B673" w:rsidR="00636061" w:rsidRPr="005C29F8" w:rsidRDefault="006279F2"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64CB6014" w14:textId="2492BFE8" w:rsidR="00636061" w:rsidRPr="005C29F8" w:rsidRDefault="00636061"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2CD8E267" w14:textId="4C2CF13C" w:rsidR="00636061" w:rsidRPr="005C29F8" w:rsidRDefault="00636061" w:rsidP="00BB7BC9">
      <w:pPr>
        <w:rPr>
          <w:rFonts w:cs="Arial"/>
          <w:color w:val="000000" w:themeColor="text1"/>
          <w:szCs w:val="16"/>
        </w:rPr>
      </w:pPr>
      <w:r w:rsidRPr="005C29F8">
        <w:rPr>
          <w:rFonts w:cs="Arial"/>
          <w:color w:val="000000" w:themeColor="text1"/>
          <w:szCs w:val="16"/>
        </w:rPr>
        <w:t>Indicator 4A: Provide the actual numbers used in the calculation (based upon districts that met the minimum n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FA94FBA" w:rsidR="00636061" w:rsidRPr="005C29F8" w:rsidRDefault="00636061"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6D645554" w14:textId="0206229C" w:rsidR="00636061" w:rsidRPr="005C29F8" w:rsidRDefault="00636061"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0D05CD92" w:rsidR="00636061" w:rsidRPr="005C29F8" w:rsidRDefault="00A14B5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216100ED" w14:textId="6483EA1E" w:rsidR="006E5AE4" w:rsidRPr="0033429D" w:rsidRDefault="00697434" w:rsidP="008645AD">
      <w:pPr>
        <w:pStyle w:val="Heading2"/>
      </w:pPr>
      <w:bookmarkStart w:id="21" w:name="_Toc384383332"/>
      <w:bookmarkStart w:id="22" w:name="_Toc392159284"/>
      <w:bookmarkEnd w:id="19"/>
      <w:bookmarkEnd w:id="20"/>
      <w:r w:rsidRPr="0033429D">
        <w:t>4A</w:t>
      </w:r>
      <w:r w:rsidR="00DA3C7A" w:rsidRPr="0033429D">
        <w:t xml:space="preserve"> </w:t>
      </w:r>
      <w:r w:rsidRPr="0033429D">
        <w:t xml:space="preserve">- </w:t>
      </w:r>
      <w:r w:rsidR="006E5AE4" w:rsidRPr="0033429D">
        <w:t>Indicator Data</w:t>
      </w:r>
    </w:p>
    <w:p w14:paraId="4E76A356" w14:textId="4BD9398E" w:rsidR="00EC46E4" w:rsidRDefault="00EC46E4" w:rsidP="004369B2">
      <w:pPr>
        <w:rPr>
          <w:b/>
          <w:color w:val="000000" w:themeColor="text1"/>
        </w:rPr>
      </w:pPr>
      <w:r w:rsidRPr="005C29F8">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14:paraId="5B1BF1C8" w14:textId="77777777" w:rsidTr="002B6965">
        <w:trPr>
          <w:trHeight w:val="311"/>
          <w:tblHeader/>
        </w:trPr>
        <w:tc>
          <w:tcPr>
            <w:tcW w:w="2562" w:type="dxa"/>
          </w:tcPr>
          <w:p w14:paraId="3EC58E83" w14:textId="77777777" w:rsidR="002B6965" w:rsidRDefault="002B6965" w:rsidP="002B6965">
            <w:pPr>
              <w:jc w:val="center"/>
              <w:rPr>
                <w:b/>
                <w:color w:val="000000" w:themeColor="text1"/>
              </w:rPr>
            </w:pPr>
            <w:r w:rsidRPr="005C29F8">
              <w:rPr>
                <w:rFonts w:cs="Arial"/>
                <w:b/>
                <w:color w:val="000000" w:themeColor="text1"/>
                <w:szCs w:val="16"/>
              </w:rPr>
              <w:t>Baseline Year</w:t>
            </w:r>
          </w:p>
        </w:tc>
        <w:tc>
          <w:tcPr>
            <w:tcW w:w="2563" w:type="dxa"/>
          </w:tcPr>
          <w:p w14:paraId="3BF90404" w14:textId="77777777" w:rsidR="002B6965" w:rsidRDefault="002B6965" w:rsidP="002B6965">
            <w:pPr>
              <w:jc w:val="center"/>
              <w:rPr>
                <w:b/>
                <w:color w:val="000000" w:themeColor="text1"/>
              </w:rPr>
            </w:pPr>
            <w:r>
              <w:rPr>
                <w:b/>
                <w:color w:val="000000" w:themeColor="text1"/>
              </w:rPr>
              <w:t>Baseline Data</w:t>
            </w:r>
          </w:p>
        </w:tc>
      </w:tr>
      <w:tr w:rsidR="002B6965" w14:paraId="5EF83473" w14:textId="77777777" w:rsidTr="002B6965">
        <w:trPr>
          <w:trHeight w:val="311"/>
        </w:trPr>
        <w:tc>
          <w:tcPr>
            <w:tcW w:w="2562" w:type="dxa"/>
            <w:vAlign w:val="center"/>
          </w:tcPr>
          <w:p w14:paraId="5A1767D0" w14:textId="7AC9A457" w:rsidR="002B6965" w:rsidRDefault="002B6965" w:rsidP="002B6965">
            <w:pPr>
              <w:jc w:val="center"/>
              <w:rPr>
                <w:b/>
                <w:color w:val="000000" w:themeColor="text1"/>
              </w:rPr>
            </w:pPr>
            <w:r w:rsidRPr="005C29F8">
              <w:rPr>
                <w:rFonts w:cs="Arial"/>
                <w:color w:val="000000" w:themeColor="text1"/>
                <w:szCs w:val="16"/>
              </w:rPr>
              <w:t>2008</w:t>
            </w:r>
          </w:p>
        </w:tc>
        <w:tc>
          <w:tcPr>
            <w:tcW w:w="2563" w:type="dxa"/>
            <w:vAlign w:val="center"/>
          </w:tcPr>
          <w:p w14:paraId="4EF66E74" w14:textId="7A5DFEFF" w:rsidR="002B6965" w:rsidRDefault="002B6965" w:rsidP="002B6965">
            <w:pPr>
              <w:jc w:val="center"/>
              <w:rPr>
                <w:b/>
                <w:color w:val="000000" w:themeColor="text1"/>
              </w:rPr>
            </w:pPr>
            <w:r w:rsidRPr="005C29F8">
              <w:rPr>
                <w:rFonts w:cs="Arial"/>
                <w:color w:val="000000" w:themeColor="text1"/>
                <w:szCs w:val="16"/>
              </w:rPr>
              <w:t>2.40%</w:t>
            </w:r>
          </w:p>
        </w:tc>
      </w:tr>
    </w:tbl>
    <w:p w14:paraId="6781E363" w14:textId="556D76E5" w:rsidR="002B6965" w:rsidRDefault="002E111A" w:rsidP="004369B2">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5C29F8" w14:paraId="2DAF49AB" w14:textId="32F9B748" w:rsidTr="0033429D">
        <w:trPr>
          <w:trHeight w:val="350"/>
        </w:trPr>
        <w:tc>
          <w:tcPr>
            <w:tcW w:w="833" w:type="pct"/>
            <w:tcBorders>
              <w:bottom w:val="single" w:sz="4" w:space="0" w:color="auto"/>
            </w:tcBorders>
            <w:shd w:val="clear" w:color="auto" w:fill="auto"/>
          </w:tcPr>
          <w:p w14:paraId="7844FE4C" w14:textId="77777777" w:rsidR="00E4112E" w:rsidRPr="005C29F8" w:rsidRDefault="00E4112E" w:rsidP="004369B2">
            <w:pPr>
              <w:jc w:val="center"/>
              <w:rPr>
                <w:b/>
                <w:color w:val="000000" w:themeColor="text1"/>
              </w:rPr>
            </w:pPr>
            <w:r w:rsidRPr="005C29F8">
              <w:rPr>
                <w:b/>
                <w:color w:val="000000" w:themeColor="text1"/>
              </w:rPr>
              <w:t>FFY</w:t>
            </w:r>
          </w:p>
        </w:tc>
        <w:tc>
          <w:tcPr>
            <w:tcW w:w="833" w:type="pct"/>
            <w:shd w:val="clear" w:color="auto" w:fill="auto"/>
          </w:tcPr>
          <w:p w14:paraId="09DCA0E6" w14:textId="614607D6" w:rsidR="00E4112E" w:rsidRPr="005C29F8" w:rsidRDefault="002B7490">
            <w:pPr>
              <w:jc w:val="center"/>
              <w:rPr>
                <w:b/>
                <w:color w:val="000000" w:themeColor="text1"/>
              </w:rPr>
            </w:pPr>
            <w:r w:rsidRPr="005C29F8">
              <w:rPr>
                <w:b/>
                <w:color w:val="000000" w:themeColor="text1"/>
              </w:rPr>
              <w:t>2014</w:t>
            </w:r>
          </w:p>
        </w:tc>
        <w:tc>
          <w:tcPr>
            <w:tcW w:w="833" w:type="pct"/>
            <w:shd w:val="clear" w:color="auto" w:fill="auto"/>
          </w:tcPr>
          <w:p w14:paraId="7015519F" w14:textId="3BECE8C5" w:rsidR="00E4112E" w:rsidRPr="005C29F8" w:rsidRDefault="002B7490">
            <w:pPr>
              <w:jc w:val="center"/>
              <w:rPr>
                <w:b/>
                <w:color w:val="000000" w:themeColor="text1"/>
              </w:rPr>
            </w:pPr>
            <w:r w:rsidRPr="005C29F8">
              <w:rPr>
                <w:b/>
                <w:color w:val="000000" w:themeColor="text1"/>
              </w:rPr>
              <w:t>2015</w:t>
            </w:r>
          </w:p>
        </w:tc>
        <w:tc>
          <w:tcPr>
            <w:tcW w:w="833" w:type="pct"/>
            <w:shd w:val="clear" w:color="auto" w:fill="auto"/>
          </w:tcPr>
          <w:p w14:paraId="7CE93832" w14:textId="3E179BB5" w:rsidR="00E4112E" w:rsidRPr="005C29F8" w:rsidRDefault="002B7490">
            <w:pPr>
              <w:jc w:val="center"/>
              <w:rPr>
                <w:b/>
                <w:color w:val="000000" w:themeColor="text1"/>
              </w:rPr>
            </w:pPr>
            <w:r w:rsidRPr="005C29F8">
              <w:rPr>
                <w:b/>
                <w:color w:val="000000" w:themeColor="text1"/>
              </w:rPr>
              <w:t>2016</w:t>
            </w:r>
          </w:p>
        </w:tc>
        <w:tc>
          <w:tcPr>
            <w:tcW w:w="833" w:type="pct"/>
            <w:shd w:val="clear" w:color="auto" w:fill="auto"/>
          </w:tcPr>
          <w:p w14:paraId="1A1DC4B0" w14:textId="32B92E1C" w:rsidR="00E4112E" w:rsidRPr="005C29F8" w:rsidRDefault="002B7490">
            <w:pPr>
              <w:jc w:val="center"/>
              <w:rPr>
                <w:b/>
                <w:color w:val="000000" w:themeColor="text1"/>
              </w:rPr>
            </w:pPr>
            <w:r w:rsidRPr="005C29F8">
              <w:rPr>
                <w:b/>
                <w:color w:val="000000" w:themeColor="text1"/>
              </w:rPr>
              <w:t>2017</w:t>
            </w:r>
          </w:p>
        </w:tc>
        <w:tc>
          <w:tcPr>
            <w:tcW w:w="834" w:type="pct"/>
            <w:shd w:val="clear" w:color="auto" w:fill="auto"/>
          </w:tcPr>
          <w:p w14:paraId="030F446C" w14:textId="279E0CA2" w:rsidR="00E4112E" w:rsidRPr="005C29F8" w:rsidRDefault="002B7490">
            <w:pPr>
              <w:jc w:val="center"/>
              <w:rPr>
                <w:b/>
                <w:color w:val="000000" w:themeColor="text1"/>
              </w:rPr>
            </w:pPr>
            <w:r w:rsidRPr="005C29F8">
              <w:rPr>
                <w:b/>
                <w:color w:val="000000" w:themeColor="text1"/>
              </w:rPr>
              <w:t>2018</w:t>
            </w:r>
          </w:p>
        </w:tc>
      </w:tr>
      <w:tr w:rsidR="005C29F8" w:rsidRPr="005C29F8" w14:paraId="166D6AFF" w14:textId="0C956946" w:rsidTr="0033429D">
        <w:trPr>
          <w:trHeight w:val="357"/>
        </w:trPr>
        <w:tc>
          <w:tcPr>
            <w:tcW w:w="833" w:type="pct"/>
            <w:shd w:val="clear" w:color="auto" w:fill="auto"/>
            <w:vAlign w:val="center"/>
          </w:tcPr>
          <w:p w14:paraId="38AA0076" w14:textId="731BFD6B" w:rsidR="00BB7BC9" w:rsidRPr="005C29F8" w:rsidRDefault="00BB7BC9" w:rsidP="00BB7BC9">
            <w:pPr>
              <w:rPr>
                <w:rFonts w:cs="Arial"/>
                <w:color w:val="000000" w:themeColor="text1"/>
                <w:szCs w:val="16"/>
              </w:rPr>
            </w:pPr>
            <w:r w:rsidRPr="005C29F8">
              <w:rPr>
                <w:rFonts w:cs="Arial"/>
                <w:color w:val="000000" w:themeColor="text1"/>
                <w:szCs w:val="16"/>
              </w:rPr>
              <w:t xml:space="preserve">Target </w:t>
            </w:r>
            <w:r w:rsidR="009B02BC" w:rsidRPr="005C29F8">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79939FD5" w14:textId="354F468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2F67AA89" w14:textId="7720B11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370622DC" w14:textId="1DC834EA"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shd w:val="clear" w:color="auto" w:fill="auto"/>
            <w:vAlign w:val="center"/>
          </w:tcPr>
          <w:p w14:paraId="01742AA4" w14:textId="72802F04"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7A0B9513" w14:textId="222C1F8D" w:rsidTr="0033429D">
        <w:trPr>
          <w:trHeight w:val="85"/>
        </w:trPr>
        <w:tc>
          <w:tcPr>
            <w:tcW w:w="833" w:type="pct"/>
            <w:shd w:val="clear" w:color="auto" w:fill="auto"/>
            <w:vAlign w:val="center"/>
          </w:tcPr>
          <w:p w14:paraId="7EAE8715" w14:textId="77777777" w:rsidR="00BB7BC9" w:rsidRPr="005C29F8" w:rsidRDefault="00BB7BC9" w:rsidP="00BB7BC9">
            <w:pPr>
              <w:rPr>
                <w:rFonts w:cs="Arial"/>
                <w:color w:val="000000" w:themeColor="text1"/>
                <w:szCs w:val="16"/>
              </w:rPr>
            </w:pPr>
            <w:r w:rsidRPr="005C29F8">
              <w:rPr>
                <w:rFonts w:cs="Arial"/>
                <w:color w:val="000000" w:themeColor="text1"/>
                <w:szCs w:val="16"/>
              </w:rPr>
              <w:t>Data</w:t>
            </w:r>
          </w:p>
        </w:tc>
        <w:tc>
          <w:tcPr>
            <w:tcW w:w="833" w:type="pct"/>
            <w:shd w:val="clear" w:color="auto" w:fill="auto"/>
            <w:vAlign w:val="center"/>
          </w:tcPr>
          <w:p w14:paraId="088137A7" w14:textId="7782C22E"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shd w:val="clear" w:color="auto" w:fill="auto"/>
            <w:vAlign w:val="center"/>
          </w:tcPr>
          <w:p w14:paraId="6040C16E" w14:textId="1898F821"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5F34812B" w14:textId="77777777" w:rsidR="006478FC" w:rsidRPr="005C29F8" w:rsidRDefault="006478FC" w:rsidP="004369B2">
      <w:pPr>
        <w:rPr>
          <w:color w:val="000000" w:themeColor="text1"/>
        </w:rPr>
      </w:pPr>
    </w:p>
    <w:p w14:paraId="4841771C" w14:textId="2E3FC34F" w:rsidR="00ED5FCE" w:rsidRPr="005C29F8" w:rsidRDefault="00ED5FCE" w:rsidP="004369B2">
      <w:pPr>
        <w:rPr>
          <w:color w:val="000000" w:themeColor="text1"/>
        </w:rPr>
      </w:pPr>
      <w:r w:rsidRPr="005C29F8">
        <w:rPr>
          <w:b/>
          <w:color w:val="000000" w:themeColor="text1"/>
        </w:rPr>
        <w:t>Targets</w:t>
      </w:r>
    </w:p>
    <w:tbl>
      <w:tblPr>
        <w:tblW w:w="1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2608"/>
      </w:tblGrid>
      <w:tr w:rsidR="00085D89" w:rsidRPr="005C29F8" w14:paraId="00255703" w14:textId="2C73132D" w:rsidTr="0033429D">
        <w:trPr>
          <w:trHeight w:val="350"/>
        </w:trPr>
        <w:tc>
          <w:tcPr>
            <w:tcW w:w="1033" w:type="pct"/>
            <w:tcBorders>
              <w:bottom w:val="single" w:sz="4" w:space="0" w:color="auto"/>
            </w:tcBorders>
            <w:shd w:val="clear" w:color="auto" w:fill="auto"/>
          </w:tcPr>
          <w:p w14:paraId="12833EEC" w14:textId="77777777" w:rsidR="00085D89" w:rsidRPr="005C29F8" w:rsidRDefault="00085D89" w:rsidP="004369B2">
            <w:pPr>
              <w:jc w:val="center"/>
              <w:rPr>
                <w:b/>
                <w:color w:val="000000" w:themeColor="text1"/>
              </w:rPr>
            </w:pPr>
            <w:r w:rsidRPr="005C29F8">
              <w:rPr>
                <w:b/>
                <w:color w:val="000000" w:themeColor="text1"/>
              </w:rPr>
              <w:t>FFY</w:t>
            </w:r>
          </w:p>
        </w:tc>
        <w:tc>
          <w:tcPr>
            <w:tcW w:w="3967" w:type="pct"/>
            <w:shd w:val="clear" w:color="auto" w:fill="auto"/>
          </w:tcPr>
          <w:p w14:paraId="50119DBA" w14:textId="04DC2A77" w:rsidR="00085D89" w:rsidRPr="005C29F8" w:rsidRDefault="00085D89" w:rsidP="004369B2">
            <w:pPr>
              <w:jc w:val="center"/>
              <w:rPr>
                <w:b/>
                <w:color w:val="000000" w:themeColor="text1"/>
              </w:rPr>
            </w:pPr>
            <w:r w:rsidRPr="005C29F8">
              <w:rPr>
                <w:b/>
                <w:color w:val="000000" w:themeColor="text1"/>
              </w:rPr>
              <w:t>2019</w:t>
            </w:r>
          </w:p>
        </w:tc>
      </w:tr>
      <w:tr w:rsidR="00085D89" w:rsidRPr="005C29F8" w14:paraId="1ACE760A" w14:textId="60DE54B9" w:rsidTr="00085D89">
        <w:trPr>
          <w:trHeight w:val="357"/>
        </w:trPr>
        <w:tc>
          <w:tcPr>
            <w:tcW w:w="1033" w:type="pct"/>
            <w:shd w:val="clear" w:color="auto" w:fill="auto"/>
            <w:vAlign w:val="center"/>
          </w:tcPr>
          <w:p w14:paraId="3387B9B3" w14:textId="0ED5756F" w:rsidR="00085D89" w:rsidRPr="005C29F8" w:rsidRDefault="00085D89">
            <w:pPr>
              <w:rPr>
                <w:rFonts w:cs="Arial"/>
                <w:color w:val="000000" w:themeColor="text1"/>
                <w:szCs w:val="16"/>
              </w:rPr>
            </w:pPr>
            <w:r w:rsidRPr="005C29F8">
              <w:rPr>
                <w:rFonts w:cs="Arial"/>
                <w:color w:val="000000" w:themeColor="text1"/>
                <w:szCs w:val="16"/>
              </w:rPr>
              <w:t xml:space="preserve">Target </w:t>
            </w:r>
            <w:r w:rsidRPr="005C29F8">
              <w:rPr>
                <w:rFonts w:cs="Arial"/>
                <w:color w:val="000000" w:themeColor="text1"/>
                <w:szCs w:val="16"/>
                <w:shd w:val="clear" w:color="auto" w:fill="FFFFFF"/>
              </w:rPr>
              <w:t>&lt;=</w:t>
            </w:r>
          </w:p>
        </w:tc>
        <w:tc>
          <w:tcPr>
            <w:tcW w:w="3967" w:type="pct"/>
            <w:shd w:val="clear" w:color="auto" w:fill="auto"/>
            <w:vAlign w:val="center"/>
          </w:tcPr>
          <w:p w14:paraId="78EBD6ED" w14:textId="4FA09BBD" w:rsidR="00085D89" w:rsidRPr="005C29F8" w:rsidRDefault="00085D89" w:rsidP="00A018D4">
            <w:pPr>
              <w:jc w:val="center"/>
              <w:rPr>
                <w:rFonts w:cs="Arial"/>
                <w:color w:val="000000" w:themeColor="text1"/>
                <w:szCs w:val="16"/>
              </w:rPr>
            </w:pPr>
            <w:r w:rsidRPr="005C29F8">
              <w:rPr>
                <w:rFonts w:cs="Arial"/>
                <w:color w:val="000000" w:themeColor="text1"/>
                <w:szCs w:val="16"/>
              </w:rPr>
              <w:t>0.00%</w:t>
            </w:r>
          </w:p>
        </w:tc>
      </w:tr>
    </w:tbl>
    <w:p w14:paraId="05EA20CB" w14:textId="0A0E8C80" w:rsidR="002D145D" w:rsidRDefault="002D145D" w:rsidP="004369B2">
      <w:pPr>
        <w:rPr>
          <w:b/>
          <w:color w:val="000000" w:themeColor="text1"/>
        </w:rPr>
      </w:pPr>
      <w:r w:rsidRPr="005C29F8">
        <w:rPr>
          <w:b/>
          <w:color w:val="000000" w:themeColor="text1"/>
        </w:rPr>
        <w:t xml:space="preserve">Targets: Description of Stakeholder Input </w:t>
      </w:r>
    </w:p>
    <w:p w14:paraId="3FD5337B" w14:textId="54E74935"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r>
      <w:r w:rsidRPr="005C29F8">
        <w:rPr>
          <w:rFonts w:cs="Arial"/>
          <w:color w:val="000000" w:themeColor="text1"/>
          <w:szCs w:val="16"/>
        </w:rPr>
        <w:lastRenderedPageBreak/>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2AE297AB" w14:textId="77777777" w:rsidR="007E6F97" w:rsidRPr="005C29F8" w:rsidRDefault="007E6F97" w:rsidP="004369B2">
      <w:pPr>
        <w:rPr>
          <w:color w:val="000000" w:themeColor="text1"/>
        </w:rPr>
      </w:pPr>
    </w:p>
    <w:p w14:paraId="2E616696" w14:textId="32AC154F" w:rsidR="00D03701" w:rsidRPr="005C29F8" w:rsidRDefault="00EC46E4">
      <w:pPr>
        <w:rPr>
          <w:b/>
          <w:color w:val="000000" w:themeColor="text1"/>
        </w:rPr>
      </w:pPr>
      <w:r w:rsidRPr="005C29F8">
        <w:rPr>
          <w:b/>
          <w:color w:val="000000" w:themeColor="text1"/>
        </w:rPr>
        <w:t>FFY 2019 SPP/APR Data</w:t>
      </w:r>
      <w:bookmarkEnd w:id="21"/>
      <w:bookmarkEnd w:id="22"/>
    </w:p>
    <w:p w14:paraId="01DBD317" w14:textId="266ACECA" w:rsidR="009B02BC" w:rsidRPr="005C29F8" w:rsidRDefault="009B02BC">
      <w:pPr>
        <w:rPr>
          <w:rFonts w:cs="Arial"/>
          <w:b/>
          <w:color w:val="000000" w:themeColor="text1"/>
          <w:szCs w:val="16"/>
        </w:rPr>
      </w:pPr>
      <w:r w:rsidRPr="005C29F8">
        <w:rPr>
          <w:rFonts w:cs="Arial"/>
          <w:b/>
          <w:color w:val="000000" w:themeColor="text1"/>
          <w:szCs w:val="16"/>
        </w:rPr>
        <w:t>Has the state established a minimum n-size requirement? (yes/no)</w:t>
      </w:r>
    </w:p>
    <w:p w14:paraId="6A8BDBAB" w14:textId="22481006" w:rsidR="009B02BC" w:rsidRDefault="009B02BC">
      <w:pPr>
        <w:rPr>
          <w:rFonts w:cs="Arial"/>
          <w:color w:val="000000" w:themeColor="text1"/>
          <w:szCs w:val="16"/>
        </w:rPr>
      </w:pPr>
      <w:r w:rsidRPr="005C29F8">
        <w:rPr>
          <w:rFonts w:cs="Arial"/>
          <w:color w:val="000000" w:themeColor="text1"/>
          <w:szCs w:val="16"/>
        </w:rPr>
        <w:t>NO</w:t>
      </w:r>
    </w:p>
    <w:p w14:paraId="4E14BC0D" w14:textId="77777777" w:rsidR="00A14B5D" w:rsidRPr="005C29F8"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5C29F8" w14:paraId="25961F2E" w14:textId="5D241BED" w:rsidTr="00AB0D6A">
        <w:trPr>
          <w:trHeight w:val="994"/>
          <w:jc w:val="center"/>
        </w:trPr>
        <w:tc>
          <w:tcPr>
            <w:tcW w:w="653" w:type="pct"/>
            <w:shd w:val="clear" w:color="auto" w:fill="auto"/>
            <w:vAlign w:val="bottom"/>
          </w:tcPr>
          <w:p w14:paraId="1D711F21" w14:textId="77777777" w:rsidR="001D6A0A" w:rsidRPr="005C29F8" w:rsidRDefault="001D6A0A" w:rsidP="00681BA6">
            <w:pPr>
              <w:jc w:val="center"/>
              <w:rPr>
                <w:rFonts w:cs="Arial"/>
                <w:b/>
                <w:color w:val="000000" w:themeColor="text1"/>
                <w:szCs w:val="16"/>
              </w:rPr>
            </w:pPr>
            <w:r w:rsidRPr="005C29F8">
              <w:rPr>
                <w:rFonts w:cs="Arial"/>
                <w:b/>
                <w:color w:val="000000" w:themeColor="text1"/>
                <w:szCs w:val="16"/>
              </w:rPr>
              <w:t>Number of districts that have a significant discrepancy</w:t>
            </w:r>
          </w:p>
        </w:tc>
        <w:tc>
          <w:tcPr>
            <w:tcW w:w="879" w:type="pct"/>
            <w:shd w:val="clear" w:color="auto" w:fill="auto"/>
            <w:vAlign w:val="bottom"/>
          </w:tcPr>
          <w:p w14:paraId="196C509D" w14:textId="441688AA" w:rsidR="001D6A0A" w:rsidRPr="005C29F8" w:rsidRDefault="00C9488E" w:rsidP="00681BA6">
            <w:pPr>
              <w:jc w:val="center"/>
              <w:rPr>
                <w:rFonts w:cs="Arial"/>
                <w:b/>
                <w:color w:val="000000" w:themeColor="text1"/>
                <w:szCs w:val="16"/>
              </w:rPr>
            </w:pPr>
            <w:r w:rsidRPr="005C29F8">
              <w:rPr>
                <w:rFonts w:cs="Arial"/>
                <w:b/>
                <w:color w:val="000000" w:themeColor="text1"/>
                <w:szCs w:val="16"/>
              </w:rPr>
              <w:t>Number of districts in the State</w:t>
            </w:r>
          </w:p>
        </w:tc>
        <w:tc>
          <w:tcPr>
            <w:tcW w:w="634" w:type="pct"/>
            <w:shd w:val="clear" w:color="auto" w:fill="auto"/>
            <w:vAlign w:val="bottom"/>
          </w:tcPr>
          <w:p w14:paraId="20C8255F" w14:textId="0EBA452E" w:rsidR="001D6A0A"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876" w:type="pct"/>
            <w:shd w:val="clear" w:color="auto" w:fill="auto"/>
            <w:vAlign w:val="bottom"/>
          </w:tcPr>
          <w:p w14:paraId="2298BC2C" w14:textId="1AFCA225"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Target</w:t>
            </w:r>
          </w:p>
        </w:tc>
        <w:tc>
          <w:tcPr>
            <w:tcW w:w="584" w:type="pct"/>
            <w:shd w:val="clear" w:color="auto" w:fill="auto"/>
            <w:vAlign w:val="bottom"/>
          </w:tcPr>
          <w:p w14:paraId="3E9B682A" w14:textId="68E53444" w:rsidR="001D6A0A" w:rsidRPr="005C29F8" w:rsidRDefault="001D6A0A" w:rsidP="00681BA6">
            <w:pPr>
              <w:jc w:val="center"/>
              <w:rPr>
                <w:rFonts w:cs="Arial"/>
                <w:b/>
                <w:color w:val="000000" w:themeColor="text1"/>
                <w:szCs w:val="16"/>
              </w:rPr>
            </w:pPr>
            <w:r w:rsidRPr="005C29F8">
              <w:rPr>
                <w:rFonts w:cs="Arial"/>
                <w:b/>
                <w:color w:val="000000" w:themeColor="text1"/>
                <w:szCs w:val="16"/>
              </w:rPr>
              <w:t>FFY 2019 Data</w:t>
            </w:r>
          </w:p>
        </w:tc>
        <w:tc>
          <w:tcPr>
            <w:tcW w:w="667" w:type="pct"/>
            <w:shd w:val="clear" w:color="auto" w:fill="auto"/>
            <w:vAlign w:val="bottom"/>
          </w:tcPr>
          <w:p w14:paraId="7B5A071B" w14:textId="6C45C0BB" w:rsidR="001D6A0A" w:rsidRPr="005C29F8" w:rsidRDefault="001D6A0A" w:rsidP="00681BA6">
            <w:pPr>
              <w:jc w:val="center"/>
              <w:rPr>
                <w:rFonts w:cs="Arial"/>
                <w:b/>
                <w:color w:val="000000" w:themeColor="text1"/>
                <w:szCs w:val="16"/>
              </w:rPr>
            </w:pPr>
            <w:r w:rsidRPr="005C29F8">
              <w:rPr>
                <w:rFonts w:cs="Arial"/>
                <w:b/>
                <w:color w:val="000000" w:themeColor="text1"/>
                <w:szCs w:val="16"/>
              </w:rPr>
              <w:t>Status</w:t>
            </w:r>
          </w:p>
        </w:tc>
        <w:tc>
          <w:tcPr>
            <w:tcW w:w="707" w:type="pct"/>
            <w:shd w:val="clear" w:color="auto" w:fill="auto"/>
            <w:vAlign w:val="bottom"/>
          </w:tcPr>
          <w:p w14:paraId="4D50491C" w14:textId="7F184394" w:rsidR="001D6A0A" w:rsidRPr="005C29F8" w:rsidRDefault="001D6A0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246961D" w14:textId="1C11943C" w:rsidTr="00AB0D6A">
        <w:trPr>
          <w:trHeight w:val="233"/>
          <w:jc w:val="center"/>
        </w:trPr>
        <w:tc>
          <w:tcPr>
            <w:tcW w:w="653" w:type="pct"/>
            <w:shd w:val="clear" w:color="auto" w:fill="auto"/>
            <w:vAlign w:val="center"/>
          </w:tcPr>
          <w:p w14:paraId="0B36F15E" w14:textId="239D7181" w:rsidR="00A862C3"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79" w:type="pct"/>
            <w:shd w:val="clear" w:color="auto" w:fill="auto"/>
          </w:tcPr>
          <w:p w14:paraId="77E03427" w14:textId="31D4B2F4" w:rsidR="00A862C3"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634" w:type="pct"/>
            <w:shd w:val="clear" w:color="auto" w:fill="auto"/>
          </w:tcPr>
          <w:p w14:paraId="12EAED8C" w14:textId="23973C25"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876" w:type="pct"/>
            <w:shd w:val="clear" w:color="auto" w:fill="auto"/>
          </w:tcPr>
          <w:p w14:paraId="0310AC78" w14:textId="48F7D944"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84" w:type="pct"/>
            <w:shd w:val="clear" w:color="auto" w:fill="auto"/>
          </w:tcPr>
          <w:p w14:paraId="411F4E7C" w14:textId="0AFD7B4B" w:rsidR="00A862C3"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667" w:type="pct"/>
            <w:shd w:val="clear" w:color="auto" w:fill="auto"/>
          </w:tcPr>
          <w:p w14:paraId="000F74CB" w14:textId="0986D493" w:rsidR="00A862C3"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707" w:type="pct"/>
            <w:shd w:val="clear" w:color="auto" w:fill="auto"/>
          </w:tcPr>
          <w:p w14:paraId="69708C33" w14:textId="1D4517AD" w:rsidR="00A862C3"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278EEC3E" w14:textId="77777777" w:rsidR="006D741F" w:rsidRPr="005C29F8" w:rsidRDefault="00082667" w:rsidP="00286BDF">
      <w:pPr>
        <w:rPr>
          <w:rFonts w:cs="Arial"/>
          <w:b/>
          <w:color w:val="000000" w:themeColor="text1"/>
          <w:szCs w:val="16"/>
        </w:rPr>
      </w:pPr>
      <w:r w:rsidRPr="005C29F8">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5C29F8" w:rsidRDefault="002B7490" w:rsidP="00286BDF">
      <w:pPr>
        <w:rPr>
          <w:rFonts w:cs="Arial"/>
          <w:color w:val="000000" w:themeColor="text1"/>
          <w:szCs w:val="16"/>
        </w:rPr>
      </w:pPr>
      <w:r w:rsidRPr="005C29F8">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5C29F8" w:rsidRDefault="00082667" w:rsidP="00286BDF">
      <w:pPr>
        <w:rPr>
          <w:rFonts w:cs="Arial"/>
          <w:b/>
          <w:color w:val="000000" w:themeColor="text1"/>
          <w:szCs w:val="16"/>
        </w:rPr>
      </w:pPr>
      <w:r w:rsidRPr="005C29F8">
        <w:rPr>
          <w:rFonts w:cs="Arial"/>
          <w:b/>
          <w:color w:val="000000" w:themeColor="text1"/>
          <w:szCs w:val="16"/>
        </w:rPr>
        <w:t>State’s definition of “significant discrepancy” and methodology</w:t>
      </w:r>
    </w:p>
    <w:p w14:paraId="37248070" w14:textId="1657C005" w:rsidR="00A869E9" w:rsidRPr="005C29F8" w:rsidRDefault="002B7490" w:rsidP="0085119E">
      <w:pPr>
        <w:rPr>
          <w:rFonts w:cs="Arial"/>
          <w:color w:val="000000" w:themeColor="text1"/>
          <w:szCs w:val="16"/>
        </w:rPr>
      </w:pPr>
      <w:r w:rsidRPr="005C29F8">
        <w:rPr>
          <w:rFonts w:cs="Arial"/>
          <w:color w:val="000000" w:themeColor="text1"/>
          <w:szCs w:val="16"/>
        </w:rPr>
        <w:t>Significant Discrepancy Definition: In its FFY 2007 APR, CNMI submitted the revised significant discrepancy definition of “0% difference between the two groups” – students without disabilities and students with disabilities, which went into effect in FFY 2008. In December 2014, the stakeholders revised the definition of significant discrepancy to read a difference of more than 1% between the two groups.</w:t>
      </w:r>
      <w:r w:rsidRPr="005C29F8">
        <w:rPr>
          <w:rFonts w:cs="Arial"/>
          <w:color w:val="000000" w:themeColor="text1"/>
          <w:szCs w:val="16"/>
        </w:rPr>
        <w:br/>
      </w:r>
      <w:r w:rsidRPr="005C29F8">
        <w:rPr>
          <w:rFonts w:cs="Arial"/>
          <w:color w:val="000000" w:themeColor="text1"/>
          <w:szCs w:val="16"/>
        </w:rPr>
        <w:br/>
        <w:t>Methodology: CNMI is a unitary system and therefore uses the comparison methodology between students without disabilities and students with disabilities to determine if there exists a significant discrepancy in the rates of suspensions and expulsions greater than 10 days in a school year.</w:t>
      </w:r>
      <w:r w:rsidRPr="005C29F8">
        <w:rPr>
          <w:rFonts w:cs="Arial"/>
          <w:color w:val="000000" w:themeColor="text1"/>
          <w:szCs w:val="16"/>
        </w:rPr>
        <w:br/>
      </w:r>
      <w:r w:rsidRPr="005C29F8">
        <w:rPr>
          <w:rFonts w:cs="Arial"/>
          <w:color w:val="000000" w:themeColor="text1"/>
          <w:szCs w:val="16"/>
        </w:rPr>
        <w:br/>
        <w:t>Using one year data lag, the reported data used for FFY 2019 Indicator 4A was from 2018-2019 as follows:</w:t>
      </w:r>
      <w:r w:rsidRPr="005C29F8">
        <w:rPr>
          <w:rFonts w:cs="Arial"/>
          <w:color w:val="000000" w:themeColor="text1"/>
          <w:szCs w:val="16"/>
        </w:rPr>
        <w:br/>
        <w:t>-Students without disabilities = 0.03% (3/9084)</w:t>
      </w:r>
      <w:r w:rsidRPr="005C29F8">
        <w:rPr>
          <w:rFonts w:cs="Arial"/>
          <w:color w:val="000000" w:themeColor="text1"/>
          <w:szCs w:val="16"/>
        </w:rPr>
        <w:br/>
        <w:t>-Students with disabilities = 0.21% (2/968) - consistent with the 618 discipline data submitted in November 2019</w:t>
      </w:r>
      <w:r w:rsidRPr="005C29F8">
        <w:rPr>
          <w:rFonts w:cs="Arial"/>
          <w:color w:val="000000" w:themeColor="text1"/>
          <w:szCs w:val="16"/>
        </w:rPr>
        <w:br/>
        <w:t>-Difference = 0.18%</w:t>
      </w:r>
    </w:p>
    <w:p w14:paraId="47F07052" w14:textId="77777777" w:rsidR="00BB504D" w:rsidRPr="005C29F8" w:rsidRDefault="00BB504D" w:rsidP="004369B2">
      <w:pPr>
        <w:rPr>
          <w:b/>
          <w:color w:val="000000" w:themeColor="text1"/>
        </w:rPr>
      </w:pPr>
      <w:bookmarkStart w:id="23" w:name="_Toc384383334"/>
      <w:bookmarkStart w:id="24" w:name="_Toc392159286"/>
      <w:r w:rsidRPr="005C29F8">
        <w:rPr>
          <w:b/>
          <w:color w:val="000000" w:themeColor="text1"/>
        </w:rPr>
        <w:t>Provide additional information about this indicator (optional)</w:t>
      </w:r>
    </w:p>
    <w:p w14:paraId="0275E470" w14:textId="5748926D" w:rsidR="00A869E9" w:rsidRPr="005C29F8" w:rsidRDefault="00A869E9" w:rsidP="000E33D0">
      <w:pPr>
        <w:rPr>
          <w:rFonts w:cs="Arial"/>
          <w:color w:val="000000" w:themeColor="text1"/>
          <w:szCs w:val="16"/>
        </w:rPr>
      </w:pPr>
    </w:p>
    <w:bookmarkEnd w:id="23"/>
    <w:bookmarkEnd w:id="24"/>
    <w:p w14:paraId="227CCB46" w14:textId="77777777" w:rsidR="007E6F97" w:rsidRPr="005C29F8" w:rsidRDefault="007E6F97" w:rsidP="004369B2">
      <w:pPr>
        <w:rPr>
          <w:color w:val="000000" w:themeColor="text1"/>
        </w:rPr>
      </w:pPr>
    </w:p>
    <w:p w14:paraId="3F63E777" w14:textId="3DD4967A" w:rsidR="00082667" w:rsidRPr="005C29F8" w:rsidRDefault="00082667" w:rsidP="004369B2">
      <w:pPr>
        <w:rPr>
          <w:color w:val="000000" w:themeColor="text1"/>
        </w:rPr>
      </w:pPr>
      <w:r w:rsidRPr="005C29F8">
        <w:rPr>
          <w:b/>
          <w:color w:val="000000" w:themeColor="text1"/>
        </w:rPr>
        <w:t>Review of Policies, Procedures, and Practices (completed in FFY 2019 using 2018-2019 data)</w:t>
      </w:r>
    </w:p>
    <w:p w14:paraId="76B39D83" w14:textId="1E1AB613" w:rsidR="00082667" w:rsidRPr="005C29F8" w:rsidRDefault="00571EAB" w:rsidP="00162F4A">
      <w:pPr>
        <w:rPr>
          <w:b/>
          <w:color w:val="000000" w:themeColor="text1"/>
        </w:rPr>
      </w:pPr>
      <w:r w:rsidRPr="005C29F8">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5C29F8" w:rsidRDefault="002D57DA" w:rsidP="00082667">
      <w:pPr>
        <w:rPr>
          <w:rFonts w:cs="Arial"/>
          <w:color w:val="000000" w:themeColor="text1"/>
          <w:szCs w:val="16"/>
        </w:rPr>
      </w:pPr>
    </w:p>
    <w:p w14:paraId="47497C41" w14:textId="77777777" w:rsidR="003B64C0" w:rsidRPr="005C29F8" w:rsidRDefault="003B64C0" w:rsidP="00082667">
      <w:pPr>
        <w:rPr>
          <w:rFonts w:cs="Arial"/>
          <w:color w:val="000000" w:themeColor="text1"/>
          <w:szCs w:val="16"/>
        </w:rPr>
      </w:pPr>
    </w:p>
    <w:p w14:paraId="38E1E629" w14:textId="1EF02333" w:rsidR="003B64C0" w:rsidRDefault="003B64C0" w:rsidP="00082667">
      <w:pPr>
        <w:rPr>
          <w:rFonts w:cs="Arial"/>
          <w:color w:val="000000" w:themeColor="text1"/>
          <w:szCs w:val="16"/>
        </w:rPr>
      </w:pPr>
      <w:r w:rsidRPr="005C29F8">
        <w:rPr>
          <w:rFonts w:cs="Arial"/>
          <w:color w:val="000000" w:themeColor="text1"/>
          <w:szCs w:val="16"/>
        </w:rPr>
        <w:t xml:space="preserve">The State DID NOT identify noncompliance with Part B requirements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the review required by 34 CFR §300.170(b)</w:t>
      </w:r>
    </w:p>
    <w:p w14:paraId="1295BAEB" w14:textId="77777777" w:rsidR="007E6F97" w:rsidRPr="005C29F8" w:rsidRDefault="007E6F97" w:rsidP="004369B2">
      <w:pPr>
        <w:rPr>
          <w:color w:val="000000" w:themeColor="text1"/>
        </w:rPr>
      </w:pPr>
      <w:bookmarkStart w:id="25" w:name="_Toc381956335"/>
      <w:bookmarkStart w:id="26" w:name="_Toc384383336"/>
      <w:bookmarkStart w:id="27" w:name="_Toc392159288"/>
    </w:p>
    <w:p w14:paraId="0496594E" w14:textId="1F9DAA34" w:rsidR="00B9048A" w:rsidRPr="005C29F8" w:rsidRDefault="00B9048A"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5C29F8" w14:paraId="5E5B522D" w14:textId="77777777" w:rsidTr="000D3273">
        <w:trPr>
          <w:trHeight w:val="389"/>
          <w:tblHeader/>
        </w:trPr>
        <w:tc>
          <w:tcPr>
            <w:tcW w:w="1211" w:type="pct"/>
            <w:shd w:val="clear" w:color="auto" w:fill="auto"/>
            <w:vAlign w:val="bottom"/>
          </w:tcPr>
          <w:p w14:paraId="16ECB6B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1836014" w14:textId="77777777" w:rsidTr="000D3273">
        <w:tc>
          <w:tcPr>
            <w:tcW w:w="1211" w:type="pct"/>
            <w:shd w:val="clear" w:color="auto" w:fill="auto"/>
          </w:tcPr>
          <w:p w14:paraId="706C7C42" w14:textId="616D64A9" w:rsidR="00B9048A" w:rsidRPr="005C29F8"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5C29F8"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5C29F8"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5C29F8" w:rsidRDefault="00B9048A" w:rsidP="00A018D4">
            <w:pPr>
              <w:jc w:val="center"/>
              <w:rPr>
                <w:rFonts w:cs="Arial"/>
                <w:color w:val="000000" w:themeColor="text1"/>
                <w:szCs w:val="16"/>
              </w:rPr>
            </w:pPr>
          </w:p>
        </w:tc>
      </w:tr>
    </w:tbl>
    <w:p w14:paraId="6809AF49" w14:textId="411E5FA6" w:rsidR="00B9048A" w:rsidRPr="005C29F8" w:rsidRDefault="00B9048A"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5C29F8" w14:paraId="6E94B7A5" w14:textId="77777777" w:rsidTr="00AB0D6A">
        <w:trPr>
          <w:tblHeader/>
        </w:trPr>
        <w:tc>
          <w:tcPr>
            <w:tcW w:w="1027" w:type="pct"/>
            <w:shd w:val="clear" w:color="auto" w:fill="auto"/>
            <w:vAlign w:val="bottom"/>
          </w:tcPr>
          <w:p w14:paraId="673CA265" w14:textId="007E8E78" w:rsidR="00B9048A" w:rsidRPr="005C29F8" w:rsidRDefault="0016730D" w:rsidP="001F692C">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54" w:type="pct"/>
            <w:shd w:val="clear" w:color="auto" w:fill="auto"/>
            <w:vAlign w:val="bottom"/>
          </w:tcPr>
          <w:p w14:paraId="1C2EE691" w14:textId="45482A7D"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0" w:type="pct"/>
            <w:shd w:val="clear" w:color="auto" w:fill="auto"/>
            <w:vAlign w:val="bottom"/>
          </w:tcPr>
          <w:p w14:paraId="4E501567"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5C29F8" w:rsidRDefault="00B9048A" w:rsidP="001F692C">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80087A2" w14:textId="77777777" w:rsidTr="00AB0D6A">
        <w:tc>
          <w:tcPr>
            <w:tcW w:w="1027" w:type="pct"/>
            <w:shd w:val="clear" w:color="auto" w:fill="auto"/>
          </w:tcPr>
          <w:p w14:paraId="5A5634D8" w14:textId="5AC3BEAC" w:rsidR="000C7B90" w:rsidRPr="005C29F8"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5C29F8" w:rsidRDefault="000C7B90">
            <w:pPr>
              <w:jc w:val="center"/>
              <w:rPr>
                <w:rFonts w:cs="Arial"/>
                <w:noProof/>
                <w:color w:val="000000" w:themeColor="text1"/>
                <w:szCs w:val="16"/>
              </w:rPr>
            </w:pPr>
          </w:p>
        </w:tc>
        <w:tc>
          <w:tcPr>
            <w:tcW w:w="1350" w:type="pct"/>
            <w:shd w:val="clear" w:color="auto" w:fill="auto"/>
          </w:tcPr>
          <w:p w14:paraId="0F44D03C" w14:textId="3887F715" w:rsidR="000C7B90" w:rsidRPr="005C29F8" w:rsidRDefault="000C7B90">
            <w:pPr>
              <w:jc w:val="center"/>
              <w:rPr>
                <w:rFonts w:cs="Arial"/>
                <w:noProof/>
                <w:color w:val="000000" w:themeColor="text1"/>
                <w:szCs w:val="16"/>
              </w:rPr>
            </w:pPr>
          </w:p>
        </w:tc>
        <w:tc>
          <w:tcPr>
            <w:tcW w:w="1269" w:type="pct"/>
            <w:shd w:val="clear" w:color="auto" w:fill="auto"/>
          </w:tcPr>
          <w:p w14:paraId="5DF55667" w14:textId="0913E6B4" w:rsidR="000C7B90" w:rsidRPr="005C29F8" w:rsidRDefault="000C7B90">
            <w:pPr>
              <w:jc w:val="center"/>
              <w:rPr>
                <w:rFonts w:cs="Arial"/>
                <w:noProof/>
                <w:color w:val="000000" w:themeColor="text1"/>
                <w:szCs w:val="16"/>
              </w:rPr>
            </w:pPr>
          </w:p>
        </w:tc>
      </w:tr>
      <w:tr w:rsidR="005C29F8" w:rsidRPr="005C29F8" w14:paraId="3BB76F7F" w14:textId="77777777" w:rsidTr="00AB0D6A">
        <w:tc>
          <w:tcPr>
            <w:tcW w:w="1027" w:type="pct"/>
            <w:shd w:val="clear" w:color="auto" w:fill="auto"/>
          </w:tcPr>
          <w:p w14:paraId="3E53BDFC" w14:textId="49B50F7D" w:rsidR="000C7B90" w:rsidRPr="005C29F8"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5C29F8" w:rsidRDefault="000C7B90">
            <w:pPr>
              <w:jc w:val="center"/>
              <w:rPr>
                <w:rFonts w:cs="Arial"/>
                <w:noProof/>
                <w:color w:val="000000" w:themeColor="text1"/>
                <w:szCs w:val="16"/>
              </w:rPr>
            </w:pPr>
          </w:p>
        </w:tc>
        <w:tc>
          <w:tcPr>
            <w:tcW w:w="1350" w:type="pct"/>
            <w:shd w:val="clear" w:color="auto" w:fill="auto"/>
          </w:tcPr>
          <w:p w14:paraId="45BEAE02" w14:textId="10E4F499" w:rsidR="000C7B90" w:rsidRPr="005C29F8" w:rsidRDefault="000C7B90">
            <w:pPr>
              <w:jc w:val="center"/>
              <w:rPr>
                <w:rFonts w:cs="Arial"/>
                <w:noProof/>
                <w:color w:val="000000" w:themeColor="text1"/>
                <w:szCs w:val="16"/>
              </w:rPr>
            </w:pPr>
          </w:p>
        </w:tc>
        <w:tc>
          <w:tcPr>
            <w:tcW w:w="1269" w:type="pct"/>
            <w:shd w:val="clear" w:color="auto" w:fill="auto"/>
          </w:tcPr>
          <w:p w14:paraId="3F264F27" w14:textId="46B36D97" w:rsidR="000C7B90" w:rsidRPr="005C29F8" w:rsidRDefault="000C7B90">
            <w:pPr>
              <w:jc w:val="center"/>
              <w:rPr>
                <w:rFonts w:cs="Arial"/>
                <w:noProof/>
                <w:color w:val="000000" w:themeColor="text1"/>
                <w:szCs w:val="16"/>
              </w:rPr>
            </w:pPr>
          </w:p>
        </w:tc>
      </w:tr>
      <w:tr w:rsidR="005C29F8" w:rsidRPr="005C29F8" w14:paraId="21B66B81" w14:textId="77777777" w:rsidTr="00AB0D6A">
        <w:tc>
          <w:tcPr>
            <w:tcW w:w="1027" w:type="pct"/>
            <w:shd w:val="clear" w:color="auto" w:fill="auto"/>
          </w:tcPr>
          <w:p w14:paraId="65918C5C" w14:textId="6650DAE7" w:rsidR="000C7B90" w:rsidRPr="005C29F8"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5C29F8" w:rsidRDefault="000C7B90">
            <w:pPr>
              <w:jc w:val="center"/>
              <w:rPr>
                <w:rFonts w:cs="Arial"/>
                <w:noProof/>
                <w:color w:val="000000" w:themeColor="text1"/>
                <w:szCs w:val="16"/>
              </w:rPr>
            </w:pPr>
          </w:p>
        </w:tc>
        <w:tc>
          <w:tcPr>
            <w:tcW w:w="1350" w:type="pct"/>
            <w:shd w:val="clear" w:color="auto" w:fill="auto"/>
          </w:tcPr>
          <w:p w14:paraId="12030336" w14:textId="25AE5462" w:rsidR="000C7B90" w:rsidRPr="005C29F8" w:rsidRDefault="000C7B90">
            <w:pPr>
              <w:jc w:val="center"/>
              <w:rPr>
                <w:rFonts w:cs="Arial"/>
                <w:noProof/>
                <w:color w:val="000000" w:themeColor="text1"/>
                <w:szCs w:val="16"/>
              </w:rPr>
            </w:pPr>
          </w:p>
        </w:tc>
        <w:tc>
          <w:tcPr>
            <w:tcW w:w="1269" w:type="pct"/>
            <w:shd w:val="clear" w:color="auto" w:fill="auto"/>
          </w:tcPr>
          <w:p w14:paraId="189EDDF9" w14:textId="00F3EE08" w:rsidR="000C7B90" w:rsidRPr="005C29F8" w:rsidRDefault="000C7B90">
            <w:pPr>
              <w:jc w:val="center"/>
              <w:rPr>
                <w:rFonts w:cs="Arial"/>
                <w:noProof/>
                <w:color w:val="000000" w:themeColor="text1"/>
                <w:szCs w:val="16"/>
              </w:rPr>
            </w:pPr>
          </w:p>
        </w:tc>
      </w:tr>
    </w:tbl>
    <w:p w14:paraId="21AE82C7" w14:textId="33B9781C" w:rsidR="004E2151" w:rsidRPr="0033429D" w:rsidRDefault="00697434" w:rsidP="008645AD">
      <w:pPr>
        <w:pStyle w:val="Heading2"/>
      </w:pPr>
      <w:r w:rsidRPr="0033429D">
        <w:t>4A</w:t>
      </w:r>
      <w:r w:rsidR="00DA3C7A" w:rsidRPr="0033429D">
        <w:t xml:space="preserve"> </w:t>
      </w:r>
      <w:r w:rsidRPr="0033429D">
        <w:t xml:space="preserve">- </w:t>
      </w:r>
      <w:r w:rsidR="004E2151" w:rsidRPr="0033429D">
        <w:t>Prior FFY Required Actions</w:t>
      </w:r>
    </w:p>
    <w:p w14:paraId="3EDBC3E4" w14:textId="0BA98152" w:rsidR="004E2151" w:rsidRPr="005C29F8" w:rsidRDefault="002B7490" w:rsidP="004E2151">
      <w:pPr>
        <w:rPr>
          <w:rFonts w:cs="Arial"/>
          <w:color w:val="000000" w:themeColor="text1"/>
          <w:szCs w:val="16"/>
        </w:rPr>
      </w:pPr>
      <w:r w:rsidRPr="005C29F8">
        <w:rPr>
          <w:rFonts w:cs="Arial"/>
          <w:color w:val="000000" w:themeColor="text1"/>
          <w:szCs w:val="16"/>
        </w:rPr>
        <w:t>None</w:t>
      </w:r>
    </w:p>
    <w:p w14:paraId="54E863CC" w14:textId="77777777" w:rsidR="009B02BC" w:rsidRPr="005C29F8" w:rsidRDefault="009B02BC" w:rsidP="004E2151">
      <w:pPr>
        <w:rPr>
          <w:rFonts w:cs="Arial"/>
          <w:color w:val="000000" w:themeColor="text1"/>
          <w:szCs w:val="16"/>
        </w:rPr>
      </w:pPr>
    </w:p>
    <w:p w14:paraId="1480A7D2" w14:textId="5B38CB62" w:rsidR="009B02BC" w:rsidRPr="005C29F8" w:rsidRDefault="009B02BC" w:rsidP="004E2151">
      <w:pPr>
        <w:rPr>
          <w:rFonts w:cs="Arial"/>
          <w:color w:val="000000" w:themeColor="text1"/>
          <w:szCs w:val="16"/>
        </w:rPr>
      </w:pPr>
    </w:p>
    <w:p w14:paraId="537673C8" w14:textId="6D41A3A2" w:rsidR="005115D6" w:rsidRPr="0033429D" w:rsidRDefault="001E2193" w:rsidP="008645AD">
      <w:pPr>
        <w:pStyle w:val="Heading2"/>
      </w:pPr>
      <w:r w:rsidRPr="0033429D">
        <w:t>4A - OSEP Response</w:t>
      </w:r>
    </w:p>
    <w:p w14:paraId="6408916F" w14:textId="5ADBBBB9" w:rsidR="002D57DA" w:rsidRPr="005C29F8" w:rsidRDefault="002D57DA" w:rsidP="00212954">
      <w:pPr>
        <w:rPr>
          <w:rFonts w:cs="Arial"/>
          <w:color w:val="000000" w:themeColor="text1"/>
          <w:szCs w:val="16"/>
        </w:rPr>
      </w:pPr>
    </w:p>
    <w:p w14:paraId="146BDB91" w14:textId="0A2F7969" w:rsidR="005115D6" w:rsidRPr="0033429D" w:rsidRDefault="00697434" w:rsidP="008645AD">
      <w:pPr>
        <w:pStyle w:val="Heading2"/>
      </w:pPr>
      <w:r w:rsidRPr="0033429D">
        <w:lastRenderedPageBreak/>
        <w:t>4A - Required Actions</w:t>
      </w:r>
    </w:p>
    <w:p w14:paraId="37BECDFE" w14:textId="2A43AB88" w:rsidR="002D57DA" w:rsidRPr="005C29F8" w:rsidRDefault="002D57DA" w:rsidP="00212954">
      <w:pPr>
        <w:rPr>
          <w:rFonts w:cs="Arial"/>
          <w:color w:val="000000" w:themeColor="text1"/>
          <w:szCs w:val="16"/>
        </w:rPr>
      </w:pPr>
    </w:p>
    <w:p w14:paraId="5E6ED969"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58544B7" w14:textId="204E8DB3" w:rsidR="00D03701" w:rsidRPr="005C29F8" w:rsidRDefault="00D03701" w:rsidP="000444E2">
      <w:pPr>
        <w:pStyle w:val="Heading1"/>
        <w:rPr>
          <w:color w:val="000000" w:themeColor="text1"/>
          <w:sz w:val="22"/>
        </w:rPr>
      </w:pPr>
      <w:r w:rsidRPr="005C29F8">
        <w:rPr>
          <w:color w:val="000000" w:themeColor="text1"/>
          <w:sz w:val="22"/>
        </w:rPr>
        <w:lastRenderedPageBreak/>
        <w:t>Indicator 4B: Suspension/Expulsion</w:t>
      </w:r>
      <w:bookmarkEnd w:id="25"/>
      <w:bookmarkEnd w:id="26"/>
      <w:bookmarkEnd w:id="27"/>
    </w:p>
    <w:p w14:paraId="1BA30D93" w14:textId="77777777" w:rsidR="008637F8" w:rsidRPr="005C29F8" w:rsidRDefault="008637F8" w:rsidP="00A018D4">
      <w:pPr>
        <w:rPr>
          <w:color w:val="000000" w:themeColor="text1"/>
          <w:szCs w:val="20"/>
        </w:rPr>
      </w:pPr>
      <w:r w:rsidRPr="005C29F8">
        <w:rPr>
          <w:b/>
          <w:color w:val="000000" w:themeColor="text1"/>
          <w:sz w:val="20"/>
          <w:szCs w:val="20"/>
        </w:rPr>
        <w:t xml:space="preserve">Instructions and Measurement </w:t>
      </w:r>
    </w:p>
    <w:p w14:paraId="0904D95C" w14:textId="6ABD6544" w:rsidR="00413366" w:rsidRPr="005C29F8" w:rsidRDefault="00413366"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7516B53F" w14:textId="25CEE127" w:rsidR="00413366" w:rsidRPr="005C29F8" w:rsidRDefault="00C56D79" w:rsidP="009A755E">
      <w:pPr>
        <w:rPr>
          <w:rFonts w:cs="Arial"/>
          <w:color w:val="000000" w:themeColor="text1"/>
          <w:szCs w:val="16"/>
        </w:rPr>
      </w:pPr>
      <w:r>
        <w:rPr>
          <w:rFonts w:cs="Arial"/>
          <w:b/>
          <w:color w:val="000000" w:themeColor="text1"/>
          <w:szCs w:val="16"/>
        </w:rPr>
        <w:t>Compliance Indicator:</w:t>
      </w:r>
      <w:r w:rsidR="009A755E" w:rsidRPr="005C29F8">
        <w:rPr>
          <w:rFonts w:cs="Arial"/>
          <w:color w:val="000000" w:themeColor="text1"/>
          <w:szCs w:val="16"/>
        </w:rPr>
        <w:t xml:space="preserve"> </w:t>
      </w:r>
      <w:r w:rsidR="00413366" w:rsidRPr="005C29F8">
        <w:rPr>
          <w:rFonts w:cs="Arial"/>
          <w:color w:val="000000" w:themeColor="text1"/>
          <w:szCs w:val="16"/>
        </w:rPr>
        <w:t>Rates of suspension and expulsion:</w:t>
      </w:r>
    </w:p>
    <w:p w14:paraId="021F68CD" w14:textId="57DFF211" w:rsidR="00413366" w:rsidRPr="005C29F8" w:rsidRDefault="001D5BAF" w:rsidP="006A01BD">
      <w:pPr>
        <w:ind w:left="720"/>
        <w:rPr>
          <w:rFonts w:cs="Arial"/>
          <w:color w:val="000000" w:themeColor="text1"/>
          <w:szCs w:val="16"/>
        </w:rPr>
      </w:pPr>
      <w:r w:rsidRPr="005C29F8">
        <w:rPr>
          <w:rFonts w:cs="Arial"/>
          <w:color w:val="000000" w:themeColor="text1"/>
          <w:szCs w:val="16"/>
        </w:rPr>
        <w:t>B. Percent of districts that have: (a) a significant discrepancy, by race or ethnicity</w:t>
      </w:r>
      <w:r w:rsidR="00413366" w:rsidRPr="005C29F8">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w:t>
      </w:r>
    </w:p>
    <w:p w14:paraId="7034F485" w14:textId="41B53DB5" w:rsidR="0011074D" w:rsidRPr="005C29F8" w:rsidRDefault="0011074D" w:rsidP="0011074D">
      <w:pPr>
        <w:rPr>
          <w:rFonts w:cs="Arial"/>
          <w:color w:val="000000" w:themeColor="text1"/>
          <w:szCs w:val="16"/>
        </w:rPr>
      </w:pPr>
      <w:r w:rsidRPr="005C29F8">
        <w:rPr>
          <w:rFonts w:cs="Arial"/>
          <w:color w:val="000000" w:themeColor="text1"/>
          <w:szCs w:val="16"/>
        </w:rPr>
        <w:t>(20 U.S.C. 1416(a)(3)(A); 1412(a)(22))</w:t>
      </w:r>
    </w:p>
    <w:p w14:paraId="5F946B13" w14:textId="77777777" w:rsidR="00413366" w:rsidRPr="005C29F8" w:rsidRDefault="00413366" w:rsidP="004369B2">
      <w:pPr>
        <w:rPr>
          <w:color w:val="000000" w:themeColor="text1"/>
        </w:rPr>
      </w:pPr>
      <w:r w:rsidRPr="005C29F8">
        <w:rPr>
          <w:b/>
          <w:color w:val="000000" w:themeColor="text1"/>
        </w:rPr>
        <w:t>Data Source</w:t>
      </w:r>
    </w:p>
    <w:p w14:paraId="5BDC9967"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State </w:t>
      </w:r>
      <w:r w:rsidRPr="005C29F8">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5C29F8" w:rsidRDefault="00413366" w:rsidP="004369B2">
      <w:pPr>
        <w:rPr>
          <w:color w:val="000000" w:themeColor="text1"/>
        </w:rPr>
      </w:pPr>
      <w:r w:rsidRPr="005C29F8">
        <w:rPr>
          <w:b/>
          <w:color w:val="000000" w:themeColor="text1"/>
        </w:rPr>
        <w:t>Measurement</w:t>
      </w:r>
    </w:p>
    <w:p w14:paraId="509BF292" w14:textId="10DB3525" w:rsidR="00413366" w:rsidRPr="005C29F8" w:rsidRDefault="00413366"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 xml:space="preserve">= </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 xml:space="preserve">of districts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 that have: (a) a significant discrepancy, by race or ethnicity, in the rates of suspensions and expulsions of greater than 10 days in a school year of children with IEPs; and (b) policies, procedures or practices that contribute to the significant discrepancy and do not comply with requirements relating to the development and implementation of IEPs, the use of positive behavioral interventions and supports, and procedural safeguards) divided by the (# of districts in the State that meet the State-established </w:t>
      </w:r>
      <w:proofErr w:type="spellStart"/>
      <w:r w:rsidRPr="005C29F8">
        <w:rPr>
          <w:rFonts w:cs="Arial"/>
          <w:color w:val="000000" w:themeColor="text1"/>
          <w:szCs w:val="16"/>
          <w:shd w:val="clear" w:color="auto" w:fill="FFFFFF"/>
        </w:rPr>
        <w:t>n</w:t>
      </w:r>
      <w:proofErr w:type="spellEnd"/>
      <w:r w:rsidRPr="005C29F8">
        <w:rPr>
          <w:rFonts w:cs="Arial"/>
          <w:color w:val="000000" w:themeColor="text1"/>
          <w:szCs w:val="16"/>
          <w:shd w:val="clear" w:color="auto" w:fill="FFFFFF"/>
        </w:rPr>
        <w:t xml:space="preserve"> size (if applicable) for one or more racial/ethnic groups</w:t>
      </w:r>
      <w:r w:rsidR="00E726E2"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09B5AE3F" w14:textId="77777777" w:rsidR="00413366" w:rsidRPr="005C29F8" w:rsidRDefault="00413366" w:rsidP="00286BDF">
      <w:pPr>
        <w:rPr>
          <w:rFonts w:cs="Arial"/>
          <w:color w:val="000000" w:themeColor="text1"/>
          <w:szCs w:val="16"/>
        </w:rPr>
      </w:pPr>
      <w:r w:rsidRPr="005C29F8">
        <w:rPr>
          <w:rFonts w:cs="Arial"/>
          <w:color w:val="000000" w:themeColor="text1"/>
          <w:szCs w:val="16"/>
          <w:shd w:val="clear" w:color="auto" w:fill="FFFFFF"/>
        </w:rPr>
        <w:t>Include State’s definition of “significant discrepancy.”</w:t>
      </w:r>
    </w:p>
    <w:p w14:paraId="19EA6D3F" w14:textId="77777777" w:rsidR="00413366" w:rsidRPr="005C29F8" w:rsidRDefault="00413366" w:rsidP="004369B2">
      <w:pPr>
        <w:rPr>
          <w:color w:val="000000" w:themeColor="text1"/>
        </w:rPr>
      </w:pPr>
      <w:r w:rsidRPr="005C29F8">
        <w:rPr>
          <w:b/>
          <w:color w:val="000000" w:themeColor="text1"/>
        </w:rPr>
        <w:t>Instructions</w:t>
      </w:r>
    </w:p>
    <w:p w14:paraId="516DD2DE"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If the State has established a minimum n size requirement, the State may only include, in both the numerator and the denominator, districts that met that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the State used a minimum n size requirement, report the number of districts excluded from the calculation </w:t>
      </w:r>
      <w:proofErr w:type="gramStart"/>
      <w:r w:rsidRPr="005C29F8">
        <w:rPr>
          <w:rFonts w:cs="Arial"/>
          <w:color w:val="000000" w:themeColor="text1"/>
          <w:szCs w:val="16"/>
        </w:rPr>
        <w:t>as a result of</w:t>
      </w:r>
      <w:proofErr w:type="gramEnd"/>
      <w:r w:rsidRPr="005C29F8">
        <w:rPr>
          <w:rFonts w:cs="Arial"/>
          <w:color w:val="000000" w:themeColor="text1"/>
          <w:szCs w:val="16"/>
        </w:rPr>
        <w:t xml:space="preserve"> this requirement.</w:t>
      </w:r>
    </w:p>
    <w:p w14:paraId="7D3F6556" w14:textId="7D96A206" w:rsidR="00413366" w:rsidRPr="005C29F8" w:rsidRDefault="0016730D" w:rsidP="00BB7BC9">
      <w:pPr>
        <w:rPr>
          <w:rFonts w:cs="Arial"/>
          <w:color w:val="000000" w:themeColor="text1"/>
          <w:szCs w:val="16"/>
        </w:rPr>
      </w:pPr>
      <w:r w:rsidRPr="005C29F8">
        <w:rPr>
          <w:rFonts w:cs="Arial"/>
          <w:color w:val="000000" w:themeColor="text1"/>
          <w:szCs w:val="16"/>
        </w:rPr>
        <w:t>Describe the results of the State’s examination of the data for the year before the reporting year (e.g., for the FFY 2019 SPP/APR, use data from 2018-2019), including data disaggregated by race and ethnicity to determine if significant discrepancies are occurring in the rates of long-term suspensions and expulsions of children with IEPs, as required at 20 U.S.C. 1412(a)(22). The State’s examination must include one of the following comparisons</w:t>
      </w:r>
    </w:p>
    <w:p w14:paraId="041F9A85" w14:textId="0566F4DA"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among LEAs within the State; or</w:t>
      </w:r>
    </w:p>
    <w:p w14:paraId="4B77809C" w14:textId="04050159" w:rsidR="00413366" w:rsidRPr="005C29F8" w:rsidRDefault="00515E61" w:rsidP="006A01BD">
      <w:pPr>
        <w:ind w:firstLine="720"/>
        <w:rPr>
          <w:rFonts w:cs="Arial"/>
          <w:color w:val="000000" w:themeColor="text1"/>
          <w:szCs w:val="16"/>
        </w:rPr>
      </w:pPr>
      <w:r w:rsidRPr="005C29F8">
        <w:rPr>
          <w:rFonts w:cs="Arial"/>
          <w:color w:val="000000" w:themeColor="text1"/>
          <w:szCs w:val="16"/>
        </w:rPr>
        <w:t>--The rates of suspensions and expulsions for children with IEPs to nondisabled children within the LEAs</w:t>
      </w:r>
    </w:p>
    <w:p w14:paraId="428DC587" w14:textId="77777777" w:rsidR="00413366" w:rsidRPr="005C29F8" w:rsidRDefault="00413366" w:rsidP="00BB7BC9">
      <w:pPr>
        <w:rPr>
          <w:rFonts w:cs="Arial"/>
          <w:color w:val="000000" w:themeColor="text1"/>
          <w:szCs w:val="16"/>
        </w:rPr>
      </w:pPr>
      <w:r w:rsidRPr="005C29F8">
        <w:rPr>
          <w:rFonts w:cs="Arial"/>
          <w:color w:val="000000" w:themeColor="text1"/>
          <w:szCs w:val="16"/>
        </w:rPr>
        <w:t>In the description, specify which method the State used to determine possible discrepancies and explain what constitutes those discrepancies.</w:t>
      </w:r>
    </w:p>
    <w:p w14:paraId="42FA82A8" w14:textId="77777777" w:rsidR="00413366" w:rsidRPr="005C29F8" w:rsidRDefault="00413366" w:rsidP="00BB7BC9">
      <w:pPr>
        <w:rPr>
          <w:rFonts w:cs="Arial"/>
          <w:color w:val="000000" w:themeColor="text1"/>
          <w:szCs w:val="16"/>
        </w:rPr>
      </w:pPr>
      <w:r w:rsidRPr="005C29F8">
        <w:rPr>
          <w:rFonts w:cs="Arial"/>
          <w:color w:val="000000" w:themeColor="text1"/>
          <w:szCs w:val="16"/>
        </w:rPr>
        <w:t xml:space="preserve">Indicator 4B: Provide the following: (a) the number of districts that met the State-established </w:t>
      </w:r>
      <w:proofErr w:type="spellStart"/>
      <w:r w:rsidRPr="005C29F8">
        <w:rPr>
          <w:rFonts w:cs="Arial"/>
          <w:color w:val="000000" w:themeColor="text1"/>
          <w:szCs w:val="16"/>
        </w:rPr>
        <w:t>n</w:t>
      </w:r>
      <w:proofErr w:type="spellEnd"/>
      <w:r w:rsidRPr="005C29F8">
        <w:rPr>
          <w:rFonts w:cs="Arial"/>
          <w:color w:val="000000" w:themeColor="text1"/>
          <w:szCs w:val="16"/>
        </w:rPr>
        <w:t xml:space="preserve"> size (if applicable) for one or more racial/ethnic groups that have a significant discrepancy, by race or ethnicity, in the rates of suspensions and expulsions of greater than 10 days in a school year for children with IEPs; and (b) the number of those districts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77777777" w:rsidR="00413366" w:rsidRPr="005C29F8" w:rsidRDefault="00413366" w:rsidP="00BB7BC9">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discrepancies occurred and the district with discrepancies had policies, procedures or practices that contributed to the significant discrepancy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the Office of Special Education Programs (OSEP) Memorandum 09-02, dated October 17, 2008.</w:t>
      </w:r>
    </w:p>
    <w:p w14:paraId="244FF3E4" w14:textId="77777777" w:rsidR="00413366" w:rsidRPr="005C29F8" w:rsidRDefault="00413366" w:rsidP="00BB7BC9">
      <w:pPr>
        <w:rPr>
          <w:rFonts w:cs="Arial"/>
          <w:color w:val="000000" w:themeColor="text1"/>
          <w:szCs w:val="16"/>
        </w:rPr>
      </w:pPr>
      <w:r w:rsidRPr="005C29F8">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50FF4A75" w:rsidR="00413366" w:rsidRPr="005C29F8" w:rsidRDefault="0016730D" w:rsidP="00BB7BC9">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2018-2019), and the State did not identify any findings of noncompliance, provide an explanation of why the State did not identify any findings of noncompliance.</w:t>
      </w:r>
    </w:p>
    <w:p w14:paraId="4A2E05BE" w14:textId="77777777" w:rsidR="00413366" w:rsidRPr="005C29F8" w:rsidRDefault="00413366" w:rsidP="00BB7BC9">
      <w:pPr>
        <w:rPr>
          <w:rFonts w:cs="Arial"/>
          <w:color w:val="000000" w:themeColor="text1"/>
          <w:szCs w:val="16"/>
        </w:rPr>
      </w:pPr>
      <w:r w:rsidRPr="005C29F8">
        <w:rPr>
          <w:rFonts w:cs="Arial"/>
          <w:color w:val="000000" w:themeColor="text1"/>
          <w:szCs w:val="16"/>
        </w:rPr>
        <w:t>Targets must be 0% for 4B.</w:t>
      </w:r>
    </w:p>
    <w:p w14:paraId="1D15A8F4" w14:textId="6546AA23" w:rsidR="00D90B7C" w:rsidRPr="0033429D" w:rsidRDefault="00D11730" w:rsidP="008645AD">
      <w:pPr>
        <w:pStyle w:val="Heading2"/>
      </w:pPr>
      <w:r w:rsidRPr="0033429D">
        <w:t>4B</w:t>
      </w:r>
      <w:r w:rsidR="00E90DE9" w:rsidRPr="0033429D">
        <w:t xml:space="preserve"> </w:t>
      </w:r>
      <w:r w:rsidRPr="0033429D">
        <w:t xml:space="preserve">- </w:t>
      </w:r>
      <w:r w:rsidR="00D90B7C" w:rsidRPr="0033429D">
        <w:t>Indicator Data</w:t>
      </w:r>
    </w:p>
    <w:p w14:paraId="435C0FC5" w14:textId="77777777" w:rsidR="0091098C" w:rsidRPr="005C29F8" w:rsidRDefault="0091098C" w:rsidP="004369B2">
      <w:pPr>
        <w:rPr>
          <w:color w:val="000000" w:themeColor="text1"/>
        </w:rPr>
      </w:pPr>
    </w:p>
    <w:p w14:paraId="113E64CF" w14:textId="7EACB9AD" w:rsidR="00CA0009" w:rsidRPr="005C29F8" w:rsidRDefault="0091098C" w:rsidP="004369B2">
      <w:pPr>
        <w:rPr>
          <w:color w:val="000000" w:themeColor="text1"/>
        </w:rPr>
      </w:pPr>
      <w:r w:rsidRPr="005C29F8">
        <w:rPr>
          <w:b/>
          <w:color w:val="000000" w:themeColor="text1"/>
        </w:rPr>
        <w:t>Not Applicable</w:t>
      </w:r>
    </w:p>
    <w:p w14:paraId="01A6DC15" w14:textId="244F6F21" w:rsidR="00F9524E" w:rsidRPr="005C29F8" w:rsidRDefault="00C144E3" w:rsidP="004369B2">
      <w:pPr>
        <w:rPr>
          <w:b/>
          <w:color w:val="000000" w:themeColor="text1"/>
        </w:rPr>
      </w:pPr>
      <w:r w:rsidRPr="005C29F8">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5C29F8">
        <w:rPr>
          <w:rFonts w:cs="Arial"/>
          <w:color w:val="000000" w:themeColor="text1"/>
          <w:szCs w:val="16"/>
        </w:rPr>
        <w:t>YES</w:t>
      </w:r>
    </w:p>
    <w:p w14:paraId="6C6C5D10" w14:textId="6125C860" w:rsidR="00421D14" w:rsidRPr="005C29F8" w:rsidRDefault="000A18ED" w:rsidP="004369B2">
      <w:pPr>
        <w:rPr>
          <w:b/>
          <w:color w:val="000000" w:themeColor="text1"/>
        </w:rPr>
      </w:pPr>
      <w:r w:rsidRPr="005C29F8">
        <w:rPr>
          <w:b/>
          <w:color w:val="000000" w:themeColor="text1"/>
        </w:rPr>
        <w:t xml:space="preserve">Provide an explanation of why it is not applicable below: </w:t>
      </w:r>
    </w:p>
    <w:p w14:paraId="2B7AEADC" w14:textId="18DA78FF" w:rsidR="00F85593" w:rsidRDefault="00F85593" w:rsidP="004369B2">
      <w:pPr>
        <w:rPr>
          <w:color w:val="000000" w:themeColor="text1"/>
        </w:rPr>
      </w:pPr>
      <w:r w:rsidRPr="005C29F8">
        <w:rPr>
          <w:color w:val="000000" w:themeColor="text1"/>
        </w:rPr>
        <w:t>As per OSEP's instruction, Indicator 4B is not applicable to the CNMI.</w:t>
      </w:r>
    </w:p>
    <w:p w14:paraId="7BCEF85B" w14:textId="62F9E93D" w:rsidR="004E2151" w:rsidRPr="0033429D" w:rsidRDefault="00D11730" w:rsidP="008645AD">
      <w:pPr>
        <w:pStyle w:val="Heading2"/>
      </w:pPr>
      <w:r w:rsidRPr="0033429D">
        <w:t>4B</w:t>
      </w:r>
      <w:r w:rsidR="00E90DE9" w:rsidRPr="0033429D">
        <w:t xml:space="preserve"> </w:t>
      </w:r>
      <w:r w:rsidRPr="0033429D">
        <w:t xml:space="preserve">- </w:t>
      </w:r>
      <w:r w:rsidR="004E2151" w:rsidRPr="0033429D">
        <w:t>Prior FFY Required Actions</w:t>
      </w:r>
    </w:p>
    <w:p w14:paraId="60DC97B4" w14:textId="67376465" w:rsidR="009B02BC" w:rsidRPr="005C29F8" w:rsidRDefault="002B7490" w:rsidP="004E2151">
      <w:pPr>
        <w:rPr>
          <w:rFonts w:cs="Arial"/>
          <w:color w:val="000000" w:themeColor="text1"/>
          <w:szCs w:val="16"/>
        </w:rPr>
      </w:pPr>
      <w:r w:rsidRPr="005C29F8">
        <w:rPr>
          <w:rFonts w:cs="Arial"/>
          <w:color w:val="000000" w:themeColor="text1"/>
          <w:szCs w:val="16"/>
        </w:rPr>
        <w:t>None</w:t>
      </w:r>
    </w:p>
    <w:p w14:paraId="7562BCA8" w14:textId="2875B1E9" w:rsidR="005115D6" w:rsidRPr="0033429D" w:rsidRDefault="00D11730" w:rsidP="008645AD">
      <w:pPr>
        <w:pStyle w:val="Heading2"/>
      </w:pPr>
      <w:r w:rsidRPr="0033429D">
        <w:t>4B - OSEP Response</w:t>
      </w:r>
    </w:p>
    <w:p w14:paraId="489BF62D" w14:textId="19458AE8" w:rsidR="003C308E" w:rsidRPr="005C29F8" w:rsidRDefault="002B7490" w:rsidP="00212954">
      <w:pPr>
        <w:rPr>
          <w:rFonts w:cs="Arial"/>
          <w:color w:val="000000" w:themeColor="text1"/>
          <w:szCs w:val="16"/>
        </w:rPr>
      </w:pPr>
      <w:r w:rsidRPr="005C29F8">
        <w:rPr>
          <w:rFonts w:cs="Arial"/>
          <w:color w:val="000000" w:themeColor="text1"/>
          <w:szCs w:val="16"/>
        </w:rPr>
        <w:t>This indicator is not applicable to the Commonwealth of the Northern Mariana Islands.</w:t>
      </w:r>
    </w:p>
    <w:p w14:paraId="4D6C35B1" w14:textId="16E26788" w:rsidR="005115D6" w:rsidRPr="0033429D" w:rsidRDefault="00D11730" w:rsidP="008645AD">
      <w:pPr>
        <w:pStyle w:val="Heading2"/>
      </w:pPr>
      <w:r w:rsidRPr="0033429D">
        <w:t>4B- Required Actions</w:t>
      </w:r>
    </w:p>
    <w:p w14:paraId="5DE261E4" w14:textId="20281C98" w:rsidR="003C308E" w:rsidRPr="005C29F8" w:rsidRDefault="003C308E" w:rsidP="00212954">
      <w:pPr>
        <w:rPr>
          <w:rFonts w:cs="Arial"/>
          <w:color w:val="000000" w:themeColor="text1"/>
          <w:szCs w:val="16"/>
        </w:rPr>
      </w:pPr>
    </w:p>
    <w:p w14:paraId="4C9312F8"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4F968F36" w14:textId="6BE4B228" w:rsidR="00D21EAA" w:rsidRPr="005C29F8" w:rsidRDefault="00D21EAA" w:rsidP="000444E2">
      <w:pPr>
        <w:pStyle w:val="Heading1"/>
        <w:rPr>
          <w:color w:val="000000" w:themeColor="text1"/>
          <w:sz w:val="22"/>
        </w:rPr>
      </w:pPr>
      <w:r w:rsidRPr="005C29F8">
        <w:rPr>
          <w:color w:val="000000" w:themeColor="text1"/>
          <w:sz w:val="22"/>
        </w:rPr>
        <w:lastRenderedPageBreak/>
        <w:t xml:space="preserve">Indicator 5: </w:t>
      </w:r>
      <w:bookmarkEnd w:id="11"/>
      <w:r w:rsidRPr="005C29F8">
        <w:rPr>
          <w:color w:val="000000" w:themeColor="text1"/>
          <w:sz w:val="22"/>
        </w:rPr>
        <w:t>Education Environments (children 6-21)</w:t>
      </w:r>
      <w:bookmarkEnd w:id="18"/>
    </w:p>
    <w:p w14:paraId="52AD89A1" w14:textId="77777777" w:rsidR="00775845" w:rsidRPr="005C29F8" w:rsidRDefault="00775845" w:rsidP="00A018D4">
      <w:pPr>
        <w:rPr>
          <w:color w:val="000000" w:themeColor="text1"/>
          <w:szCs w:val="20"/>
        </w:rPr>
      </w:pPr>
      <w:bookmarkStart w:id="28" w:name="_Toc392159295"/>
      <w:r w:rsidRPr="005C29F8">
        <w:rPr>
          <w:b/>
          <w:color w:val="000000" w:themeColor="text1"/>
          <w:sz w:val="20"/>
          <w:szCs w:val="20"/>
        </w:rPr>
        <w:t xml:space="preserve">Instructions and Measurement </w:t>
      </w:r>
    </w:p>
    <w:p w14:paraId="5E00F17E" w14:textId="149CBFE3"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653D57AC" w14:textId="3437AE35" w:rsidR="00CC634E" w:rsidRPr="005C29F8" w:rsidRDefault="00CC634E" w:rsidP="009A755E">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Education environments (children 6-21):</w:t>
      </w:r>
      <w:r w:rsidR="00131842" w:rsidRPr="005C29F8">
        <w:rPr>
          <w:rFonts w:cs="Arial"/>
          <w:color w:val="000000" w:themeColor="text1"/>
          <w:szCs w:val="16"/>
        </w:rPr>
        <w:t xml:space="preserve"> </w:t>
      </w:r>
      <w:r w:rsidRPr="005C29F8">
        <w:rPr>
          <w:rFonts w:cs="Arial"/>
          <w:color w:val="000000" w:themeColor="text1"/>
          <w:szCs w:val="16"/>
        </w:rPr>
        <w:t>Percent of children with IEPs aged 6 through 21 served:</w:t>
      </w:r>
    </w:p>
    <w:p w14:paraId="7D5946B6" w14:textId="027B0899" w:rsidR="00CC634E" w:rsidRPr="005C29F8" w:rsidRDefault="00B9739D" w:rsidP="006A01BD">
      <w:pPr>
        <w:ind w:firstLine="720"/>
        <w:rPr>
          <w:rFonts w:cs="Arial"/>
          <w:color w:val="000000" w:themeColor="text1"/>
          <w:szCs w:val="16"/>
        </w:rPr>
      </w:pPr>
      <w:r w:rsidRPr="005C29F8">
        <w:rPr>
          <w:rFonts w:cs="Arial"/>
          <w:color w:val="000000" w:themeColor="text1"/>
          <w:szCs w:val="16"/>
        </w:rPr>
        <w:t xml:space="preserve">A. Inside the regular class 80% or more of the </w:t>
      </w:r>
      <w:proofErr w:type="gramStart"/>
      <w:r w:rsidRPr="005C29F8">
        <w:rPr>
          <w:rFonts w:cs="Arial"/>
          <w:color w:val="000000" w:themeColor="text1"/>
          <w:szCs w:val="16"/>
        </w:rPr>
        <w:t>day;</w:t>
      </w:r>
      <w:proofErr w:type="gramEnd"/>
    </w:p>
    <w:p w14:paraId="64FA9D2A" w14:textId="36742077" w:rsidR="00CC634E" w:rsidRPr="005C29F8" w:rsidRDefault="00B9739D" w:rsidP="006A01BD">
      <w:pPr>
        <w:ind w:firstLine="720"/>
        <w:rPr>
          <w:rFonts w:cs="Arial"/>
          <w:color w:val="000000" w:themeColor="text1"/>
          <w:szCs w:val="16"/>
        </w:rPr>
      </w:pPr>
      <w:r w:rsidRPr="005C29F8">
        <w:rPr>
          <w:rFonts w:cs="Arial"/>
          <w:color w:val="000000" w:themeColor="text1"/>
          <w:szCs w:val="16"/>
        </w:rPr>
        <w:t>B. Inside the regular class less than 40% of the day; and</w:t>
      </w:r>
    </w:p>
    <w:p w14:paraId="7D6C4792" w14:textId="4E458A42" w:rsidR="00CC634E" w:rsidRPr="005C29F8" w:rsidRDefault="00B9739D" w:rsidP="006A01BD">
      <w:pPr>
        <w:ind w:firstLine="720"/>
        <w:rPr>
          <w:rFonts w:cs="Arial"/>
          <w:color w:val="000000" w:themeColor="text1"/>
          <w:szCs w:val="16"/>
        </w:rPr>
      </w:pPr>
      <w:r w:rsidRPr="005C29F8">
        <w:rPr>
          <w:rFonts w:cs="Arial"/>
          <w:color w:val="000000" w:themeColor="text1"/>
          <w:szCs w:val="16"/>
        </w:rPr>
        <w:t>C. In separate schools, residential facilities, or homebound/hospital placements.</w:t>
      </w:r>
    </w:p>
    <w:p w14:paraId="7086FA15" w14:textId="47C5B9E3"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97EFC48" w14:textId="77777777" w:rsidR="001F6A28" w:rsidRPr="005C29F8" w:rsidRDefault="001F6A28" w:rsidP="004369B2">
      <w:pPr>
        <w:rPr>
          <w:color w:val="000000" w:themeColor="text1"/>
        </w:rPr>
      </w:pPr>
      <w:r w:rsidRPr="005C29F8">
        <w:rPr>
          <w:b/>
          <w:color w:val="000000" w:themeColor="text1"/>
        </w:rPr>
        <w:t>Data Source</w:t>
      </w:r>
    </w:p>
    <w:p w14:paraId="27A12343" w14:textId="1C2938A9" w:rsidR="001F6A28" w:rsidRPr="005C29F8" w:rsidRDefault="001F6A2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002.</w:t>
      </w:r>
    </w:p>
    <w:p w14:paraId="6BD2884B" w14:textId="77777777" w:rsidR="001F6A28" w:rsidRPr="005C29F8" w:rsidRDefault="001F6A28" w:rsidP="004369B2">
      <w:pPr>
        <w:rPr>
          <w:color w:val="000000" w:themeColor="text1"/>
        </w:rPr>
      </w:pPr>
      <w:r w:rsidRPr="005C29F8">
        <w:rPr>
          <w:b/>
          <w:color w:val="000000" w:themeColor="text1"/>
        </w:rPr>
        <w:t>Measurement</w:t>
      </w:r>
    </w:p>
    <w:p w14:paraId="29361C11" w14:textId="4D7521C6" w:rsidR="001F6A28" w:rsidRPr="005C29F8" w:rsidRDefault="001F6A2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inside the regular class 80% or more of the day) divided by the (total # of students aged 6 through 21 with IEPs</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times 100.</w:t>
      </w:r>
    </w:p>
    <w:p w14:paraId="1AC31DB2" w14:textId="551F3C1A" w:rsidR="001F6A2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1F6A28" w:rsidRPr="005C29F8">
        <w:rPr>
          <w:rFonts w:cs="Arial"/>
          <w:color w:val="000000" w:themeColor="text1"/>
          <w:szCs w:val="16"/>
          <w:shd w:val="clear" w:color="auto" w:fill="FFFFFF"/>
        </w:rPr>
        <w:t xml:space="preserve"> </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of children with IEPs aged 6 through 21 served inside the regular class less than 40% of the day) divided by the (total # of students aged 6 through 21 with IEPs</w:t>
      </w:r>
      <w:r w:rsidR="00A33668" w:rsidRPr="005C29F8">
        <w:rPr>
          <w:rFonts w:cs="Arial"/>
          <w:color w:val="000000" w:themeColor="text1"/>
          <w:szCs w:val="16"/>
          <w:shd w:val="clear" w:color="auto" w:fill="FFFFFF"/>
        </w:rPr>
        <w:t xml:space="preserve">)] </w:t>
      </w:r>
      <w:r w:rsidR="001F6A28" w:rsidRPr="005C29F8">
        <w:rPr>
          <w:rFonts w:cs="Arial"/>
          <w:color w:val="000000" w:themeColor="text1"/>
          <w:szCs w:val="16"/>
          <w:shd w:val="clear" w:color="auto" w:fill="FFFFFF"/>
        </w:rPr>
        <w:t>times 100.</w:t>
      </w:r>
    </w:p>
    <w:p w14:paraId="32E65458" w14:textId="7E959129" w:rsidR="001F6A28" w:rsidRPr="005C29F8" w:rsidRDefault="001F6A28" w:rsidP="00286BDF">
      <w:pPr>
        <w:rPr>
          <w:rFonts w:cs="Arial"/>
          <w:color w:val="000000" w:themeColor="text1"/>
          <w:szCs w:val="16"/>
        </w:rPr>
      </w:pPr>
      <w:r w:rsidRPr="005C29F8">
        <w:rPr>
          <w:rFonts w:cs="Arial"/>
          <w:color w:val="000000" w:themeColor="text1"/>
          <w:szCs w:val="16"/>
        </w:rPr>
        <w:t>P</w:t>
      </w:r>
      <w:r w:rsidRPr="005C29F8">
        <w:rPr>
          <w:rFonts w:cs="Arial"/>
          <w:color w:val="000000" w:themeColor="text1"/>
          <w:szCs w:val="16"/>
          <w:shd w:val="clear" w:color="auto" w:fill="FFFFFF"/>
        </w:rPr>
        <w:t xml:space="preserve">ercent = </w:t>
      </w:r>
      <w:r w:rsidR="00A33668"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with IEPs aged 6 through 21 served in separate schools, residential facilities, or homebound/hospital placements) divided by the (total # of students aged 6 through 21 with IEPs</w:t>
      </w:r>
      <w:proofErr w:type="gramStart"/>
      <w:r w:rsidR="00A33668" w:rsidRPr="005C29F8">
        <w:rPr>
          <w:rFonts w:cs="Arial"/>
          <w:color w:val="000000" w:themeColor="text1"/>
          <w:szCs w:val="16"/>
          <w:shd w:val="clear" w:color="auto" w:fill="FFFFFF"/>
        </w:rPr>
        <w:t>)]</w:t>
      </w:r>
      <w:r w:rsidRPr="005C29F8">
        <w:rPr>
          <w:rFonts w:cs="Arial"/>
          <w:color w:val="000000" w:themeColor="text1"/>
          <w:szCs w:val="16"/>
          <w:shd w:val="clear" w:color="auto" w:fill="FFFFFF"/>
        </w:rPr>
        <w:t>times</w:t>
      </w:r>
      <w:proofErr w:type="gramEnd"/>
      <w:r w:rsidRPr="005C29F8">
        <w:rPr>
          <w:rFonts w:cs="Arial"/>
          <w:color w:val="000000" w:themeColor="text1"/>
          <w:szCs w:val="16"/>
          <w:shd w:val="clear" w:color="auto" w:fill="FFFFFF"/>
        </w:rPr>
        <w:t xml:space="preserve"> 100.</w:t>
      </w:r>
    </w:p>
    <w:p w14:paraId="06AD540D" w14:textId="77777777" w:rsidR="001F6A28" w:rsidRPr="005C29F8" w:rsidRDefault="001F6A28" w:rsidP="004369B2">
      <w:pPr>
        <w:rPr>
          <w:color w:val="000000" w:themeColor="text1"/>
        </w:rPr>
      </w:pPr>
      <w:r w:rsidRPr="005C29F8">
        <w:rPr>
          <w:b/>
          <w:color w:val="000000" w:themeColor="text1"/>
        </w:rPr>
        <w:t>Instructions</w:t>
      </w:r>
    </w:p>
    <w:p w14:paraId="37FC98B2" w14:textId="6257AEA0" w:rsidR="001F6A28" w:rsidRPr="005C29F8" w:rsidRDefault="001F6A28" w:rsidP="00BB7BC9">
      <w:pPr>
        <w:rPr>
          <w:rFonts w:cs="Arial"/>
          <w:color w:val="000000" w:themeColor="text1"/>
          <w:szCs w:val="16"/>
        </w:rPr>
      </w:pPr>
      <w:r w:rsidRPr="005C29F8">
        <w:rPr>
          <w:rFonts w:cs="Arial"/>
          <w:color w:val="000000" w:themeColor="text1"/>
          <w:szCs w:val="16"/>
        </w:rPr>
        <w:t>Sampling from the State’s 618 data is not allowed.</w:t>
      </w:r>
    </w:p>
    <w:p w14:paraId="707ABAC1" w14:textId="77777777" w:rsidR="001F6A28" w:rsidRPr="005C29F8" w:rsidRDefault="001F6A2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2F5B7301" w14:textId="3493AFBE" w:rsidR="001F6A28" w:rsidRPr="005C29F8" w:rsidRDefault="001F6A2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p w14:paraId="782EB5F0" w14:textId="4775DE89" w:rsidR="00476EA2" w:rsidRPr="0033429D" w:rsidRDefault="007B5383" w:rsidP="008645AD">
      <w:pPr>
        <w:pStyle w:val="Heading2"/>
      </w:pPr>
      <w:r w:rsidRPr="0033429D">
        <w:t>5</w:t>
      </w:r>
      <w:r w:rsidR="002203FA" w:rsidRPr="0033429D">
        <w:t xml:space="preserve"> </w:t>
      </w:r>
      <w:r w:rsidRPr="0033429D">
        <w:t xml:space="preserve">- </w:t>
      </w:r>
      <w:r w:rsidR="00A44506" w:rsidRPr="0033429D">
        <w:t>Indicator Data</w:t>
      </w:r>
      <w:r w:rsidR="00476EA2" w:rsidRPr="0033429D">
        <w:t xml:space="preserve"> </w:t>
      </w:r>
    </w:p>
    <w:bookmarkEnd w:id="28"/>
    <w:p w14:paraId="5DFCDD59" w14:textId="5ABA842A"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5C29F8" w14:paraId="630BF46A" w14:textId="12CF291C" w:rsidTr="0033429D">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5C29F8" w:rsidRDefault="001F64DB" w:rsidP="00E4112E">
            <w:pPr>
              <w:spacing w:line="276" w:lineRule="auto"/>
              <w:jc w:val="center"/>
              <w:rPr>
                <w:rFonts w:cs="Arial"/>
                <w:b/>
                <w:color w:val="000000" w:themeColor="text1"/>
                <w:szCs w:val="16"/>
              </w:rPr>
            </w:pPr>
            <w:r>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5C29F8" w:rsidRDefault="00E4112E" w:rsidP="00E4112E">
            <w:pPr>
              <w:spacing w:line="276" w:lineRule="auto"/>
              <w:jc w:val="center"/>
              <w:rPr>
                <w:rFonts w:cs="Arial"/>
                <w:b/>
                <w:color w:val="000000" w:themeColor="text1"/>
                <w:szCs w:val="16"/>
              </w:rPr>
            </w:pPr>
            <w:r w:rsidRPr="005C29F8">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2014</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5C29F8" w:rsidRDefault="002B7490">
            <w:pPr>
              <w:spacing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92E70F6" w14:textId="3E9D9AB4"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5C29F8" w:rsidRDefault="002B7490">
            <w:pPr>
              <w:jc w:val="center"/>
              <w:rPr>
                <w:rFonts w:cs="Arial"/>
                <w:color w:val="000000" w:themeColor="text1"/>
                <w:szCs w:val="16"/>
              </w:rPr>
            </w:pPr>
            <w:r w:rsidRPr="005C29F8">
              <w:rPr>
                <w:rFonts w:cs="Arial"/>
                <w:color w:val="000000" w:themeColor="text1"/>
                <w:szCs w:val="16"/>
              </w:rPr>
              <w:t>81.00%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5C29F8" w:rsidRDefault="002B7490">
            <w:pPr>
              <w:jc w:val="center"/>
              <w:rPr>
                <w:rFonts w:cs="Arial"/>
                <w:color w:val="000000" w:themeColor="text1"/>
                <w:szCs w:val="16"/>
              </w:rPr>
            </w:pPr>
            <w:r w:rsidRPr="005C29F8">
              <w:rPr>
                <w:rFonts w:cs="Arial"/>
                <w:color w:val="000000" w:themeColor="text1"/>
                <w:szCs w:val="16"/>
              </w:rPr>
              <w:t>82.00%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5C29F8" w:rsidRDefault="002B7490">
            <w:pPr>
              <w:jc w:val="center"/>
              <w:rPr>
                <w:rFonts w:cs="Arial"/>
                <w:color w:val="000000" w:themeColor="text1"/>
                <w:szCs w:val="16"/>
              </w:rPr>
            </w:pPr>
            <w:r w:rsidRPr="005C29F8">
              <w:rPr>
                <w:rFonts w:cs="Arial"/>
                <w:color w:val="000000" w:themeColor="text1"/>
                <w:szCs w:val="16"/>
              </w:rPr>
              <w:t>83.00%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5C29F8" w:rsidRDefault="002B7490">
            <w:pPr>
              <w:jc w:val="center"/>
              <w:rPr>
                <w:rFonts w:cs="Arial"/>
                <w:color w:val="000000" w:themeColor="text1"/>
                <w:szCs w:val="16"/>
              </w:rPr>
            </w:pPr>
            <w:r w:rsidRPr="005C29F8">
              <w:rPr>
                <w:rFonts w:cs="Arial"/>
                <w:color w:val="000000" w:themeColor="text1"/>
                <w:szCs w:val="16"/>
              </w:rPr>
              <w:t>84.00%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5C29F8" w:rsidRDefault="002B7490">
            <w:pPr>
              <w:jc w:val="center"/>
              <w:rPr>
                <w:rFonts w:cs="Arial"/>
                <w:color w:val="000000" w:themeColor="text1"/>
                <w:szCs w:val="16"/>
              </w:rPr>
            </w:pPr>
            <w:r w:rsidRPr="005C29F8">
              <w:rPr>
                <w:rFonts w:cs="Arial"/>
                <w:color w:val="000000" w:themeColor="text1"/>
                <w:szCs w:val="16"/>
              </w:rPr>
              <w:t>85.00%</w:t>
            </w:r>
          </w:p>
        </w:tc>
      </w:tr>
      <w:tr w:rsidR="005F0D3B" w:rsidRPr="005C29F8" w14:paraId="79D81D10" w14:textId="49DC964C" w:rsidTr="0033429D">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5C29F8" w:rsidRDefault="002B7490" w:rsidP="00A018D4">
            <w:pPr>
              <w:jc w:val="center"/>
              <w:rPr>
                <w:rFonts w:cs="Arial"/>
                <w:color w:val="000000" w:themeColor="text1"/>
                <w:szCs w:val="16"/>
              </w:rPr>
            </w:pPr>
            <w:r w:rsidRPr="005C29F8">
              <w:rPr>
                <w:rFonts w:cs="Arial"/>
                <w:color w:val="000000" w:themeColor="text1"/>
                <w:szCs w:val="16"/>
              </w:rPr>
              <w:t>68.00%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5C29F8" w:rsidRDefault="002B7490">
            <w:pPr>
              <w:jc w:val="center"/>
              <w:rPr>
                <w:rFonts w:cs="Arial"/>
                <w:color w:val="000000" w:themeColor="text1"/>
                <w:szCs w:val="16"/>
              </w:rPr>
            </w:pPr>
            <w:r w:rsidRPr="005C29F8">
              <w:rPr>
                <w:rFonts w:cs="Arial"/>
                <w:color w:val="000000" w:themeColor="text1"/>
                <w:szCs w:val="16"/>
              </w:rPr>
              <w:t>89.85%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5C29F8" w:rsidRDefault="002B7490">
            <w:pPr>
              <w:jc w:val="center"/>
              <w:rPr>
                <w:rFonts w:cs="Arial"/>
                <w:color w:val="000000" w:themeColor="text1"/>
                <w:szCs w:val="16"/>
              </w:rPr>
            </w:pPr>
            <w:r w:rsidRPr="005C29F8">
              <w:rPr>
                <w:rFonts w:cs="Arial"/>
                <w:color w:val="000000" w:themeColor="text1"/>
                <w:szCs w:val="16"/>
              </w:rPr>
              <w:t>84.87%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5C29F8" w:rsidRDefault="002B7490">
            <w:pPr>
              <w:jc w:val="center"/>
              <w:rPr>
                <w:rFonts w:cs="Arial"/>
                <w:color w:val="000000" w:themeColor="text1"/>
                <w:szCs w:val="16"/>
              </w:rPr>
            </w:pPr>
            <w:r w:rsidRPr="005C29F8">
              <w:rPr>
                <w:rFonts w:cs="Arial"/>
                <w:color w:val="000000" w:themeColor="text1"/>
                <w:szCs w:val="16"/>
              </w:rPr>
              <w:t>82.16%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5C29F8" w:rsidRDefault="002B7490">
            <w:pPr>
              <w:jc w:val="center"/>
              <w:rPr>
                <w:rFonts w:cs="Arial"/>
                <w:color w:val="000000" w:themeColor="text1"/>
                <w:szCs w:val="16"/>
              </w:rPr>
            </w:pPr>
            <w:r w:rsidRPr="005C29F8">
              <w:rPr>
                <w:rFonts w:cs="Arial"/>
                <w:color w:val="000000" w:themeColor="text1"/>
                <w:szCs w:val="16"/>
              </w:rPr>
              <w:t>83.69%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5C29F8" w:rsidRDefault="002B7490">
            <w:pPr>
              <w:jc w:val="center"/>
              <w:rPr>
                <w:rFonts w:cs="Arial"/>
                <w:color w:val="000000" w:themeColor="text1"/>
                <w:szCs w:val="16"/>
              </w:rPr>
            </w:pPr>
            <w:r w:rsidRPr="005C29F8">
              <w:rPr>
                <w:rFonts w:cs="Arial"/>
                <w:color w:val="000000" w:themeColor="text1"/>
                <w:szCs w:val="16"/>
              </w:rPr>
              <w:t>84.58%</w:t>
            </w:r>
          </w:p>
        </w:tc>
      </w:tr>
      <w:tr w:rsidR="005F0D3B" w:rsidRPr="005C29F8" w14:paraId="7EE51EBD" w14:textId="513FE18C"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5C29F8" w:rsidRDefault="002B7490">
            <w:pPr>
              <w:jc w:val="center"/>
              <w:rPr>
                <w:rFonts w:cs="Arial"/>
                <w:color w:val="000000" w:themeColor="text1"/>
                <w:szCs w:val="16"/>
              </w:rPr>
            </w:pPr>
            <w:r w:rsidRPr="005C29F8">
              <w:rPr>
                <w:rFonts w:cs="Arial"/>
                <w:color w:val="000000" w:themeColor="text1"/>
                <w:szCs w:val="16"/>
              </w:rPr>
              <w:t>4.80%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5C29F8" w:rsidRDefault="002B7490">
            <w:pPr>
              <w:jc w:val="center"/>
              <w:rPr>
                <w:rFonts w:cs="Arial"/>
                <w:color w:val="000000" w:themeColor="text1"/>
                <w:szCs w:val="16"/>
              </w:rPr>
            </w:pPr>
            <w:r w:rsidRPr="005C29F8">
              <w:rPr>
                <w:rFonts w:cs="Arial"/>
                <w:color w:val="000000" w:themeColor="text1"/>
                <w:szCs w:val="16"/>
              </w:rPr>
              <w:t>4.60%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5C29F8" w:rsidRDefault="002B7490">
            <w:pPr>
              <w:jc w:val="center"/>
              <w:rPr>
                <w:rFonts w:cs="Arial"/>
                <w:color w:val="000000" w:themeColor="text1"/>
                <w:szCs w:val="16"/>
              </w:rPr>
            </w:pPr>
            <w:r w:rsidRPr="005C29F8">
              <w:rPr>
                <w:rFonts w:cs="Arial"/>
                <w:color w:val="000000" w:themeColor="text1"/>
                <w:szCs w:val="16"/>
              </w:rPr>
              <w:t>4.40%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5C29F8" w:rsidRDefault="002B7490">
            <w:pPr>
              <w:jc w:val="center"/>
              <w:rPr>
                <w:rFonts w:cs="Arial"/>
                <w:color w:val="000000" w:themeColor="text1"/>
                <w:szCs w:val="16"/>
              </w:rPr>
            </w:pPr>
            <w:r w:rsidRPr="005C29F8">
              <w:rPr>
                <w:rFonts w:cs="Arial"/>
                <w:color w:val="000000" w:themeColor="text1"/>
                <w:szCs w:val="16"/>
              </w:rPr>
              <w:t>4.20%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5C29F8" w:rsidRDefault="002B7490">
            <w:pPr>
              <w:jc w:val="center"/>
              <w:rPr>
                <w:rFonts w:cs="Arial"/>
                <w:color w:val="000000" w:themeColor="text1"/>
                <w:szCs w:val="16"/>
              </w:rPr>
            </w:pPr>
            <w:r w:rsidRPr="005C29F8">
              <w:rPr>
                <w:rFonts w:cs="Arial"/>
                <w:color w:val="000000" w:themeColor="text1"/>
                <w:szCs w:val="16"/>
              </w:rPr>
              <w:t>4.00%</w:t>
            </w:r>
          </w:p>
        </w:tc>
      </w:tr>
      <w:tr w:rsidR="005F0D3B" w:rsidRPr="005C29F8" w14:paraId="78E6E13B" w14:textId="52E2E705" w:rsidTr="0033429D">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5C29F8" w:rsidRDefault="002B7490">
            <w:pPr>
              <w:jc w:val="center"/>
              <w:rPr>
                <w:rFonts w:cs="Arial"/>
                <w:color w:val="000000" w:themeColor="text1"/>
                <w:szCs w:val="16"/>
              </w:rPr>
            </w:pPr>
            <w:r w:rsidRPr="005C29F8">
              <w:rPr>
                <w:rFonts w:cs="Arial"/>
                <w:color w:val="000000" w:themeColor="text1"/>
                <w:szCs w:val="16"/>
              </w:rPr>
              <w:t>2.10%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5C29F8" w:rsidRDefault="002B7490">
            <w:pPr>
              <w:jc w:val="center"/>
              <w:rPr>
                <w:rFonts w:cs="Arial"/>
                <w:color w:val="000000" w:themeColor="text1"/>
                <w:szCs w:val="16"/>
              </w:rPr>
            </w:pPr>
            <w:r w:rsidRPr="005C29F8">
              <w:rPr>
                <w:rFonts w:cs="Arial"/>
                <w:color w:val="000000" w:themeColor="text1"/>
                <w:szCs w:val="16"/>
              </w:rPr>
              <w:t>2.14%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5C29F8" w:rsidRDefault="002B7490">
            <w:pPr>
              <w:jc w:val="center"/>
              <w:rPr>
                <w:rFonts w:cs="Arial"/>
                <w:color w:val="000000" w:themeColor="text1"/>
                <w:szCs w:val="16"/>
              </w:rPr>
            </w:pPr>
            <w:r w:rsidRPr="005C29F8">
              <w:rPr>
                <w:rFonts w:cs="Arial"/>
                <w:color w:val="000000" w:themeColor="text1"/>
                <w:szCs w:val="16"/>
              </w:rPr>
              <w:t>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5C29F8" w:rsidRDefault="002B7490">
            <w:pPr>
              <w:jc w:val="center"/>
              <w:rPr>
                <w:rFonts w:cs="Arial"/>
                <w:color w:val="000000" w:themeColor="text1"/>
                <w:szCs w:val="16"/>
              </w:rPr>
            </w:pPr>
            <w:r w:rsidRPr="005C29F8">
              <w:rPr>
                <w:rFonts w:cs="Arial"/>
                <w:color w:val="000000" w:themeColor="text1"/>
                <w:szCs w:val="16"/>
              </w:rPr>
              <w:t>2.74%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5C29F8" w:rsidRDefault="002B7490">
            <w:pPr>
              <w:jc w:val="center"/>
              <w:rPr>
                <w:rFonts w:cs="Arial"/>
                <w:color w:val="000000" w:themeColor="text1"/>
                <w:szCs w:val="16"/>
              </w:rPr>
            </w:pPr>
            <w:r w:rsidRPr="005C29F8">
              <w:rPr>
                <w:rFonts w:cs="Arial"/>
                <w:color w:val="000000" w:themeColor="text1"/>
                <w:szCs w:val="16"/>
              </w:rPr>
              <w:t>2.10%</w:t>
            </w:r>
          </w:p>
        </w:tc>
      </w:tr>
      <w:tr w:rsidR="005F0D3B" w:rsidRPr="005C29F8" w14:paraId="37C91828" w14:textId="68984F02" w:rsidTr="0033429D">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5C29F8" w:rsidRDefault="00BB7BC9" w:rsidP="004B75EC">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5C29F8" w:rsidRDefault="002B7490" w:rsidP="00A018D4">
            <w:pPr>
              <w:jc w:val="center"/>
              <w:rPr>
                <w:rFonts w:cs="Arial"/>
                <w:color w:val="000000" w:themeColor="text1"/>
                <w:szCs w:val="16"/>
              </w:rPr>
            </w:pPr>
            <w:r w:rsidRPr="005C29F8">
              <w:rPr>
                <w:rFonts w:cs="Arial"/>
                <w:color w:val="000000" w:themeColor="text1"/>
                <w:szCs w:val="16"/>
              </w:rPr>
              <w:t>2005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5C29F8" w:rsidRDefault="002B7490">
            <w:pPr>
              <w:jc w:val="center"/>
              <w:rPr>
                <w:rFonts w:cs="Arial"/>
                <w:color w:val="000000" w:themeColor="text1"/>
                <w:szCs w:val="16"/>
              </w:rPr>
            </w:pPr>
            <w:r w:rsidRPr="005C29F8">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5C29F8" w:rsidRDefault="002B7490">
            <w:pPr>
              <w:jc w:val="center"/>
              <w:rPr>
                <w:rFonts w:cs="Arial"/>
                <w:color w:val="000000" w:themeColor="text1"/>
                <w:szCs w:val="16"/>
              </w:rPr>
            </w:pPr>
            <w:r w:rsidRPr="005C29F8">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5C29F8" w:rsidRDefault="002B7490">
            <w:pPr>
              <w:jc w:val="center"/>
              <w:rPr>
                <w:rFonts w:cs="Arial"/>
                <w:color w:val="000000" w:themeColor="text1"/>
                <w:szCs w:val="16"/>
              </w:rPr>
            </w:pPr>
            <w:r w:rsidRPr="005C29F8">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5C29F8" w:rsidRDefault="002B7490">
            <w:pPr>
              <w:jc w:val="center"/>
              <w:rPr>
                <w:rFonts w:cs="Arial"/>
                <w:color w:val="000000" w:themeColor="text1"/>
                <w:szCs w:val="16"/>
              </w:rPr>
            </w:pPr>
            <w:r w:rsidRPr="005C29F8">
              <w:rPr>
                <w:rFonts w:cs="Arial"/>
                <w:color w:val="000000" w:themeColor="text1"/>
                <w:szCs w:val="16"/>
              </w:rPr>
              <w:t>0.70%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5C29F8" w:rsidRDefault="002B7490">
            <w:pPr>
              <w:jc w:val="center"/>
              <w:rPr>
                <w:rFonts w:cs="Arial"/>
                <w:color w:val="000000" w:themeColor="text1"/>
                <w:szCs w:val="16"/>
              </w:rPr>
            </w:pPr>
            <w:r w:rsidRPr="005C29F8">
              <w:rPr>
                <w:rFonts w:cs="Arial"/>
                <w:color w:val="000000" w:themeColor="text1"/>
                <w:szCs w:val="16"/>
              </w:rPr>
              <w:t>0.70%</w:t>
            </w:r>
          </w:p>
        </w:tc>
      </w:tr>
      <w:tr w:rsidR="005F0D3B" w:rsidRPr="005C29F8" w14:paraId="64BAB70F" w14:textId="676A8AD8" w:rsidTr="0033429D">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5C29F8" w:rsidRDefault="001474EC" w:rsidP="004369B2">
            <w:pPr>
              <w:spacing w:line="276" w:lineRule="auto"/>
              <w:jc w:val="center"/>
              <w:rPr>
                <w:rFonts w:cs="Arial"/>
                <w:color w:val="000000" w:themeColor="text1"/>
                <w:szCs w:val="16"/>
              </w:rPr>
            </w:pPr>
            <w:r w:rsidRPr="005C29F8">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5C29F8" w:rsidRDefault="002B7490" w:rsidP="00A018D4">
            <w:pPr>
              <w:jc w:val="center"/>
              <w:rPr>
                <w:rFonts w:cs="Arial"/>
                <w:color w:val="000000" w:themeColor="text1"/>
                <w:szCs w:val="16"/>
              </w:rPr>
            </w:pPr>
            <w:r w:rsidRPr="005C29F8">
              <w:rPr>
                <w:rFonts w:cs="Arial"/>
                <w:color w:val="000000" w:themeColor="text1"/>
                <w:szCs w:val="16"/>
              </w:rPr>
              <w:t>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5C29F8" w:rsidRDefault="00BB7BC9" w:rsidP="00A018D4">
            <w:pPr>
              <w:spacing w:line="276" w:lineRule="auto"/>
              <w:rPr>
                <w:rFonts w:cs="Arial"/>
                <w:color w:val="000000" w:themeColor="text1"/>
                <w:szCs w:val="16"/>
              </w:rPr>
            </w:pPr>
            <w:r w:rsidRPr="005C29F8">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5C29F8" w:rsidRDefault="002B7490">
            <w:pPr>
              <w:jc w:val="center"/>
              <w:rPr>
                <w:rFonts w:cs="Arial"/>
                <w:color w:val="000000" w:themeColor="text1"/>
                <w:szCs w:val="16"/>
              </w:rPr>
            </w:pPr>
            <w:r w:rsidRPr="005C29F8">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5C29F8" w:rsidRDefault="002B7490">
            <w:pPr>
              <w:jc w:val="center"/>
              <w:rPr>
                <w:rFonts w:cs="Arial"/>
                <w:color w:val="000000" w:themeColor="text1"/>
                <w:szCs w:val="16"/>
              </w:rPr>
            </w:pPr>
            <w:r w:rsidRPr="005C29F8">
              <w:rPr>
                <w:rFonts w:cs="Arial"/>
                <w:color w:val="000000" w:themeColor="text1"/>
                <w:szCs w:val="16"/>
              </w:rPr>
              <w:t>0.00%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5C29F8" w:rsidRDefault="002B7490">
            <w:pPr>
              <w:jc w:val="center"/>
              <w:rPr>
                <w:rFonts w:cs="Arial"/>
                <w:color w:val="000000" w:themeColor="text1"/>
                <w:szCs w:val="16"/>
              </w:rPr>
            </w:pPr>
            <w:r w:rsidRPr="005C29F8">
              <w:rPr>
                <w:rFonts w:cs="Arial"/>
                <w:color w:val="000000" w:themeColor="text1"/>
                <w:szCs w:val="16"/>
              </w:rPr>
              <w:t>0.12%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5C29F8" w:rsidRDefault="002B7490">
            <w:pPr>
              <w:jc w:val="center"/>
              <w:rPr>
                <w:rFonts w:cs="Arial"/>
                <w:color w:val="000000" w:themeColor="text1"/>
                <w:szCs w:val="16"/>
              </w:rPr>
            </w:pPr>
            <w:r w:rsidRPr="005C29F8">
              <w:rPr>
                <w:rFonts w:cs="Arial"/>
                <w:color w:val="000000" w:themeColor="text1"/>
                <w:szCs w:val="16"/>
              </w:rPr>
              <w:t>0.60%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5C29F8" w:rsidRDefault="002B7490">
            <w:pPr>
              <w:jc w:val="center"/>
              <w:rPr>
                <w:rFonts w:cs="Arial"/>
                <w:color w:val="000000" w:themeColor="text1"/>
                <w:szCs w:val="16"/>
              </w:rPr>
            </w:pPr>
            <w:r w:rsidRPr="005C29F8">
              <w:rPr>
                <w:rFonts w:cs="Arial"/>
                <w:color w:val="000000" w:themeColor="text1"/>
                <w:szCs w:val="16"/>
              </w:rPr>
              <w:t>0.58%</w:t>
            </w:r>
          </w:p>
        </w:tc>
      </w:tr>
    </w:tbl>
    <w:p w14:paraId="4F18E18D" w14:textId="77777777" w:rsidR="004A4803" w:rsidRPr="005C29F8" w:rsidRDefault="004A4803" w:rsidP="004369B2">
      <w:pPr>
        <w:rPr>
          <w:color w:val="000000" w:themeColor="text1"/>
        </w:rPr>
      </w:pPr>
    </w:p>
    <w:p w14:paraId="4B421711" w14:textId="34B64243" w:rsidR="002C207A" w:rsidRPr="005C29F8" w:rsidRDefault="002C207A"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1075"/>
        <w:gridCol w:w="2699"/>
      </w:tblGrid>
      <w:tr w:rsidR="00360CD9" w:rsidRPr="005C29F8" w14:paraId="67121B7A" w14:textId="318EE9C4" w:rsidTr="0033429D">
        <w:trPr>
          <w:trHeight w:val="350"/>
        </w:trPr>
        <w:tc>
          <w:tcPr>
            <w:tcW w:w="1424" w:type="pct"/>
            <w:tcBorders>
              <w:bottom w:val="single" w:sz="4" w:space="0" w:color="auto"/>
            </w:tcBorders>
            <w:shd w:val="clear" w:color="auto" w:fill="auto"/>
          </w:tcPr>
          <w:p w14:paraId="417BC1C4" w14:textId="77777777" w:rsidR="00360CD9" w:rsidRPr="005C29F8" w:rsidRDefault="00360CD9" w:rsidP="004369B2">
            <w:pPr>
              <w:jc w:val="center"/>
              <w:rPr>
                <w:b/>
                <w:color w:val="000000" w:themeColor="text1"/>
              </w:rPr>
            </w:pPr>
            <w:r w:rsidRPr="005C29F8">
              <w:rPr>
                <w:b/>
                <w:color w:val="000000" w:themeColor="text1"/>
              </w:rPr>
              <w:t>FFY</w:t>
            </w:r>
          </w:p>
        </w:tc>
        <w:tc>
          <w:tcPr>
            <w:tcW w:w="3576" w:type="pct"/>
            <w:shd w:val="clear" w:color="auto" w:fill="auto"/>
          </w:tcPr>
          <w:p w14:paraId="43C546D5" w14:textId="7A1B1AB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0E725BBE" w14:textId="009677DA" w:rsidTr="00043AAB">
        <w:trPr>
          <w:trHeight w:val="357"/>
        </w:trPr>
        <w:tc>
          <w:tcPr>
            <w:tcW w:w="1424" w:type="pct"/>
            <w:shd w:val="clear" w:color="auto" w:fill="auto"/>
            <w:vAlign w:val="center"/>
          </w:tcPr>
          <w:p w14:paraId="3CB4FC66" w14:textId="21A33A6B" w:rsidR="00360CD9" w:rsidRPr="005C29F8" w:rsidRDefault="00360CD9" w:rsidP="003C1852">
            <w:pPr>
              <w:rPr>
                <w:rFonts w:cs="Arial"/>
                <w:color w:val="000000" w:themeColor="text1"/>
                <w:szCs w:val="16"/>
              </w:rPr>
            </w:pPr>
            <w:r w:rsidRPr="005C29F8">
              <w:rPr>
                <w:rFonts w:cs="Arial"/>
                <w:color w:val="000000" w:themeColor="text1"/>
                <w:szCs w:val="16"/>
              </w:rPr>
              <w:t>Target A &gt;=</w:t>
            </w:r>
          </w:p>
        </w:tc>
        <w:tc>
          <w:tcPr>
            <w:tcW w:w="3576" w:type="pct"/>
            <w:shd w:val="clear" w:color="auto" w:fill="auto"/>
            <w:vAlign w:val="center"/>
          </w:tcPr>
          <w:p w14:paraId="0643B02C" w14:textId="7613B373" w:rsidR="00360CD9" w:rsidRPr="005C29F8" w:rsidRDefault="00360CD9" w:rsidP="00A018D4">
            <w:pPr>
              <w:jc w:val="center"/>
              <w:rPr>
                <w:rFonts w:cs="Arial"/>
                <w:color w:val="000000" w:themeColor="text1"/>
                <w:szCs w:val="16"/>
              </w:rPr>
            </w:pPr>
            <w:r w:rsidRPr="005C29F8">
              <w:rPr>
                <w:rFonts w:cs="Arial"/>
                <w:color w:val="000000" w:themeColor="text1"/>
                <w:szCs w:val="16"/>
              </w:rPr>
              <w:t>85.00%</w:t>
            </w:r>
          </w:p>
        </w:tc>
      </w:tr>
      <w:tr w:rsidR="00360CD9" w:rsidRPr="005C29F8" w14:paraId="17C12050" w14:textId="0C7742F2" w:rsidTr="00043AAB">
        <w:trPr>
          <w:trHeight w:val="357"/>
        </w:trPr>
        <w:tc>
          <w:tcPr>
            <w:tcW w:w="1424" w:type="pct"/>
            <w:shd w:val="clear" w:color="auto" w:fill="auto"/>
            <w:vAlign w:val="center"/>
          </w:tcPr>
          <w:p w14:paraId="5FF4BE45" w14:textId="3D057CF2" w:rsidR="00360CD9" w:rsidRPr="005C29F8" w:rsidRDefault="00360CD9" w:rsidP="003C1852">
            <w:pPr>
              <w:rPr>
                <w:rFonts w:cs="Arial"/>
                <w:color w:val="000000" w:themeColor="text1"/>
                <w:szCs w:val="16"/>
              </w:rPr>
            </w:pPr>
            <w:r w:rsidRPr="005C29F8">
              <w:rPr>
                <w:rFonts w:cs="Arial"/>
                <w:color w:val="000000" w:themeColor="text1"/>
                <w:szCs w:val="16"/>
              </w:rPr>
              <w:t>Target B &lt;=</w:t>
            </w:r>
          </w:p>
        </w:tc>
        <w:tc>
          <w:tcPr>
            <w:tcW w:w="3576" w:type="pct"/>
            <w:shd w:val="clear" w:color="auto" w:fill="auto"/>
            <w:vAlign w:val="center"/>
          </w:tcPr>
          <w:p w14:paraId="4B344C1C" w14:textId="2108066A" w:rsidR="00360CD9" w:rsidRPr="005C29F8" w:rsidRDefault="00360CD9" w:rsidP="00A018D4">
            <w:pPr>
              <w:jc w:val="center"/>
              <w:rPr>
                <w:rFonts w:cs="Arial"/>
                <w:color w:val="000000" w:themeColor="text1"/>
                <w:szCs w:val="16"/>
              </w:rPr>
            </w:pPr>
            <w:r w:rsidRPr="005C29F8">
              <w:rPr>
                <w:rFonts w:cs="Arial"/>
                <w:color w:val="000000" w:themeColor="text1"/>
                <w:szCs w:val="16"/>
              </w:rPr>
              <w:t>3.00%</w:t>
            </w:r>
          </w:p>
        </w:tc>
      </w:tr>
      <w:tr w:rsidR="00360CD9" w:rsidRPr="005C29F8" w14:paraId="1C671552" w14:textId="52C89820" w:rsidTr="00043AAB">
        <w:trPr>
          <w:trHeight w:val="357"/>
        </w:trPr>
        <w:tc>
          <w:tcPr>
            <w:tcW w:w="1424" w:type="pct"/>
            <w:shd w:val="clear" w:color="auto" w:fill="auto"/>
            <w:vAlign w:val="center"/>
          </w:tcPr>
          <w:p w14:paraId="5D979A7F" w14:textId="57DEB4C1" w:rsidR="00360CD9" w:rsidRPr="005C29F8" w:rsidRDefault="00360CD9" w:rsidP="003C1852">
            <w:pPr>
              <w:rPr>
                <w:rFonts w:cs="Arial"/>
                <w:color w:val="000000" w:themeColor="text1"/>
                <w:szCs w:val="16"/>
              </w:rPr>
            </w:pPr>
            <w:r w:rsidRPr="005C29F8">
              <w:rPr>
                <w:rFonts w:cs="Arial"/>
                <w:color w:val="000000" w:themeColor="text1"/>
                <w:szCs w:val="16"/>
              </w:rPr>
              <w:t>Target C &lt;=</w:t>
            </w:r>
          </w:p>
        </w:tc>
        <w:tc>
          <w:tcPr>
            <w:tcW w:w="3576" w:type="pct"/>
            <w:shd w:val="clear" w:color="auto" w:fill="auto"/>
            <w:vAlign w:val="center"/>
          </w:tcPr>
          <w:p w14:paraId="1C0EF441" w14:textId="373B29D8" w:rsidR="00360CD9" w:rsidRPr="005C29F8" w:rsidRDefault="00360CD9" w:rsidP="00A018D4">
            <w:pPr>
              <w:jc w:val="center"/>
              <w:rPr>
                <w:rFonts w:cs="Arial"/>
                <w:color w:val="000000" w:themeColor="text1"/>
                <w:szCs w:val="16"/>
              </w:rPr>
            </w:pPr>
            <w:r w:rsidRPr="005C29F8">
              <w:rPr>
                <w:rFonts w:cs="Arial"/>
                <w:color w:val="000000" w:themeColor="text1"/>
                <w:szCs w:val="16"/>
              </w:rPr>
              <w:t>0.70%</w:t>
            </w:r>
          </w:p>
        </w:tc>
      </w:tr>
    </w:tbl>
    <w:p w14:paraId="7C8EA9A0" w14:textId="74543D19" w:rsidR="002D145D" w:rsidRDefault="002D145D" w:rsidP="004369B2">
      <w:pPr>
        <w:rPr>
          <w:b/>
          <w:color w:val="000000" w:themeColor="text1"/>
        </w:rPr>
      </w:pPr>
      <w:r w:rsidRPr="005C29F8">
        <w:rPr>
          <w:b/>
          <w:color w:val="000000" w:themeColor="text1"/>
        </w:rPr>
        <w:t xml:space="preserve">Targets: Description of Stakeholder Input </w:t>
      </w:r>
    </w:p>
    <w:p w14:paraId="2B96DDD0" w14:textId="3E2ADE72" w:rsidR="002D145D" w:rsidRPr="005C29F8" w:rsidRDefault="00D60B5F"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5251E1B0" w14:textId="77777777" w:rsidR="004A4803" w:rsidRPr="005C29F8" w:rsidRDefault="004A4803" w:rsidP="004369B2">
      <w:pPr>
        <w:rPr>
          <w:color w:val="000000" w:themeColor="text1"/>
        </w:rPr>
      </w:pPr>
    </w:p>
    <w:p w14:paraId="4D7BF763" w14:textId="45C93061" w:rsidR="00931A25" w:rsidRPr="005C29F8" w:rsidRDefault="00931A25"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5C29F8" w14:paraId="7DC625CA" w14:textId="77777777" w:rsidTr="0033429D">
        <w:trPr>
          <w:trHeight w:val="372"/>
          <w:tblHeader/>
        </w:trPr>
        <w:tc>
          <w:tcPr>
            <w:tcW w:w="1207" w:type="pct"/>
            <w:shd w:val="clear" w:color="auto" w:fill="auto"/>
          </w:tcPr>
          <w:p w14:paraId="27CE7D2A"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Source</w:t>
            </w:r>
          </w:p>
        </w:tc>
        <w:tc>
          <w:tcPr>
            <w:tcW w:w="1376" w:type="pct"/>
            <w:shd w:val="clear" w:color="auto" w:fill="auto"/>
          </w:tcPr>
          <w:p w14:paraId="37A472D3"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Date</w:t>
            </w:r>
          </w:p>
        </w:tc>
        <w:tc>
          <w:tcPr>
            <w:tcW w:w="1544" w:type="pct"/>
            <w:shd w:val="clear" w:color="auto" w:fill="auto"/>
          </w:tcPr>
          <w:p w14:paraId="3AD5D5D4"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Description</w:t>
            </w:r>
          </w:p>
        </w:tc>
        <w:tc>
          <w:tcPr>
            <w:tcW w:w="873" w:type="pct"/>
            <w:shd w:val="clear" w:color="auto" w:fill="auto"/>
          </w:tcPr>
          <w:p w14:paraId="3879034D" w14:textId="77777777" w:rsidR="001C6C30" w:rsidRPr="005C29F8" w:rsidRDefault="001C6C30">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701A6E97" w14:textId="77777777" w:rsidTr="00AB0D6A">
        <w:trPr>
          <w:trHeight w:val="380"/>
        </w:trPr>
        <w:tc>
          <w:tcPr>
            <w:tcW w:w="1207" w:type="pct"/>
            <w:shd w:val="clear" w:color="auto" w:fill="auto"/>
            <w:vAlign w:val="center"/>
          </w:tcPr>
          <w:p w14:paraId="35A4BC35" w14:textId="73E52F94" w:rsidR="003C1852"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0BD5009E" w14:textId="3A5F2E3D" w:rsidR="003C1852"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5856C31" w14:textId="2C569076" w:rsidR="003C1852" w:rsidRPr="005C29F8" w:rsidRDefault="003C1852" w:rsidP="00E0321D">
            <w:pPr>
              <w:jc w:val="center"/>
              <w:rPr>
                <w:rFonts w:cs="Arial"/>
                <w:color w:val="000000" w:themeColor="text1"/>
                <w:szCs w:val="16"/>
              </w:rPr>
            </w:pPr>
            <w:r w:rsidRPr="005C29F8">
              <w:rPr>
                <w:rFonts w:cs="Arial"/>
                <w:color w:val="000000" w:themeColor="text1"/>
                <w:szCs w:val="16"/>
              </w:rPr>
              <w:t>Total number of children with IEPs aged 6 through 21</w:t>
            </w:r>
          </w:p>
        </w:tc>
        <w:tc>
          <w:tcPr>
            <w:tcW w:w="873" w:type="pct"/>
            <w:shd w:val="clear" w:color="auto" w:fill="auto"/>
            <w:vAlign w:val="center"/>
          </w:tcPr>
          <w:p w14:paraId="6A944F84" w14:textId="31582347" w:rsidR="003C1852" w:rsidRPr="005C29F8" w:rsidRDefault="002B7490" w:rsidP="00E0321D">
            <w:pPr>
              <w:jc w:val="center"/>
              <w:rPr>
                <w:rFonts w:cs="Arial"/>
                <w:color w:val="000000" w:themeColor="text1"/>
                <w:szCs w:val="16"/>
              </w:rPr>
            </w:pPr>
            <w:r w:rsidRPr="005C29F8">
              <w:rPr>
                <w:rFonts w:cs="Arial"/>
                <w:color w:val="000000" w:themeColor="text1"/>
                <w:szCs w:val="16"/>
              </w:rPr>
              <w:t>914</w:t>
            </w:r>
          </w:p>
        </w:tc>
      </w:tr>
      <w:tr w:rsidR="005C29F8" w:rsidRPr="005C29F8" w14:paraId="774B0393" w14:textId="77777777" w:rsidTr="00AB0D6A">
        <w:trPr>
          <w:trHeight w:val="380"/>
        </w:trPr>
        <w:tc>
          <w:tcPr>
            <w:tcW w:w="1207" w:type="pct"/>
            <w:shd w:val="clear" w:color="auto" w:fill="auto"/>
            <w:vAlign w:val="center"/>
          </w:tcPr>
          <w:p w14:paraId="41118E4B" w14:textId="707D9C2B" w:rsidR="008A3DC6" w:rsidRPr="005C29F8" w:rsidRDefault="00FB785D">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98C9B67" w14:textId="1DDD1ECD"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02329530" w14:textId="70A5DC75" w:rsidR="008A3DC6" w:rsidRPr="005C29F8" w:rsidRDefault="008A3DC6" w:rsidP="00E0321D">
            <w:pPr>
              <w:jc w:val="center"/>
              <w:rPr>
                <w:rFonts w:cs="Arial"/>
                <w:color w:val="000000" w:themeColor="text1"/>
                <w:szCs w:val="16"/>
              </w:rPr>
            </w:pPr>
            <w:r w:rsidRPr="005C29F8">
              <w:rPr>
                <w:rFonts w:cs="Arial"/>
                <w:color w:val="000000" w:themeColor="text1"/>
                <w:szCs w:val="16"/>
              </w:rPr>
              <w:t>A. Number of children with IEPs aged 6 through 21 inside the regular class 80% or more of the day</w:t>
            </w:r>
          </w:p>
        </w:tc>
        <w:tc>
          <w:tcPr>
            <w:tcW w:w="873" w:type="pct"/>
            <w:shd w:val="clear" w:color="auto" w:fill="auto"/>
            <w:vAlign w:val="center"/>
          </w:tcPr>
          <w:p w14:paraId="699212F3" w14:textId="450EBDBF" w:rsidR="008A3DC6" w:rsidRPr="005C29F8" w:rsidRDefault="002B7490" w:rsidP="00E0321D">
            <w:pPr>
              <w:jc w:val="center"/>
              <w:rPr>
                <w:rFonts w:cs="Arial"/>
                <w:color w:val="000000" w:themeColor="text1"/>
                <w:szCs w:val="16"/>
              </w:rPr>
            </w:pPr>
            <w:r w:rsidRPr="005C29F8">
              <w:rPr>
                <w:rFonts w:cs="Arial"/>
                <w:color w:val="000000" w:themeColor="text1"/>
                <w:szCs w:val="16"/>
              </w:rPr>
              <w:t>803</w:t>
            </w:r>
          </w:p>
        </w:tc>
      </w:tr>
      <w:tr w:rsidR="005C29F8" w:rsidRPr="005C29F8" w14:paraId="1BE24412" w14:textId="77777777" w:rsidTr="00AB0D6A">
        <w:trPr>
          <w:trHeight w:val="380"/>
        </w:trPr>
        <w:tc>
          <w:tcPr>
            <w:tcW w:w="1207" w:type="pct"/>
            <w:shd w:val="clear" w:color="auto" w:fill="auto"/>
            <w:vAlign w:val="center"/>
          </w:tcPr>
          <w:p w14:paraId="13D524C0" w14:textId="46F357A5"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72EFA773" w14:textId="00761F20"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6EF7CE7A" w14:textId="44AA3625" w:rsidR="008A3DC6" w:rsidRPr="005C29F8" w:rsidRDefault="008A3DC6" w:rsidP="00E0321D">
            <w:pPr>
              <w:jc w:val="center"/>
              <w:rPr>
                <w:rFonts w:cs="Arial"/>
                <w:color w:val="000000" w:themeColor="text1"/>
                <w:szCs w:val="16"/>
              </w:rPr>
            </w:pPr>
            <w:r w:rsidRPr="005C29F8">
              <w:rPr>
                <w:rFonts w:cs="Arial"/>
                <w:color w:val="000000" w:themeColor="text1"/>
                <w:szCs w:val="16"/>
              </w:rPr>
              <w:t>B. Number of children with IEPs aged 6 through 21 inside the regular class less than 40% of the day</w:t>
            </w:r>
          </w:p>
        </w:tc>
        <w:tc>
          <w:tcPr>
            <w:tcW w:w="873" w:type="pct"/>
            <w:shd w:val="clear" w:color="auto" w:fill="auto"/>
            <w:vAlign w:val="center"/>
          </w:tcPr>
          <w:p w14:paraId="33B90725" w14:textId="1FBE54FE" w:rsidR="008A3DC6" w:rsidRPr="005C29F8" w:rsidRDefault="002B7490" w:rsidP="00E0321D">
            <w:pPr>
              <w:jc w:val="center"/>
              <w:rPr>
                <w:rFonts w:cs="Arial"/>
                <w:color w:val="000000" w:themeColor="text1"/>
                <w:szCs w:val="16"/>
              </w:rPr>
            </w:pPr>
            <w:r w:rsidRPr="005C29F8">
              <w:rPr>
                <w:rFonts w:cs="Arial"/>
                <w:color w:val="000000" w:themeColor="text1"/>
                <w:szCs w:val="16"/>
              </w:rPr>
              <w:t>13</w:t>
            </w:r>
          </w:p>
        </w:tc>
      </w:tr>
      <w:tr w:rsidR="005C29F8" w:rsidRPr="005C29F8" w14:paraId="17A5A2B3" w14:textId="77777777" w:rsidTr="00AB0D6A">
        <w:trPr>
          <w:trHeight w:val="380"/>
        </w:trPr>
        <w:tc>
          <w:tcPr>
            <w:tcW w:w="1207" w:type="pct"/>
            <w:shd w:val="clear" w:color="auto" w:fill="auto"/>
            <w:vAlign w:val="center"/>
          </w:tcPr>
          <w:p w14:paraId="525A2ED8" w14:textId="4E94BB5B"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68C3F92C" w14:textId="3AE47CC2"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413AEB9E" w14:textId="44E9386E" w:rsidR="008A3DC6" w:rsidRPr="005C29F8" w:rsidRDefault="008A3DC6" w:rsidP="00E0321D">
            <w:pPr>
              <w:jc w:val="center"/>
              <w:rPr>
                <w:rFonts w:cs="Arial"/>
                <w:color w:val="000000" w:themeColor="text1"/>
                <w:szCs w:val="16"/>
              </w:rPr>
            </w:pPr>
            <w:r w:rsidRPr="005C29F8">
              <w:rPr>
                <w:rFonts w:cs="Arial"/>
                <w:color w:val="000000" w:themeColor="text1"/>
                <w:szCs w:val="16"/>
              </w:rPr>
              <w:t>c1. Number of children with IEPs aged 6 through 21 in separate schools</w:t>
            </w:r>
          </w:p>
        </w:tc>
        <w:tc>
          <w:tcPr>
            <w:tcW w:w="873" w:type="pct"/>
            <w:shd w:val="clear" w:color="auto" w:fill="auto"/>
            <w:vAlign w:val="center"/>
          </w:tcPr>
          <w:p w14:paraId="0C6DF60D" w14:textId="1A57B1C5"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7C327020" w14:textId="77777777" w:rsidTr="00AB0D6A">
        <w:trPr>
          <w:trHeight w:val="380"/>
        </w:trPr>
        <w:tc>
          <w:tcPr>
            <w:tcW w:w="1207" w:type="pct"/>
            <w:shd w:val="clear" w:color="auto" w:fill="auto"/>
            <w:vAlign w:val="center"/>
          </w:tcPr>
          <w:p w14:paraId="485F7D93" w14:textId="6A92F697"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1261545C" w14:textId="230AF013"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3AEE0CBD" w14:textId="4226B285" w:rsidR="008A3DC6" w:rsidRPr="005C29F8" w:rsidRDefault="008A3DC6" w:rsidP="00E0321D">
            <w:pPr>
              <w:jc w:val="center"/>
              <w:rPr>
                <w:rFonts w:cs="Arial"/>
                <w:color w:val="000000" w:themeColor="text1"/>
                <w:szCs w:val="16"/>
              </w:rPr>
            </w:pPr>
            <w:r w:rsidRPr="005C29F8">
              <w:rPr>
                <w:rFonts w:cs="Arial"/>
                <w:color w:val="000000" w:themeColor="text1"/>
                <w:szCs w:val="16"/>
              </w:rPr>
              <w:t>c2. Number of children with IEPs aged 6 through 21 in residential facilities</w:t>
            </w:r>
          </w:p>
        </w:tc>
        <w:tc>
          <w:tcPr>
            <w:tcW w:w="873" w:type="pct"/>
            <w:shd w:val="clear" w:color="auto" w:fill="auto"/>
            <w:vAlign w:val="center"/>
          </w:tcPr>
          <w:p w14:paraId="596B74CB" w14:textId="6136D9E8" w:rsidR="008A3DC6" w:rsidRPr="005C29F8" w:rsidRDefault="002B7490" w:rsidP="00E0321D">
            <w:pPr>
              <w:jc w:val="center"/>
              <w:rPr>
                <w:rFonts w:cs="Arial"/>
                <w:color w:val="000000" w:themeColor="text1"/>
                <w:szCs w:val="16"/>
              </w:rPr>
            </w:pPr>
            <w:r w:rsidRPr="005C29F8">
              <w:rPr>
                <w:rFonts w:cs="Arial"/>
                <w:color w:val="000000" w:themeColor="text1"/>
                <w:szCs w:val="16"/>
              </w:rPr>
              <w:t>0</w:t>
            </w:r>
          </w:p>
        </w:tc>
      </w:tr>
      <w:tr w:rsidR="005C29F8" w:rsidRPr="005C29F8" w14:paraId="16FD0FC0" w14:textId="77777777" w:rsidTr="00AB0D6A">
        <w:trPr>
          <w:trHeight w:val="380"/>
        </w:trPr>
        <w:tc>
          <w:tcPr>
            <w:tcW w:w="1207" w:type="pct"/>
            <w:shd w:val="clear" w:color="auto" w:fill="auto"/>
            <w:vAlign w:val="center"/>
          </w:tcPr>
          <w:p w14:paraId="59885F77" w14:textId="75A8CDFC" w:rsidR="008A3DC6" w:rsidRPr="005C29F8" w:rsidRDefault="00FB785D">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FS002; Data group 74)</w:t>
            </w:r>
          </w:p>
        </w:tc>
        <w:tc>
          <w:tcPr>
            <w:tcW w:w="1376" w:type="pct"/>
            <w:shd w:val="clear" w:color="auto" w:fill="auto"/>
            <w:vAlign w:val="center"/>
          </w:tcPr>
          <w:p w14:paraId="5FC32D0C" w14:textId="67F32884" w:rsidR="008A3DC6" w:rsidRPr="005C29F8" w:rsidRDefault="00FB785D">
            <w:pPr>
              <w:jc w:val="center"/>
              <w:rPr>
                <w:rFonts w:cs="Arial"/>
                <w:color w:val="000000" w:themeColor="text1"/>
                <w:szCs w:val="16"/>
              </w:rPr>
            </w:pPr>
            <w:r w:rsidRPr="005C29F8">
              <w:rPr>
                <w:rFonts w:cs="Arial"/>
                <w:color w:val="000000" w:themeColor="text1"/>
                <w:szCs w:val="16"/>
              </w:rPr>
              <w:t>07/08/2020</w:t>
            </w:r>
          </w:p>
        </w:tc>
        <w:tc>
          <w:tcPr>
            <w:tcW w:w="1544" w:type="pct"/>
            <w:shd w:val="clear" w:color="auto" w:fill="auto"/>
            <w:vAlign w:val="center"/>
          </w:tcPr>
          <w:p w14:paraId="5DA416E0" w14:textId="37D59773" w:rsidR="008A3DC6" w:rsidRPr="005C29F8" w:rsidRDefault="008A3DC6" w:rsidP="00E0321D">
            <w:pPr>
              <w:jc w:val="center"/>
              <w:rPr>
                <w:rFonts w:cs="Arial"/>
                <w:color w:val="000000" w:themeColor="text1"/>
                <w:szCs w:val="16"/>
              </w:rPr>
            </w:pPr>
            <w:r w:rsidRPr="005C29F8">
              <w:rPr>
                <w:rFonts w:cs="Arial"/>
                <w:color w:val="000000" w:themeColor="text1"/>
                <w:szCs w:val="16"/>
              </w:rPr>
              <w:t>c3. Number of children with IEPs aged 6 through 21 in homebound/hospital placements</w:t>
            </w:r>
          </w:p>
        </w:tc>
        <w:tc>
          <w:tcPr>
            <w:tcW w:w="873" w:type="pct"/>
            <w:shd w:val="clear" w:color="auto" w:fill="auto"/>
            <w:vAlign w:val="center"/>
          </w:tcPr>
          <w:p w14:paraId="7B0E7054" w14:textId="49D56445" w:rsidR="008A3DC6" w:rsidRPr="005C29F8" w:rsidRDefault="002B7490" w:rsidP="00E0321D">
            <w:pPr>
              <w:jc w:val="center"/>
              <w:rPr>
                <w:rFonts w:cs="Arial"/>
                <w:color w:val="000000" w:themeColor="text1"/>
                <w:szCs w:val="16"/>
              </w:rPr>
            </w:pPr>
            <w:r w:rsidRPr="005C29F8">
              <w:rPr>
                <w:rFonts w:cs="Arial"/>
                <w:color w:val="000000" w:themeColor="text1"/>
                <w:szCs w:val="16"/>
              </w:rPr>
              <w:t>2</w:t>
            </w:r>
          </w:p>
        </w:tc>
      </w:tr>
    </w:tbl>
    <w:p w14:paraId="5475FEBE" w14:textId="3E3663D3" w:rsidR="004A4803" w:rsidRPr="005C29F8" w:rsidRDefault="004A4803">
      <w:pPr>
        <w:rPr>
          <w:color w:val="000000" w:themeColor="text1"/>
        </w:rPr>
      </w:pPr>
    </w:p>
    <w:p w14:paraId="47A0647A" w14:textId="20BD9700" w:rsidR="00D60B5F" w:rsidRPr="005C29F8" w:rsidRDefault="00055C7A">
      <w:pPr>
        <w:rPr>
          <w:b/>
          <w:color w:val="000000" w:themeColor="text1"/>
        </w:rPr>
      </w:pPr>
      <w:r w:rsidRPr="005C29F8">
        <w:rPr>
          <w:b/>
          <w:color w:val="000000" w:themeColor="text1"/>
        </w:rPr>
        <w:t>Select yes if the data reported in this indicator are not the same as the State’s data reported under section 618 of the IDEA.</w:t>
      </w:r>
    </w:p>
    <w:p w14:paraId="7B71CB67" w14:textId="6BBC3C80" w:rsidR="00D60B5F" w:rsidRDefault="00D60B5F">
      <w:pPr>
        <w:rPr>
          <w:color w:val="000000" w:themeColor="text1"/>
        </w:rPr>
      </w:pPr>
      <w:r w:rsidRPr="005C29F8">
        <w:rPr>
          <w:color w:val="000000" w:themeColor="text1"/>
        </w:rPr>
        <w:t>YES</w:t>
      </w:r>
    </w:p>
    <w:p w14:paraId="1A58BC4D" w14:textId="76664669" w:rsidR="003763A1" w:rsidRPr="005C29F8" w:rsidRDefault="003763A1">
      <w:pPr>
        <w:rPr>
          <w:b/>
          <w:color w:val="000000" w:themeColor="text1"/>
        </w:rPr>
      </w:pPr>
      <w:r w:rsidRPr="005C29F8">
        <w:rPr>
          <w:b/>
          <w:color w:val="000000" w:themeColor="text1"/>
        </w:rPr>
        <w:t>Provide an explanation below</w:t>
      </w:r>
    </w:p>
    <w:p w14:paraId="6D1B343F" w14:textId="51B93083" w:rsidR="00B3121C" w:rsidRDefault="00B3121C" w:rsidP="009B76C5">
      <w:pPr>
        <w:rPr>
          <w:color w:val="000000" w:themeColor="text1"/>
        </w:rPr>
      </w:pPr>
      <w:r w:rsidRPr="005C29F8">
        <w:rPr>
          <w:color w:val="000000" w:themeColor="text1"/>
        </w:rPr>
        <w:t>CNMI transitioned to reporting five-year-</w:t>
      </w:r>
      <w:proofErr w:type="spellStart"/>
      <w:r w:rsidRPr="005C29F8">
        <w:rPr>
          <w:color w:val="000000" w:themeColor="text1"/>
        </w:rPr>
        <w:t>olds</w:t>
      </w:r>
      <w:proofErr w:type="spellEnd"/>
      <w:r w:rsidRPr="005C29F8">
        <w:rPr>
          <w:color w:val="000000" w:themeColor="text1"/>
        </w:rPr>
        <w:t xml:space="preserve"> in Kindergarten (KG) in FS002 for its SY 2019-20 submission under IDEA section 618.  Per OSEP’s instruction, CNMI opted to maintain the required reporting for Indicator 5 for FFY 2019 using the correct age range from the IDEA section 618 environments data.</w:t>
      </w:r>
      <w:r w:rsidRPr="005C29F8">
        <w:rPr>
          <w:color w:val="000000" w:themeColor="text1"/>
        </w:rPr>
        <w:br/>
      </w:r>
      <w:r w:rsidRPr="005C29F8">
        <w:rPr>
          <w:color w:val="000000" w:themeColor="text1"/>
        </w:rPr>
        <w:br/>
        <w:t>The FFY 2019 data for Indicator 5 represents children with IEPs aged 6 through 21 and does not include the 39 children with IEPs aged 5 served in KG reported in the CNMI 618 Child Count/Educational Environment data submitted in April 2020 for the December 1, 2019 618 Child Count/Environment data. The 39 children with IEPs aged 5 served in KG was removed from the numerator and denominator for 5A, and the denominator for 5B and 5C. These 39 children with IEPs aged 5 served in KG have been reported in Indicator 6.</w:t>
      </w:r>
    </w:p>
    <w:p w14:paraId="14F4B2C8" w14:textId="77777777" w:rsidR="0037431B" w:rsidRPr="005C29F8" w:rsidRDefault="0037431B" w:rsidP="004369B2">
      <w:pPr>
        <w:rPr>
          <w:color w:val="000000" w:themeColor="text1"/>
        </w:rPr>
      </w:pPr>
    </w:p>
    <w:p w14:paraId="7EFB6535" w14:textId="1DB30066" w:rsidR="00805DD3" w:rsidRPr="005C29F8" w:rsidRDefault="00EC46E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2"/>
      </w:tblPr>
      <w:tblGrid>
        <w:gridCol w:w="2245"/>
        <w:gridCol w:w="1220"/>
        <w:gridCol w:w="1222"/>
        <w:gridCol w:w="1221"/>
        <w:gridCol w:w="1219"/>
        <w:gridCol w:w="1221"/>
        <w:gridCol w:w="1221"/>
        <w:gridCol w:w="1221"/>
      </w:tblGrid>
      <w:tr w:rsidR="005C29F8" w:rsidRPr="005C29F8" w14:paraId="7C556EEF" w14:textId="77777777" w:rsidTr="00AB0D6A">
        <w:trPr>
          <w:trHeight w:val="440"/>
          <w:tblHeader/>
        </w:trPr>
        <w:tc>
          <w:tcPr>
            <w:tcW w:w="1040" w:type="pct"/>
            <w:shd w:val="clear" w:color="auto" w:fill="auto"/>
            <w:vAlign w:val="bottom"/>
          </w:tcPr>
          <w:p w14:paraId="48114DBE" w14:textId="548F0F83" w:rsidR="00B3121C" w:rsidRPr="005C29F8" w:rsidRDefault="001F64DB" w:rsidP="009B76C5">
            <w:pPr>
              <w:jc w:val="center"/>
              <w:rPr>
                <w:b/>
                <w:color w:val="000000" w:themeColor="text1"/>
              </w:rPr>
            </w:pPr>
            <w:r>
              <w:rPr>
                <w:b/>
                <w:color w:val="000000" w:themeColor="text1"/>
              </w:rPr>
              <w:t>Education Environments</w:t>
            </w:r>
          </w:p>
        </w:tc>
        <w:tc>
          <w:tcPr>
            <w:tcW w:w="565" w:type="pct"/>
            <w:shd w:val="clear" w:color="auto" w:fill="auto"/>
            <w:vAlign w:val="bottom"/>
          </w:tcPr>
          <w:p w14:paraId="5AE0451E" w14:textId="77777777" w:rsidR="00B3121C" w:rsidRPr="005C29F8" w:rsidRDefault="00B3121C" w:rsidP="009B76C5">
            <w:pPr>
              <w:jc w:val="center"/>
              <w:rPr>
                <w:b/>
                <w:color w:val="000000" w:themeColor="text1"/>
              </w:rPr>
            </w:pPr>
            <w:r w:rsidRPr="005C29F8">
              <w:rPr>
                <w:b/>
                <w:color w:val="000000" w:themeColor="text1"/>
              </w:rPr>
              <w:t>Number of children with IEPs aged 6 through 21 served</w:t>
            </w:r>
          </w:p>
        </w:tc>
        <w:tc>
          <w:tcPr>
            <w:tcW w:w="566" w:type="pct"/>
            <w:shd w:val="clear" w:color="auto" w:fill="auto"/>
            <w:vAlign w:val="bottom"/>
          </w:tcPr>
          <w:p w14:paraId="68C87A98" w14:textId="77777777" w:rsidR="00B3121C" w:rsidRPr="005C29F8" w:rsidRDefault="00B3121C" w:rsidP="009B76C5">
            <w:pPr>
              <w:jc w:val="center"/>
              <w:rPr>
                <w:b/>
                <w:color w:val="000000" w:themeColor="text1"/>
              </w:rPr>
            </w:pPr>
            <w:r w:rsidRPr="005C29F8">
              <w:rPr>
                <w:b/>
                <w:color w:val="000000" w:themeColor="text1"/>
              </w:rPr>
              <w:t>Total number of children with IEPs aged 6 through 21</w:t>
            </w:r>
          </w:p>
        </w:tc>
        <w:tc>
          <w:tcPr>
            <w:tcW w:w="566" w:type="pct"/>
            <w:shd w:val="clear" w:color="auto" w:fill="auto"/>
            <w:vAlign w:val="bottom"/>
          </w:tcPr>
          <w:p w14:paraId="6E140C3B" w14:textId="131BC35E" w:rsidR="00B3121C" w:rsidRPr="005C29F8" w:rsidRDefault="00B3121C" w:rsidP="009B76C5">
            <w:pPr>
              <w:jc w:val="center"/>
              <w:rPr>
                <w:b/>
                <w:color w:val="000000" w:themeColor="text1"/>
              </w:rPr>
            </w:pPr>
            <w:r w:rsidRPr="005C29F8">
              <w:rPr>
                <w:b/>
                <w:color w:val="000000" w:themeColor="text1"/>
              </w:rPr>
              <w:t>FFY 2018 Data</w:t>
            </w:r>
          </w:p>
        </w:tc>
        <w:tc>
          <w:tcPr>
            <w:tcW w:w="565" w:type="pct"/>
            <w:shd w:val="clear" w:color="auto" w:fill="auto"/>
            <w:vAlign w:val="bottom"/>
          </w:tcPr>
          <w:p w14:paraId="12262CAC" w14:textId="2B22972F" w:rsidR="00B3121C" w:rsidRPr="005C29F8" w:rsidRDefault="00B3121C" w:rsidP="009B76C5">
            <w:pPr>
              <w:jc w:val="center"/>
              <w:rPr>
                <w:b/>
                <w:color w:val="000000" w:themeColor="text1"/>
              </w:rPr>
            </w:pPr>
            <w:r w:rsidRPr="005C29F8">
              <w:rPr>
                <w:b/>
                <w:color w:val="000000" w:themeColor="text1"/>
              </w:rPr>
              <w:t>FFY 2019 Target</w:t>
            </w:r>
          </w:p>
        </w:tc>
        <w:tc>
          <w:tcPr>
            <w:tcW w:w="566" w:type="pct"/>
            <w:shd w:val="clear" w:color="auto" w:fill="auto"/>
            <w:vAlign w:val="bottom"/>
          </w:tcPr>
          <w:p w14:paraId="5D8C7210" w14:textId="690EBC17" w:rsidR="00B3121C" w:rsidRPr="005C29F8" w:rsidRDefault="00B3121C" w:rsidP="009B76C5">
            <w:pPr>
              <w:jc w:val="center"/>
              <w:rPr>
                <w:b/>
                <w:color w:val="000000" w:themeColor="text1"/>
              </w:rPr>
            </w:pPr>
            <w:r w:rsidRPr="005C29F8">
              <w:rPr>
                <w:b/>
                <w:color w:val="000000" w:themeColor="text1"/>
              </w:rPr>
              <w:t>FFY 2019 Data</w:t>
            </w:r>
          </w:p>
        </w:tc>
        <w:tc>
          <w:tcPr>
            <w:tcW w:w="566" w:type="pct"/>
            <w:shd w:val="clear" w:color="auto" w:fill="auto"/>
            <w:vAlign w:val="bottom"/>
          </w:tcPr>
          <w:p w14:paraId="7000B6C3" w14:textId="77777777" w:rsidR="00B3121C" w:rsidRPr="005C29F8" w:rsidRDefault="00B3121C" w:rsidP="009B76C5">
            <w:pPr>
              <w:jc w:val="center"/>
              <w:rPr>
                <w:b/>
                <w:color w:val="000000" w:themeColor="text1"/>
              </w:rPr>
            </w:pPr>
            <w:r w:rsidRPr="005C29F8">
              <w:rPr>
                <w:b/>
                <w:color w:val="000000" w:themeColor="text1"/>
              </w:rPr>
              <w:t>Status</w:t>
            </w:r>
          </w:p>
        </w:tc>
        <w:tc>
          <w:tcPr>
            <w:tcW w:w="566" w:type="pct"/>
            <w:shd w:val="clear" w:color="auto" w:fill="auto"/>
            <w:vAlign w:val="bottom"/>
          </w:tcPr>
          <w:p w14:paraId="667046B5" w14:textId="77777777" w:rsidR="00B3121C" w:rsidRPr="005C29F8" w:rsidRDefault="00B3121C" w:rsidP="009B76C5">
            <w:pPr>
              <w:jc w:val="center"/>
              <w:rPr>
                <w:b/>
                <w:color w:val="000000" w:themeColor="text1"/>
              </w:rPr>
            </w:pPr>
            <w:r w:rsidRPr="005C29F8">
              <w:rPr>
                <w:b/>
                <w:color w:val="000000" w:themeColor="text1"/>
              </w:rPr>
              <w:t>Slippage</w:t>
            </w:r>
          </w:p>
        </w:tc>
      </w:tr>
      <w:tr w:rsidR="005C29F8" w:rsidRPr="005C29F8" w14:paraId="147B738C" w14:textId="77777777" w:rsidTr="00AB0D6A">
        <w:trPr>
          <w:trHeight w:val="361"/>
        </w:trPr>
        <w:tc>
          <w:tcPr>
            <w:tcW w:w="1040" w:type="pct"/>
            <w:shd w:val="clear" w:color="auto" w:fill="auto"/>
            <w:vAlign w:val="center"/>
          </w:tcPr>
          <w:p w14:paraId="748DB737" w14:textId="77777777" w:rsidR="00B3121C" w:rsidRPr="005C29F8" w:rsidRDefault="00B3121C" w:rsidP="009B76C5">
            <w:pPr>
              <w:rPr>
                <w:rFonts w:cs="Arial"/>
                <w:color w:val="000000" w:themeColor="text1"/>
                <w:szCs w:val="16"/>
              </w:rPr>
            </w:pPr>
            <w:r w:rsidRPr="005C29F8">
              <w:rPr>
                <w:rFonts w:cs="Arial"/>
                <w:color w:val="000000" w:themeColor="text1"/>
                <w:szCs w:val="16"/>
              </w:rPr>
              <w:t>A.</w:t>
            </w:r>
            <w:r w:rsidRPr="005C29F8">
              <w:rPr>
                <w:rFonts w:cs="Arial"/>
                <w:color w:val="000000" w:themeColor="text1"/>
                <w:szCs w:val="16"/>
                <w:shd w:val="clear" w:color="auto" w:fill="FFFFFF"/>
              </w:rPr>
              <w:t xml:space="preserve"> Number of children with IEPs aged 6 through 21 inside the regular class 80% or more of the day</w:t>
            </w:r>
          </w:p>
        </w:tc>
        <w:tc>
          <w:tcPr>
            <w:tcW w:w="565" w:type="pct"/>
            <w:shd w:val="clear" w:color="auto" w:fill="auto"/>
            <w:vAlign w:val="center"/>
          </w:tcPr>
          <w:p w14:paraId="7BBAA480" w14:textId="18403B9F" w:rsidR="00B3121C" w:rsidRPr="005C29F8" w:rsidRDefault="00B3121C" w:rsidP="00A018D4">
            <w:pPr>
              <w:jc w:val="center"/>
              <w:rPr>
                <w:rFonts w:cs="Arial"/>
                <w:color w:val="000000" w:themeColor="text1"/>
                <w:szCs w:val="16"/>
              </w:rPr>
            </w:pPr>
            <w:r w:rsidRPr="005C29F8">
              <w:rPr>
                <w:rFonts w:cs="Arial"/>
                <w:color w:val="000000" w:themeColor="text1"/>
                <w:szCs w:val="16"/>
              </w:rPr>
              <w:t>764</w:t>
            </w:r>
          </w:p>
        </w:tc>
        <w:tc>
          <w:tcPr>
            <w:tcW w:w="566" w:type="pct"/>
            <w:shd w:val="clear" w:color="auto" w:fill="auto"/>
            <w:vAlign w:val="center"/>
          </w:tcPr>
          <w:p w14:paraId="4245B584" w14:textId="387287EA" w:rsidR="00B3121C" w:rsidRPr="005C29F8" w:rsidRDefault="001E0824" w:rsidP="00A018D4">
            <w:pPr>
              <w:jc w:val="center"/>
              <w:rPr>
                <w:rFonts w:cs="Arial"/>
                <w:color w:val="000000" w:themeColor="text1"/>
                <w:szCs w:val="16"/>
              </w:rPr>
            </w:pPr>
            <w:r w:rsidRPr="005C29F8">
              <w:rPr>
                <w:rFonts w:cs="Arial"/>
                <w:color w:val="000000" w:themeColor="text1"/>
                <w:szCs w:val="16"/>
              </w:rPr>
              <w:t>875</w:t>
            </w:r>
          </w:p>
        </w:tc>
        <w:tc>
          <w:tcPr>
            <w:tcW w:w="566" w:type="pct"/>
            <w:shd w:val="clear" w:color="auto" w:fill="auto"/>
            <w:vAlign w:val="center"/>
          </w:tcPr>
          <w:p w14:paraId="07515BE7"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84.58%</w:t>
            </w:r>
          </w:p>
        </w:tc>
        <w:tc>
          <w:tcPr>
            <w:tcW w:w="565" w:type="pct"/>
            <w:shd w:val="clear" w:color="auto" w:fill="auto"/>
            <w:vAlign w:val="center"/>
          </w:tcPr>
          <w:p w14:paraId="573F6351" w14:textId="6E09BFA2" w:rsidR="00B3121C" w:rsidRPr="005C29F8" w:rsidRDefault="00B3121C" w:rsidP="00A018D4">
            <w:pPr>
              <w:jc w:val="center"/>
              <w:rPr>
                <w:rFonts w:cs="Arial"/>
                <w:color w:val="000000" w:themeColor="text1"/>
                <w:szCs w:val="16"/>
              </w:rPr>
            </w:pPr>
            <w:r w:rsidRPr="005C29F8">
              <w:rPr>
                <w:rFonts w:cs="Arial"/>
                <w:color w:val="000000" w:themeColor="text1"/>
                <w:szCs w:val="16"/>
              </w:rPr>
              <w:t>85.00%</w:t>
            </w:r>
          </w:p>
        </w:tc>
        <w:tc>
          <w:tcPr>
            <w:tcW w:w="566" w:type="pct"/>
            <w:shd w:val="clear" w:color="auto" w:fill="auto"/>
            <w:vAlign w:val="center"/>
          </w:tcPr>
          <w:p w14:paraId="35D1EF52"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87.31%</w:t>
            </w:r>
          </w:p>
        </w:tc>
        <w:tc>
          <w:tcPr>
            <w:tcW w:w="566" w:type="pct"/>
            <w:shd w:val="clear" w:color="auto" w:fill="auto"/>
            <w:vAlign w:val="center"/>
          </w:tcPr>
          <w:p w14:paraId="51D6EEE9"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3D983D7B"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65A326D9" w14:textId="77777777" w:rsidTr="00AB0D6A">
        <w:trPr>
          <w:trHeight w:val="361"/>
        </w:trPr>
        <w:tc>
          <w:tcPr>
            <w:tcW w:w="1040" w:type="pct"/>
            <w:shd w:val="clear" w:color="auto" w:fill="auto"/>
            <w:vAlign w:val="center"/>
          </w:tcPr>
          <w:p w14:paraId="5F0C8FDC" w14:textId="77777777" w:rsidR="00B3121C" w:rsidRPr="005C29F8" w:rsidRDefault="00B3121C" w:rsidP="009B76C5">
            <w:pPr>
              <w:rPr>
                <w:rFonts w:cs="Arial"/>
                <w:color w:val="000000" w:themeColor="text1"/>
                <w:szCs w:val="16"/>
              </w:rPr>
            </w:pPr>
            <w:r w:rsidRPr="005C29F8">
              <w:rPr>
                <w:rFonts w:cs="Arial"/>
                <w:color w:val="000000" w:themeColor="text1"/>
                <w:szCs w:val="16"/>
                <w:shd w:val="clear" w:color="auto" w:fill="FFFFFF"/>
              </w:rPr>
              <w:t>B. Number of children with IEPs aged 6 through 21 inside the regular class less than 40% of the day</w:t>
            </w:r>
          </w:p>
        </w:tc>
        <w:tc>
          <w:tcPr>
            <w:tcW w:w="565" w:type="pct"/>
            <w:shd w:val="clear" w:color="auto" w:fill="auto"/>
            <w:vAlign w:val="center"/>
          </w:tcPr>
          <w:p w14:paraId="7FF7C821" w14:textId="01ACBC6F" w:rsidR="00B3121C" w:rsidRPr="005C29F8" w:rsidRDefault="00B3121C" w:rsidP="00A018D4">
            <w:pPr>
              <w:jc w:val="center"/>
              <w:rPr>
                <w:rFonts w:cs="Arial"/>
                <w:color w:val="000000" w:themeColor="text1"/>
                <w:szCs w:val="16"/>
              </w:rPr>
            </w:pPr>
            <w:r w:rsidRPr="005C29F8">
              <w:rPr>
                <w:rFonts w:cs="Arial"/>
                <w:color w:val="000000" w:themeColor="text1"/>
                <w:szCs w:val="16"/>
              </w:rPr>
              <w:t>13</w:t>
            </w:r>
          </w:p>
        </w:tc>
        <w:tc>
          <w:tcPr>
            <w:tcW w:w="566" w:type="pct"/>
            <w:shd w:val="clear" w:color="auto" w:fill="auto"/>
            <w:vAlign w:val="center"/>
          </w:tcPr>
          <w:p w14:paraId="5FC598B1" w14:textId="62472B07" w:rsidR="00B3121C" w:rsidRPr="005C29F8" w:rsidRDefault="001E0824" w:rsidP="00A018D4">
            <w:pPr>
              <w:jc w:val="center"/>
              <w:rPr>
                <w:rFonts w:cs="Arial"/>
                <w:color w:val="000000" w:themeColor="text1"/>
                <w:szCs w:val="16"/>
              </w:rPr>
            </w:pPr>
            <w:r w:rsidRPr="005C29F8">
              <w:rPr>
                <w:rFonts w:cs="Arial"/>
                <w:color w:val="000000" w:themeColor="text1"/>
                <w:szCs w:val="16"/>
              </w:rPr>
              <w:t>875</w:t>
            </w:r>
          </w:p>
        </w:tc>
        <w:tc>
          <w:tcPr>
            <w:tcW w:w="566" w:type="pct"/>
            <w:shd w:val="clear" w:color="auto" w:fill="auto"/>
            <w:vAlign w:val="center"/>
          </w:tcPr>
          <w:p w14:paraId="3A7F9E22"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2.10%</w:t>
            </w:r>
          </w:p>
        </w:tc>
        <w:tc>
          <w:tcPr>
            <w:tcW w:w="565" w:type="pct"/>
            <w:shd w:val="clear" w:color="auto" w:fill="auto"/>
            <w:vAlign w:val="center"/>
          </w:tcPr>
          <w:p w14:paraId="4CE26467" w14:textId="7CC2E19E" w:rsidR="00B3121C" w:rsidRPr="005C29F8" w:rsidRDefault="00B3121C" w:rsidP="00A018D4">
            <w:pPr>
              <w:jc w:val="center"/>
              <w:rPr>
                <w:rFonts w:cs="Arial"/>
                <w:color w:val="000000" w:themeColor="text1"/>
                <w:szCs w:val="16"/>
              </w:rPr>
            </w:pPr>
            <w:r w:rsidRPr="005C29F8">
              <w:rPr>
                <w:rFonts w:cs="Arial"/>
                <w:color w:val="000000" w:themeColor="text1"/>
                <w:szCs w:val="16"/>
              </w:rPr>
              <w:t>3.00%</w:t>
            </w:r>
          </w:p>
        </w:tc>
        <w:tc>
          <w:tcPr>
            <w:tcW w:w="566" w:type="pct"/>
            <w:shd w:val="clear" w:color="auto" w:fill="auto"/>
            <w:vAlign w:val="center"/>
          </w:tcPr>
          <w:p w14:paraId="2432AC65"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1.49%</w:t>
            </w:r>
          </w:p>
        </w:tc>
        <w:tc>
          <w:tcPr>
            <w:tcW w:w="566" w:type="pct"/>
            <w:shd w:val="clear" w:color="auto" w:fill="auto"/>
            <w:vAlign w:val="center"/>
          </w:tcPr>
          <w:p w14:paraId="470C6486"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41794D9C"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D2B474D" w14:textId="77777777" w:rsidTr="00AB0D6A">
        <w:trPr>
          <w:trHeight w:val="361"/>
        </w:trPr>
        <w:tc>
          <w:tcPr>
            <w:tcW w:w="1040" w:type="pct"/>
            <w:shd w:val="clear" w:color="auto" w:fill="auto"/>
            <w:vAlign w:val="center"/>
          </w:tcPr>
          <w:p w14:paraId="3F16301E" w14:textId="68AEC3B9" w:rsidR="00B3121C" w:rsidRPr="005C29F8" w:rsidRDefault="00B3121C" w:rsidP="009B76C5">
            <w:pPr>
              <w:pStyle w:val="Explanation"/>
              <w:rPr>
                <w:rFonts w:cs="Arial"/>
                <w:color w:val="000000" w:themeColor="text1"/>
                <w:szCs w:val="16"/>
              </w:rPr>
            </w:pPr>
            <w:r w:rsidRPr="005C29F8">
              <w:rPr>
                <w:rFonts w:cs="Arial"/>
                <w:i w:val="0"/>
                <w:color w:val="000000" w:themeColor="text1"/>
                <w:szCs w:val="16"/>
                <w:shd w:val="clear" w:color="auto" w:fill="FFFFFF"/>
              </w:rPr>
              <w:t xml:space="preserve">C. Number of children with IEPs aged 6 through 21 inside separate schools, residential facilities, or homebound/hospital placements </w:t>
            </w:r>
            <w:r w:rsidR="00163FA7" w:rsidRPr="005C29F8">
              <w:rPr>
                <w:rFonts w:cs="Arial"/>
                <w:color w:val="000000" w:themeColor="text1"/>
                <w:szCs w:val="16"/>
              </w:rPr>
              <w:t>[</w:t>
            </w:r>
            <w:r w:rsidRPr="005C29F8">
              <w:rPr>
                <w:rFonts w:cs="Arial"/>
                <w:color w:val="000000" w:themeColor="text1"/>
                <w:szCs w:val="16"/>
              </w:rPr>
              <w:t>c1+c2+c</w:t>
            </w:r>
            <w:r w:rsidR="00163FA7" w:rsidRPr="005C29F8">
              <w:rPr>
                <w:rFonts w:cs="Arial"/>
                <w:color w:val="000000" w:themeColor="text1"/>
                <w:szCs w:val="16"/>
              </w:rPr>
              <w:t>3]</w:t>
            </w:r>
          </w:p>
        </w:tc>
        <w:tc>
          <w:tcPr>
            <w:tcW w:w="565" w:type="pct"/>
            <w:shd w:val="clear" w:color="auto" w:fill="auto"/>
            <w:vAlign w:val="center"/>
          </w:tcPr>
          <w:p w14:paraId="5140CE35" w14:textId="2DE805CC" w:rsidR="00B3121C" w:rsidRPr="005C29F8" w:rsidRDefault="00B3121C" w:rsidP="00A018D4">
            <w:pPr>
              <w:jc w:val="center"/>
              <w:rPr>
                <w:rFonts w:cs="Arial"/>
                <w:color w:val="000000" w:themeColor="text1"/>
                <w:szCs w:val="16"/>
              </w:rPr>
            </w:pPr>
            <w:r w:rsidRPr="005C29F8">
              <w:rPr>
                <w:rFonts w:cs="Arial"/>
                <w:color w:val="000000" w:themeColor="text1"/>
                <w:szCs w:val="16"/>
              </w:rPr>
              <w:t>2</w:t>
            </w:r>
          </w:p>
        </w:tc>
        <w:tc>
          <w:tcPr>
            <w:tcW w:w="566" w:type="pct"/>
            <w:shd w:val="clear" w:color="auto" w:fill="auto"/>
            <w:vAlign w:val="center"/>
          </w:tcPr>
          <w:p w14:paraId="3E33A2E4" w14:textId="77046009" w:rsidR="00B3121C" w:rsidRPr="005C29F8" w:rsidRDefault="001E0824" w:rsidP="00A018D4">
            <w:pPr>
              <w:jc w:val="center"/>
              <w:rPr>
                <w:rFonts w:cs="Arial"/>
                <w:color w:val="000000" w:themeColor="text1"/>
                <w:szCs w:val="16"/>
              </w:rPr>
            </w:pPr>
            <w:r w:rsidRPr="005C29F8">
              <w:rPr>
                <w:rFonts w:cs="Arial"/>
                <w:color w:val="000000" w:themeColor="text1"/>
                <w:szCs w:val="16"/>
              </w:rPr>
              <w:t>875</w:t>
            </w:r>
          </w:p>
        </w:tc>
        <w:tc>
          <w:tcPr>
            <w:tcW w:w="566" w:type="pct"/>
            <w:shd w:val="clear" w:color="auto" w:fill="auto"/>
            <w:vAlign w:val="center"/>
          </w:tcPr>
          <w:p w14:paraId="5DFCE449"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0.58%</w:t>
            </w:r>
          </w:p>
        </w:tc>
        <w:tc>
          <w:tcPr>
            <w:tcW w:w="565" w:type="pct"/>
            <w:shd w:val="clear" w:color="auto" w:fill="auto"/>
            <w:vAlign w:val="center"/>
          </w:tcPr>
          <w:p w14:paraId="49CEAE18" w14:textId="4EC60CC1" w:rsidR="00B3121C" w:rsidRPr="005C29F8" w:rsidRDefault="00B3121C" w:rsidP="00A018D4">
            <w:pPr>
              <w:jc w:val="center"/>
              <w:rPr>
                <w:rFonts w:cs="Arial"/>
                <w:color w:val="000000" w:themeColor="text1"/>
                <w:szCs w:val="16"/>
              </w:rPr>
            </w:pPr>
            <w:r w:rsidRPr="005C29F8">
              <w:rPr>
                <w:rFonts w:cs="Arial"/>
                <w:color w:val="000000" w:themeColor="text1"/>
                <w:szCs w:val="16"/>
              </w:rPr>
              <w:t>0.70%</w:t>
            </w:r>
          </w:p>
        </w:tc>
        <w:tc>
          <w:tcPr>
            <w:tcW w:w="566" w:type="pct"/>
            <w:shd w:val="clear" w:color="auto" w:fill="auto"/>
            <w:vAlign w:val="center"/>
          </w:tcPr>
          <w:p w14:paraId="18F9A5F0"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0.23%</w:t>
            </w:r>
          </w:p>
        </w:tc>
        <w:tc>
          <w:tcPr>
            <w:tcW w:w="566" w:type="pct"/>
            <w:shd w:val="clear" w:color="auto" w:fill="auto"/>
            <w:vAlign w:val="center"/>
          </w:tcPr>
          <w:p w14:paraId="3C5FAC26"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Met Target</w:t>
            </w:r>
          </w:p>
        </w:tc>
        <w:tc>
          <w:tcPr>
            <w:tcW w:w="566" w:type="pct"/>
            <w:shd w:val="clear" w:color="auto" w:fill="auto"/>
            <w:vAlign w:val="center"/>
          </w:tcPr>
          <w:p w14:paraId="3D5BFDFA" w14:textId="77777777" w:rsidR="00B3121C" w:rsidRPr="005C29F8" w:rsidRDefault="00B3121C" w:rsidP="00A018D4">
            <w:pPr>
              <w:jc w:val="center"/>
              <w:rPr>
                <w:rFonts w:cs="Arial"/>
                <w:color w:val="000000" w:themeColor="text1"/>
                <w:szCs w:val="16"/>
              </w:rPr>
            </w:pPr>
            <w:r w:rsidRPr="005C29F8">
              <w:rPr>
                <w:rFonts w:cs="Arial"/>
                <w:color w:val="000000" w:themeColor="text1"/>
                <w:szCs w:val="16"/>
              </w:rPr>
              <w:t>No Slippage</w:t>
            </w:r>
          </w:p>
        </w:tc>
      </w:tr>
    </w:tbl>
    <w:p w14:paraId="2426FC6F" w14:textId="7DE53785" w:rsidR="00D00A45" w:rsidRPr="005C29F8" w:rsidRDefault="00163FA7" w:rsidP="001011BB">
      <w:pPr>
        <w:tabs>
          <w:tab w:val="left" w:pos="2088"/>
        </w:tabs>
        <w:rPr>
          <w:rFonts w:cs="Arial"/>
          <w:b/>
          <w:color w:val="000000" w:themeColor="text1"/>
          <w:szCs w:val="16"/>
        </w:rPr>
      </w:pPr>
      <w:r w:rsidRPr="005C29F8">
        <w:rPr>
          <w:rFonts w:cs="Arial"/>
          <w:b/>
          <w:color w:val="000000" w:themeColor="text1"/>
          <w:szCs w:val="16"/>
        </w:rPr>
        <w:t>Use a different calculation methodology (yes/no)</w:t>
      </w:r>
    </w:p>
    <w:p w14:paraId="4EAB8A34" w14:textId="5701FFD5" w:rsidR="00163FA7" w:rsidRPr="005C29F8" w:rsidRDefault="00163FA7" w:rsidP="001011BB">
      <w:pPr>
        <w:tabs>
          <w:tab w:val="left" w:pos="2088"/>
        </w:tabs>
        <w:rPr>
          <w:rFonts w:cs="Arial"/>
          <w:color w:val="000000" w:themeColor="text1"/>
          <w:szCs w:val="16"/>
        </w:rPr>
      </w:pPr>
      <w:r w:rsidRPr="005C29F8">
        <w:rPr>
          <w:rFonts w:cs="Arial"/>
          <w:color w:val="000000" w:themeColor="text1"/>
          <w:szCs w:val="16"/>
        </w:rPr>
        <w:t>NO</w:t>
      </w:r>
    </w:p>
    <w:p w14:paraId="073B208C" w14:textId="4B79EDF3" w:rsidR="006C575D" w:rsidRPr="005C29F8" w:rsidRDefault="006C575D" w:rsidP="004369B2">
      <w:pPr>
        <w:rPr>
          <w:b/>
          <w:color w:val="000000" w:themeColor="text1"/>
        </w:rPr>
      </w:pPr>
      <w:r w:rsidRPr="005C29F8">
        <w:rPr>
          <w:b/>
          <w:color w:val="000000" w:themeColor="text1"/>
        </w:rPr>
        <w:t>Provide additional information about this indicator (optional)</w:t>
      </w:r>
    </w:p>
    <w:p w14:paraId="2F810D98" w14:textId="08328771" w:rsidR="003C308E" w:rsidRPr="005C29F8" w:rsidRDefault="003C308E" w:rsidP="007D435F">
      <w:pPr>
        <w:rPr>
          <w:rFonts w:cs="Arial"/>
          <w:color w:val="000000" w:themeColor="text1"/>
          <w:szCs w:val="16"/>
        </w:rPr>
      </w:pPr>
    </w:p>
    <w:p w14:paraId="0B7E5CD7" w14:textId="77777777" w:rsidR="004A4803" w:rsidRPr="005C29F8" w:rsidRDefault="004A4803" w:rsidP="004369B2">
      <w:pPr>
        <w:rPr>
          <w:color w:val="000000" w:themeColor="text1"/>
        </w:rPr>
      </w:pPr>
    </w:p>
    <w:p w14:paraId="68DA7415" w14:textId="0FE711BA" w:rsidR="000A2C83" w:rsidRPr="0033429D" w:rsidRDefault="007B5383" w:rsidP="008645AD">
      <w:pPr>
        <w:pStyle w:val="Heading2"/>
      </w:pPr>
      <w:r w:rsidRPr="0033429D">
        <w:t>5</w:t>
      </w:r>
      <w:r w:rsidR="002203FA" w:rsidRPr="0033429D">
        <w:t xml:space="preserve"> </w:t>
      </w:r>
      <w:r w:rsidRPr="0033429D">
        <w:t xml:space="preserve">- </w:t>
      </w:r>
      <w:r w:rsidR="000A2C83" w:rsidRPr="0033429D">
        <w:t>Prior FFY Required Actions</w:t>
      </w:r>
    </w:p>
    <w:p w14:paraId="2C73DADD" w14:textId="6039179B" w:rsidR="00163FA7" w:rsidRPr="005C29F8" w:rsidRDefault="002B7490" w:rsidP="000A2C83">
      <w:pPr>
        <w:rPr>
          <w:rFonts w:cs="Arial"/>
          <w:color w:val="000000" w:themeColor="text1"/>
          <w:szCs w:val="16"/>
        </w:rPr>
      </w:pPr>
      <w:r w:rsidRPr="005C29F8">
        <w:rPr>
          <w:rFonts w:cs="Arial"/>
          <w:color w:val="000000" w:themeColor="text1"/>
          <w:szCs w:val="16"/>
        </w:rPr>
        <w:t>None</w:t>
      </w:r>
    </w:p>
    <w:p w14:paraId="30448C87" w14:textId="2E9FCBE3" w:rsidR="006C575D" w:rsidRPr="0033429D" w:rsidRDefault="007B5383" w:rsidP="008645AD">
      <w:pPr>
        <w:pStyle w:val="Heading2"/>
      </w:pPr>
      <w:r w:rsidRPr="0033429D">
        <w:lastRenderedPageBreak/>
        <w:t>5 - OSEP Response</w:t>
      </w:r>
    </w:p>
    <w:p w14:paraId="63E8B575" w14:textId="0FE467D2" w:rsidR="003C308E" w:rsidRPr="005C29F8" w:rsidRDefault="003C308E" w:rsidP="001F692C">
      <w:pPr>
        <w:rPr>
          <w:rFonts w:cs="Arial"/>
          <w:color w:val="000000" w:themeColor="text1"/>
          <w:szCs w:val="16"/>
        </w:rPr>
      </w:pPr>
    </w:p>
    <w:p w14:paraId="66CCD9C9" w14:textId="435D8999" w:rsidR="006C575D" w:rsidRPr="0033429D" w:rsidRDefault="007B5383" w:rsidP="008645AD">
      <w:pPr>
        <w:pStyle w:val="Heading2"/>
      </w:pPr>
      <w:r w:rsidRPr="0033429D">
        <w:t>5 - Required Actions</w:t>
      </w:r>
    </w:p>
    <w:p w14:paraId="140EB887" w14:textId="21164854" w:rsidR="003C308E" w:rsidRPr="005C29F8" w:rsidRDefault="003C308E" w:rsidP="001F692C">
      <w:pPr>
        <w:rPr>
          <w:rFonts w:cs="Arial"/>
          <w:color w:val="000000" w:themeColor="text1"/>
          <w:szCs w:val="16"/>
        </w:rPr>
      </w:pPr>
    </w:p>
    <w:p w14:paraId="0AFF9CFF"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5527AAE" w14:textId="2D7C47BF" w:rsidR="00D21EAA" w:rsidRPr="005C29F8" w:rsidRDefault="00D21EAA" w:rsidP="000444E2">
      <w:pPr>
        <w:pStyle w:val="Heading1"/>
        <w:rPr>
          <w:color w:val="000000" w:themeColor="text1"/>
          <w:sz w:val="22"/>
        </w:rPr>
      </w:pPr>
      <w:r w:rsidRPr="005C29F8">
        <w:rPr>
          <w:color w:val="000000" w:themeColor="text1"/>
          <w:sz w:val="22"/>
        </w:rPr>
        <w:lastRenderedPageBreak/>
        <w:t>Indicator 6: Preschool Environments</w:t>
      </w:r>
    </w:p>
    <w:p w14:paraId="0EEB38B7" w14:textId="59C9FCA0" w:rsidR="00897094" w:rsidRPr="005C29F8" w:rsidRDefault="00897094" w:rsidP="00A018D4">
      <w:pPr>
        <w:rPr>
          <w:color w:val="000000" w:themeColor="text1"/>
          <w:szCs w:val="20"/>
        </w:rPr>
      </w:pPr>
      <w:bookmarkStart w:id="29" w:name="_Toc392159299"/>
      <w:r w:rsidRPr="005C29F8">
        <w:rPr>
          <w:b/>
          <w:color w:val="000000" w:themeColor="text1"/>
          <w:sz w:val="20"/>
          <w:szCs w:val="20"/>
        </w:rPr>
        <w:t>Instructions and Measurement</w:t>
      </w:r>
    </w:p>
    <w:p w14:paraId="38394246" w14:textId="27FF79AA" w:rsidR="00CC634E" w:rsidRPr="005C29F8" w:rsidRDefault="00CC634E" w:rsidP="004369B2">
      <w:pPr>
        <w:rPr>
          <w:color w:val="000000" w:themeColor="text1"/>
        </w:rPr>
      </w:pPr>
      <w:r w:rsidRPr="005C29F8">
        <w:rPr>
          <w:b/>
          <w:color w:val="000000" w:themeColor="text1"/>
        </w:rPr>
        <w:t xml:space="preserve">Monitoring Priority: </w:t>
      </w:r>
      <w:r w:rsidRPr="005C29F8">
        <w:rPr>
          <w:color w:val="000000" w:themeColor="text1"/>
        </w:rPr>
        <w:t>FAPE in the LRE</w:t>
      </w:r>
    </w:p>
    <w:p w14:paraId="07B041D6" w14:textId="66B7E832"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Preschool environments:</w:t>
      </w:r>
      <w:r w:rsidR="00131842" w:rsidRPr="005C29F8">
        <w:rPr>
          <w:rFonts w:cs="Arial"/>
          <w:color w:val="000000" w:themeColor="text1"/>
          <w:szCs w:val="16"/>
        </w:rPr>
        <w:t xml:space="preserve"> </w:t>
      </w:r>
      <w:r w:rsidRPr="005C29F8">
        <w:rPr>
          <w:rFonts w:cs="Arial"/>
          <w:color w:val="000000" w:themeColor="text1"/>
          <w:szCs w:val="16"/>
        </w:rPr>
        <w:t>Percent of children aged 3 through 5 with IEPs attending a:</w:t>
      </w:r>
    </w:p>
    <w:p w14:paraId="0FDA7062" w14:textId="4CA83104" w:rsidR="00CC634E" w:rsidRPr="005C29F8" w:rsidRDefault="005F3399" w:rsidP="006A01BD">
      <w:pPr>
        <w:ind w:left="720"/>
        <w:rPr>
          <w:rFonts w:cs="Arial"/>
          <w:color w:val="000000" w:themeColor="text1"/>
          <w:szCs w:val="16"/>
        </w:rPr>
      </w:pPr>
      <w:r w:rsidRPr="005C29F8">
        <w:rPr>
          <w:rFonts w:cs="Arial"/>
          <w:color w:val="000000" w:themeColor="text1"/>
          <w:szCs w:val="16"/>
        </w:rPr>
        <w:t xml:space="preserve">A. Regular early childhood program and receiving </w:t>
      </w:r>
      <w:proofErr w:type="gramStart"/>
      <w:r w:rsidR="00CC634E" w:rsidRPr="005C29F8">
        <w:rPr>
          <w:rFonts w:cs="Arial"/>
          <w:color w:val="000000" w:themeColor="text1"/>
          <w:szCs w:val="16"/>
        </w:rPr>
        <w:t>the majority of</w:t>
      </w:r>
      <w:proofErr w:type="gramEnd"/>
      <w:r w:rsidR="00CC634E" w:rsidRPr="005C29F8">
        <w:rPr>
          <w:rFonts w:cs="Arial"/>
          <w:color w:val="000000" w:themeColor="text1"/>
          <w:szCs w:val="16"/>
        </w:rPr>
        <w:t xml:space="preserve"> special education and related services in the regular early childhood program;</w:t>
      </w:r>
      <w:r w:rsidRPr="005C29F8">
        <w:rPr>
          <w:rFonts w:cs="Arial"/>
          <w:color w:val="000000" w:themeColor="text1"/>
          <w:szCs w:val="16"/>
        </w:rPr>
        <w:t xml:space="preserve"> </w:t>
      </w:r>
      <w:r w:rsidR="00CC634E" w:rsidRPr="005C29F8">
        <w:rPr>
          <w:rFonts w:cs="Arial"/>
          <w:color w:val="000000" w:themeColor="text1"/>
          <w:szCs w:val="16"/>
        </w:rPr>
        <w:t>and</w:t>
      </w:r>
    </w:p>
    <w:p w14:paraId="4A161793" w14:textId="02FB2154" w:rsidR="00CC634E" w:rsidRPr="005C29F8" w:rsidRDefault="005F3399" w:rsidP="006A01BD">
      <w:pPr>
        <w:ind w:firstLine="720"/>
        <w:rPr>
          <w:rFonts w:cs="Arial"/>
          <w:color w:val="000000" w:themeColor="text1"/>
          <w:szCs w:val="16"/>
        </w:rPr>
      </w:pPr>
      <w:r w:rsidRPr="005C29F8">
        <w:rPr>
          <w:rFonts w:cs="Arial"/>
          <w:color w:val="000000" w:themeColor="text1"/>
          <w:szCs w:val="16"/>
        </w:rPr>
        <w:t xml:space="preserve">B. Separate special education class, separate </w:t>
      </w:r>
      <w:proofErr w:type="gramStart"/>
      <w:r w:rsidRPr="005C29F8">
        <w:rPr>
          <w:rFonts w:cs="Arial"/>
          <w:color w:val="000000" w:themeColor="text1"/>
          <w:szCs w:val="16"/>
        </w:rPr>
        <w:t>school</w:t>
      </w:r>
      <w:proofErr w:type="gramEnd"/>
      <w:r w:rsidRPr="005C29F8">
        <w:rPr>
          <w:rFonts w:cs="Arial"/>
          <w:color w:val="000000" w:themeColor="text1"/>
          <w:szCs w:val="16"/>
        </w:rPr>
        <w:t xml:space="preserve"> or residential facility.</w:t>
      </w:r>
    </w:p>
    <w:p w14:paraId="1AC955CF" w14:textId="38EDB6BF" w:rsidR="0011074D" w:rsidRPr="005C29F8" w:rsidRDefault="0011074D" w:rsidP="0011074D">
      <w:pPr>
        <w:rPr>
          <w:rFonts w:cs="Arial"/>
          <w:color w:val="000000" w:themeColor="text1"/>
          <w:szCs w:val="16"/>
        </w:rPr>
      </w:pPr>
      <w:r w:rsidRPr="005C29F8">
        <w:rPr>
          <w:rFonts w:cs="Arial"/>
          <w:color w:val="000000" w:themeColor="text1"/>
          <w:szCs w:val="16"/>
        </w:rPr>
        <w:t>(20 U.S.C. 1416(a)(3)(A))</w:t>
      </w:r>
    </w:p>
    <w:p w14:paraId="47FA9AD7" w14:textId="77777777" w:rsidR="005322B8" w:rsidRPr="005C29F8" w:rsidRDefault="005322B8" w:rsidP="004369B2">
      <w:pPr>
        <w:rPr>
          <w:color w:val="000000" w:themeColor="text1"/>
        </w:rPr>
      </w:pPr>
      <w:r w:rsidRPr="005C29F8">
        <w:rPr>
          <w:b/>
          <w:color w:val="000000" w:themeColor="text1"/>
        </w:rPr>
        <w:t>Data Source</w:t>
      </w:r>
    </w:p>
    <w:p w14:paraId="7412FE19" w14:textId="736BCFC9" w:rsidR="005322B8" w:rsidRPr="005C29F8" w:rsidRDefault="005322B8" w:rsidP="00BB7BC9">
      <w:pPr>
        <w:rPr>
          <w:rFonts w:cs="Arial"/>
          <w:color w:val="000000" w:themeColor="text1"/>
          <w:szCs w:val="16"/>
        </w:rPr>
      </w:pPr>
      <w:r w:rsidRPr="005C29F8">
        <w:rPr>
          <w:rFonts w:cs="Arial"/>
          <w:color w:val="000000" w:themeColor="text1"/>
          <w:szCs w:val="16"/>
        </w:rPr>
        <w:t>S</w:t>
      </w:r>
      <w:r w:rsidRPr="005C29F8">
        <w:rPr>
          <w:rFonts w:cs="Arial"/>
          <w:color w:val="000000" w:themeColor="text1"/>
          <w:szCs w:val="16"/>
          <w:shd w:val="clear" w:color="auto" w:fill="FFFFFF"/>
        </w:rPr>
        <w:t xml:space="preserve">ame data as used for reporting to the Department under section 618 of the IDEA, using the definitions in </w:t>
      </w:r>
      <w:proofErr w:type="spellStart"/>
      <w:r w:rsidRPr="005C29F8">
        <w:rPr>
          <w:rFonts w:cs="Arial"/>
          <w:color w:val="000000" w:themeColor="text1"/>
          <w:szCs w:val="16"/>
          <w:shd w:val="clear" w:color="auto" w:fill="FFFFFF"/>
        </w:rPr>
        <w:t>EDFacts</w:t>
      </w:r>
      <w:proofErr w:type="spellEnd"/>
      <w:r w:rsidRPr="005C29F8">
        <w:rPr>
          <w:rFonts w:cs="Arial"/>
          <w:color w:val="000000" w:themeColor="text1"/>
          <w:szCs w:val="16"/>
          <w:shd w:val="clear" w:color="auto" w:fill="FFFFFF"/>
        </w:rPr>
        <w:t xml:space="preserve"> file specification </w:t>
      </w:r>
      <w:r w:rsidR="00A95280" w:rsidRPr="005C29F8">
        <w:rPr>
          <w:rFonts w:cs="Arial"/>
          <w:color w:val="000000" w:themeColor="text1"/>
          <w:szCs w:val="16"/>
          <w:shd w:val="clear" w:color="auto" w:fill="FFFFFF"/>
        </w:rPr>
        <w:t>FS</w:t>
      </w:r>
      <w:r w:rsidRPr="005C29F8">
        <w:rPr>
          <w:rFonts w:cs="Arial"/>
          <w:color w:val="000000" w:themeColor="text1"/>
          <w:szCs w:val="16"/>
          <w:shd w:val="clear" w:color="auto" w:fill="FFFFFF"/>
        </w:rPr>
        <w:t>089.</w:t>
      </w:r>
    </w:p>
    <w:p w14:paraId="17AAF6AD" w14:textId="77777777" w:rsidR="005322B8" w:rsidRPr="005C29F8" w:rsidRDefault="005322B8" w:rsidP="004369B2">
      <w:pPr>
        <w:rPr>
          <w:color w:val="000000" w:themeColor="text1"/>
        </w:rPr>
      </w:pPr>
      <w:r w:rsidRPr="005C29F8">
        <w:rPr>
          <w:b/>
          <w:color w:val="000000" w:themeColor="text1"/>
        </w:rPr>
        <w:t>Measurement</w:t>
      </w:r>
    </w:p>
    <w:p w14:paraId="14C60C6A" w14:textId="40FB0254" w:rsidR="005322B8" w:rsidRPr="005C29F8" w:rsidRDefault="005322B8"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B2497F" w:rsidRPr="005C29F8">
        <w:rPr>
          <w:rFonts w:cs="Arial"/>
          <w:color w:val="000000" w:themeColor="text1"/>
          <w:szCs w:val="16"/>
          <w:shd w:val="clear" w:color="auto" w:fill="FFFFFF"/>
        </w:rPr>
        <w:t xml:space="preserve">[(# </w:t>
      </w:r>
      <w:r w:rsidRPr="005C29F8">
        <w:rPr>
          <w:rFonts w:cs="Arial"/>
          <w:color w:val="000000" w:themeColor="text1"/>
          <w:szCs w:val="16"/>
          <w:shd w:val="clear" w:color="auto" w:fill="FFFFFF"/>
        </w:rPr>
        <w:t>of children aged 3 through 5 with IEPs attending a regular early childhood program and receiving the majority of special education and related services in the regular early childhood program) divided by the (total # of children aged 3 through 5 with IEPs)</w:t>
      </w:r>
      <w:r w:rsidR="00B2497F"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0CD6EF84" w14:textId="0C6D0368" w:rsidR="005322B8" w:rsidRPr="005C29F8" w:rsidRDefault="00DB1150" w:rsidP="00286BDF">
      <w:pPr>
        <w:rPr>
          <w:rFonts w:cs="Arial"/>
          <w:color w:val="000000" w:themeColor="text1"/>
          <w:szCs w:val="16"/>
        </w:rPr>
      </w:pPr>
      <w:r w:rsidRPr="005C29F8">
        <w:rPr>
          <w:rFonts w:cs="Arial"/>
          <w:color w:val="000000" w:themeColor="text1"/>
          <w:szCs w:val="16"/>
        </w:rPr>
        <w:t xml:space="preserve">Percent </w:t>
      </w:r>
      <w:r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of children aged 3 through 5 with IEPs attending a separate special education class, separate </w:t>
      </w:r>
      <w:proofErr w:type="gramStart"/>
      <w:r w:rsidR="005322B8" w:rsidRPr="005C29F8">
        <w:rPr>
          <w:rFonts w:cs="Arial"/>
          <w:color w:val="000000" w:themeColor="text1"/>
          <w:szCs w:val="16"/>
          <w:shd w:val="clear" w:color="auto" w:fill="FFFFFF"/>
        </w:rPr>
        <w:t>school</w:t>
      </w:r>
      <w:proofErr w:type="gramEnd"/>
      <w:r w:rsidR="005322B8" w:rsidRPr="005C29F8">
        <w:rPr>
          <w:rFonts w:cs="Arial"/>
          <w:color w:val="000000" w:themeColor="text1"/>
          <w:szCs w:val="16"/>
          <w:shd w:val="clear" w:color="auto" w:fill="FFFFFF"/>
        </w:rPr>
        <w:t xml:space="preserve"> or residential facility) divided by the (total # of children aged 3 through 5 with IEPs)</w:t>
      </w:r>
      <w:r w:rsidR="00B2497F" w:rsidRPr="005C29F8">
        <w:rPr>
          <w:rFonts w:cs="Arial"/>
          <w:color w:val="000000" w:themeColor="text1"/>
          <w:szCs w:val="16"/>
          <w:shd w:val="clear" w:color="auto" w:fill="FFFFFF"/>
        </w:rPr>
        <w:t>]</w:t>
      </w:r>
      <w:r w:rsidR="005322B8" w:rsidRPr="005C29F8">
        <w:rPr>
          <w:rFonts w:cs="Arial"/>
          <w:color w:val="000000" w:themeColor="text1"/>
          <w:szCs w:val="16"/>
          <w:shd w:val="clear" w:color="auto" w:fill="FFFFFF"/>
        </w:rPr>
        <w:t xml:space="preserve"> times 100.</w:t>
      </w:r>
    </w:p>
    <w:p w14:paraId="2CAF467D" w14:textId="77777777" w:rsidR="005322B8" w:rsidRPr="005C29F8" w:rsidRDefault="005322B8" w:rsidP="004369B2">
      <w:pPr>
        <w:rPr>
          <w:color w:val="000000" w:themeColor="text1"/>
        </w:rPr>
      </w:pPr>
      <w:r w:rsidRPr="005C29F8">
        <w:rPr>
          <w:b/>
          <w:color w:val="000000" w:themeColor="text1"/>
        </w:rPr>
        <w:t>Instructions</w:t>
      </w:r>
    </w:p>
    <w:p w14:paraId="5B2FF157" w14:textId="77777777" w:rsidR="005322B8" w:rsidRPr="005C29F8" w:rsidRDefault="005322B8" w:rsidP="00BB7BC9">
      <w:pPr>
        <w:rPr>
          <w:rFonts w:cs="Arial"/>
          <w:color w:val="000000" w:themeColor="text1"/>
          <w:szCs w:val="16"/>
        </w:rPr>
      </w:pPr>
      <w:r w:rsidRPr="005C29F8">
        <w:rPr>
          <w:rFonts w:cs="Arial"/>
          <w:color w:val="000000" w:themeColor="text1"/>
          <w:szCs w:val="16"/>
        </w:rPr>
        <w:t>Sampling from the State’s 618 data is not allowed.</w:t>
      </w:r>
    </w:p>
    <w:p w14:paraId="594A7ED4" w14:textId="77777777" w:rsidR="005322B8" w:rsidRPr="005C29F8" w:rsidRDefault="005322B8" w:rsidP="00BB7BC9">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19F07E42" w14:textId="77777777" w:rsidR="005322B8" w:rsidRPr="005C29F8" w:rsidRDefault="005322B8" w:rsidP="00BB7BC9">
      <w:pPr>
        <w:rPr>
          <w:rFonts w:cs="Arial"/>
          <w:color w:val="000000" w:themeColor="text1"/>
          <w:szCs w:val="16"/>
        </w:rPr>
      </w:pPr>
      <w:r w:rsidRPr="005C29F8">
        <w:rPr>
          <w:rFonts w:cs="Arial"/>
          <w:color w:val="000000" w:themeColor="text1"/>
          <w:szCs w:val="16"/>
        </w:rPr>
        <w:t>If the data reported in this indicator are not the same as the State’s data reported under section 618 of the IDEA, explain.</w:t>
      </w:r>
    </w:p>
    <w:bookmarkEnd w:id="29"/>
    <w:p w14:paraId="1489816D" w14:textId="2F10D57A" w:rsidR="008D3484" w:rsidRPr="0033429D" w:rsidRDefault="00C96236" w:rsidP="008645AD">
      <w:pPr>
        <w:pStyle w:val="Heading2"/>
      </w:pPr>
      <w:r w:rsidRPr="0033429D">
        <w:t>6</w:t>
      </w:r>
      <w:r w:rsidR="00C91B94" w:rsidRPr="0033429D">
        <w:t xml:space="preserve"> </w:t>
      </w:r>
      <w:r w:rsidRPr="0033429D">
        <w:t xml:space="preserve">- </w:t>
      </w:r>
      <w:r w:rsidR="008D3484" w:rsidRPr="0033429D">
        <w:t>Indicator Data</w:t>
      </w:r>
    </w:p>
    <w:p w14:paraId="625E607A" w14:textId="77777777" w:rsidR="0091098C" w:rsidRPr="005C29F8" w:rsidRDefault="0091098C" w:rsidP="004369B2">
      <w:pPr>
        <w:rPr>
          <w:color w:val="000000" w:themeColor="text1"/>
        </w:rPr>
      </w:pPr>
      <w:r w:rsidRPr="005C29F8">
        <w:rPr>
          <w:b/>
          <w:color w:val="000000" w:themeColor="text1"/>
        </w:rPr>
        <w:t>Not Applicable</w:t>
      </w:r>
    </w:p>
    <w:p w14:paraId="5333465D" w14:textId="3F1EC485" w:rsidR="004B75EC" w:rsidRPr="005C29F8" w:rsidRDefault="003229FA">
      <w:pPr>
        <w:rPr>
          <w:b/>
          <w:color w:val="000000" w:themeColor="text1"/>
        </w:rPr>
      </w:pPr>
      <w:r w:rsidRPr="005C29F8">
        <w:rPr>
          <w:b/>
          <w:color w:val="000000" w:themeColor="text1"/>
        </w:rPr>
        <w:t xml:space="preserve">Select yes if this indicator is not applicable. </w:t>
      </w:r>
    </w:p>
    <w:p w14:paraId="2FEE6491" w14:textId="58E763AD" w:rsidR="00043AC9" w:rsidRDefault="00043AC9" w:rsidP="004369B2">
      <w:pPr>
        <w:rPr>
          <w:rFonts w:cs="Arial"/>
          <w:color w:val="000000" w:themeColor="text1"/>
          <w:szCs w:val="16"/>
        </w:rPr>
      </w:pPr>
      <w:r w:rsidRPr="005C29F8">
        <w:rPr>
          <w:rFonts w:cs="Arial"/>
          <w:color w:val="000000" w:themeColor="text1"/>
          <w:szCs w:val="16"/>
        </w:rPr>
        <w:t>NO</w:t>
      </w:r>
    </w:p>
    <w:p w14:paraId="6D4C5D02" w14:textId="77777777" w:rsidR="002441FF" w:rsidRPr="005C29F8" w:rsidRDefault="002441FF" w:rsidP="002441FF">
      <w:pPr>
        <w:rPr>
          <w:color w:val="000000" w:themeColor="text1"/>
        </w:rPr>
      </w:pPr>
    </w:p>
    <w:p w14:paraId="5839682A" w14:textId="3F09131C"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036"/>
        <w:gridCol w:w="1618"/>
        <w:gridCol w:w="1619"/>
        <w:gridCol w:w="1618"/>
        <w:gridCol w:w="1619"/>
        <w:gridCol w:w="1619"/>
      </w:tblGrid>
      <w:tr w:rsidR="005C29F8" w:rsidRPr="005C29F8" w14:paraId="10B8D4E0" w14:textId="65C4ABC5" w:rsidTr="0033429D">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CF6742" w:rsidRPr="005C29F8" w:rsidRDefault="00856344" w:rsidP="0011074D">
            <w:pPr>
              <w:spacing w:line="276" w:lineRule="auto"/>
              <w:jc w:val="center"/>
              <w:rPr>
                <w:rFonts w:cs="Arial"/>
                <w:b/>
                <w:color w:val="000000" w:themeColor="text1"/>
                <w:szCs w:val="16"/>
              </w:rPr>
            </w:pPr>
            <w:r>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9BF0E57" w14:textId="3C6A1EAA"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CF6742" w:rsidRPr="005C29F8" w:rsidRDefault="00CF6742" w:rsidP="0011074D">
            <w:pPr>
              <w:spacing w:line="276" w:lineRule="auto"/>
              <w:jc w:val="center"/>
              <w:rPr>
                <w:rFonts w:cs="Arial"/>
                <w:b/>
                <w:color w:val="000000" w:themeColor="text1"/>
                <w:szCs w:val="16"/>
              </w:rPr>
            </w:pPr>
            <w:r w:rsidRPr="005C29F8">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2014</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2015</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CF6742" w:rsidRPr="005C29F8" w:rsidRDefault="002B7490" w:rsidP="0011074D">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12643853" w14:textId="714409A9"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BC2850" w:rsidRPr="005C29F8" w:rsidRDefault="00BC2850">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top w:val="single" w:sz="4" w:space="0" w:color="auto"/>
              <w:left w:val="single" w:sz="4" w:space="0" w:color="auto"/>
              <w:right w:val="single" w:sz="4" w:space="0" w:color="auto"/>
            </w:tcBorders>
            <w:shd w:val="clear" w:color="auto" w:fill="auto"/>
          </w:tcPr>
          <w:p w14:paraId="1BE75729" w14:textId="2F4381FF" w:rsidR="00BC2850" w:rsidRPr="005C29F8" w:rsidRDefault="00BC285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5078A73" w14:textId="4E273194" w:rsidR="00BC2850" w:rsidRPr="005C29F8" w:rsidRDefault="00BC2850">
            <w:pPr>
              <w:spacing w:line="276" w:lineRule="auto"/>
              <w:rPr>
                <w:rFonts w:cs="Arial"/>
                <w:color w:val="000000" w:themeColor="text1"/>
                <w:szCs w:val="16"/>
              </w:rPr>
            </w:pPr>
            <w:r w:rsidRPr="005C29F8">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5D572D5A" w14:textId="187A2156" w:rsidR="00BC2850" w:rsidRPr="005C29F8" w:rsidRDefault="00BC2850" w:rsidP="00A018D4">
            <w:pPr>
              <w:jc w:val="center"/>
              <w:rPr>
                <w:rFonts w:cs="Arial"/>
                <w:color w:val="000000" w:themeColor="text1"/>
                <w:szCs w:val="16"/>
              </w:rPr>
            </w:pPr>
            <w:r w:rsidRPr="005C29F8">
              <w:rPr>
                <w:rFonts w:cs="Arial"/>
                <w:color w:val="000000" w:themeColor="text1"/>
                <w:szCs w:val="16"/>
              </w:rPr>
              <w:t>78.00%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7473ABC9" w14:textId="69DF669C" w:rsidR="00BC2850" w:rsidRPr="005C29F8" w:rsidRDefault="00BC2850" w:rsidP="00A018D4">
            <w:pPr>
              <w:jc w:val="center"/>
              <w:rPr>
                <w:rFonts w:cs="Arial"/>
                <w:color w:val="000000" w:themeColor="text1"/>
                <w:szCs w:val="16"/>
              </w:rPr>
            </w:pPr>
            <w:r w:rsidRPr="005C29F8">
              <w:rPr>
                <w:rFonts w:cs="Arial"/>
                <w:color w:val="000000" w:themeColor="text1"/>
                <w:szCs w:val="16"/>
              </w:rPr>
              <w:t>80.00%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BC2850" w:rsidRPr="005C29F8" w:rsidRDefault="00BC2850" w:rsidP="00A018D4">
            <w:pPr>
              <w:jc w:val="center"/>
              <w:rPr>
                <w:rFonts w:cs="Arial"/>
                <w:color w:val="000000" w:themeColor="text1"/>
                <w:szCs w:val="16"/>
              </w:rPr>
            </w:pPr>
            <w:r w:rsidRPr="005C29F8">
              <w:rPr>
                <w:rFonts w:cs="Arial"/>
                <w:color w:val="000000" w:themeColor="text1"/>
                <w:szCs w:val="16"/>
              </w:rPr>
              <w:t>82.00%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BC2850" w:rsidRPr="005C29F8" w:rsidRDefault="00BC2850" w:rsidP="00A018D4">
            <w:pPr>
              <w:jc w:val="center"/>
              <w:rPr>
                <w:rFonts w:cs="Arial"/>
                <w:color w:val="000000" w:themeColor="text1"/>
                <w:szCs w:val="16"/>
              </w:rPr>
            </w:pPr>
            <w:r w:rsidRPr="005C29F8">
              <w:rPr>
                <w:rFonts w:cs="Arial"/>
                <w:color w:val="000000" w:themeColor="text1"/>
                <w:szCs w:val="16"/>
              </w:rPr>
              <w:t>84.00%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BC2850" w:rsidRPr="005C29F8" w:rsidRDefault="00BC2850" w:rsidP="00A018D4">
            <w:pPr>
              <w:jc w:val="center"/>
              <w:rPr>
                <w:rFonts w:cs="Arial"/>
                <w:color w:val="000000" w:themeColor="text1"/>
                <w:szCs w:val="16"/>
              </w:rPr>
            </w:pPr>
            <w:r w:rsidRPr="005C29F8">
              <w:rPr>
                <w:rFonts w:cs="Arial"/>
                <w:color w:val="000000" w:themeColor="text1"/>
                <w:szCs w:val="16"/>
              </w:rPr>
              <w:t>86.00%</w:t>
            </w:r>
          </w:p>
        </w:tc>
      </w:tr>
      <w:tr w:rsidR="005C29F8" w:rsidRPr="005C29F8" w14:paraId="24AB409F" w14:textId="3963C8DA" w:rsidTr="0033429D">
        <w:trPr>
          <w:trHeight w:val="85"/>
        </w:trPr>
        <w:tc>
          <w:tcPr>
            <w:tcW w:w="625" w:type="dxa"/>
            <w:tcBorders>
              <w:left w:val="single" w:sz="4" w:space="0" w:color="auto"/>
              <w:right w:val="single" w:sz="4" w:space="0" w:color="auto"/>
            </w:tcBorders>
            <w:shd w:val="clear" w:color="auto" w:fill="auto"/>
            <w:vAlign w:val="center"/>
          </w:tcPr>
          <w:p w14:paraId="29D181B3" w14:textId="5F8E2E42" w:rsidR="00BC2850" w:rsidRPr="005C29F8" w:rsidRDefault="00BC2850" w:rsidP="004369B2">
            <w:pPr>
              <w:spacing w:line="276" w:lineRule="auto"/>
              <w:jc w:val="center"/>
              <w:rPr>
                <w:rFonts w:cs="Arial"/>
                <w:color w:val="000000" w:themeColor="text1"/>
                <w:szCs w:val="16"/>
              </w:rPr>
            </w:pPr>
            <w:r w:rsidRPr="005C29F8">
              <w:rPr>
                <w:rFonts w:cs="Arial"/>
                <w:color w:val="000000" w:themeColor="text1"/>
                <w:szCs w:val="16"/>
              </w:rPr>
              <w:t>A</w:t>
            </w:r>
          </w:p>
        </w:tc>
        <w:tc>
          <w:tcPr>
            <w:tcW w:w="1036" w:type="dxa"/>
            <w:tcBorders>
              <w:left w:val="single" w:sz="4" w:space="0" w:color="auto"/>
              <w:right w:val="single" w:sz="4" w:space="0" w:color="auto"/>
            </w:tcBorders>
            <w:shd w:val="clear" w:color="auto" w:fill="auto"/>
          </w:tcPr>
          <w:p w14:paraId="656976AF" w14:textId="5C9394AE" w:rsidR="00BC2850" w:rsidRPr="005C29F8" w:rsidRDefault="00BC2850" w:rsidP="00A018D4">
            <w:pPr>
              <w:jc w:val="center"/>
              <w:rPr>
                <w:rFonts w:cs="Arial"/>
                <w:color w:val="000000" w:themeColor="text1"/>
                <w:szCs w:val="16"/>
              </w:rPr>
            </w:pPr>
            <w:r w:rsidRPr="005C29F8">
              <w:rPr>
                <w:rFonts w:cs="Arial"/>
                <w:color w:val="000000" w:themeColor="text1"/>
                <w:szCs w:val="16"/>
              </w:rPr>
              <w:t>85.00%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19FAFC6E" w14:textId="77777777" w:rsidR="00BC2850" w:rsidRPr="005C29F8" w:rsidRDefault="00BC2850">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B2CE2B" w14:textId="24BBB7A6" w:rsidR="00BC2850" w:rsidRPr="005C29F8" w:rsidRDefault="00BC2850" w:rsidP="00A018D4">
            <w:pPr>
              <w:jc w:val="center"/>
              <w:rPr>
                <w:rFonts w:cs="Arial"/>
                <w:color w:val="000000" w:themeColor="text1"/>
                <w:szCs w:val="16"/>
              </w:rPr>
            </w:pPr>
            <w:r w:rsidRPr="005C29F8">
              <w:rPr>
                <w:rFonts w:cs="Arial"/>
                <w:color w:val="000000" w:themeColor="text1"/>
                <w:szCs w:val="16"/>
              </w:rPr>
              <w:t>88.10%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029C2908" w14:textId="5081117A" w:rsidR="00BC2850" w:rsidRPr="005C29F8" w:rsidRDefault="00BC2850" w:rsidP="00A018D4">
            <w:pPr>
              <w:jc w:val="center"/>
              <w:rPr>
                <w:rFonts w:cs="Arial"/>
                <w:color w:val="000000" w:themeColor="text1"/>
                <w:szCs w:val="16"/>
              </w:rPr>
            </w:pPr>
            <w:r w:rsidRPr="005C29F8">
              <w:rPr>
                <w:rFonts w:cs="Arial"/>
                <w:color w:val="000000" w:themeColor="text1"/>
                <w:szCs w:val="16"/>
              </w:rPr>
              <w:t>83.87%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BC2850" w:rsidRPr="005C29F8" w:rsidRDefault="00BC2850" w:rsidP="00A018D4">
            <w:pPr>
              <w:jc w:val="center"/>
              <w:rPr>
                <w:rFonts w:cs="Arial"/>
                <w:color w:val="000000" w:themeColor="text1"/>
                <w:szCs w:val="16"/>
              </w:rPr>
            </w:pPr>
            <w:r w:rsidRPr="005C29F8">
              <w:rPr>
                <w:rFonts w:cs="Arial"/>
                <w:color w:val="000000" w:themeColor="text1"/>
                <w:szCs w:val="16"/>
              </w:rPr>
              <w:t>85.87%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BC2850" w:rsidRPr="005C29F8" w:rsidRDefault="00BC2850" w:rsidP="00A018D4">
            <w:pPr>
              <w:jc w:val="center"/>
              <w:rPr>
                <w:rFonts w:cs="Arial"/>
                <w:color w:val="000000" w:themeColor="text1"/>
                <w:szCs w:val="16"/>
              </w:rPr>
            </w:pPr>
            <w:r w:rsidRPr="005C29F8">
              <w:rPr>
                <w:rFonts w:cs="Arial"/>
                <w:color w:val="000000" w:themeColor="text1"/>
                <w:szCs w:val="16"/>
              </w:rPr>
              <w:t>87.07%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BC2850" w:rsidRPr="005C29F8" w:rsidRDefault="00BC2850" w:rsidP="00A018D4">
            <w:pPr>
              <w:jc w:val="center"/>
              <w:rPr>
                <w:rFonts w:cs="Arial"/>
                <w:color w:val="000000" w:themeColor="text1"/>
                <w:szCs w:val="16"/>
              </w:rPr>
            </w:pPr>
            <w:r w:rsidRPr="005C29F8">
              <w:rPr>
                <w:rFonts w:cs="Arial"/>
                <w:color w:val="000000" w:themeColor="text1"/>
                <w:szCs w:val="16"/>
              </w:rPr>
              <w:t>78.70%</w:t>
            </w:r>
          </w:p>
        </w:tc>
      </w:tr>
      <w:tr w:rsidR="005C29F8" w:rsidRPr="005C29F8" w14:paraId="734556E7" w14:textId="7880148D" w:rsidTr="0033429D">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CF6742" w:rsidRPr="005C29F8" w:rsidRDefault="00CF6742">
            <w:pPr>
              <w:spacing w:line="276" w:lineRule="auto"/>
              <w:jc w:val="center"/>
              <w:rPr>
                <w:rFonts w:cs="Arial"/>
                <w:color w:val="000000" w:themeColor="text1"/>
                <w:szCs w:val="16"/>
              </w:rPr>
            </w:pPr>
            <w:r w:rsidRPr="005C29F8">
              <w:rPr>
                <w:rFonts w:cs="Arial"/>
                <w:color w:val="000000" w:themeColor="text1"/>
                <w:szCs w:val="16"/>
              </w:rPr>
              <w:t>B</w:t>
            </w:r>
          </w:p>
        </w:tc>
        <w:tc>
          <w:tcPr>
            <w:tcW w:w="1036" w:type="dxa"/>
            <w:tcBorders>
              <w:top w:val="single" w:sz="4" w:space="0" w:color="auto"/>
              <w:left w:val="single" w:sz="4" w:space="0" w:color="auto"/>
              <w:right w:val="single" w:sz="4" w:space="0" w:color="auto"/>
            </w:tcBorders>
            <w:shd w:val="clear" w:color="auto" w:fill="auto"/>
          </w:tcPr>
          <w:p w14:paraId="5DEECBC0" w14:textId="31756517" w:rsidR="00CF6742" w:rsidRPr="005C29F8" w:rsidRDefault="002B7490" w:rsidP="00A018D4">
            <w:pPr>
              <w:jc w:val="center"/>
              <w:rPr>
                <w:rFonts w:cs="Arial"/>
                <w:color w:val="000000" w:themeColor="text1"/>
                <w:szCs w:val="16"/>
              </w:rPr>
            </w:pPr>
            <w:r w:rsidRPr="005C29F8">
              <w:rPr>
                <w:rFonts w:cs="Arial"/>
                <w:color w:val="000000" w:themeColor="text1"/>
                <w:szCs w:val="16"/>
              </w:rPr>
              <w:t>2011</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D0B70F3" w14:textId="4BE0D72F" w:rsidR="00CF6742" w:rsidRPr="005C29F8" w:rsidRDefault="00CF6742">
            <w:pPr>
              <w:spacing w:line="276" w:lineRule="auto"/>
              <w:rPr>
                <w:rFonts w:cs="Arial"/>
                <w:color w:val="000000" w:themeColor="text1"/>
                <w:szCs w:val="16"/>
              </w:rPr>
            </w:pPr>
            <w:r w:rsidRPr="005C29F8">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2AF8D8D8" w14:textId="73E1A0AF"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27A3A3A6" w14:textId="38FA47E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CF6742" w:rsidRPr="005C29F8" w:rsidRDefault="003D7F56">
            <w:pPr>
              <w:jc w:val="center"/>
              <w:rPr>
                <w:color w:val="000000" w:themeColor="text1"/>
              </w:rPr>
            </w:pPr>
            <w:r w:rsidRPr="005C29F8">
              <w:rPr>
                <w:color w:val="000000" w:themeColor="text1"/>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3B42BE2A" w14:textId="601B062F" w:rsidTr="0033429D">
        <w:trPr>
          <w:trHeight w:val="85"/>
        </w:trPr>
        <w:tc>
          <w:tcPr>
            <w:tcW w:w="625" w:type="dxa"/>
            <w:tcBorders>
              <w:left w:val="single" w:sz="4" w:space="0" w:color="auto"/>
              <w:right w:val="single" w:sz="4" w:space="0" w:color="auto"/>
            </w:tcBorders>
            <w:shd w:val="clear" w:color="auto" w:fill="auto"/>
            <w:vAlign w:val="center"/>
          </w:tcPr>
          <w:p w14:paraId="4623D633" w14:textId="276C317C" w:rsidR="00CF6742" w:rsidRPr="005C29F8" w:rsidRDefault="00BC2850" w:rsidP="004369B2">
            <w:pPr>
              <w:spacing w:line="276" w:lineRule="auto"/>
              <w:jc w:val="center"/>
              <w:rPr>
                <w:rFonts w:cs="Arial"/>
                <w:bCs/>
                <w:color w:val="000000" w:themeColor="text1"/>
                <w:szCs w:val="16"/>
              </w:rPr>
            </w:pPr>
            <w:r w:rsidRPr="005C29F8">
              <w:rPr>
                <w:rFonts w:cs="Arial"/>
                <w:bCs/>
                <w:color w:val="000000" w:themeColor="text1"/>
                <w:szCs w:val="16"/>
              </w:rPr>
              <w:t>B</w:t>
            </w:r>
          </w:p>
        </w:tc>
        <w:tc>
          <w:tcPr>
            <w:tcW w:w="1036" w:type="dxa"/>
            <w:tcBorders>
              <w:left w:val="single" w:sz="4" w:space="0" w:color="auto"/>
              <w:right w:val="single" w:sz="4" w:space="0" w:color="auto"/>
            </w:tcBorders>
            <w:shd w:val="clear" w:color="auto" w:fill="auto"/>
            <w:vAlign w:val="center"/>
          </w:tcPr>
          <w:p w14:paraId="67DD4D26" w14:textId="292FF69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036" w:type="dxa"/>
            <w:tcBorders>
              <w:top w:val="single" w:sz="4" w:space="0" w:color="auto"/>
              <w:left w:val="single" w:sz="4" w:space="0" w:color="auto"/>
              <w:bottom w:val="single" w:sz="4" w:space="0" w:color="auto"/>
              <w:right w:val="single" w:sz="4" w:space="0" w:color="auto"/>
            </w:tcBorders>
            <w:shd w:val="clear" w:color="auto" w:fill="auto"/>
            <w:hideMark/>
          </w:tcPr>
          <w:p w14:paraId="2FE596DA" w14:textId="77777777" w:rsidR="00CF6742" w:rsidRPr="005C29F8" w:rsidRDefault="00CF6742">
            <w:pPr>
              <w:spacing w:line="276" w:lineRule="auto"/>
              <w:rPr>
                <w:rFonts w:cs="Arial"/>
                <w:color w:val="000000" w:themeColor="text1"/>
                <w:szCs w:val="16"/>
              </w:rPr>
            </w:pPr>
            <w:r w:rsidRPr="005C29F8">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15D90031" w14:textId="3012CDE0"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tcPr>
          <w:p w14:paraId="40E906DB" w14:textId="5C70E2DD"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r>
    </w:tbl>
    <w:p w14:paraId="718B9259" w14:textId="77777777" w:rsidR="005430ED" w:rsidRPr="005C29F8" w:rsidRDefault="005430ED" w:rsidP="004369B2">
      <w:pPr>
        <w:rPr>
          <w:color w:val="000000" w:themeColor="text1"/>
        </w:rPr>
      </w:pPr>
    </w:p>
    <w:p w14:paraId="5CC249BC" w14:textId="0BD1252B" w:rsidR="00AA04BD" w:rsidRPr="005C29F8" w:rsidRDefault="00AA04BD" w:rsidP="004369B2">
      <w:pPr>
        <w:rPr>
          <w:color w:val="000000" w:themeColor="text1"/>
        </w:rPr>
      </w:pPr>
      <w:r w:rsidRPr="005C29F8">
        <w:rPr>
          <w:b/>
          <w:color w:val="000000" w:themeColor="text1"/>
        </w:rPr>
        <w:t>Targets</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6TARGETS"/>
      </w:tblPr>
      <w:tblGrid>
        <w:gridCol w:w="1165"/>
        <w:gridCol w:w="2609"/>
      </w:tblGrid>
      <w:tr w:rsidR="00360CD9" w:rsidRPr="005C29F8" w14:paraId="502A05CF" w14:textId="4E7A5210" w:rsidTr="0033429D">
        <w:trPr>
          <w:trHeight w:val="350"/>
        </w:trPr>
        <w:tc>
          <w:tcPr>
            <w:tcW w:w="1543" w:type="pct"/>
            <w:tcBorders>
              <w:bottom w:val="single" w:sz="4" w:space="0" w:color="auto"/>
            </w:tcBorders>
            <w:shd w:val="clear" w:color="auto" w:fill="auto"/>
          </w:tcPr>
          <w:p w14:paraId="24938C30" w14:textId="77777777" w:rsidR="00360CD9" w:rsidRPr="005C29F8" w:rsidRDefault="00360CD9" w:rsidP="004369B2">
            <w:pPr>
              <w:jc w:val="center"/>
              <w:rPr>
                <w:b/>
                <w:color w:val="000000" w:themeColor="text1"/>
              </w:rPr>
            </w:pPr>
            <w:r w:rsidRPr="005C29F8">
              <w:rPr>
                <w:b/>
                <w:color w:val="000000" w:themeColor="text1"/>
              </w:rPr>
              <w:t>FFY</w:t>
            </w:r>
          </w:p>
        </w:tc>
        <w:tc>
          <w:tcPr>
            <w:tcW w:w="3457" w:type="pct"/>
            <w:shd w:val="clear" w:color="auto" w:fill="auto"/>
          </w:tcPr>
          <w:p w14:paraId="4B75D90A" w14:textId="04FBCB48"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9DCE246" w14:textId="4C6D6B0C" w:rsidTr="0033429D">
        <w:trPr>
          <w:trHeight w:val="357"/>
        </w:trPr>
        <w:tc>
          <w:tcPr>
            <w:tcW w:w="1543" w:type="pct"/>
            <w:shd w:val="clear" w:color="auto" w:fill="auto"/>
            <w:vAlign w:val="center"/>
          </w:tcPr>
          <w:p w14:paraId="772DAD56" w14:textId="1540F97B" w:rsidR="00360CD9" w:rsidRPr="005C29F8" w:rsidRDefault="00360CD9" w:rsidP="00AA04BD">
            <w:pPr>
              <w:rPr>
                <w:rFonts w:cs="Arial"/>
                <w:color w:val="000000" w:themeColor="text1"/>
                <w:szCs w:val="16"/>
              </w:rPr>
            </w:pPr>
            <w:r w:rsidRPr="005C29F8">
              <w:rPr>
                <w:rFonts w:cs="Arial"/>
                <w:color w:val="000000" w:themeColor="text1"/>
                <w:szCs w:val="16"/>
              </w:rPr>
              <w:t>Target A &gt;=</w:t>
            </w:r>
          </w:p>
        </w:tc>
        <w:tc>
          <w:tcPr>
            <w:tcW w:w="3457" w:type="pct"/>
            <w:shd w:val="clear" w:color="auto" w:fill="auto"/>
            <w:vAlign w:val="center"/>
          </w:tcPr>
          <w:p w14:paraId="2E5FC5F6" w14:textId="4C6B8E64" w:rsidR="00360CD9" w:rsidRPr="005C29F8" w:rsidRDefault="00360CD9">
            <w:pPr>
              <w:jc w:val="center"/>
              <w:rPr>
                <w:color w:val="000000" w:themeColor="text1"/>
              </w:rPr>
            </w:pPr>
            <w:r w:rsidRPr="005C29F8">
              <w:rPr>
                <w:color w:val="000000" w:themeColor="text1"/>
              </w:rPr>
              <w:t>86.00%</w:t>
            </w:r>
          </w:p>
        </w:tc>
      </w:tr>
      <w:tr w:rsidR="00360CD9" w:rsidRPr="005C29F8" w14:paraId="3AA5E8F7" w14:textId="3D1AAE5E" w:rsidTr="0033429D">
        <w:trPr>
          <w:trHeight w:val="357"/>
        </w:trPr>
        <w:tc>
          <w:tcPr>
            <w:tcW w:w="1543" w:type="pct"/>
            <w:shd w:val="clear" w:color="auto" w:fill="auto"/>
            <w:vAlign w:val="center"/>
          </w:tcPr>
          <w:p w14:paraId="49E152B3" w14:textId="4DC08CD2" w:rsidR="00360CD9" w:rsidRPr="005C29F8" w:rsidRDefault="00360CD9" w:rsidP="00AA04BD">
            <w:pPr>
              <w:rPr>
                <w:rFonts w:cs="Arial"/>
                <w:color w:val="000000" w:themeColor="text1"/>
                <w:szCs w:val="16"/>
              </w:rPr>
            </w:pPr>
            <w:r w:rsidRPr="005C29F8">
              <w:rPr>
                <w:rFonts w:cs="Arial"/>
                <w:color w:val="000000" w:themeColor="text1"/>
                <w:szCs w:val="16"/>
              </w:rPr>
              <w:t>Target B &lt;=</w:t>
            </w:r>
          </w:p>
        </w:tc>
        <w:tc>
          <w:tcPr>
            <w:tcW w:w="3457" w:type="pct"/>
            <w:shd w:val="clear" w:color="auto" w:fill="auto"/>
            <w:vAlign w:val="center"/>
          </w:tcPr>
          <w:p w14:paraId="642E6A80" w14:textId="7A6AF652" w:rsidR="00360CD9" w:rsidRPr="005C29F8" w:rsidRDefault="00360CD9" w:rsidP="00A018D4">
            <w:pPr>
              <w:jc w:val="center"/>
              <w:rPr>
                <w:rFonts w:cs="Arial"/>
                <w:color w:val="000000" w:themeColor="text1"/>
                <w:szCs w:val="16"/>
              </w:rPr>
            </w:pPr>
            <w:r w:rsidRPr="005C29F8">
              <w:rPr>
                <w:rFonts w:cs="Arial"/>
                <w:color w:val="000000" w:themeColor="text1"/>
                <w:szCs w:val="16"/>
              </w:rPr>
              <w:t>0.00%</w:t>
            </w:r>
          </w:p>
        </w:tc>
      </w:tr>
    </w:tbl>
    <w:p w14:paraId="0BFE8697" w14:textId="259909B8" w:rsidR="002D145D" w:rsidRDefault="002D145D" w:rsidP="004369B2">
      <w:pPr>
        <w:rPr>
          <w:b/>
          <w:color w:val="000000" w:themeColor="text1"/>
        </w:rPr>
      </w:pPr>
      <w:r w:rsidRPr="005C29F8">
        <w:rPr>
          <w:b/>
          <w:color w:val="000000" w:themeColor="text1"/>
        </w:rPr>
        <w:t xml:space="preserve">Targets: Description of Stakeholder Input </w:t>
      </w:r>
    </w:p>
    <w:p w14:paraId="0448DBC0" w14:textId="4024B20E"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27170CED" w14:textId="77777777" w:rsidR="00E428BD" w:rsidRPr="005C29F8" w:rsidRDefault="00E428BD" w:rsidP="004369B2">
      <w:pPr>
        <w:rPr>
          <w:color w:val="000000" w:themeColor="text1"/>
        </w:rPr>
      </w:pPr>
      <w:bookmarkStart w:id="30" w:name="_Toc382082378"/>
      <w:bookmarkStart w:id="31" w:name="_Toc392159302"/>
    </w:p>
    <w:p w14:paraId="50508AD8" w14:textId="1E470EFF" w:rsidR="008751D3" w:rsidRPr="005C29F8" w:rsidRDefault="008751D3"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2605"/>
        <w:gridCol w:w="2160"/>
        <w:gridCol w:w="3869"/>
        <w:gridCol w:w="2156"/>
      </w:tblGrid>
      <w:tr w:rsidR="005C29F8" w:rsidRPr="005C29F8" w14:paraId="08E6335C" w14:textId="77777777" w:rsidTr="00AB0D6A">
        <w:trPr>
          <w:cantSplit/>
          <w:tblHeader/>
        </w:trPr>
        <w:tc>
          <w:tcPr>
            <w:tcW w:w="1207" w:type="pct"/>
            <w:shd w:val="clear" w:color="auto" w:fill="auto"/>
          </w:tcPr>
          <w:p w14:paraId="3CEB7090"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Source</w:t>
            </w:r>
          </w:p>
        </w:tc>
        <w:tc>
          <w:tcPr>
            <w:tcW w:w="1001" w:type="pct"/>
            <w:shd w:val="clear" w:color="auto" w:fill="auto"/>
          </w:tcPr>
          <w:p w14:paraId="2F4A13F6"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Date</w:t>
            </w:r>
          </w:p>
        </w:tc>
        <w:tc>
          <w:tcPr>
            <w:tcW w:w="1793" w:type="pct"/>
            <w:shd w:val="clear" w:color="auto" w:fill="auto"/>
          </w:tcPr>
          <w:p w14:paraId="47ECA16E"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Description</w:t>
            </w:r>
          </w:p>
        </w:tc>
        <w:tc>
          <w:tcPr>
            <w:tcW w:w="999" w:type="pct"/>
            <w:shd w:val="clear" w:color="auto" w:fill="auto"/>
          </w:tcPr>
          <w:p w14:paraId="5BF9C35D" w14:textId="77777777" w:rsidR="004F2EB8" w:rsidRPr="005C29F8" w:rsidRDefault="004F2EB8" w:rsidP="009C613A">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4FFA6181" w14:textId="77777777" w:rsidTr="00AB0D6A">
        <w:trPr>
          <w:cantSplit/>
        </w:trPr>
        <w:tc>
          <w:tcPr>
            <w:tcW w:w="1207" w:type="pct"/>
            <w:shd w:val="clear" w:color="auto" w:fill="auto"/>
          </w:tcPr>
          <w:p w14:paraId="024CF7D7" w14:textId="3DBC9C01"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DCC950C" w14:textId="07B9A8E9"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0C7ED212" w14:textId="5C5DDF05" w:rsidR="0049134B" w:rsidRPr="005C29F8" w:rsidRDefault="0049134B" w:rsidP="0049134B">
            <w:pPr>
              <w:rPr>
                <w:rFonts w:cs="Arial"/>
                <w:color w:val="000000" w:themeColor="text1"/>
                <w:szCs w:val="16"/>
              </w:rPr>
            </w:pPr>
            <w:r w:rsidRPr="005C29F8">
              <w:rPr>
                <w:rFonts w:cs="Arial"/>
                <w:color w:val="000000" w:themeColor="text1"/>
                <w:szCs w:val="16"/>
              </w:rPr>
              <w:t>Total number of children with IEPs aged 3 through 5</w:t>
            </w:r>
          </w:p>
        </w:tc>
        <w:tc>
          <w:tcPr>
            <w:tcW w:w="999" w:type="pct"/>
            <w:shd w:val="clear" w:color="auto" w:fill="auto"/>
            <w:vAlign w:val="bottom"/>
          </w:tcPr>
          <w:p w14:paraId="784DA572" w14:textId="5FF7312B" w:rsidR="0049134B" w:rsidRPr="005C29F8" w:rsidRDefault="002B7490" w:rsidP="00A018D4">
            <w:pPr>
              <w:jc w:val="center"/>
              <w:rPr>
                <w:rFonts w:cs="Arial"/>
                <w:color w:val="000000" w:themeColor="text1"/>
                <w:szCs w:val="16"/>
              </w:rPr>
            </w:pPr>
            <w:r w:rsidRPr="005C29F8">
              <w:rPr>
                <w:rFonts w:cs="Arial"/>
                <w:color w:val="000000" w:themeColor="text1"/>
                <w:szCs w:val="16"/>
              </w:rPr>
              <w:t>78</w:t>
            </w:r>
          </w:p>
        </w:tc>
      </w:tr>
      <w:tr w:rsidR="005C29F8" w:rsidRPr="005C29F8" w14:paraId="60B80599" w14:textId="77777777" w:rsidTr="00AB0D6A">
        <w:trPr>
          <w:cantSplit/>
        </w:trPr>
        <w:tc>
          <w:tcPr>
            <w:tcW w:w="1207" w:type="pct"/>
            <w:shd w:val="clear" w:color="auto" w:fill="auto"/>
          </w:tcPr>
          <w:p w14:paraId="537B7EF5" w14:textId="78919E40" w:rsidR="0049134B" w:rsidRPr="005C29F8" w:rsidRDefault="002B7490">
            <w:pPr>
              <w:jc w:val="center"/>
              <w:rPr>
                <w:rFonts w:cs="Arial"/>
                <w:color w:val="000000" w:themeColor="text1"/>
                <w:szCs w:val="16"/>
              </w:rPr>
            </w:pPr>
            <w:r w:rsidRPr="005C29F8">
              <w:rPr>
                <w:rFonts w:cs="Arial"/>
                <w:color w:val="000000" w:themeColor="text1"/>
                <w:szCs w:val="16"/>
              </w:rPr>
              <w:lastRenderedPageBreak/>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43C268D3" w14:textId="0570F284"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143C4F1B" w14:textId="07512ED2" w:rsidR="0049134B" w:rsidRPr="005C29F8" w:rsidRDefault="0049134B" w:rsidP="0049134B">
            <w:pPr>
              <w:rPr>
                <w:rFonts w:cs="Arial"/>
                <w:color w:val="000000" w:themeColor="text1"/>
                <w:szCs w:val="16"/>
              </w:rPr>
            </w:pPr>
            <w:r w:rsidRPr="005C29F8">
              <w:rPr>
                <w:rFonts w:cs="Arial"/>
                <w:color w:val="000000" w:themeColor="text1"/>
                <w:szCs w:val="16"/>
              </w:rPr>
              <w:t xml:space="preserve">a1. Number of children attending a regular early childhood program and receiving </w:t>
            </w:r>
            <w:proofErr w:type="gramStart"/>
            <w:r w:rsidRPr="005C29F8">
              <w:rPr>
                <w:rFonts w:cs="Arial"/>
                <w:color w:val="000000" w:themeColor="text1"/>
                <w:szCs w:val="16"/>
              </w:rPr>
              <w:t>the majority of</w:t>
            </w:r>
            <w:proofErr w:type="gramEnd"/>
            <w:r w:rsidRPr="005C29F8">
              <w:rPr>
                <w:rFonts w:cs="Arial"/>
                <w:color w:val="000000" w:themeColor="text1"/>
                <w:szCs w:val="16"/>
              </w:rPr>
              <w:t xml:space="preserve"> special education and related services in the regular early childhood program</w:t>
            </w:r>
          </w:p>
        </w:tc>
        <w:tc>
          <w:tcPr>
            <w:tcW w:w="999" w:type="pct"/>
            <w:shd w:val="clear" w:color="auto" w:fill="auto"/>
            <w:vAlign w:val="bottom"/>
          </w:tcPr>
          <w:p w14:paraId="68B37A39" w14:textId="2743B28F" w:rsidR="0049134B" w:rsidRPr="005C29F8" w:rsidRDefault="002B7490" w:rsidP="00A018D4">
            <w:pPr>
              <w:jc w:val="center"/>
              <w:rPr>
                <w:rFonts w:cs="Arial"/>
                <w:color w:val="000000" w:themeColor="text1"/>
                <w:szCs w:val="16"/>
              </w:rPr>
            </w:pPr>
            <w:r w:rsidRPr="005C29F8">
              <w:rPr>
                <w:rFonts w:cs="Arial"/>
                <w:color w:val="000000" w:themeColor="text1"/>
                <w:szCs w:val="16"/>
              </w:rPr>
              <w:t>49</w:t>
            </w:r>
          </w:p>
        </w:tc>
      </w:tr>
      <w:tr w:rsidR="005C29F8" w:rsidRPr="005C29F8" w14:paraId="582B62E7" w14:textId="77777777" w:rsidTr="00AB0D6A">
        <w:trPr>
          <w:cantSplit/>
        </w:trPr>
        <w:tc>
          <w:tcPr>
            <w:tcW w:w="1207" w:type="pct"/>
            <w:shd w:val="clear" w:color="auto" w:fill="auto"/>
          </w:tcPr>
          <w:p w14:paraId="0EBBB486" w14:textId="59146FC5"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52092869" w14:textId="0010ACCA"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46012AB" w14:textId="507DD720" w:rsidR="0049134B" w:rsidRPr="005C29F8" w:rsidRDefault="0049134B" w:rsidP="0049134B">
            <w:pPr>
              <w:rPr>
                <w:rFonts w:cs="Arial"/>
                <w:color w:val="000000" w:themeColor="text1"/>
                <w:szCs w:val="16"/>
              </w:rPr>
            </w:pPr>
            <w:r w:rsidRPr="005C29F8">
              <w:rPr>
                <w:rFonts w:cs="Arial"/>
                <w:color w:val="000000" w:themeColor="text1"/>
                <w:szCs w:val="16"/>
              </w:rPr>
              <w:t>b1. Number of children attending separate special education class</w:t>
            </w:r>
          </w:p>
        </w:tc>
        <w:tc>
          <w:tcPr>
            <w:tcW w:w="999" w:type="pct"/>
            <w:shd w:val="clear" w:color="auto" w:fill="auto"/>
            <w:vAlign w:val="bottom"/>
          </w:tcPr>
          <w:p w14:paraId="34B911BF" w14:textId="2E3DCD80"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F08FCEF" w14:textId="77777777" w:rsidTr="00AB0D6A">
        <w:trPr>
          <w:cantSplit/>
        </w:trPr>
        <w:tc>
          <w:tcPr>
            <w:tcW w:w="1207" w:type="pct"/>
            <w:shd w:val="clear" w:color="auto" w:fill="auto"/>
          </w:tcPr>
          <w:p w14:paraId="137E24B8" w14:textId="1AC17B28"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6953506D" w14:textId="0B9E62BC"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3C415E88" w14:textId="06B2C03E" w:rsidR="0049134B" w:rsidRPr="005C29F8" w:rsidRDefault="0049134B" w:rsidP="0049134B">
            <w:pPr>
              <w:rPr>
                <w:rFonts w:cs="Arial"/>
                <w:color w:val="000000" w:themeColor="text1"/>
                <w:szCs w:val="16"/>
              </w:rPr>
            </w:pPr>
            <w:r w:rsidRPr="005C29F8">
              <w:rPr>
                <w:rFonts w:cs="Arial"/>
                <w:color w:val="000000" w:themeColor="text1"/>
                <w:szCs w:val="16"/>
              </w:rPr>
              <w:t>b2. Number of children attending separate school</w:t>
            </w:r>
          </w:p>
        </w:tc>
        <w:tc>
          <w:tcPr>
            <w:tcW w:w="999" w:type="pct"/>
            <w:shd w:val="clear" w:color="auto" w:fill="auto"/>
            <w:vAlign w:val="bottom"/>
          </w:tcPr>
          <w:p w14:paraId="32D467B1" w14:textId="6A01816F"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85801C1" w14:textId="77777777" w:rsidTr="00AB0D6A">
        <w:trPr>
          <w:cantSplit/>
        </w:trPr>
        <w:tc>
          <w:tcPr>
            <w:tcW w:w="1207" w:type="pct"/>
            <w:shd w:val="clear" w:color="auto" w:fill="auto"/>
          </w:tcPr>
          <w:p w14:paraId="76DC4B44" w14:textId="563E860F" w:rsidR="0049134B" w:rsidRPr="005C29F8" w:rsidRDefault="002B7490">
            <w:pPr>
              <w:jc w:val="center"/>
              <w:rPr>
                <w:rFonts w:cs="Arial"/>
                <w:color w:val="000000" w:themeColor="text1"/>
                <w:szCs w:val="16"/>
              </w:rPr>
            </w:pPr>
            <w:r w:rsidRPr="005C29F8">
              <w:rPr>
                <w:rFonts w:cs="Arial"/>
                <w:color w:val="000000" w:themeColor="text1"/>
                <w:szCs w:val="16"/>
              </w:rPr>
              <w:t>SY 2019-20 Child Count/Educational Environment Data Groups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file spec FS089; Data group 613)</w:t>
            </w:r>
          </w:p>
        </w:tc>
        <w:tc>
          <w:tcPr>
            <w:tcW w:w="1001" w:type="pct"/>
            <w:shd w:val="clear" w:color="auto" w:fill="auto"/>
          </w:tcPr>
          <w:p w14:paraId="7C4065DD" w14:textId="37A9DD65" w:rsidR="0049134B" w:rsidRPr="005C29F8" w:rsidRDefault="002B7490">
            <w:pPr>
              <w:jc w:val="center"/>
              <w:rPr>
                <w:rFonts w:cs="Arial"/>
                <w:color w:val="000000" w:themeColor="text1"/>
                <w:szCs w:val="16"/>
              </w:rPr>
            </w:pPr>
            <w:r w:rsidRPr="005C29F8">
              <w:rPr>
                <w:rFonts w:cs="Arial"/>
                <w:color w:val="000000" w:themeColor="text1"/>
                <w:szCs w:val="16"/>
              </w:rPr>
              <w:t>07/08/2020</w:t>
            </w:r>
          </w:p>
        </w:tc>
        <w:tc>
          <w:tcPr>
            <w:tcW w:w="1793" w:type="pct"/>
            <w:shd w:val="clear" w:color="auto" w:fill="auto"/>
            <w:vAlign w:val="bottom"/>
          </w:tcPr>
          <w:p w14:paraId="4D90BA5B" w14:textId="1285C74B" w:rsidR="0049134B" w:rsidRPr="005C29F8" w:rsidRDefault="0049134B" w:rsidP="0049134B">
            <w:pPr>
              <w:rPr>
                <w:rFonts w:cs="Arial"/>
                <w:color w:val="000000" w:themeColor="text1"/>
                <w:szCs w:val="16"/>
              </w:rPr>
            </w:pPr>
            <w:r w:rsidRPr="005C29F8">
              <w:rPr>
                <w:rFonts w:cs="Arial"/>
                <w:color w:val="000000" w:themeColor="text1"/>
                <w:szCs w:val="16"/>
              </w:rPr>
              <w:t>b3. Number of children attending residential facility</w:t>
            </w:r>
          </w:p>
        </w:tc>
        <w:tc>
          <w:tcPr>
            <w:tcW w:w="999" w:type="pct"/>
            <w:shd w:val="clear" w:color="auto" w:fill="auto"/>
            <w:vAlign w:val="bottom"/>
          </w:tcPr>
          <w:p w14:paraId="444A24A0" w14:textId="4E438A54" w:rsidR="0049134B"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68A2C8C5" w14:textId="4EBE62FD" w:rsidR="00AB2A39" w:rsidRDefault="00AB2A39" w:rsidP="004369B2">
      <w:pPr>
        <w:rPr>
          <w:color w:val="000000" w:themeColor="text1"/>
        </w:rPr>
      </w:pPr>
    </w:p>
    <w:p w14:paraId="051F4366" w14:textId="77777777" w:rsidR="00C910BC" w:rsidRPr="005C29F8" w:rsidRDefault="00C910BC" w:rsidP="00C910BC">
      <w:pPr>
        <w:rPr>
          <w:b/>
          <w:color w:val="000000" w:themeColor="text1"/>
        </w:rPr>
      </w:pPr>
      <w:r w:rsidRPr="005C29F8">
        <w:rPr>
          <w:b/>
          <w:color w:val="000000" w:themeColor="text1"/>
        </w:rPr>
        <w:t>Select yes if the data reported in this indicator are not the same as the State’s data reported under section 618 of the IDEA.</w:t>
      </w:r>
    </w:p>
    <w:p w14:paraId="1B696537" w14:textId="29C6B4ED" w:rsidR="00C910BC" w:rsidRDefault="00C910BC" w:rsidP="00C910BC">
      <w:pPr>
        <w:rPr>
          <w:color w:val="000000" w:themeColor="text1"/>
        </w:rPr>
      </w:pPr>
      <w:r w:rsidRPr="005C29F8">
        <w:rPr>
          <w:color w:val="000000" w:themeColor="text1"/>
        </w:rPr>
        <w:t>YES</w:t>
      </w:r>
    </w:p>
    <w:p w14:paraId="419428DA" w14:textId="77777777" w:rsidR="00C910BC" w:rsidRPr="005C29F8" w:rsidRDefault="00C910BC" w:rsidP="00C910BC">
      <w:pPr>
        <w:rPr>
          <w:b/>
          <w:color w:val="000000" w:themeColor="text1"/>
        </w:rPr>
      </w:pPr>
      <w:r w:rsidRPr="005C29F8">
        <w:rPr>
          <w:b/>
          <w:color w:val="000000" w:themeColor="text1"/>
        </w:rPr>
        <w:t>Provide an explanation below</w:t>
      </w:r>
    </w:p>
    <w:p w14:paraId="6BF00D1B" w14:textId="583DCD57" w:rsidR="00C910BC" w:rsidRDefault="00C910BC" w:rsidP="00C910BC">
      <w:pPr>
        <w:rPr>
          <w:color w:val="000000" w:themeColor="text1"/>
        </w:rPr>
      </w:pPr>
      <w:r w:rsidRPr="005C29F8">
        <w:rPr>
          <w:color w:val="000000" w:themeColor="text1"/>
        </w:rPr>
        <w:t>CNMI transitioned to reporting five-year-</w:t>
      </w:r>
      <w:proofErr w:type="spellStart"/>
      <w:r w:rsidRPr="005C29F8">
        <w:rPr>
          <w:color w:val="000000" w:themeColor="text1"/>
        </w:rPr>
        <w:t>olds</w:t>
      </w:r>
      <w:proofErr w:type="spellEnd"/>
      <w:r w:rsidRPr="005C29F8">
        <w:rPr>
          <w:color w:val="000000" w:themeColor="text1"/>
        </w:rPr>
        <w:t xml:space="preserve"> in Kindergarten (KG) in FS002 for its SY 2019-20 submission under IDEA section 618.  Per OSEP’s instruction, CNMI opted to maintain the required reporting for Indicator 6 for FFY 2019 using the correct age range from the IDEA section 618 environments data.</w:t>
      </w:r>
      <w:r w:rsidRPr="005C29F8">
        <w:rPr>
          <w:color w:val="000000" w:themeColor="text1"/>
        </w:rPr>
        <w:br/>
      </w:r>
      <w:r w:rsidRPr="005C29F8">
        <w:rPr>
          <w:color w:val="000000" w:themeColor="text1"/>
        </w:rPr>
        <w:br/>
        <w:t>The FFY 2019 data reported for Indicator 6 includes all children with IEPs aged 3 through 5 served, including 39 reported children with IEPs aged 5 served in KG. These 39 reported KG children with an IEP were included in the numerator and denominator for 6A and the denominator for 6B. The FFY 2019 Indicator 6 performance percentages are 75.21% (88/117) for 6A and 0% (0/117) for 6B.</w:t>
      </w:r>
    </w:p>
    <w:p w14:paraId="78E85C06" w14:textId="77777777" w:rsidR="00C910BC" w:rsidRPr="005C29F8" w:rsidRDefault="00C910BC" w:rsidP="004369B2">
      <w:pPr>
        <w:rPr>
          <w:color w:val="000000" w:themeColor="text1"/>
        </w:rPr>
      </w:pPr>
    </w:p>
    <w:p w14:paraId="1F976CE1" w14:textId="5FBDD1FE" w:rsidR="008751D3" w:rsidRDefault="008751D3" w:rsidP="004369B2">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FFYAPRDATA"/>
      </w:tblPr>
      <w:tblGrid>
        <w:gridCol w:w="2964"/>
        <w:gridCol w:w="1118"/>
        <w:gridCol w:w="1118"/>
        <w:gridCol w:w="1118"/>
        <w:gridCol w:w="1118"/>
        <w:gridCol w:w="1118"/>
        <w:gridCol w:w="1118"/>
        <w:gridCol w:w="1118"/>
      </w:tblGrid>
      <w:tr w:rsidR="005C29F8" w:rsidRPr="005C29F8" w14:paraId="38300B51" w14:textId="77777777" w:rsidTr="007239EC">
        <w:trPr>
          <w:trHeight w:val="354"/>
          <w:tblHeader/>
        </w:trPr>
        <w:tc>
          <w:tcPr>
            <w:tcW w:w="1373" w:type="pct"/>
            <w:shd w:val="clear" w:color="auto" w:fill="auto"/>
            <w:vAlign w:val="bottom"/>
          </w:tcPr>
          <w:p w14:paraId="0F38A3C5" w14:textId="3D46820E" w:rsidR="008751D3" w:rsidRPr="005C29F8" w:rsidRDefault="00E104F3" w:rsidP="00681BA6">
            <w:pPr>
              <w:jc w:val="center"/>
              <w:rPr>
                <w:rFonts w:cs="Arial"/>
                <w:b/>
                <w:color w:val="000000" w:themeColor="text1"/>
                <w:szCs w:val="16"/>
              </w:rPr>
            </w:pPr>
            <w:r w:rsidRPr="0033429D">
              <w:rPr>
                <w:rFonts w:cs="Arial"/>
                <w:b/>
                <w:color w:val="000000" w:themeColor="text1"/>
                <w:szCs w:val="16"/>
              </w:rPr>
              <w:t>Preschool Environments</w:t>
            </w:r>
          </w:p>
        </w:tc>
        <w:tc>
          <w:tcPr>
            <w:tcW w:w="518" w:type="pct"/>
            <w:shd w:val="clear" w:color="auto" w:fill="auto"/>
            <w:vAlign w:val="bottom"/>
          </w:tcPr>
          <w:p w14:paraId="0AEF809B" w14:textId="4D8F18F7" w:rsidR="008751D3" w:rsidRPr="005C29F8" w:rsidRDefault="008751D3" w:rsidP="00681BA6">
            <w:pPr>
              <w:jc w:val="center"/>
              <w:rPr>
                <w:rFonts w:cs="Arial"/>
                <w:b/>
                <w:color w:val="000000" w:themeColor="text1"/>
                <w:szCs w:val="16"/>
              </w:rPr>
            </w:pPr>
            <w:r w:rsidRPr="005C29F8">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5C29F8" w:rsidRDefault="008751D3" w:rsidP="00681BA6">
            <w:pPr>
              <w:jc w:val="center"/>
              <w:rPr>
                <w:rFonts w:cs="Arial"/>
                <w:b/>
                <w:color w:val="000000" w:themeColor="text1"/>
                <w:szCs w:val="16"/>
              </w:rPr>
            </w:pPr>
            <w:r w:rsidRPr="005C29F8">
              <w:rPr>
                <w:rFonts w:cs="Arial"/>
                <w:b/>
                <w:color w:val="000000" w:themeColor="text1"/>
                <w:szCs w:val="16"/>
              </w:rPr>
              <w:t>Total number of children with IEPs aged 3 through 5</w:t>
            </w:r>
          </w:p>
        </w:tc>
        <w:tc>
          <w:tcPr>
            <w:tcW w:w="518" w:type="pct"/>
            <w:shd w:val="clear" w:color="auto" w:fill="auto"/>
            <w:vAlign w:val="bottom"/>
          </w:tcPr>
          <w:p w14:paraId="338A0E59" w14:textId="34EE4DEC" w:rsidR="008751D3"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18" w:type="pct"/>
            <w:shd w:val="clear" w:color="auto" w:fill="auto"/>
            <w:vAlign w:val="bottom"/>
          </w:tcPr>
          <w:p w14:paraId="525540A0" w14:textId="35302303" w:rsidR="008751D3" w:rsidRPr="005C29F8" w:rsidRDefault="008751D3" w:rsidP="00681BA6">
            <w:pPr>
              <w:jc w:val="center"/>
              <w:rPr>
                <w:rFonts w:cs="Arial"/>
                <w:b/>
                <w:color w:val="000000" w:themeColor="text1"/>
                <w:szCs w:val="16"/>
              </w:rPr>
            </w:pPr>
            <w:r w:rsidRPr="005C29F8">
              <w:rPr>
                <w:rFonts w:cs="Arial"/>
                <w:b/>
                <w:color w:val="000000" w:themeColor="text1"/>
                <w:szCs w:val="16"/>
              </w:rPr>
              <w:t>FFY 2019 Target</w:t>
            </w:r>
          </w:p>
        </w:tc>
        <w:tc>
          <w:tcPr>
            <w:tcW w:w="518" w:type="pct"/>
            <w:shd w:val="clear" w:color="auto" w:fill="auto"/>
            <w:vAlign w:val="bottom"/>
          </w:tcPr>
          <w:p w14:paraId="2B9D213A" w14:textId="12BC007C" w:rsidR="008751D3" w:rsidRPr="005C29F8" w:rsidRDefault="00681BA6" w:rsidP="00681BA6">
            <w:pPr>
              <w:jc w:val="center"/>
              <w:rPr>
                <w:rFonts w:cs="Arial"/>
                <w:b/>
                <w:color w:val="000000" w:themeColor="text1"/>
                <w:szCs w:val="16"/>
              </w:rPr>
            </w:pPr>
            <w:r w:rsidRPr="005C29F8">
              <w:rPr>
                <w:rFonts w:cs="Arial"/>
                <w:b/>
                <w:color w:val="000000" w:themeColor="text1"/>
                <w:szCs w:val="16"/>
              </w:rPr>
              <w:t>FFY 2019 Data</w:t>
            </w:r>
          </w:p>
        </w:tc>
        <w:tc>
          <w:tcPr>
            <w:tcW w:w="518" w:type="pct"/>
            <w:shd w:val="clear" w:color="auto" w:fill="auto"/>
            <w:vAlign w:val="bottom"/>
          </w:tcPr>
          <w:p w14:paraId="46108583" w14:textId="77777777" w:rsidR="008751D3" w:rsidRPr="005C29F8" w:rsidRDefault="008751D3" w:rsidP="00681BA6">
            <w:pPr>
              <w:jc w:val="center"/>
              <w:rPr>
                <w:rFonts w:cs="Arial"/>
                <w:b/>
                <w:color w:val="000000" w:themeColor="text1"/>
                <w:szCs w:val="16"/>
              </w:rPr>
            </w:pPr>
            <w:r w:rsidRPr="005C29F8">
              <w:rPr>
                <w:rFonts w:cs="Arial"/>
                <w:b/>
                <w:color w:val="000000" w:themeColor="text1"/>
                <w:szCs w:val="16"/>
              </w:rPr>
              <w:t>Status</w:t>
            </w:r>
          </w:p>
        </w:tc>
        <w:tc>
          <w:tcPr>
            <w:tcW w:w="518" w:type="pct"/>
            <w:shd w:val="clear" w:color="auto" w:fill="auto"/>
            <w:vAlign w:val="bottom"/>
          </w:tcPr>
          <w:p w14:paraId="02DECB75" w14:textId="77777777" w:rsidR="008751D3" w:rsidRPr="005C29F8" w:rsidRDefault="008751D3"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57F8AB2C" w14:textId="77777777" w:rsidTr="007239EC">
        <w:trPr>
          <w:trHeight w:val="917"/>
        </w:trPr>
        <w:tc>
          <w:tcPr>
            <w:tcW w:w="1373" w:type="pct"/>
            <w:shd w:val="clear" w:color="auto" w:fill="auto"/>
            <w:vAlign w:val="center"/>
          </w:tcPr>
          <w:p w14:paraId="262EE4AB" w14:textId="15267873" w:rsidR="00CF6742" w:rsidRPr="005C29F8" w:rsidRDefault="00CF6742" w:rsidP="00CF6742">
            <w:pPr>
              <w:rPr>
                <w:rFonts w:cs="Arial"/>
                <w:color w:val="000000" w:themeColor="text1"/>
                <w:szCs w:val="16"/>
              </w:rPr>
            </w:pPr>
            <w:r w:rsidRPr="005C29F8">
              <w:rPr>
                <w:rFonts w:cs="Arial"/>
                <w:color w:val="000000" w:themeColor="text1"/>
                <w:szCs w:val="16"/>
                <w:shd w:val="clear" w:color="auto" w:fill="FFFFFF"/>
              </w:rPr>
              <w:t xml:space="preserve">A. A regular early childhood program and receiving </w:t>
            </w:r>
            <w:proofErr w:type="gramStart"/>
            <w:r w:rsidRPr="005C29F8">
              <w:rPr>
                <w:rFonts w:cs="Arial"/>
                <w:color w:val="000000" w:themeColor="text1"/>
                <w:szCs w:val="16"/>
                <w:shd w:val="clear" w:color="auto" w:fill="FFFFFF"/>
              </w:rPr>
              <w:t>the majority of</w:t>
            </w:r>
            <w:proofErr w:type="gramEnd"/>
            <w:r w:rsidRPr="005C29F8">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5C29F8" w:rsidRDefault="002B7490" w:rsidP="00A018D4">
            <w:pPr>
              <w:jc w:val="center"/>
              <w:rPr>
                <w:rFonts w:cs="Arial"/>
                <w:color w:val="000000" w:themeColor="text1"/>
                <w:szCs w:val="16"/>
              </w:rPr>
            </w:pPr>
            <w:r w:rsidRPr="005C29F8">
              <w:rPr>
                <w:rFonts w:cs="Arial"/>
                <w:color w:val="000000" w:themeColor="text1"/>
                <w:szCs w:val="16"/>
              </w:rPr>
              <w:t>88</w:t>
            </w:r>
          </w:p>
          <w:p w14:paraId="70072E1D" w14:textId="45212F0F" w:rsidR="00CC3A85" w:rsidRPr="005C29F8"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5C29F8" w:rsidRDefault="002B7490" w:rsidP="00A018D4">
            <w:pPr>
              <w:jc w:val="center"/>
              <w:rPr>
                <w:rFonts w:cs="Arial"/>
                <w:color w:val="000000" w:themeColor="text1"/>
                <w:szCs w:val="16"/>
              </w:rPr>
            </w:pPr>
            <w:r w:rsidRPr="005C29F8">
              <w:rPr>
                <w:rFonts w:cs="Arial"/>
                <w:color w:val="000000" w:themeColor="text1"/>
                <w:szCs w:val="16"/>
              </w:rPr>
              <w:t>117</w:t>
            </w:r>
          </w:p>
        </w:tc>
        <w:tc>
          <w:tcPr>
            <w:tcW w:w="518" w:type="pct"/>
            <w:shd w:val="clear" w:color="auto" w:fill="auto"/>
            <w:vAlign w:val="center"/>
          </w:tcPr>
          <w:p w14:paraId="15C39591" w14:textId="59A0B140" w:rsidR="00CF6742" w:rsidRPr="005C29F8" w:rsidRDefault="002B7490" w:rsidP="00A018D4">
            <w:pPr>
              <w:jc w:val="center"/>
              <w:rPr>
                <w:rFonts w:cs="Arial"/>
                <w:color w:val="000000" w:themeColor="text1"/>
                <w:szCs w:val="16"/>
              </w:rPr>
            </w:pPr>
            <w:r w:rsidRPr="005C29F8">
              <w:rPr>
                <w:rFonts w:cs="Arial"/>
                <w:color w:val="000000" w:themeColor="text1"/>
                <w:szCs w:val="16"/>
              </w:rPr>
              <w:t>78.70%</w:t>
            </w:r>
          </w:p>
        </w:tc>
        <w:tc>
          <w:tcPr>
            <w:tcW w:w="518" w:type="pct"/>
            <w:shd w:val="clear" w:color="auto" w:fill="auto"/>
            <w:vAlign w:val="center"/>
          </w:tcPr>
          <w:p w14:paraId="0B4DAB1A" w14:textId="6A306EF5" w:rsidR="00CF6742"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518" w:type="pct"/>
            <w:shd w:val="clear" w:color="auto" w:fill="auto"/>
            <w:vAlign w:val="center"/>
          </w:tcPr>
          <w:p w14:paraId="3DA9CC9A" w14:textId="5BC63CA2" w:rsidR="00CF6742" w:rsidRPr="005C29F8" w:rsidRDefault="002B7490" w:rsidP="00A018D4">
            <w:pPr>
              <w:jc w:val="center"/>
              <w:rPr>
                <w:rFonts w:cs="Arial"/>
                <w:color w:val="000000" w:themeColor="text1"/>
                <w:szCs w:val="16"/>
              </w:rPr>
            </w:pPr>
            <w:r w:rsidRPr="005C29F8">
              <w:rPr>
                <w:rFonts w:cs="Arial"/>
                <w:color w:val="000000" w:themeColor="text1"/>
                <w:szCs w:val="16"/>
              </w:rPr>
              <w:t>62.82%</w:t>
            </w:r>
          </w:p>
        </w:tc>
        <w:tc>
          <w:tcPr>
            <w:tcW w:w="518" w:type="pct"/>
            <w:shd w:val="clear" w:color="auto" w:fill="auto"/>
            <w:vAlign w:val="center"/>
          </w:tcPr>
          <w:p w14:paraId="361B06B7" w14:textId="5F10F78E" w:rsidR="00CF6742"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518" w:type="pct"/>
            <w:shd w:val="clear" w:color="auto" w:fill="auto"/>
            <w:vAlign w:val="center"/>
          </w:tcPr>
          <w:p w14:paraId="45DD5AFE" w14:textId="28F5E139" w:rsidR="00CF6742"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203C22FB" w14:textId="77777777" w:rsidTr="007239EC">
        <w:trPr>
          <w:trHeight w:val="361"/>
        </w:trPr>
        <w:tc>
          <w:tcPr>
            <w:tcW w:w="1373" w:type="pct"/>
            <w:shd w:val="clear" w:color="auto" w:fill="auto"/>
            <w:vAlign w:val="center"/>
          </w:tcPr>
          <w:p w14:paraId="79CB9C36" w14:textId="6C0925E8" w:rsidR="00CF6742" w:rsidRPr="005C29F8" w:rsidRDefault="00CF6742" w:rsidP="00CF6742">
            <w:pPr>
              <w:rPr>
                <w:rFonts w:cs="Arial"/>
                <w:color w:val="000000" w:themeColor="text1"/>
                <w:szCs w:val="16"/>
              </w:rPr>
            </w:pPr>
            <w:r w:rsidRPr="005C29F8">
              <w:rPr>
                <w:rFonts w:cs="Arial"/>
                <w:color w:val="000000" w:themeColor="text1"/>
                <w:szCs w:val="16"/>
                <w:shd w:val="clear" w:color="auto" w:fill="FFFFFF"/>
              </w:rPr>
              <w:t xml:space="preserve">B. Separate special education class, separate </w:t>
            </w:r>
            <w:proofErr w:type="gramStart"/>
            <w:r w:rsidRPr="005C29F8">
              <w:rPr>
                <w:rFonts w:cs="Arial"/>
                <w:color w:val="000000" w:themeColor="text1"/>
                <w:szCs w:val="16"/>
                <w:shd w:val="clear" w:color="auto" w:fill="FFFFFF"/>
              </w:rPr>
              <w:t>school</w:t>
            </w:r>
            <w:proofErr w:type="gramEnd"/>
            <w:r w:rsidRPr="005C29F8">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18" w:type="pct"/>
            <w:shd w:val="clear" w:color="auto" w:fill="auto"/>
            <w:vAlign w:val="center"/>
          </w:tcPr>
          <w:p w14:paraId="66D0E912" w14:textId="2A889076" w:rsidR="00CF6742" w:rsidRPr="005C29F8" w:rsidRDefault="002B7490" w:rsidP="00A018D4">
            <w:pPr>
              <w:jc w:val="center"/>
              <w:rPr>
                <w:rFonts w:cs="Arial"/>
                <w:color w:val="000000" w:themeColor="text1"/>
                <w:szCs w:val="16"/>
              </w:rPr>
            </w:pPr>
            <w:r w:rsidRPr="005C29F8">
              <w:rPr>
                <w:rFonts w:cs="Arial"/>
                <w:color w:val="000000" w:themeColor="text1"/>
                <w:szCs w:val="16"/>
              </w:rPr>
              <w:t>117</w:t>
            </w:r>
          </w:p>
        </w:tc>
        <w:tc>
          <w:tcPr>
            <w:tcW w:w="518" w:type="pct"/>
            <w:shd w:val="clear" w:color="auto" w:fill="auto"/>
            <w:vAlign w:val="center"/>
          </w:tcPr>
          <w:p w14:paraId="778A4648" w14:textId="541ABEC8"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0EB723D5" w14:textId="782750AE"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22E6569B" w14:textId="5DC635D1" w:rsidR="00CF6742" w:rsidRPr="005C29F8" w:rsidRDefault="002B7490" w:rsidP="00A018D4">
            <w:pPr>
              <w:jc w:val="center"/>
              <w:rPr>
                <w:rFonts w:cs="Arial"/>
                <w:color w:val="000000" w:themeColor="text1"/>
                <w:szCs w:val="16"/>
              </w:rPr>
            </w:pPr>
            <w:r w:rsidRPr="005C29F8">
              <w:rPr>
                <w:rFonts w:cs="Arial"/>
                <w:color w:val="000000" w:themeColor="text1"/>
                <w:szCs w:val="16"/>
              </w:rPr>
              <w:t>0.00%</w:t>
            </w:r>
          </w:p>
        </w:tc>
        <w:tc>
          <w:tcPr>
            <w:tcW w:w="518" w:type="pct"/>
            <w:shd w:val="clear" w:color="auto" w:fill="auto"/>
            <w:vAlign w:val="center"/>
          </w:tcPr>
          <w:p w14:paraId="799542EF" w14:textId="180B78FB" w:rsidR="00CF6742"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518" w:type="pct"/>
            <w:shd w:val="clear" w:color="auto" w:fill="auto"/>
            <w:vAlign w:val="center"/>
          </w:tcPr>
          <w:p w14:paraId="6E35C7BA" w14:textId="0B2CF7CC" w:rsidR="00CF6742"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8689B3C" w14:textId="4ECDB419" w:rsidR="007F50EE" w:rsidRPr="005C29F8" w:rsidRDefault="007F50EE" w:rsidP="00BB7BC9">
      <w:pPr>
        <w:rPr>
          <w:rFonts w:cs="Arial"/>
          <w:b/>
          <w:color w:val="000000" w:themeColor="text1"/>
          <w:szCs w:val="16"/>
        </w:rPr>
      </w:pPr>
      <w:r w:rsidRPr="005C29F8">
        <w:rPr>
          <w:rFonts w:cs="Arial"/>
          <w:b/>
          <w:color w:val="000000" w:themeColor="text1"/>
          <w:szCs w:val="16"/>
        </w:rPr>
        <w:t xml:space="preserve">Use a different calculation methodology (yes/no) </w:t>
      </w:r>
    </w:p>
    <w:p w14:paraId="1467EF31" w14:textId="4E424B30" w:rsidR="007F50EE" w:rsidRDefault="007F50EE" w:rsidP="00BB7BC9">
      <w:pPr>
        <w:rPr>
          <w:rFonts w:cs="Arial"/>
          <w:color w:val="000000" w:themeColor="text1"/>
          <w:szCs w:val="16"/>
        </w:rPr>
      </w:pPr>
      <w:r w:rsidRPr="005C29F8">
        <w:rPr>
          <w:rFonts w:cs="Arial"/>
          <w:color w:val="000000" w:themeColor="text1"/>
          <w:szCs w:val="16"/>
        </w:rPr>
        <w:t>NO</w:t>
      </w:r>
    </w:p>
    <w:p w14:paraId="21FD52FD" w14:textId="77777777" w:rsidR="002441FF" w:rsidRDefault="002441FF" w:rsidP="004369B2">
      <w:pPr>
        <w:rPr>
          <w:b/>
          <w:color w:val="000000" w:themeColor="text1"/>
        </w:rPr>
      </w:pPr>
    </w:p>
    <w:tbl>
      <w:tblPr>
        <w:tblStyle w:val="TableGrid"/>
        <w:tblW w:w="10795" w:type="dxa"/>
        <w:shd w:val="clear" w:color="auto" w:fill="FBD4B4" w:themeFill="accent6" w:themeFillTint="66"/>
        <w:tblLook w:val="04A0" w:firstRow="1" w:lastRow="0" w:firstColumn="1" w:lastColumn="0" w:noHBand="0" w:noVBand="1"/>
        <w:tblCaption w:val="B06SLIPEXPLN"/>
      </w:tblPr>
      <w:tblGrid>
        <w:gridCol w:w="715"/>
        <w:gridCol w:w="10080"/>
      </w:tblGrid>
      <w:tr w:rsidR="005C29F8" w:rsidRPr="005C29F8" w14:paraId="69883CDC" w14:textId="77777777" w:rsidTr="0033429D">
        <w:trPr>
          <w:tblHeader/>
        </w:trPr>
        <w:tc>
          <w:tcPr>
            <w:tcW w:w="715" w:type="dxa"/>
          </w:tcPr>
          <w:p w14:paraId="378624F9" w14:textId="77777777" w:rsidR="00127FEE" w:rsidRPr="005C29F8" w:rsidRDefault="00127FEE" w:rsidP="004369B2">
            <w:pPr>
              <w:jc w:val="center"/>
              <w:rPr>
                <w:color w:val="000000" w:themeColor="text1"/>
              </w:rPr>
            </w:pPr>
            <w:r w:rsidRPr="005C29F8">
              <w:rPr>
                <w:b/>
                <w:color w:val="000000" w:themeColor="text1"/>
              </w:rPr>
              <w:t>Part</w:t>
            </w:r>
          </w:p>
        </w:tc>
        <w:tc>
          <w:tcPr>
            <w:tcW w:w="10080" w:type="dxa"/>
            <w:shd w:val="clear" w:color="auto" w:fill="auto"/>
          </w:tcPr>
          <w:p w14:paraId="3045317C" w14:textId="77777777" w:rsidR="00127FEE" w:rsidRPr="005C29F8" w:rsidRDefault="00127FEE" w:rsidP="004369B2">
            <w:pPr>
              <w:jc w:val="center"/>
              <w:rPr>
                <w:color w:val="000000" w:themeColor="text1"/>
              </w:rPr>
            </w:pPr>
            <w:r w:rsidRPr="005C29F8">
              <w:rPr>
                <w:b/>
                <w:color w:val="000000" w:themeColor="text1"/>
              </w:rPr>
              <w:t>Reasons for slippage, if applicable</w:t>
            </w:r>
          </w:p>
        </w:tc>
      </w:tr>
      <w:tr w:rsidR="005C29F8" w:rsidRPr="005C29F8" w14:paraId="7F98D1AB" w14:textId="77777777" w:rsidTr="00E21107">
        <w:tc>
          <w:tcPr>
            <w:tcW w:w="715" w:type="dxa"/>
            <w:vAlign w:val="center"/>
          </w:tcPr>
          <w:p w14:paraId="2A93A375" w14:textId="77777777" w:rsidR="00127FEE" w:rsidRPr="005C29F8" w:rsidRDefault="00127FEE" w:rsidP="004369B2">
            <w:pPr>
              <w:jc w:val="center"/>
              <w:rPr>
                <w:b/>
                <w:color w:val="000000" w:themeColor="text1"/>
              </w:rPr>
            </w:pPr>
            <w:r w:rsidRPr="005C29F8">
              <w:rPr>
                <w:b/>
                <w:color w:val="000000" w:themeColor="text1"/>
              </w:rPr>
              <w:t>A</w:t>
            </w:r>
          </w:p>
        </w:tc>
        <w:tc>
          <w:tcPr>
            <w:tcW w:w="10080" w:type="dxa"/>
            <w:shd w:val="clear" w:color="auto" w:fill="auto"/>
          </w:tcPr>
          <w:p w14:paraId="7CF289AE" w14:textId="68F3F153" w:rsidR="00127FEE" w:rsidRPr="005C29F8" w:rsidRDefault="00127FEE" w:rsidP="004369B2">
            <w:pPr>
              <w:rPr>
                <w:color w:val="000000" w:themeColor="text1"/>
              </w:rPr>
            </w:pPr>
            <w:r w:rsidRPr="005C29F8">
              <w:rPr>
                <w:rFonts w:cs="Arial"/>
                <w:color w:val="000000" w:themeColor="text1"/>
                <w:szCs w:val="16"/>
              </w:rPr>
              <w:t>It is understood that the determination of where students receive their special education and related services is an individualized decision based on the IEP Team.</w:t>
            </w:r>
            <w:r w:rsidRPr="005C29F8">
              <w:rPr>
                <w:rFonts w:cs="Arial"/>
                <w:color w:val="000000" w:themeColor="text1"/>
                <w:szCs w:val="16"/>
              </w:rPr>
              <w:br/>
              <w:t>The reason for the slippage or the decrease in percentage of preschoolers with disabilities receiving the majority of their special education and related services in a regular early childhood program is possibly a result of the increase in the total number of preschoolers with disabilities served from 108 in FFY 2018 to 117 in FFY 2019. By numbers, there was an increase of three preschoolers with disabilities reported in 6A from 85 in FFY 2018 to 88 in FFY 2019.</w:t>
            </w:r>
            <w:r w:rsidRPr="005C29F8">
              <w:rPr>
                <w:rFonts w:cs="Arial"/>
                <w:color w:val="000000" w:themeColor="text1"/>
                <w:szCs w:val="16"/>
              </w:rPr>
              <w:br/>
            </w:r>
            <w:r w:rsidRPr="005C29F8">
              <w:rPr>
                <w:rFonts w:cs="Arial"/>
                <w:color w:val="000000" w:themeColor="text1"/>
                <w:szCs w:val="16"/>
              </w:rPr>
              <w:br/>
              <w:t>It should be noted that CNMI's performance of 75.21% for 6A in FFY 2019 is significantly above the national data of 50% in FFY 2018 for Indicator 6A based on OSEP's 2020 FFY 2018 SPP/APR indicator Analysis Booklet.</w:t>
            </w:r>
          </w:p>
        </w:tc>
      </w:tr>
    </w:tbl>
    <w:p w14:paraId="1157162F" w14:textId="77777777" w:rsidR="002441FF" w:rsidRPr="005C29F8" w:rsidRDefault="002441FF" w:rsidP="002441FF">
      <w:pPr>
        <w:rPr>
          <w:rFonts w:cs="Arial"/>
          <w:color w:val="000000" w:themeColor="text1"/>
          <w:szCs w:val="16"/>
        </w:rPr>
      </w:pPr>
    </w:p>
    <w:p w14:paraId="11B24ABD"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5D7B4D4" w14:textId="54FAD054" w:rsidR="003C308E" w:rsidRDefault="003C308E" w:rsidP="007D435F">
      <w:pPr>
        <w:rPr>
          <w:rFonts w:cs="Arial"/>
          <w:color w:val="000000" w:themeColor="text1"/>
          <w:szCs w:val="16"/>
        </w:rPr>
      </w:pPr>
    </w:p>
    <w:p w14:paraId="7DD4BC1C" w14:textId="33DA668A" w:rsidR="000A2C83" w:rsidRPr="0033429D" w:rsidRDefault="00C96236" w:rsidP="008645AD">
      <w:pPr>
        <w:pStyle w:val="Heading2"/>
      </w:pPr>
      <w:r w:rsidRPr="0033429D">
        <w:t>6</w:t>
      </w:r>
      <w:r w:rsidR="00C91B94" w:rsidRPr="0033429D">
        <w:t xml:space="preserve"> </w:t>
      </w:r>
      <w:r w:rsidRPr="0033429D">
        <w:t xml:space="preserve">- </w:t>
      </w:r>
      <w:r w:rsidR="000A2C83" w:rsidRPr="0033429D">
        <w:t>Prior FFY Required Actions</w:t>
      </w:r>
    </w:p>
    <w:p w14:paraId="566E0CF8" w14:textId="64232129" w:rsidR="00B1280F" w:rsidRPr="005C29F8" w:rsidRDefault="002B7490" w:rsidP="000A2C83">
      <w:pPr>
        <w:rPr>
          <w:rFonts w:cs="Arial"/>
          <w:color w:val="000000" w:themeColor="text1"/>
          <w:szCs w:val="16"/>
        </w:rPr>
      </w:pPr>
      <w:r w:rsidRPr="005C29F8">
        <w:rPr>
          <w:rFonts w:cs="Arial"/>
          <w:color w:val="000000" w:themeColor="text1"/>
          <w:szCs w:val="16"/>
        </w:rPr>
        <w:t>None</w:t>
      </w:r>
    </w:p>
    <w:p w14:paraId="7B71DC87" w14:textId="5C9C7EF8" w:rsidR="00221EC9" w:rsidRPr="0033429D" w:rsidRDefault="00C96236" w:rsidP="008645AD">
      <w:pPr>
        <w:pStyle w:val="Heading2"/>
      </w:pPr>
      <w:r w:rsidRPr="0033429D">
        <w:t>6 - OSEP Response</w:t>
      </w:r>
    </w:p>
    <w:p w14:paraId="39CF981B" w14:textId="16EA9F6F" w:rsidR="003C308E" w:rsidRPr="005C29F8" w:rsidRDefault="003C308E" w:rsidP="001F692C">
      <w:pPr>
        <w:rPr>
          <w:rFonts w:cs="Arial"/>
          <w:color w:val="000000" w:themeColor="text1"/>
          <w:szCs w:val="16"/>
        </w:rPr>
      </w:pPr>
    </w:p>
    <w:p w14:paraId="6337E261" w14:textId="7ABFCAD4" w:rsidR="00221EC9" w:rsidRPr="0033429D" w:rsidRDefault="00C96236" w:rsidP="008645AD">
      <w:pPr>
        <w:pStyle w:val="Heading2"/>
      </w:pPr>
      <w:r w:rsidRPr="0033429D">
        <w:lastRenderedPageBreak/>
        <w:t>6 - Required Actions</w:t>
      </w:r>
    </w:p>
    <w:p w14:paraId="4D0B397A" w14:textId="4B808E74" w:rsidR="003C308E" w:rsidRPr="005C29F8" w:rsidRDefault="003C308E" w:rsidP="001F692C">
      <w:pPr>
        <w:rPr>
          <w:rFonts w:cs="Arial"/>
          <w:color w:val="000000" w:themeColor="text1"/>
          <w:szCs w:val="16"/>
        </w:rPr>
      </w:pPr>
    </w:p>
    <w:p w14:paraId="2AA7BDE7" w14:textId="77777777" w:rsidR="00600E15" w:rsidRPr="005C29F8" w:rsidRDefault="00600E15">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26B1B256" w14:textId="29C391BC" w:rsidR="00D21EAA" w:rsidRPr="005C29F8" w:rsidRDefault="00D21EAA" w:rsidP="000444E2">
      <w:pPr>
        <w:pStyle w:val="Heading1"/>
        <w:rPr>
          <w:color w:val="000000" w:themeColor="text1"/>
          <w:sz w:val="22"/>
        </w:rPr>
      </w:pPr>
      <w:r w:rsidRPr="005C29F8">
        <w:rPr>
          <w:color w:val="000000" w:themeColor="text1"/>
          <w:sz w:val="22"/>
        </w:rPr>
        <w:lastRenderedPageBreak/>
        <w:t>Indicator 7: Preschool Outcomes</w:t>
      </w:r>
      <w:bookmarkEnd w:id="30"/>
      <w:bookmarkEnd w:id="31"/>
    </w:p>
    <w:p w14:paraId="1404DCF9" w14:textId="77777777" w:rsidR="00531E54" w:rsidRPr="005C29F8" w:rsidRDefault="00531E54" w:rsidP="00A018D4">
      <w:pPr>
        <w:rPr>
          <w:color w:val="000000" w:themeColor="text1"/>
          <w:szCs w:val="20"/>
        </w:rPr>
      </w:pPr>
      <w:bookmarkStart w:id="32" w:name="_Toc392159303"/>
      <w:r w:rsidRPr="005C29F8">
        <w:rPr>
          <w:b/>
          <w:color w:val="000000" w:themeColor="text1"/>
          <w:sz w:val="20"/>
          <w:szCs w:val="20"/>
        </w:rPr>
        <w:t>Instructions and Measurement</w:t>
      </w:r>
    </w:p>
    <w:p w14:paraId="0A136297" w14:textId="4837554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24B9EA10" w14:textId="77777777" w:rsidR="00CC634E" w:rsidRPr="005C29F8" w:rsidRDefault="00CC634E" w:rsidP="0011074D">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preschool children aged 3 through 5 with IEPs who demonstrate improved:</w:t>
      </w:r>
    </w:p>
    <w:p w14:paraId="0B552BED" w14:textId="43FF9A0A" w:rsidR="00CC634E" w:rsidRPr="005C29F8" w:rsidRDefault="00F006BC" w:rsidP="006A01BD">
      <w:pPr>
        <w:ind w:firstLine="720"/>
        <w:rPr>
          <w:rFonts w:cs="Arial"/>
          <w:color w:val="000000" w:themeColor="text1"/>
          <w:szCs w:val="16"/>
        </w:rPr>
      </w:pPr>
      <w:r w:rsidRPr="005C29F8">
        <w:rPr>
          <w:rFonts w:cs="Arial"/>
          <w:color w:val="000000" w:themeColor="text1"/>
          <w:szCs w:val="16"/>
        </w:rPr>
        <w:t>A. Positive social-emotional skills (including social relationships</w:t>
      </w:r>
      <w:proofErr w:type="gramStart"/>
      <w:r w:rsidRPr="005C29F8">
        <w:rPr>
          <w:rFonts w:cs="Arial"/>
          <w:color w:val="000000" w:themeColor="text1"/>
          <w:szCs w:val="16"/>
        </w:rPr>
        <w:t>);</w:t>
      </w:r>
      <w:proofErr w:type="gramEnd"/>
    </w:p>
    <w:p w14:paraId="5D82DAD8" w14:textId="740E047B" w:rsidR="00CC634E" w:rsidRPr="005C29F8" w:rsidRDefault="00F006BC" w:rsidP="006A01BD">
      <w:pPr>
        <w:ind w:firstLine="720"/>
        <w:rPr>
          <w:rFonts w:cs="Arial"/>
          <w:color w:val="000000" w:themeColor="text1"/>
          <w:szCs w:val="16"/>
        </w:rPr>
      </w:pPr>
      <w:r w:rsidRPr="005C29F8">
        <w:rPr>
          <w:rFonts w:cs="Arial"/>
          <w:color w:val="000000" w:themeColor="text1"/>
          <w:szCs w:val="16"/>
        </w:rPr>
        <w:t>B. Acquisition and use of knowledge and skills (including early language/ communication and early literacy); and</w:t>
      </w:r>
    </w:p>
    <w:p w14:paraId="00126FB5" w14:textId="7254CF8C" w:rsidR="00CC634E" w:rsidRPr="005C29F8" w:rsidRDefault="00F020B0" w:rsidP="006A01BD">
      <w:pPr>
        <w:ind w:firstLine="720"/>
        <w:rPr>
          <w:rFonts w:cs="Arial"/>
          <w:color w:val="000000" w:themeColor="text1"/>
          <w:szCs w:val="16"/>
        </w:rPr>
      </w:pPr>
      <w:r w:rsidRPr="005C29F8">
        <w:rPr>
          <w:rFonts w:cs="Arial"/>
          <w:color w:val="000000" w:themeColor="text1"/>
          <w:szCs w:val="16"/>
        </w:rPr>
        <w:t>C. Use of appropriate behaviors to meet their needs.</w:t>
      </w:r>
    </w:p>
    <w:p w14:paraId="5E54210F" w14:textId="77777777" w:rsidR="00CC634E" w:rsidRPr="005C29F8" w:rsidRDefault="00CC634E" w:rsidP="0011074D">
      <w:pPr>
        <w:rPr>
          <w:rFonts w:cs="Arial"/>
          <w:color w:val="000000" w:themeColor="text1"/>
          <w:szCs w:val="16"/>
        </w:rPr>
      </w:pPr>
      <w:r w:rsidRPr="005C29F8">
        <w:rPr>
          <w:rFonts w:cs="Arial"/>
          <w:color w:val="000000" w:themeColor="text1"/>
          <w:szCs w:val="16"/>
        </w:rPr>
        <w:t>(20 U.S.C. 1416 (a)(3)(A))</w:t>
      </w:r>
    </w:p>
    <w:p w14:paraId="64F847A6" w14:textId="77777777" w:rsidR="008751D3" w:rsidRPr="005C29F8" w:rsidRDefault="008751D3" w:rsidP="004369B2">
      <w:pPr>
        <w:rPr>
          <w:color w:val="000000" w:themeColor="text1"/>
        </w:rPr>
      </w:pPr>
      <w:r w:rsidRPr="005C29F8">
        <w:rPr>
          <w:b/>
          <w:color w:val="000000" w:themeColor="text1"/>
        </w:rPr>
        <w:t>Data Source</w:t>
      </w:r>
    </w:p>
    <w:p w14:paraId="23E18A51" w14:textId="0FC94A9E" w:rsidR="008751D3" w:rsidRPr="005C29F8" w:rsidRDefault="008751D3" w:rsidP="00286BDF">
      <w:pPr>
        <w:rPr>
          <w:rFonts w:cs="Arial"/>
          <w:color w:val="000000" w:themeColor="text1"/>
          <w:szCs w:val="16"/>
        </w:rPr>
      </w:pPr>
      <w:r w:rsidRPr="005C29F8">
        <w:rPr>
          <w:rFonts w:cs="Arial"/>
          <w:color w:val="000000" w:themeColor="text1"/>
          <w:szCs w:val="16"/>
        </w:rPr>
        <w:t>State selected data source.</w:t>
      </w:r>
    </w:p>
    <w:p w14:paraId="1E840531" w14:textId="77777777" w:rsidR="008751D3" w:rsidRPr="005C29F8" w:rsidRDefault="008751D3" w:rsidP="004369B2">
      <w:pPr>
        <w:rPr>
          <w:color w:val="000000" w:themeColor="text1"/>
        </w:rPr>
      </w:pPr>
      <w:r w:rsidRPr="005C29F8">
        <w:rPr>
          <w:b/>
          <w:color w:val="000000" w:themeColor="text1"/>
        </w:rPr>
        <w:t>Measurement</w:t>
      </w:r>
    </w:p>
    <w:p w14:paraId="1FF326CF" w14:textId="77777777" w:rsidR="008751D3" w:rsidRPr="005C29F8" w:rsidRDefault="008751D3" w:rsidP="0011074D">
      <w:pPr>
        <w:rPr>
          <w:rFonts w:cs="Arial"/>
          <w:color w:val="000000" w:themeColor="text1"/>
          <w:szCs w:val="16"/>
        </w:rPr>
      </w:pPr>
      <w:r w:rsidRPr="005C29F8">
        <w:rPr>
          <w:rFonts w:cs="Arial"/>
          <w:color w:val="000000" w:themeColor="text1"/>
          <w:szCs w:val="16"/>
        </w:rPr>
        <w:t>Outcomes:</w:t>
      </w:r>
    </w:p>
    <w:p w14:paraId="4E248912" w14:textId="66BBE7EE"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Positive social-emotional skills (including social relationships</w:t>
      </w:r>
      <w:proofErr w:type="gramStart"/>
      <w:r w:rsidRPr="005C29F8">
        <w:rPr>
          <w:rFonts w:eastAsia="Times New Roman" w:cs="Arial"/>
          <w:color w:val="000000" w:themeColor="text1"/>
          <w:szCs w:val="16"/>
        </w:rPr>
        <w:t>);</w:t>
      </w:r>
      <w:proofErr w:type="gramEnd"/>
    </w:p>
    <w:p w14:paraId="6AAB6861" w14:textId="71AC3C7A" w:rsidR="008751D3" w:rsidRPr="005C29F8" w:rsidRDefault="00D92169"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5C29F8" w:rsidRDefault="00D92169" w:rsidP="006A01BD">
      <w:pPr>
        <w:spacing w:before="0"/>
        <w:ind w:firstLine="720"/>
        <w:rPr>
          <w:rFonts w:eastAsia="Times New Roman" w:cs="Arial"/>
          <w:color w:val="000000" w:themeColor="text1"/>
          <w:szCs w:val="16"/>
        </w:rPr>
      </w:pPr>
      <w:r w:rsidRPr="005C29F8">
        <w:rPr>
          <w:rFonts w:eastAsia="Times New Roman" w:cs="Arial"/>
          <w:color w:val="000000" w:themeColor="text1"/>
          <w:szCs w:val="16"/>
        </w:rPr>
        <w:t>C. Use of appropriate behaviors to meet their needs.</w:t>
      </w:r>
    </w:p>
    <w:p w14:paraId="6C3C0B77" w14:textId="77777777" w:rsidR="008751D3" w:rsidRPr="005C29F8" w:rsidRDefault="008751D3" w:rsidP="0011074D">
      <w:pPr>
        <w:rPr>
          <w:rFonts w:cs="Arial"/>
          <w:color w:val="000000" w:themeColor="text1"/>
          <w:szCs w:val="16"/>
        </w:rPr>
      </w:pPr>
      <w:r w:rsidRPr="005C29F8">
        <w:rPr>
          <w:rFonts w:cs="Arial"/>
          <w:color w:val="000000" w:themeColor="text1"/>
          <w:szCs w:val="16"/>
        </w:rPr>
        <w:t>Progress categories for A, B and C:</w:t>
      </w:r>
    </w:p>
    <w:p w14:paraId="5690C8BE" w14:textId="36B6DF2C" w:rsidR="008751D3" w:rsidRPr="005C29F8" w:rsidRDefault="00D048BC"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5C29F8" w:rsidRDefault="00D92169" w:rsidP="006A01BD">
      <w:pPr>
        <w:spacing w:before="0" w:after="0"/>
        <w:ind w:left="720"/>
        <w:rPr>
          <w:rFonts w:eastAsia="Times New Roman" w:cs="Arial"/>
          <w:color w:val="000000" w:themeColor="text1"/>
          <w:szCs w:val="16"/>
        </w:rPr>
      </w:pPr>
      <w:r w:rsidRPr="005C29F8">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5C29F8" w:rsidRDefault="00D92169" w:rsidP="006A01BD">
      <w:pPr>
        <w:spacing w:before="0"/>
        <w:ind w:left="720"/>
        <w:rPr>
          <w:rFonts w:eastAsia="Times New Roman" w:cs="Arial"/>
          <w:color w:val="000000" w:themeColor="text1"/>
          <w:szCs w:val="16"/>
        </w:rPr>
      </w:pPr>
      <w:r w:rsidRPr="005C29F8">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5C29F8" w:rsidRDefault="008751D3" w:rsidP="0011074D">
      <w:pPr>
        <w:rPr>
          <w:rFonts w:cs="Arial"/>
          <w:b/>
          <w:color w:val="000000" w:themeColor="text1"/>
          <w:szCs w:val="16"/>
        </w:rPr>
      </w:pPr>
      <w:r w:rsidRPr="005C29F8">
        <w:rPr>
          <w:rFonts w:cs="Arial"/>
          <w:b/>
          <w:color w:val="000000" w:themeColor="text1"/>
          <w:szCs w:val="16"/>
        </w:rPr>
        <w:t>Summary Statements for Each of the Three Outcomes:</w:t>
      </w:r>
    </w:p>
    <w:p w14:paraId="65FE21E5"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1</w:t>
      </w:r>
      <w:r w:rsidRPr="005C29F8">
        <w:rPr>
          <w:rFonts w:cs="Arial"/>
          <w:bCs/>
          <w:color w:val="000000" w:themeColor="text1"/>
          <w:szCs w:val="16"/>
        </w:rPr>
        <w:t>:</w:t>
      </w:r>
      <w:r w:rsidRPr="005C29F8">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1:</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5C29F8">
        <w:rPr>
          <w:rFonts w:cs="Arial"/>
          <w:color w:val="000000" w:themeColor="text1"/>
          <w:szCs w:val="16"/>
        </w:rPr>
        <w:t xml:space="preserve">))] </w:t>
      </w:r>
      <w:r w:rsidRPr="005C29F8">
        <w:rPr>
          <w:rFonts w:cs="Arial"/>
          <w:color w:val="000000" w:themeColor="text1"/>
          <w:szCs w:val="16"/>
        </w:rPr>
        <w:t>times 100.</w:t>
      </w:r>
    </w:p>
    <w:p w14:paraId="5A694282" w14:textId="77777777" w:rsidR="008751D3" w:rsidRPr="005C29F8" w:rsidRDefault="008751D3" w:rsidP="0011074D">
      <w:pPr>
        <w:rPr>
          <w:rFonts w:cs="Arial"/>
          <w:color w:val="000000" w:themeColor="text1"/>
          <w:szCs w:val="16"/>
        </w:rPr>
      </w:pPr>
      <w:r w:rsidRPr="005C29F8">
        <w:rPr>
          <w:rFonts w:cs="Arial"/>
          <w:b/>
          <w:bCs/>
          <w:color w:val="000000" w:themeColor="text1"/>
          <w:szCs w:val="16"/>
        </w:rPr>
        <w:t>Summary Statement 2:</w:t>
      </w:r>
      <w:r w:rsidRPr="005C29F8">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5C29F8" w:rsidRDefault="008751D3" w:rsidP="0011074D">
      <w:pPr>
        <w:rPr>
          <w:rFonts w:cs="Arial"/>
          <w:color w:val="000000" w:themeColor="text1"/>
          <w:szCs w:val="16"/>
        </w:rPr>
      </w:pPr>
      <w:r w:rsidRPr="005C29F8">
        <w:rPr>
          <w:rFonts w:cs="Arial"/>
          <w:b/>
          <w:bCs/>
          <w:color w:val="000000" w:themeColor="text1"/>
          <w:szCs w:val="16"/>
        </w:rPr>
        <w:t>Measurement for Summary Statement 2</w:t>
      </w:r>
      <w:r w:rsidRPr="005C29F8">
        <w:rPr>
          <w:rFonts w:cs="Arial"/>
          <w:bCs/>
          <w:color w:val="000000" w:themeColor="text1"/>
          <w:szCs w:val="16"/>
        </w:rPr>
        <w:t xml:space="preserve">: </w:t>
      </w:r>
      <w:r w:rsidRPr="005C29F8">
        <w:rPr>
          <w:rFonts w:cs="Arial"/>
          <w:color w:val="000000" w:themeColor="text1"/>
          <w:szCs w:val="16"/>
        </w:rPr>
        <w:t xml:space="preserve">Percent = </w:t>
      </w:r>
      <w:r w:rsidR="002D30ED" w:rsidRPr="005C29F8">
        <w:rPr>
          <w:rFonts w:cs="Arial"/>
          <w:color w:val="000000" w:themeColor="text1"/>
          <w:szCs w:val="16"/>
        </w:rPr>
        <w:t xml:space="preserve">[(# </w:t>
      </w:r>
      <w:r w:rsidRPr="005C29F8">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5C29F8">
        <w:rPr>
          <w:rFonts w:cs="Arial"/>
          <w:color w:val="000000" w:themeColor="text1"/>
          <w:szCs w:val="16"/>
        </w:rPr>
        <w:t xml:space="preserve">))] </w:t>
      </w:r>
      <w:r w:rsidRPr="005C29F8">
        <w:rPr>
          <w:rFonts w:cs="Arial"/>
          <w:color w:val="000000" w:themeColor="text1"/>
          <w:szCs w:val="16"/>
        </w:rPr>
        <w:t>times 100.</w:t>
      </w:r>
    </w:p>
    <w:p w14:paraId="207DF15E" w14:textId="77777777" w:rsidR="008751D3" w:rsidRPr="005C29F8" w:rsidRDefault="008751D3" w:rsidP="004369B2">
      <w:pPr>
        <w:rPr>
          <w:color w:val="000000" w:themeColor="text1"/>
        </w:rPr>
      </w:pPr>
      <w:r w:rsidRPr="005C29F8">
        <w:rPr>
          <w:b/>
          <w:color w:val="000000" w:themeColor="text1"/>
        </w:rPr>
        <w:t>Instructions</w:t>
      </w:r>
    </w:p>
    <w:p w14:paraId="7FEF7064" w14:textId="77777777" w:rsidR="008751D3" w:rsidRPr="005C29F8" w:rsidRDefault="008751D3" w:rsidP="00286BDF">
      <w:pPr>
        <w:rPr>
          <w:rFonts w:cs="Arial"/>
          <w:color w:val="000000" w:themeColor="text1"/>
          <w:szCs w:val="16"/>
        </w:rPr>
      </w:pPr>
      <w:r w:rsidRPr="005C29F8">
        <w:rPr>
          <w:rFonts w:cs="Arial"/>
          <w:color w:val="000000" w:themeColor="text1"/>
          <w:szCs w:val="16"/>
        </w:rPr>
        <w:t>Sampling of </w:t>
      </w:r>
      <w:r w:rsidRPr="005C29F8">
        <w:rPr>
          <w:rFonts w:cs="Arial"/>
          <w:b/>
          <w:bCs/>
          <w:color w:val="000000" w:themeColor="text1"/>
          <w:szCs w:val="16"/>
        </w:rPr>
        <w:t>children for assessment</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1FB7B1C7" w14:textId="77777777" w:rsidR="008751D3" w:rsidRPr="005C29F8" w:rsidRDefault="008751D3" w:rsidP="00286BDF">
      <w:pPr>
        <w:rPr>
          <w:rFonts w:cs="Arial"/>
          <w:color w:val="000000" w:themeColor="text1"/>
          <w:szCs w:val="16"/>
        </w:rPr>
      </w:pPr>
      <w:r w:rsidRPr="005C29F8">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5C29F8" w:rsidRDefault="008751D3" w:rsidP="00286BDF">
      <w:pPr>
        <w:rPr>
          <w:rFonts w:cs="Arial"/>
          <w:color w:val="000000" w:themeColor="text1"/>
          <w:szCs w:val="16"/>
        </w:rPr>
      </w:pPr>
      <w:r w:rsidRPr="005C29F8">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5C29F8" w:rsidRDefault="008751D3" w:rsidP="00286BDF">
      <w:pPr>
        <w:rPr>
          <w:rFonts w:cs="Arial"/>
          <w:color w:val="000000" w:themeColor="text1"/>
          <w:szCs w:val="16"/>
        </w:rPr>
      </w:pPr>
      <w:r w:rsidRPr="005C29F8">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5C29F8" w:rsidRDefault="008751D3" w:rsidP="00286BDF">
      <w:pPr>
        <w:rPr>
          <w:rFonts w:cs="Arial"/>
          <w:color w:val="000000" w:themeColor="text1"/>
          <w:szCs w:val="16"/>
        </w:rPr>
      </w:pPr>
      <w:r w:rsidRPr="005C29F8">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5C29F8" w:rsidRDefault="008751D3" w:rsidP="00286BDF">
      <w:pPr>
        <w:rPr>
          <w:rFonts w:cs="Arial"/>
          <w:color w:val="000000" w:themeColor="text1"/>
          <w:szCs w:val="16"/>
        </w:rPr>
      </w:pPr>
      <w:r w:rsidRPr="005C29F8">
        <w:rPr>
          <w:rFonts w:cs="Arial"/>
          <w:color w:val="000000" w:themeColor="text1"/>
          <w:szCs w:val="16"/>
        </w:rPr>
        <w:t>In addition, list the instruments and procedures used to gather data for this indicator, including if the State is using the ECO COS.</w:t>
      </w:r>
    </w:p>
    <w:bookmarkEnd w:id="32"/>
    <w:p w14:paraId="55101798" w14:textId="340B2E8D" w:rsidR="00DF6E30" w:rsidRPr="0033429D" w:rsidRDefault="00C96236" w:rsidP="008645AD">
      <w:pPr>
        <w:pStyle w:val="Heading2"/>
      </w:pPr>
      <w:r w:rsidRPr="0033429D">
        <w:t>7</w:t>
      </w:r>
      <w:r w:rsidR="00444A9D" w:rsidRPr="0033429D">
        <w:t xml:space="preserve"> </w:t>
      </w:r>
      <w:r w:rsidRPr="0033429D">
        <w:t xml:space="preserve">- </w:t>
      </w:r>
      <w:r w:rsidR="00DF6E30" w:rsidRPr="0033429D">
        <w:t>Indicator Data</w:t>
      </w:r>
    </w:p>
    <w:p w14:paraId="5AA4EA63" w14:textId="77777777" w:rsidR="0091098C" w:rsidRPr="005C29F8" w:rsidRDefault="0091098C" w:rsidP="004369B2">
      <w:pPr>
        <w:rPr>
          <w:color w:val="000000" w:themeColor="text1"/>
        </w:rPr>
      </w:pPr>
      <w:r w:rsidRPr="005C29F8">
        <w:rPr>
          <w:b/>
          <w:color w:val="000000" w:themeColor="text1"/>
        </w:rPr>
        <w:t>Not Applicable</w:t>
      </w:r>
    </w:p>
    <w:p w14:paraId="284C9B1A" w14:textId="32C218D6" w:rsidR="002D30ED" w:rsidRPr="005C29F8" w:rsidRDefault="00E54DDA">
      <w:pPr>
        <w:rPr>
          <w:b/>
          <w:color w:val="000000" w:themeColor="text1"/>
        </w:rPr>
      </w:pPr>
      <w:r w:rsidRPr="005C29F8">
        <w:rPr>
          <w:b/>
          <w:color w:val="000000" w:themeColor="text1"/>
        </w:rPr>
        <w:t>Select yes if this indicator is not applicable.</w:t>
      </w:r>
    </w:p>
    <w:p w14:paraId="400C4A0C" w14:textId="693F71F3" w:rsidR="00043AC9" w:rsidRDefault="00043AC9" w:rsidP="004369B2">
      <w:pPr>
        <w:rPr>
          <w:rFonts w:cs="Arial"/>
          <w:color w:val="000000" w:themeColor="text1"/>
          <w:szCs w:val="16"/>
        </w:rPr>
      </w:pPr>
      <w:r w:rsidRPr="005C29F8">
        <w:rPr>
          <w:rFonts w:cs="Arial"/>
          <w:color w:val="000000" w:themeColor="text1"/>
          <w:szCs w:val="16"/>
        </w:rPr>
        <w:t>NO</w:t>
      </w:r>
    </w:p>
    <w:p w14:paraId="2D4ABD95" w14:textId="015EAF2F" w:rsidR="002D30ED" w:rsidRPr="005C29F8" w:rsidRDefault="002D30ED">
      <w:pPr>
        <w:rPr>
          <w:color w:val="000000" w:themeColor="text1"/>
        </w:rPr>
      </w:pPr>
    </w:p>
    <w:p w14:paraId="50CA9D39" w14:textId="3128BDB0" w:rsidR="00CC634E" w:rsidRPr="005C29F8" w:rsidRDefault="00CC634E"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5C29F8" w14:paraId="67761B76" w14:textId="2BE890F9" w:rsidTr="0033429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5C29F8" w:rsidRDefault="00E104F3" w:rsidP="00FA72A0">
            <w:pPr>
              <w:spacing w:before="0" w:after="0" w:line="276" w:lineRule="auto"/>
              <w:jc w:val="center"/>
              <w:rPr>
                <w:rFonts w:cs="Arial"/>
                <w:b/>
                <w:color w:val="000000" w:themeColor="text1"/>
                <w:szCs w:val="16"/>
              </w:rPr>
            </w:pPr>
            <w:r>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5C29F8" w:rsidRDefault="00FA72A0" w:rsidP="00FA72A0">
            <w:pPr>
              <w:spacing w:before="0" w:after="0" w:line="276" w:lineRule="auto"/>
              <w:jc w:val="center"/>
              <w:rPr>
                <w:rFonts w:cs="Arial"/>
                <w:b/>
                <w:color w:val="000000" w:themeColor="text1"/>
                <w:szCs w:val="16"/>
              </w:rPr>
            </w:pPr>
            <w:r w:rsidRPr="005C29F8">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2014</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5C29F8" w:rsidRDefault="002B7490" w:rsidP="00FA72A0">
            <w:pPr>
              <w:spacing w:before="0" w:after="0" w:line="276" w:lineRule="auto"/>
              <w:jc w:val="center"/>
              <w:rPr>
                <w:rFonts w:cs="Arial"/>
                <w:b/>
                <w:color w:val="000000" w:themeColor="text1"/>
                <w:szCs w:val="16"/>
              </w:rPr>
            </w:pPr>
            <w:r w:rsidRPr="005C29F8">
              <w:rPr>
                <w:rFonts w:cs="Arial"/>
                <w:b/>
                <w:color w:val="000000" w:themeColor="text1"/>
                <w:szCs w:val="16"/>
              </w:rPr>
              <w:t>2018</w:t>
            </w:r>
          </w:p>
        </w:tc>
      </w:tr>
      <w:tr w:rsidR="005F0D3B" w:rsidRPr="005C29F8" w14:paraId="6B7CE9C8" w14:textId="0609FA3D"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5C29F8" w:rsidRDefault="002B7490" w:rsidP="00A018D4">
            <w:pPr>
              <w:jc w:val="center"/>
              <w:rPr>
                <w:rFonts w:cs="Arial"/>
                <w:color w:val="000000" w:themeColor="text1"/>
                <w:szCs w:val="16"/>
              </w:rPr>
            </w:pPr>
            <w:r w:rsidRPr="005C29F8">
              <w:rPr>
                <w:rFonts w:cs="Arial"/>
                <w:color w:val="000000" w:themeColor="text1"/>
                <w:szCs w:val="16"/>
              </w:rPr>
              <w:t>91.50%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5C29F8" w:rsidRDefault="002B7490" w:rsidP="00A018D4">
            <w:pPr>
              <w:jc w:val="center"/>
              <w:rPr>
                <w:rFonts w:cs="Arial"/>
                <w:color w:val="000000" w:themeColor="text1"/>
                <w:szCs w:val="16"/>
              </w:rPr>
            </w:pPr>
            <w:r w:rsidRPr="005C29F8">
              <w:rPr>
                <w:rFonts w:cs="Arial"/>
                <w:color w:val="000000" w:themeColor="text1"/>
                <w:szCs w:val="16"/>
              </w:rPr>
              <w:t>92.50%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5C29F8" w:rsidRDefault="002B7490" w:rsidP="00A018D4">
            <w:pPr>
              <w:jc w:val="center"/>
              <w:rPr>
                <w:rFonts w:cs="Arial"/>
                <w:color w:val="000000" w:themeColor="text1"/>
                <w:szCs w:val="16"/>
              </w:rPr>
            </w:pPr>
            <w:r w:rsidRPr="005C29F8">
              <w:rPr>
                <w:rFonts w:cs="Arial"/>
                <w:color w:val="000000" w:themeColor="text1"/>
                <w:szCs w:val="16"/>
              </w:rPr>
              <w:t>93.50%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5C29F8" w:rsidRDefault="002B7490" w:rsidP="00A018D4">
            <w:pPr>
              <w:jc w:val="center"/>
              <w:rPr>
                <w:rFonts w:cs="Arial"/>
                <w:color w:val="000000" w:themeColor="text1"/>
                <w:szCs w:val="16"/>
              </w:rPr>
            </w:pPr>
            <w:r w:rsidRPr="005C29F8">
              <w:rPr>
                <w:rFonts w:cs="Arial"/>
                <w:color w:val="000000" w:themeColor="text1"/>
                <w:szCs w:val="16"/>
              </w:rPr>
              <w:t>96.50%</w:t>
            </w:r>
          </w:p>
        </w:tc>
      </w:tr>
      <w:tr w:rsidR="005F0D3B" w:rsidRPr="005C29F8" w14:paraId="1273980B" w14:textId="53318F32" w:rsidTr="0033429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5C29F8" w:rsidRDefault="002B7490" w:rsidP="00A018D4">
            <w:pPr>
              <w:jc w:val="center"/>
              <w:rPr>
                <w:rFonts w:cs="Arial"/>
                <w:color w:val="000000" w:themeColor="text1"/>
                <w:szCs w:val="16"/>
              </w:rPr>
            </w:pPr>
            <w:r w:rsidRPr="005C29F8">
              <w:rPr>
                <w:rFonts w:cs="Arial"/>
                <w:color w:val="000000" w:themeColor="text1"/>
                <w:szCs w:val="16"/>
              </w:rPr>
              <w:t>96.00%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5C29F8" w:rsidRDefault="002B7490" w:rsidP="00A018D4">
            <w:pPr>
              <w:jc w:val="center"/>
              <w:rPr>
                <w:rFonts w:cs="Arial"/>
                <w:color w:val="000000" w:themeColor="text1"/>
                <w:szCs w:val="16"/>
              </w:rPr>
            </w:pPr>
            <w:r w:rsidRPr="005C29F8">
              <w:rPr>
                <w:rFonts w:cs="Arial"/>
                <w:color w:val="000000" w:themeColor="text1"/>
                <w:szCs w:val="16"/>
              </w:rPr>
              <w:t>72.73%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5C29F8" w:rsidRDefault="002B7490" w:rsidP="00A018D4">
            <w:pPr>
              <w:jc w:val="center"/>
              <w:rPr>
                <w:rFonts w:cs="Arial"/>
                <w:color w:val="000000" w:themeColor="text1"/>
                <w:szCs w:val="16"/>
              </w:rPr>
            </w:pPr>
            <w:r w:rsidRPr="005C29F8">
              <w:rPr>
                <w:rFonts w:cs="Arial"/>
                <w:color w:val="000000" w:themeColor="text1"/>
                <w:szCs w:val="16"/>
              </w:rPr>
              <w:t>83.33%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5C29F8" w:rsidRDefault="002B7490" w:rsidP="00A018D4">
            <w:pPr>
              <w:jc w:val="center"/>
              <w:rPr>
                <w:rFonts w:cs="Arial"/>
                <w:color w:val="000000" w:themeColor="text1"/>
                <w:szCs w:val="16"/>
              </w:rPr>
            </w:pPr>
            <w:r w:rsidRPr="005C29F8">
              <w:rPr>
                <w:rFonts w:cs="Arial"/>
                <w:color w:val="000000" w:themeColor="text1"/>
                <w:szCs w:val="16"/>
              </w:rPr>
              <w:t>89.47%</w:t>
            </w:r>
          </w:p>
        </w:tc>
      </w:tr>
      <w:tr w:rsidR="005F0D3B" w:rsidRPr="005C29F8" w14:paraId="0B3AB2AF" w14:textId="0ED8043B" w:rsidTr="0033429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5C29F8" w:rsidRDefault="00CF6742">
            <w:pPr>
              <w:spacing w:before="0" w:after="0" w:line="276" w:lineRule="auto"/>
              <w:jc w:val="center"/>
              <w:rPr>
                <w:rFonts w:cs="Arial"/>
                <w:color w:val="000000" w:themeColor="text1"/>
                <w:szCs w:val="16"/>
              </w:rPr>
            </w:pPr>
            <w:r w:rsidRPr="005C29F8">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5C29F8" w:rsidRDefault="002B7490" w:rsidP="00A018D4">
            <w:pPr>
              <w:jc w:val="center"/>
              <w:rPr>
                <w:rFonts w:cs="Arial"/>
                <w:color w:val="000000" w:themeColor="text1"/>
                <w:szCs w:val="16"/>
              </w:rPr>
            </w:pPr>
            <w:r w:rsidRPr="005C29F8">
              <w:rPr>
                <w:rFonts w:cs="Arial"/>
                <w:color w:val="000000" w:themeColor="text1"/>
                <w:szCs w:val="16"/>
              </w:rPr>
              <w:t>49.00%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5C29F8" w:rsidRDefault="002B7490" w:rsidP="00A018D4">
            <w:pPr>
              <w:jc w:val="center"/>
              <w:rPr>
                <w:rFonts w:cs="Arial"/>
                <w:color w:val="000000" w:themeColor="text1"/>
                <w:szCs w:val="16"/>
              </w:rPr>
            </w:pPr>
            <w:r w:rsidRPr="005C29F8">
              <w:rPr>
                <w:rFonts w:cs="Arial"/>
                <w:color w:val="000000" w:themeColor="text1"/>
                <w:szCs w:val="16"/>
              </w:rPr>
              <w:t>51.00%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5C29F8" w:rsidRDefault="002B7490" w:rsidP="00A018D4">
            <w:pPr>
              <w:jc w:val="center"/>
              <w:rPr>
                <w:rFonts w:cs="Arial"/>
                <w:color w:val="000000" w:themeColor="text1"/>
                <w:szCs w:val="16"/>
              </w:rPr>
            </w:pPr>
            <w:r w:rsidRPr="005C29F8">
              <w:rPr>
                <w:rFonts w:cs="Arial"/>
                <w:color w:val="000000" w:themeColor="text1"/>
                <w:szCs w:val="16"/>
              </w:rPr>
              <w:t>53.00%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5C29F8" w:rsidRDefault="002B7490" w:rsidP="00A018D4">
            <w:pPr>
              <w:jc w:val="center"/>
              <w:rPr>
                <w:rFonts w:cs="Arial"/>
                <w:color w:val="000000" w:themeColor="text1"/>
                <w:szCs w:val="16"/>
              </w:rPr>
            </w:pPr>
            <w:r w:rsidRPr="005C29F8">
              <w:rPr>
                <w:rFonts w:cs="Arial"/>
                <w:color w:val="000000" w:themeColor="text1"/>
                <w:szCs w:val="16"/>
              </w:rPr>
              <w:t>55.00%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5C29F8" w:rsidRDefault="002B7490" w:rsidP="00A018D4">
            <w:pPr>
              <w:jc w:val="center"/>
              <w:rPr>
                <w:rFonts w:cs="Arial"/>
                <w:color w:val="000000" w:themeColor="text1"/>
                <w:szCs w:val="16"/>
              </w:rPr>
            </w:pPr>
            <w:r w:rsidRPr="005C29F8">
              <w:rPr>
                <w:rFonts w:cs="Arial"/>
                <w:color w:val="000000" w:themeColor="text1"/>
                <w:szCs w:val="16"/>
              </w:rPr>
              <w:t>57.00%</w:t>
            </w:r>
          </w:p>
        </w:tc>
      </w:tr>
      <w:tr w:rsidR="005F0D3B" w:rsidRPr="005C29F8" w14:paraId="1D11B386" w14:textId="42BD85F0" w:rsidTr="0033429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5C29F8" w:rsidRDefault="002B7490" w:rsidP="00A018D4">
            <w:pPr>
              <w:jc w:val="center"/>
              <w:rPr>
                <w:rFonts w:cs="Arial"/>
                <w:color w:val="000000" w:themeColor="text1"/>
                <w:szCs w:val="16"/>
              </w:rPr>
            </w:pPr>
            <w:r w:rsidRPr="005C29F8">
              <w:rPr>
                <w:rFonts w:cs="Arial"/>
                <w:color w:val="000000" w:themeColor="text1"/>
                <w:szCs w:val="16"/>
              </w:rPr>
              <w:t>37.00%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5C29F8" w:rsidRDefault="00CF6742" w:rsidP="00CF6742">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5C29F8" w:rsidRDefault="002B7490" w:rsidP="00A018D4">
            <w:pPr>
              <w:jc w:val="center"/>
              <w:rPr>
                <w:rFonts w:cs="Arial"/>
                <w:color w:val="000000" w:themeColor="text1"/>
                <w:szCs w:val="16"/>
              </w:rPr>
            </w:pPr>
            <w:r w:rsidRPr="005C29F8">
              <w:rPr>
                <w:rFonts w:cs="Arial"/>
                <w:color w:val="000000" w:themeColor="text1"/>
                <w:szCs w:val="16"/>
              </w:rPr>
              <w:t>61.54%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5C29F8" w:rsidRDefault="002B7490" w:rsidP="00A018D4">
            <w:pPr>
              <w:jc w:val="center"/>
              <w:rPr>
                <w:rFonts w:cs="Arial"/>
                <w:color w:val="000000" w:themeColor="text1"/>
                <w:szCs w:val="16"/>
              </w:rPr>
            </w:pPr>
            <w:r w:rsidRPr="005C29F8">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5C29F8" w:rsidRDefault="002B7490" w:rsidP="00A018D4">
            <w:pPr>
              <w:jc w:val="center"/>
              <w:rPr>
                <w:rFonts w:cs="Arial"/>
                <w:color w:val="000000" w:themeColor="text1"/>
                <w:szCs w:val="16"/>
              </w:rPr>
            </w:pPr>
            <w:r w:rsidRPr="005C29F8">
              <w:rPr>
                <w:rFonts w:cs="Arial"/>
                <w:color w:val="000000" w:themeColor="text1"/>
                <w:szCs w:val="16"/>
              </w:rPr>
              <w:t>68.09%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5C29F8" w:rsidRDefault="002B7490" w:rsidP="00A018D4">
            <w:pPr>
              <w:jc w:val="center"/>
              <w:rPr>
                <w:rFonts w:cs="Arial"/>
                <w:color w:val="000000" w:themeColor="text1"/>
                <w:szCs w:val="16"/>
              </w:rPr>
            </w:pPr>
            <w:r w:rsidRPr="005C29F8">
              <w:rPr>
                <w:rFonts w:cs="Arial"/>
                <w:color w:val="000000" w:themeColor="text1"/>
                <w:szCs w:val="16"/>
              </w:rPr>
              <w:t>39.02%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5C29F8" w:rsidRDefault="002B7490" w:rsidP="00A018D4">
            <w:pPr>
              <w:jc w:val="center"/>
              <w:rPr>
                <w:rFonts w:cs="Arial"/>
                <w:color w:val="000000" w:themeColor="text1"/>
                <w:szCs w:val="16"/>
              </w:rPr>
            </w:pPr>
            <w:r w:rsidRPr="005C29F8">
              <w:rPr>
                <w:rFonts w:cs="Arial"/>
                <w:color w:val="000000" w:themeColor="text1"/>
                <w:szCs w:val="16"/>
              </w:rPr>
              <w:t>39.13%</w:t>
            </w:r>
          </w:p>
        </w:tc>
      </w:tr>
      <w:tr w:rsidR="005F0D3B" w:rsidRPr="005C29F8" w14:paraId="038BC95B" w14:textId="47C87879" w:rsidTr="0033429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5C29F8" w:rsidRDefault="002B7490" w:rsidP="00A018D4">
            <w:pPr>
              <w:jc w:val="center"/>
              <w:rPr>
                <w:rFonts w:cs="Arial"/>
                <w:color w:val="000000" w:themeColor="text1"/>
                <w:szCs w:val="16"/>
              </w:rPr>
            </w:pPr>
            <w:r w:rsidRPr="005C29F8">
              <w:rPr>
                <w:rFonts w:cs="Arial"/>
                <w:color w:val="000000" w:themeColor="text1"/>
                <w:szCs w:val="16"/>
              </w:rPr>
              <w:t>92.00%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5C29F8" w:rsidRDefault="002B7490" w:rsidP="00A018D4">
            <w:pPr>
              <w:jc w:val="center"/>
              <w:rPr>
                <w:rFonts w:cs="Arial"/>
                <w:color w:val="000000" w:themeColor="text1"/>
                <w:szCs w:val="16"/>
              </w:rPr>
            </w:pPr>
            <w:r w:rsidRPr="005C29F8">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5C29F8" w:rsidRDefault="002B7490" w:rsidP="00A018D4">
            <w:pPr>
              <w:jc w:val="center"/>
              <w:rPr>
                <w:rFonts w:cs="Arial"/>
                <w:color w:val="000000" w:themeColor="text1"/>
                <w:szCs w:val="16"/>
              </w:rPr>
            </w:pPr>
            <w:r w:rsidRPr="005C29F8">
              <w:rPr>
                <w:rFonts w:cs="Arial"/>
                <w:color w:val="000000" w:themeColor="text1"/>
                <w:szCs w:val="16"/>
              </w:rPr>
              <w:t>96.00%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5C29F8" w:rsidRDefault="002B7490" w:rsidP="00A018D4">
            <w:pPr>
              <w:jc w:val="center"/>
              <w:rPr>
                <w:rFonts w:cs="Arial"/>
                <w:color w:val="000000" w:themeColor="text1"/>
                <w:szCs w:val="16"/>
              </w:rPr>
            </w:pPr>
            <w:r w:rsidRPr="005C29F8">
              <w:rPr>
                <w:rFonts w:cs="Arial"/>
                <w:color w:val="000000" w:themeColor="text1"/>
                <w:szCs w:val="16"/>
              </w:rPr>
              <w:t>98.00%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r>
      <w:tr w:rsidR="005F0D3B" w:rsidRPr="005C29F8" w14:paraId="66DA0218" w14:textId="74D7BD54" w:rsidTr="0033429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5C29F8" w:rsidRDefault="002B7490" w:rsidP="00A018D4">
            <w:pPr>
              <w:jc w:val="center"/>
              <w:rPr>
                <w:rFonts w:cs="Arial"/>
                <w:color w:val="000000" w:themeColor="text1"/>
                <w:szCs w:val="16"/>
              </w:rPr>
            </w:pPr>
            <w:r w:rsidRPr="005C29F8">
              <w:rPr>
                <w:rFonts w:cs="Arial"/>
                <w:color w:val="000000" w:themeColor="text1"/>
                <w:szCs w:val="16"/>
              </w:rPr>
              <w:t>84.85%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5C29F8" w:rsidRDefault="002B7490" w:rsidP="00A018D4">
            <w:pPr>
              <w:jc w:val="center"/>
              <w:rPr>
                <w:rFonts w:cs="Arial"/>
                <w:color w:val="000000" w:themeColor="text1"/>
                <w:szCs w:val="16"/>
              </w:rPr>
            </w:pPr>
            <w:r w:rsidRPr="005C29F8">
              <w:rPr>
                <w:rFonts w:cs="Arial"/>
                <w:color w:val="000000" w:themeColor="text1"/>
                <w:szCs w:val="16"/>
              </w:rPr>
              <w:t>90.63%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5C29F8" w:rsidRDefault="002B7490" w:rsidP="00A018D4">
            <w:pPr>
              <w:jc w:val="center"/>
              <w:rPr>
                <w:rFonts w:cs="Arial"/>
                <w:color w:val="000000" w:themeColor="text1"/>
                <w:szCs w:val="16"/>
              </w:rPr>
            </w:pPr>
            <w:r w:rsidRPr="005C29F8">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5C29F8" w:rsidRDefault="002B7490" w:rsidP="00A018D4">
            <w:pPr>
              <w:jc w:val="center"/>
              <w:rPr>
                <w:rFonts w:cs="Arial"/>
                <w:color w:val="000000" w:themeColor="text1"/>
                <w:szCs w:val="16"/>
              </w:rPr>
            </w:pPr>
            <w:r w:rsidRPr="005C29F8">
              <w:rPr>
                <w:rFonts w:cs="Arial"/>
                <w:color w:val="000000" w:themeColor="text1"/>
                <w:szCs w:val="16"/>
              </w:rPr>
              <w:t>97.44%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5C29F8" w:rsidRDefault="002B7490" w:rsidP="00A018D4">
            <w:pPr>
              <w:jc w:val="center"/>
              <w:rPr>
                <w:rFonts w:cs="Arial"/>
                <w:color w:val="000000" w:themeColor="text1"/>
                <w:szCs w:val="16"/>
              </w:rPr>
            </w:pPr>
            <w:r w:rsidRPr="005C29F8">
              <w:rPr>
                <w:rFonts w:cs="Arial"/>
                <w:color w:val="000000" w:themeColor="text1"/>
                <w:szCs w:val="16"/>
              </w:rPr>
              <w:t>91.30%</w:t>
            </w:r>
          </w:p>
        </w:tc>
      </w:tr>
      <w:tr w:rsidR="005F0D3B" w:rsidRPr="005C29F8" w14:paraId="5D1BF2C9" w14:textId="459BD37D" w:rsidTr="0033429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5C29F8" w:rsidRDefault="002B7490" w:rsidP="00A018D4">
            <w:pPr>
              <w:jc w:val="center"/>
              <w:rPr>
                <w:rFonts w:cs="Arial"/>
                <w:color w:val="000000" w:themeColor="text1"/>
                <w:szCs w:val="16"/>
              </w:rPr>
            </w:pPr>
            <w:r w:rsidRPr="005C29F8">
              <w:rPr>
                <w:rFonts w:cs="Arial"/>
                <w:color w:val="000000" w:themeColor="text1"/>
                <w:szCs w:val="16"/>
              </w:rPr>
              <w:t>29.00%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5C29F8" w:rsidRDefault="002B7490" w:rsidP="00A018D4">
            <w:pPr>
              <w:jc w:val="center"/>
              <w:rPr>
                <w:rFonts w:cs="Arial"/>
                <w:color w:val="000000" w:themeColor="text1"/>
                <w:szCs w:val="16"/>
              </w:rPr>
            </w:pPr>
            <w:r w:rsidRPr="005C29F8">
              <w:rPr>
                <w:rFonts w:cs="Arial"/>
                <w:color w:val="000000" w:themeColor="text1"/>
                <w:szCs w:val="16"/>
              </w:rPr>
              <w:t>30.00%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5C29F8" w:rsidRDefault="002B7490" w:rsidP="00A018D4">
            <w:pPr>
              <w:jc w:val="center"/>
              <w:rPr>
                <w:rFonts w:cs="Arial"/>
                <w:color w:val="000000" w:themeColor="text1"/>
                <w:szCs w:val="16"/>
              </w:rPr>
            </w:pPr>
            <w:r w:rsidRPr="005C29F8">
              <w:rPr>
                <w:rFonts w:cs="Arial"/>
                <w:color w:val="000000" w:themeColor="text1"/>
                <w:szCs w:val="16"/>
              </w:rPr>
              <w:t>31.00%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5C29F8" w:rsidRDefault="002B7490" w:rsidP="00A018D4">
            <w:pPr>
              <w:jc w:val="center"/>
              <w:rPr>
                <w:rFonts w:cs="Arial"/>
                <w:color w:val="000000" w:themeColor="text1"/>
                <w:szCs w:val="16"/>
              </w:rPr>
            </w:pPr>
            <w:r w:rsidRPr="005C29F8">
              <w:rPr>
                <w:rFonts w:cs="Arial"/>
                <w:color w:val="000000" w:themeColor="text1"/>
                <w:szCs w:val="16"/>
              </w:rPr>
              <w:t>31.00%</w:t>
            </w:r>
          </w:p>
        </w:tc>
      </w:tr>
      <w:tr w:rsidR="005F0D3B" w:rsidRPr="005C29F8" w14:paraId="1AC0D5CC" w14:textId="451AD16E" w:rsidTr="0033429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5C29F8" w:rsidRDefault="002B7490" w:rsidP="00A018D4">
            <w:pPr>
              <w:jc w:val="center"/>
              <w:rPr>
                <w:rFonts w:cs="Arial"/>
                <w:color w:val="000000" w:themeColor="text1"/>
                <w:szCs w:val="16"/>
              </w:rPr>
            </w:pPr>
            <w:r w:rsidRPr="005C29F8">
              <w:rPr>
                <w:rFonts w:cs="Arial"/>
                <w:color w:val="000000" w:themeColor="text1"/>
                <w:szCs w:val="16"/>
              </w:rPr>
              <w:t>22.00%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5C29F8" w:rsidRDefault="002B7490" w:rsidP="00A018D4">
            <w:pPr>
              <w:jc w:val="center"/>
              <w:rPr>
                <w:rFonts w:cs="Arial"/>
                <w:color w:val="000000" w:themeColor="text1"/>
                <w:szCs w:val="16"/>
              </w:rPr>
            </w:pPr>
            <w:r w:rsidRPr="005C29F8">
              <w:rPr>
                <w:rFonts w:cs="Arial"/>
                <w:color w:val="000000" w:themeColor="text1"/>
                <w:szCs w:val="16"/>
              </w:rPr>
              <w:t>33.33%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5C29F8" w:rsidRDefault="002B7490" w:rsidP="00A018D4">
            <w:pPr>
              <w:jc w:val="center"/>
              <w:rPr>
                <w:rFonts w:cs="Arial"/>
                <w:color w:val="000000" w:themeColor="text1"/>
                <w:szCs w:val="16"/>
              </w:rPr>
            </w:pPr>
            <w:r w:rsidRPr="005C29F8">
              <w:rPr>
                <w:rFonts w:cs="Arial"/>
                <w:color w:val="000000" w:themeColor="text1"/>
                <w:szCs w:val="16"/>
              </w:rPr>
              <w:t>46.88%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5C29F8" w:rsidRDefault="002B7490" w:rsidP="00A018D4">
            <w:pPr>
              <w:jc w:val="center"/>
              <w:rPr>
                <w:rFonts w:cs="Arial"/>
                <w:color w:val="000000" w:themeColor="text1"/>
                <w:szCs w:val="16"/>
              </w:rPr>
            </w:pPr>
            <w:r w:rsidRPr="005C29F8">
              <w:rPr>
                <w:rFonts w:cs="Arial"/>
                <w:color w:val="000000" w:themeColor="text1"/>
                <w:szCs w:val="16"/>
              </w:rPr>
              <w:t>31.91%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5C29F8" w:rsidRDefault="002B7490" w:rsidP="00A018D4">
            <w:pPr>
              <w:jc w:val="center"/>
              <w:rPr>
                <w:rFonts w:cs="Arial"/>
                <w:color w:val="000000" w:themeColor="text1"/>
                <w:szCs w:val="16"/>
              </w:rPr>
            </w:pPr>
            <w:r w:rsidRPr="005C29F8">
              <w:rPr>
                <w:rFonts w:cs="Arial"/>
                <w:color w:val="000000" w:themeColor="text1"/>
                <w:szCs w:val="16"/>
              </w:rPr>
              <w:t>19.51%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5C29F8" w:rsidRDefault="002B7490" w:rsidP="00A018D4">
            <w:pPr>
              <w:jc w:val="center"/>
              <w:rPr>
                <w:rFonts w:cs="Arial"/>
                <w:color w:val="000000" w:themeColor="text1"/>
                <w:szCs w:val="16"/>
              </w:rPr>
            </w:pPr>
            <w:r w:rsidRPr="005C29F8">
              <w:rPr>
                <w:rFonts w:cs="Arial"/>
                <w:color w:val="000000" w:themeColor="text1"/>
                <w:szCs w:val="16"/>
              </w:rPr>
              <w:t>13.04%</w:t>
            </w:r>
          </w:p>
        </w:tc>
      </w:tr>
      <w:tr w:rsidR="005F0D3B" w:rsidRPr="005C29F8" w14:paraId="3A905290" w14:textId="4D4DDE53" w:rsidTr="0033429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5C29F8" w:rsidRDefault="002B7490" w:rsidP="00A018D4">
            <w:pPr>
              <w:jc w:val="center"/>
              <w:rPr>
                <w:rFonts w:cs="Arial"/>
                <w:color w:val="000000" w:themeColor="text1"/>
                <w:szCs w:val="16"/>
              </w:rPr>
            </w:pPr>
            <w:r w:rsidRPr="005C29F8">
              <w:rPr>
                <w:rFonts w:cs="Arial"/>
                <w:color w:val="000000" w:themeColor="text1"/>
                <w:szCs w:val="16"/>
              </w:rPr>
              <w:t>89.00%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5C29F8" w:rsidRDefault="002B7490" w:rsidP="00A018D4">
            <w:pPr>
              <w:jc w:val="center"/>
              <w:rPr>
                <w:rFonts w:cs="Arial"/>
                <w:color w:val="000000" w:themeColor="text1"/>
                <w:szCs w:val="16"/>
              </w:rPr>
            </w:pPr>
            <w:r w:rsidRPr="005C29F8">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5C29F8" w:rsidRDefault="002B7490" w:rsidP="00A018D4">
            <w:pPr>
              <w:jc w:val="center"/>
              <w:rPr>
                <w:rFonts w:cs="Arial"/>
                <w:color w:val="000000" w:themeColor="text1"/>
                <w:szCs w:val="16"/>
              </w:rPr>
            </w:pPr>
            <w:r w:rsidRPr="005C29F8">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5C29F8" w:rsidRDefault="002B7490" w:rsidP="00A018D4">
            <w:pPr>
              <w:jc w:val="center"/>
              <w:rPr>
                <w:rFonts w:cs="Arial"/>
                <w:color w:val="000000" w:themeColor="text1"/>
                <w:szCs w:val="16"/>
              </w:rPr>
            </w:pPr>
            <w:r w:rsidRPr="005C29F8">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5C29F8" w:rsidRDefault="002B7490" w:rsidP="00A018D4">
            <w:pPr>
              <w:jc w:val="center"/>
              <w:rPr>
                <w:rFonts w:cs="Arial"/>
                <w:color w:val="000000" w:themeColor="text1"/>
                <w:szCs w:val="16"/>
              </w:rPr>
            </w:pPr>
            <w:r w:rsidRPr="005C29F8">
              <w:rPr>
                <w:rFonts w:cs="Arial"/>
                <w:color w:val="000000" w:themeColor="text1"/>
                <w:szCs w:val="16"/>
              </w:rPr>
              <w:t>96.50%</w:t>
            </w:r>
          </w:p>
        </w:tc>
      </w:tr>
      <w:tr w:rsidR="005F0D3B" w:rsidRPr="005C29F8" w14:paraId="542EE9A0" w14:textId="0624CABB" w:rsidTr="0033429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5C29F8" w:rsidRDefault="002B7490" w:rsidP="00A018D4">
            <w:pPr>
              <w:jc w:val="center"/>
              <w:rPr>
                <w:rFonts w:cs="Arial"/>
                <w:color w:val="000000" w:themeColor="text1"/>
                <w:szCs w:val="16"/>
              </w:rPr>
            </w:pPr>
            <w:r w:rsidRPr="005C29F8">
              <w:rPr>
                <w:rFonts w:cs="Arial"/>
                <w:color w:val="000000" w:themeColor="text1"/>
                <w:szCs w:val="16"/>
              </w:rPr>
              <w:t>96.20%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5C29F8" w:rsidRDefault="002B7490" w:rsidP="00A018D4">
            <w:pPr>
              <w:jc w:val="center"/>
              <w:rPr>
                <w:rFonts w:cs="Arial"/>
                <w:color w:val="000000" w:themeColor="text1"/>
                <w:szCs w:val="16"/>
              </w:rPr>
            </w:pPr>
            <w:r w:rsidRPr="005C29F8">
              <w:rPr>
                <w:rFonts w:cs="Arial"/>
                <w:color w:val="000000" w:themeColor="text1"/>
                <w:szCs w:val="16"/>
              </w:rPr>
              <w:t>74.07%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5C29F8" w:rsidRDefault="002B7490" w:rsidP="00A018D4">
            <w:pPr>
              <w:jc w:val="center"/>
              <w:rPr>
                <w:rFonts w:cs="Arial"/>
                <w:color w:val="000000" w:themeColor="text1"/>
                <w:szCs w:val="16"/>
              </w:rPr>
            </w:pPr>
            <w:r w:rsidRPr="005C29F8">
              <w:rPr>
                <w:rFonts w:cs="Arial"/>
                <w:color w:val="000000" w:themeColor="text1"/>
                <w:szCs w:val="16"/>
              </w:rPr>
              <w:t>95.24%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5C29F8" w:rsidRDefault="002B7490" w:rsidP="00A018D4">
            <w:pPr>
              <w:jc w:val="center"/>
              <w:rPr>
                <w:rFonts w:cs="Arial"/>
                <w:color w:val="000000" w:themeColor="text1"/>
                <w:szCs w:val="16"/>
              </w:rPr>
            </w:pPr>
            <w:r w:rsidRPr="005C29F8">
              <w:rPr>
                <w:rFonts w:cs="Arial"/>
                <w:color w:val="000000" w:themeColor="text1"/>
                <w:szCs w:val="16"/>
              </w:rPr>
              <w:t>59.26%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5C29F8" w:rsidRDefault="002B7490" w:rsidP="00A018D4">
            <w:pPr>
              <w:jc w:val="center"/>
              <w:rPr>
                <w:rFonts w:cs="Arial"/>
                <w:color w:val="000000" w:themeColor="text1"/>
                <w:szCs w:val="16"/>
              </w:rPr>
            </w:pPr>
            <w:r w:rsidRPr="005C29F8">
              <w:rPr>
                <w:rFonts w:cs="Arial"/>
                <w:color w:val="000000" w:themeColor="text1"/>
                <w:szCs w:val="16"/>
              </w:rPr>
              <w:t>89.74%</w:t>
            </w:r>
          </w:p>
        </w:tc>
      </w:tr>
      <w:tr w:rsidR="005F0D3B" w:rsidRPr="005C29F8" w14:paraId="1C3A879D" w14:textId="39451B95" w:rsidTr="0033429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5C29F8" w:rsidRDefault="0085328E"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5C29F8" w:rsidRDefault="002B7490" w:rsidP="00A018D4">
            <w:pPr>
              <w:jc w:val="center"/>
              <w:rPr>
                <w:rFonts w:cs="Arial"/>
                <w:color w:val="000000" w:themeColor="text1"/>
                <w:szCs w:val="16"/>
              </w:rPr>
            </w:pPr>
            <w:r w:rsidRPr="005C29F8">
              <w:rPr>
                <w:rFonts w:cs="Arial"/>
                <w:color w:val="000000" w:themeColor="text1"/>
                <w:szCs w:val="16"/>
              </w:rPr>
              <w:t>2008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5C29F8" w:rsidRDefault="002B7490" w:rsidP="00A018D4">
            <w:pPr>
              <w:jc w:val="center"/>
              <w:rPr>
                <w:rFonts w:cs="Arial"/>
                <w:color w:val="000000" w:themeColor="text1"/>
                <w:szCs w:val="16"/>
              </w:rPr>
            </w:pPr>
            <w:r w:rsidRPr="005C29F8">
              <w:rPr>
                <w:rFonts w:cs="Arial"/>
                <w:color w:val="000000" w:themeColor="text1"/>
                <w:szCs w:val="16"/>
              </w:rPr>
              <w:t>71.00%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5C29F8" w:rsidRDefault="002B7490" w:rsidP="00A018D4">
            <w:pPr>
              <w:jc w:val="center"/>
              <w:rPr>
                <w:rFonts w:cs="Arial"/>
                <w:color w:val="000000" w:themeColor="text1"/>
                <w:szCs w:val="16"/>
              </w:rPr>
            </w:pPr>
            <w:r w:rsidRPr="005C29F8">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5C29F8" w:rsidRDefault="002B7490" w:rsidP="00A018D4">
            <w:pPr>
              <w:jc w:val="center"/>
              <w:rPr>
                <w:rFonts w:cs="Arial"/>
                <w:color w:val="000000" w:themeColor="text1"/>
                <w:szCs w:val="16"/>
              </w:rPr>
            </w:pPr>
            <w:r w:rsidRPr="005C29F8">
              <w:rPr>
                <w:rFonts w:cs="Arial"/>
                <w:color w:val="000000" w:themeColor="text1"/>
                <w:szCs w:val="16"/>
              </w:rPr>
              <w:t>71.50%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5C29F8" w:rsidRDefault="002B7490" w:rsidP="00A018D4">
            <w:pPr>
              <w:jc w:val="center"/>
              <w:rPr>
                <w:rFonts w:cs="Arial"/>
                <w:color w:val="000000" w:themeColor="text1"/>
                <w:szCs w:val="16"/>
              </w:rPr>
            </w:pPr>
            <w:r w:rsidRPr="005C29F8">
              <w:rPr>
                <w:rFonts w:cs="Arial"/>
                <w:color w:val="000000" w:themeColor="text1"/>
                <w:szCs w:val="16"/>
              </w:rPr>
              <w:t>72.00%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5C29F8" w:rsidRDefault="002B7490" w:rsidP="00A018D4">
            <w:pPr>
              <w:jc w:val="center"/>
              <w:rPr>
                <w:rFonts w:cs="Arial"/>
                <w:color w:val="000000" w:themeColor="text1"/>
                <w:szCs w:val="16"/>
              </w:rPr>
            </w:pPr>
            <w:r w:rsidRPr="005C29F8">
              <w:rPr>
                <w:rFonts w:cs="Arial"/>
                <w:color w:val="000000" w:themeColor="text1"/>
                <w:szCs w:val="16"/>
              </w:rPr>
              <w:t>72.50%</w:t>
            </w:r>
          </w:p>
        </w:tc>
      </w:tr>
      <w:tr w:rsidR="005F0D3B" w:rsidRPr="005C29F8" w14:paraId="2ED2CF15" w14:textId="4D4950C3" w:rsidTr="0033429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5C29F8" w:rsidRDefault="001474EC" w:rsidP="004369B2">
            <w:pPr>
              <w:spacing w:before="0" w:after="0" w:line="276" w:lineRule="auto"/>
              <w:jc w:val="center"/>
              <w:rPr>
                <w:rFonts w:cs="Arial"/>
                <w:color w:val="000000" w:themeColor="text1"/>
                <w:szCs w:val="16"/>
              </w:rPr>
            </w:pPr>
            <w:r w:rsidRPr="005C29F8">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5C29F8" w:rsidRDefault="002B7490" w:rsidP="00A018D4">
            <w:pPr>
              <w:jc w:val="center"/>
              <w:rPr>
                <w:rFonts w:cs="Arial"/>
                <w:color w:val="000000" w:themeColor="text1"/>
                <w:szCs w:val="16"/>
              </w:rPr>
            </w:pPr>
            <w:r w:rsidRPr="005C29F8">
              <w:rPr>
                <w:rFonts w:cs="Arial"/>
                <w:color w:val="000000" w:themeColor="text1"/>
                <w:szCs w:val="16"/>
              </w:rPr>
              <w:t>44.40%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5C29F8" w:rsidRDefault="0085328E" w:rsidP="0085328E">
            <w:pPr>
              <w:spacing w:before="0" w:after="0" w:line="276" w:lineRule="auto"/>
              <w:rPr>
                <w:rFonts w:cs="Arial"/>
                <w:color w:val="000000" w:themeColor="text1"/>
                <w:szCs w:val="16"/>
              </w:rPr>
            </w:pPr>
            <w:r w:rsidRPr="005C29F8">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5C29F8" w:rsidRDefault="002B7490" w:rsidP="00A018D4">
            <w:pPr>
              <w:jc w:val="center"/>
              <w:rPr>
                <w:rFonts w:cs="Arial"/>
                <w:color w:val="000000" w:themeColor="text1"/>
                <w:szCs w:val="16"/>
              </w:rPr>
            </w:pPr>
            <w:r w:rsidRPr="005C29F8">
              <w:rPr>
                <w:rFonts w:cs="Arial"/>
                <w:color w:val="000000" w:themeColor="text1"/>
                <w:szCs w:val="16"/>
              </w:rPr>
              <w:t>51.28%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5C29F8" w:rsidRDefault="002B7490" w:rsidP="00A018D4">
            <w:pPr>
              <w:jc w:val="center"/>
              <w:rPr>
                <w:rFonts w:cs="Arial"/>
                <w:color w:val="000000" w:themeColor="text1"/>
                <w:szCs w:val="16"/>
              </w:rPr>
            </w:pPr>
            <w:r w:rsidRPr="005C29F8">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5C29F8" w:rsidRDefault="002B7490" w:rsidP="00A018D4">
            <w:pPr>
              <w:jc w:val="center"/>
              <w:rPr>
                <w:rFonts w:cs="Arial"/>
                <w:color w:val="000000" w:themeColor="text1"/>
                <w:szCs w:val="16"/>
              </w:rPr>
            </w:pPr>
            <w:r w:rsidRPr="005C29F8">
              <w:rPr>
                <w:rFonts w:cs="Arial"/>
                <w:color w:val="000000" w:themeColor="text1"/>
                <w:szCs w:val="16"/>
              </w:rPr>
              <w:t>59.57%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5C29F8" w:rsidRDefault="002B7490" w:rsidP="00A018D4">
            <w:pPr>
              <w:jc w:val="center"/>
              <w:rPr>
                <w:rFonts w:cs="Arial"/>
                <w:color w:val="000000" w:themeColor="text1"/>
                <w:szCs w:val="16"/>
              </w:rPr>
            </w:pPr>
            <w:r w:rsidRPr="005C29F8">
              <w:rPr>
                <w:rFonts w:cs="Arial"/>
                <w:color w:val="000000" w:themeColor="text1"/>
                <w:szCs w:val="16"/>
              </w:rPr>
              <w:t>41.46%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5C29F8" w:rsidRDefault="002B7490" w:rsidP="00A018D4">
            <w:pPr>
              <w:jc w:val="center"/>
              <w:rPr>
                <w:rFonts w:cs="Arial"/>
                <w:color w:val="000000" w:themeColor="text1"/>
                <w:szCs w:val="16"/>
              </w:rPr>
            </w:pPr>
            <w:r w:rsidRPr="005C29F8">
              <w:rPr>
                <w:rFonts w:cs="Arial"/>
                <w:color w:val="000000" w:themeColor="text1"/>
                <w:szCs w:val="16"/>
              </w:rPr>
              <w:t>36.96%</w:t>
            </w:r>
          </w:p>
        </w:tc>
      </w:tr>
    </w:tbl>
    <w:p w14:paraId="53B4B4AE" w14:textId="77777777" w:rsidR="007870F8" w:rsidRPr="005C29F8" w:rsidRDefault="007870F8" w:rsidP="004369B2">
      <w:pPr>
        <w:rPr>
          <w:color w:val="000000" w:themeColor="text1"/>
        </w:rPr>
      </w:pPr>
    </w:p>
    <w:p w14:paraId="0DB74FA5" w14:textId="79B945B9" w:rsidR="00F4192A" w:rsidRPr="005C29F8" w:rsidRDefault="00F4192A" w:rsidP="004369B2">
      <w:pPr>
        <w:rPr>
          <w:color w:val="000000" w:themeColor="text1"/>
        </w:rPr>
      </w:pPr>
      <w:r w:rsidRPr="005C29F8">
        <w:rPr>
          <w:b/>
          <w:color w:val="000000" w:themeColor="text1"/>
        </w:rPr>
        <w:t>Targets</w:t>
      </w:r>
    </w:p>
    <w:tbl>
      <w:tblPr>
        <w:tblW w:w="1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1346"/>
        <w:gridCol w:w="2791"/>
      </w:tblGrid>
      <w:tr w:rsidR="00360CD9" w:rsidRPr="005C29F8" w14:paraId="7154778B" w14:textId="0E7606CF" w:rsidTr="00360CD9">
        <w:trPr>
          <w:trHeight w:val="350"/>
        </w:trPr>
        <w:tc>
          <w:tcPr>
            <w:tcW w:w="1627" w:type="pct"/>
            <w:tcBorders>
              <w:bottom w:val="single" w:sz="4" w:space="0" w:color="auto"/>
            </w:tcBorders>
            <w:shd w:val="clear" w:color="auto" w:fill="auto"/>
            <w:vAlign w:val="bottom"/>
          </w:tcPr>
          <w:p w14:paraId="4C772A88" w14:textId="77777777" w:rsidR="00360CD9" w:rsidRPr="005C29F8" w:rsidRDefault="00360CD9" w:rsidP="004369B2">
            <w:pPr>
              <w:jc w:val="center"/>
              <w:rPr>
                <w:b/>
                <w:color w:val="000000" w:themeColor="text1"/>
              </w:rPr>
            </w:pPr>
            <w:r w:rsidRPr="005C29F8">
              <w:rPr>
                <w:b/>
                <w:color w:val="000000" w:themeColor="text1"/>
              </w:rPr>
              <w:t>FFY</w:t>
            </w:r>
          </w:p>
        </w:tc>
        <w:tc>
          <w:tcPr>
            <w:tcW w:w="3373" w:type="pct"/>
            <w:shd w:val="clear" w:color="auto" w:fill="auto"/>
            <w:vAlign w:val="bottom"/>
          </w:tcPr>
          <w:p w14:paraId="12A78916" w14:textId="4FE79E21" w:rsidR="00360CD9" w:rsidRPr="005C29F8" w:rsidRDefault="00360CD9" w:rsidP="004369B2">
            <w:pPr>
              <w:jc w:val="center"/>
              <w:rPr>
                <w:b/>
                <w:color w:val="000000" w:themeColor="text1"/>
              </w:rPr>
            </w:pPr>
            <w:r w:rsidRPr="005C29F8">
              <w:rPr>
                <w:b/>
                <w:color w:val="000000" w:themeColor="text1"/>
              </w:rPr>
              <w:t>2019</w:t>
            </w:r>
          </w:p>
        </w:tc>
      </w:tr>
      <w:tr w:rsidR="00360CD9" w:rsidRPr="005C29F8" w14:paraId="18C73B9A" w14:textId="70B5F265" w:rsidTr="00360CD9">
        <w:trPr>
          <w:trHeight w:val="357"/>
        </w:trPr>
        <w:tc>
          <w:tcPr>
            <w:tcW w:w="1627" w:type="pct"/>
            <w:shd w:val="clear" w:color="auto" w:fill="auto"/>
            <w:vAlign w:val="center"/>
          </w:tcPr>
          <w:p w14:paraId="507B0BCD" w14:textId="415A5723" w:rsidR="00360CD9" w:rsidRPr="005C29F8" w:rsidRDefault="00360CD9" w:rsidP="007D156B">
            <w:pPr>
              <w:rPr>
                <w:rFonts w:cs="Arial"/>
                <w:color w:val="000000" w:themeColor="text1"/>
                <w:szCs w:val="16"/>
              </w:rPr>
            </w:pPr>
            <w:r w:rsidRPr="005C29F8">
              <w:rPr>
                <w:rFonts w:cs="Arial"/>
                <w:color w:val="000000" w:themeColor="text1"/>
                <w:szCs w:val="16"/>
              </w:rPr>
              <w:t>Target A1 &gt;=</w:t>
            </w:r>
          </w:p>
        </w:tc>
        <w:tc>
          <w:tcPr>
            <w:tcW w:w="3373" w:type="pct"/>
            <w:shd w:val="clear" w:color="auto" w:fill="auto"/>
            <w:vAlign w:val="center"/>
          </w:tcPr>
          <w:p w14:paraId="1B809E80" w14:textId="23651174" w:rsidR="00360CD9" w:rsidRPr="005C29F8" w:rsidRDefault="00360CD9">
            <w:pPr>
              <w:jc w:val="center"/>
              <w:rPr>
                <w:color w:val="000000" w:themeColor="text1"/>
              </w:rPr>
            </w:pPr>
            <w:r w:rsidRPr="005C29F8">
              <w:rPr>
                <w:color w:val="000000" w:themeColor="text1"/>
              </w:rPr>
              <w:t>96.50%</w:t>
            </w:r>
          </w:p>
        </w:tc>
      </w:tr>
      <w:tr w:rsidR="00360CD9" w:rsidRPr="005C29F8" w14:paraId="7C704220" w14:textId="7DE22E02" w:rsidTr="00360CD9">
        <w:trPr>
          <w:trHeight w:val="357"/>
        </w:trPr>
        <w:tc>
          <w:tcPr>
            <w:tcW w:w="1627" w:type="pct"/>
            <w:shd w:val="clear" w:color="auto" w:fill="auto"/>
            <w:vAlign w:val="center"/>
          </w:tcPr>
          <w:p w14:paraId="253AADF0" w14:textId="721E9C65" w:rsidR="00360CD9" w:rsidRPr="005C29F8" w:rsidRDefault="00360CD9" w:rsidP="007D156B">
            <w:pPr>
              <w:rPr>
                <w:rFonts w:cs="Arial"/>
                <w:color w:val="000000" w:themeColor="text1"/>
                <w:szCs w:val="16"/>
              </w:rPr>
            </w:pPr>
            <w:r w:rsidRPr="005C29F8">
              <w:rPr>
                <w:rFonts w:cs="Arial"/>
                <w:color w:val="000000" w:themeColor="text1"/>
                <w:szCs w:val="16"/>
              </w:rPr>
              <w:t>Target A2 &gt;=</w:t>
            </w:r>
          </w:p>
        </w:tc>
        <w:tc>
          <w:tcPr>
            <w:tcW w:w="3373" w:type="pct"/>
            <w:shd w:val="clear" w:color="auto" w:fill="auto"/>
            <w:vAlign w:val="center"/>
          </w:tcPr>
          <w:p w14:paraId="572F97E5" w14:textId="71E20118" w:rsidR="00360CD9" w:rsidRPr="005C29F8" w:rsidRDefault="00360CD9" w:rsidP="00A018D4">
            <w:pPr>
              <w:jc w:val="center"/>
              <w:rPr>
                <w:rFonts w:cs="Arial"/>
                <w:color w:val="000000" w:themeColor="text1"/>
                <w:szCs w:val="16"/>
              </w:rPr>
            </w:pPr>
            <w:r w:rsidRPr="005C29F8">
              <w:rPr>
                <w:rFonts w:cs="Arial"/>
                <w:color w:val="000000" w:themeColor="text1"/>
                <w:szCs w:val="16"/>
              </w:rPr>
              <w:t>57.00%</w:t>
            </w:r>
          </w:p>
        </w:tc>
      </w:tr>
      <w:tr w:rsidR="00360CD9" w:rsidRPr="005C29F8" w14:paraId="6D44D644" w14:textId="0E68C44F" w:rsidTr="00360CD9">
        <w:trPr>
          <w:trHeight w:val="357"/>
        </w:trPr>
        <w:tc>
          <w:tcPr>
            <w:tcW w:w="1627" w:type="pct"/>
            <w:shd w:val="clear" w:color="auto" w:fill="auto"/>
            <w:vAlign w:val="center"/>
          </w:tcPr>
          <w:p w14:paraId="2E46543E" w14:textId="484E799D" w:rsidR="00360CD9" w:rsidRPr="005C29F8" w:rsidRDefault="00360CD9" w:rsidP="007D156B">
            <w:pPr>
              <w:rPr>
                <w:rFonts w:cs="Arial"/>
                <w:color w:val="000000" w:themeColor="text1"/>
                <w:szCs w:val="16"/>
              </w:rPr>
            </w:pPr>
            <w:r w:rsidRPr="005C29F8">
              <w:rPr>
                <w:rFonts w:cs="Arial"/>
                <w:color w:val="000000" w:themeColor="text1"/>
                <w:szCs w:val="16"/>
              </w:rPr>
              <w:t>Target B1 &gt;=</w:t>
            </w:r>
          </w:p>
        </w:tc>
        <w:tc>
          <w:tcPr>
            <w:tcW w:w="3373" w:type="pct"/>
            <w:shd w:val="clear" w:color="auto" w:fill="auto"/>
            <w:vAlign w:val="center"/>
          </w:tcPr>
          <w:p w14:paraId="5B1AAB6F" w14:textId="09987858" w:rsidR="00360CD9" w:rsidRPr="005C29F8" w:rsidRDefault="00360CD9" w:rsidP="00A018D4">
            <w:pPr>
              <w:jc w:val="center"/>
              <w:rPr>
                <w:rFonts w:cs="Arial"/>
                <w:color w:val="000000" w:themeColor="text1"/>
                <w:szCs w:val="16"/>
              </w:rPr>
            </w:pPr>
            <w:r w:rsidRPr="005C29F8">
              <w:rPr>
                <w:rFonts w:cs="Arial"/>
                <w:color w:val="000000" w:themeColor="text1"/>
                <w:szCs w:val="16"/>
              </w:rPr>
              <w:t>100.00%</w:t>
            </w:r>
          </w:p>
        </w:tc>
      </w:tr>
      <w:tr w:rsidR="00360CD9" w:rsidRPr="005C29F8" w14:paraId="23425CD0" w14:textId="7ED99A36" w:rsidTr="00360CD9">
        <w:trPr>
          <w:trHeight w:val="357"/>
        </w:trPr>
        <w:tc>
          <w:tcPr>
            <w:tcW w:w="1627" w:type="pct"/>
            <w:shd w:val="clear" w:color="auto" w:fill="auto"/>
            <w:vAlign w:val="center"/>
          </w:tcPr>
          <w:p w14:paraId="7DAA620C" w14:textId="6D6F79FD" w:rsidR="00360CD9" w:rsidRPr="005C29F8" w:rsidRDefault="00360CD9" w:rsidP="007D156B">
            <w:pPr>
              <w:rPr>
                <w:rFonts w:cs="Arial"/>
                <w:color w:val="000000" w:themeColor="text1"/>
                <w:szCs w:val="16"/>
              </w:rPr>
            </w:pPr>
            <w:r w:rsidRPr="005C29F8">
              <w:rPr>
                <w:rFonts w:cs="Arial"/>
                <w:color w:val="000000" w:themeColor="text1"/>
                <w:szCs w:val="16"/>
              </w:rPr>
              <w:t>Target B2 &gt;=</w:t>
            </w:r>
          </w:p>
        </w:tc>
        <w:tc>
          <w:tcPr>
            <w:tcW w:w="3373" w:type="pct"/>
            <w:shd w:val="clear" w:color="auto" w:fill="auto"/>
            <w:vAlign w:val="center"/>
          </w:tcPr>
          <w:p w14:paraId="0C8065AA" w14:textId="2AC4B20C" w:rsidR="00360CD9" w:rsidRPr="005C29F8" w:rsidRDefault="00360CD9" w:rsidP="00A018D4">
            <w:pPr>
              <w:jc w:val="center"/>
              <w:rPr>
                <w:rFonts w:cs="Arial"/>
                <w:color w:val="000000" w:themeColor="text1"/>
                <w:szCs w:val="16"/>
              </w:rPr>
            </w:pPr>
            <w:r w:rsidRPr="005C29F8">
              <w:rPr>
                <w:rFonts w:cs="Arial"/>
                <w:color w:val="000000" w:themeColor="text1"/>
                <w:szCs w:val="16"/>
              </w:rPr>
              <w:t>31.00%</w:t>
            </w:r>
          </w:p>
        </w:tc>
      </w:tr>
      <w:tr w:rsidR="00360CD9" w:rsidRPr="005C29F8" w14:paraId="3A0A624F" w14:textId="382D7613" w:rsidTr="00360CD9">
        <w:trPr>
          <w:trHeight w:val="357"/>
        </w:trPr>
        <w:tc>
          <w:tcPr>
            <w:tcW w:w="1627" w:type="pct"/>
            <w:shd w:val="clear" w:color="auto" w:fill="auto"/>
            <w:vAlign w:val="center"/>
          </w:tcPr>
          <w:p w14:paraId="04DCCFAA" w14:textId="5591B965" w:rsidR="00360CD9" w:rsidRPr="005C29F8" w:rsidRDefault="00360CD9" w:rsidP="007D156B">
            <w:pPr>
              <w:rPr>
                <w:rFonts w:cs="Arial"/>
                <w:color w:val="000000" w:themeColor="text1"/>
                <w:szCs w:val="16"/>
              </w:rPr>
            </w:pPr>
            <w:r w:rsidRPr="005C29F8">
              <w:rPr>
                <w:rFonts w:cs="Arial"/>
                <w:color w:val="000000" w:themeColor="text1"/>
                <w:szCs w:val="16"/>
              </w:rPr>
              <w:t>Target C1 &gt;=</w:t>
            </w:r>
          </w:p>
        </w:tc>
        <w:tc>
          <w:tcPr>
            <w:tcW w:w="3373" w:type="pct"/>
            <w:shd w:val="clear" w:color="auto" w:fill="auto"/>
            <w:vAlign w:val="center"/>
          </w:tcPr>
          <w:p w14:paraId="26176209" w14:textId="03FEA13C" w:rsidR="00360CD9" w:rsidRPr="005C29F8" w:rsidRDefault="00360CD9" w:rsidP="00A018D4">
            <w:pPr>
              <w:jc w:val="center"/>
              <w:rPr>
                <w:rFonts w:cs="Arial"/>
                <w:color w:val="000000" w:themeColor="text1"/>
                <w:szCs w:val="16"/>
              </w:rPr>
            </w:pPr>
            <w:r w:rsidRPr="005C29F8">
              <w:rPr>
                <w:rFonts w:cs="Arial"/>
                <w:color w:val="000000" w:themeColor="text1"/>
                <w:szCs w:val="16"/>
              </w:rPr>
              <w:t>96.50%</w:t>
            </w:r>
          </w:p>
        </w:tc>
      </w:tr>
      <w:tr w:rsidR="00360CD9" w:rsidRPr="005C29F8" w14:paraId="7FD0F8D0" w14:textId="7983216B" w:rsidTr="00360CD9">
        <w:trPr>
          <w:trHeight w:val="357"/>
        </w:trPr>
        <w:tc>
          <w:tcPr>
            <w:tcW w:w="1627" w:type="pct"/>
            <w:shd w:val="clear" w:color="auto" w:fill="auto"/>
            <w:vAlign w:val="center"/>
          </w:tcPr>
          <w:p w14:paraId="16DEC104" w14:textId="6A28B34F" w:rsidR="00360CD9" w:rsidRPr="005C29F8" w:rsidRDefault="00360CD9" w:rsidP="007D156B">
            <w:pPr>
              <w:rPr>
                <w:rFonts w:cs="Arial"/>
                <w:color w:val="000000" w:themeColor="text1"/>
                <w:szCs w:val="16"/>
              </w:rPr>
            </w:pPr>
            <w:r w:rsidRPr="005C29F8">
              <w:rPr>
                <w:rFonts w:cs="Arial"/>
                <w:color w:val="000000" w:themeColor="text1"/>
                <w:szCs w:val="16"/>
              </w:rPr>
              <w:t>Target C2 &gt;=</w:t>
            </w:r>
          </w:p>
        </w:tc>
        <w:tc>
          <w:tcPr>
            <w:tcW w:w="3373" w:type="pct"/>
            <w:shd w:val="clear" w:color="auto" w:fill="auto"/>
            <w:vAlign w:val="center"/>
          </w:tcPr>
          <w:p w14:paraId="7A9F674E" w14:textId="54CCEACA" w:rsidR="00360CD9" w:rsidRPr="005C29F8" w:rsidRDefault="00360CD9" w:rsidP="00A018D4">
            <w:pPr>
              <w:jc w:val="center"/>
              <w:rPr>
                <w:rFonts w:cs="Arial"/>
                <w:color w:val="000000" w:themeColor="text1"/>
                <w:szCs w:val="16"/>
              </w:rPr>
            </w:pPr>
            <w:r w:rsidRPr="005C29F8">
              <w:rPr>
                <w:rFonts w:cs="Arial"/>
                <w:color w:val="000000" w:themeColor="text1"/>
                <w:szCs w:val="16"/>
              </w:rPr>
              <w:t>72.50%</w:t>
            </w:r>
          </w:p>
        </w:tc>
      </w:tr>
    </w:tbl>
    <w:p w14:paraId="49CD323A" w14:textId="0F9742B3" w:rsidR="002D145D" w:rsidRDefault="002D145D" w:rsidP="004369B2">
      <w:pPr>
        <w:rPr>
          <w:b/>
          <w:color w:val="000000" w:themeColor="text1"/>
        </w:rPr>
      </w:pPr>
      <w:r w:rsidRPr="005C29F8">
        <w:rPr>
          <w:b/>
          <w:color w:val="000000" w:themeColor="text1"/>
        </w:rPr>
        <w:t xml:space="preserve">Targets: Description of Stakeholder Input </w:t>
      </w:r>
    </w:p>
    <w:p w14:paraId="6276C0F6" w14:textId="56252E01" w:rsidR="002D145D" w:rsidRPr="005C29F8" w:rsidRDefault="002B7490" w:rsidP="002D145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1512BEE4" w14:textId="77777777" w:rsidR="007870F8" w:rsidRPr="005C29F8" w:rsidRDefault="007870F8" w:rsidP="004369B2">
      <w:pPr>
        <w:rPr>
          <w:color w:val="000000" w:themeColor="text1"/>
        </w:rPr>
      </w:pPr>
    </w:p>
    <w:p w14:paraId="4D0201C3" w14:textId="2F27E71F" w:rsidR="008751D3" w:rsidRPr="005C29F8" w:rsidRDefault="008751D3">
      <w:pPr>
        <w:rPr>
          <w:b/>
          <w:color w:val="000000" w:themeColor="text1"/>
        </w:rPr>
      </w:pPr>
      <w:r w:rsidRPr="005C29F8">
        <w:rPr>
          <w:b/>
          <w:color w:val="000000" w:themeColor="text1"/>
        </w:rPr>
        <w:t>FFY 2019 SPP/APR Data</w:t>
      </w:r>
    </w:p>
    <w:p w14:paraId="75F01957" w14:textId="463160A4" w:rsidR="004B2C2D" w:rsidRPr="005C29F8" w:rsidRDefault="004B2C2D">
      <w:pPr>
        <w:rPr>
          <w:rFonts w:cs="Arial"/>
          <w:b/>
          <w:color w:val="000000" w:themeColor="text1"/>
          <w:szCs w:val="16"/>
        </w:rPr>
      </w:pPr>
      <w:r w:rsidRPr="005C29F8">
        <w:rPr>
          <w:rFonts w:cs="Arial"/>
          <w:b/>
          <w:color w:val="000000" w:themeColor="text1"/>
          <w:szCs w:val="16"/>
        </w:rPr>
        <w:t>Number of preschool children aged 3 through 5 with IEPs assessed</w:t>
      </w:r>
    </w:p>
    <w:p w14:paraId="6F555236" w14:textId="5F84A3B7" w:rsidR="004B2C2D" w:rsidRPr="005C29F8" w:rsidRDefault="004B2C2D" w:rsidP="004369B2">
      <w:pPr>
        <w:rPr>
          <w:color w:val="000000" w:themeColor="text1"/>
        </w:rPr>
      </w:pPr>
      <w:r w:rsidRPr="005C29F8">
        <w:rPr>
          <w:rFonts w:cs="Arial"/>
          <w:color w:val="000000" w:themeColor="text1"/>
          <w:szCs w:val="16"/>
        </w:rPr>
        <w:t>35</w:t>
      </w:r>
    </w:p>
    <w:p w14:paraId="6AF5CF56" w14:textId="77777777" w:rsidR="00A80FEB" w:rsidRPr="005C29F8" w:rsidRDefault="00A80FEB" w:rsidP="004369B2">
      <w:pPr>
        <w:rPr>
          <w:color w:val="000000" w:themeColor="text1"/>
        </w:rPr>
      </w:pPr>
      <w:r w:rsidRPr="005C29F8">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5C29F8" w14:paraId="7F9D0F86" w14:textId="5773C98B" w:rsidTr="0033429D">
        <w:trPr>
          <w:trHeight w:val="287"/>
          <w:tblHeader/>
        </w:trPr>
        <w:tc>
          <w:tcPr>
            <w:tcW w:w="3406" w:type="pct"/>
            <w:shd w:val="clear" w:color="auto" w:fill="auto"/>
            <w:vAlign w:val="bottom"/>
          </w:tcPr>
          <w:p w14:paraId="732006A2" w14:textId="4E4F994E" w:rsidR="008751D3" w:rsidRPr="005C29F8" w:rsidRDefault="00043AAB" w:rsidP="0024351A">
            <w:pPr>
              <w:rPr>
                <w:rFonts w:cs="Arial"/>
                <w:b/>
                <w:color w:val="000000" w:themeColor="text1"/>
                <w:szCs w:val="16"/>
              </w:rPr>
            </w:pPr>
            <w:r>
              <w:rPr>
                <w:rFonts w:cs="Arial"/>
                <w:b/>
                <w:color w:val="000000" w:themeColor="text1"/>
                <w:szCs w:val="16"/>
              </w:rPr>
              <w:t xml:space="preserve">Outcome A </w:t>
            </w:r>
            <w:r w:rsidRPr="0033429D">
              <w:rPr>
                <w:rFonts w:cs="Arial"/>
                <w:b/>
                <w:bCs/>
                <w:color w:val="000000" w:themeColor="text1"/>
                <w:szCs w:val="16"/>
              </w:rPr>
              <w:t xml:space="preserve">Progress </w:t>
            </w:r>
            <w:r w:rsidR="009028CA">
              <w:rPr>
                <w:rFonts w:cs="Arial"/>
                <w:b/>
                <w:bCs/>
                <w:color w:val="000000" w:themeColor="text1"/>
                <w:szCs w:val="16"/>
              </w:rPr>
              <w:t>C</w:t>
            </w:r>
            <w:r w:rsidRPr="0033429D">
              <w:rPr>
                <w:rFonts w:cs="Arial"/>
                <w:b/>
                <w:bCs/>
                <w:color w:val="000000" w:themeColor="text1"/>
                <w:szCs w:val="16"/>
              </w:rPr>
              <w:t>ategor</w:t>
            </w:r>
            <w:r w:rsidR="00E91363">
              <w:rPr>
                <w:rFonts w:cs="Arial"/>
                <w:b/>
                <w:bCs/>
                <w:color w:val="000000" w:themeColor="text1"/>
                <w:szCs w:val="16"/>
              </w:rPr>
              <w:t>y</w:t>
            </w:r>
          </w:p>
        </w:tc>
        <w:tc>
          <w:tcPr>
            <w:tcW w:w="797" w:type="pct"/>
            <w:shd w:val="clear" w:color="auto" w:fill="auto"/>
            <w:vAlign w:val="bottom"/>
          </w:tcPr>
          <w:p w14:paraId="2EAB6060" w14:textId="77777777" w:rsidR="008751D3" w:rsidRPr="005C29F8" w:rsidRDefault="008751D3" w:rsidP="004369B2">
            <w:pPr>
              <w:jc w:val="center"/>
              <w:rPr>
                <w:rFonts w:cs="Arial"/>
                <w:b/>
                <w:color w:val="000000" w:themeColor="text1"/>
                <w:szCs w:val="16"/>
              </w:rPr>
            </w:pPr>
            <w:r w:rsidRPr="005C29F8">
              <w:rPr>
                <w:rFonts w:cs="Arial"/>
                <w:b/>
                <w:color w:val="000000" w:themeColor="text1"/>
                <w:szCs w:val="16"/>
              </w:rPr>
              <w:t>Number of children</w:t>
            </w:r>
          </w:p>
        </w:tc>
        <w:tc>
          <w:tcPr>
            <w:tcW w:w="797" w:type="pct"/>
            <w:shd w:val="clear" w:color="auto" w:fill="auto"/>
            <w:vAlign w:val="bottom"/>
          </w:tcPr>
          <w:p w14:paraId="1007C28C" w14:textId="52952731" w:rsidR="008751D3" w:rsidRPr="005C29F8" w:rsidRDefault="008751D3" w:rsidP="004369B2">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D115F3B" w14:textId="14BF41AA" w:rsidTr="00AB0D6A">
        <w:trPr>
          <w:trHeight w:val="361"/>
        </w:trPr>
        <w:tc>
          <w:tcPr>
            <w:tcW w:w="3406" w:type="pct"/>
            <w:shd w:val="clear" w:color="auto" w:fill="auto"/>
            <w:vAlign w:val="center"/>
          </w:tcPr>
          <w:p w14:paraId="476980EA" w14:textId="77777777" w:rsidR="00A86385" w:rsidRPr="00FC0108" w:rsidRDefault="00A86385" w:rsidP="00A86385">
            <w:pPr>
              <w:rPr>
                <w:rFonts w:cs="Arial"/>
                <w:szCs w:val="16"/>
              </w:rPr>
            </w:pPr>
            <w:r w:rsidRPr="00FC0108">
              <w:rPr>
                <w:rFonts w:cs="Arial"/>
                <w:szCs w:val="16"/>
              </w:rPr>
              <w:t>a. Preschool children who did not improve functioning</w:t>
            </w:r>
          </w:p>
        </w:tc>
        <w:tc>
          <w:tcPr>
            <w:tcW w:w="797" w:type="pct"/>
            <w:shd w:val="clear" w:color="auto" w:fill="auto"/>
            <w:vAlign w:val="center"/>
          </w:tcPr>
          <w:p w14:paraId="358366F4" w14:textId="107FC5B1"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0846D135" w14:textId="1043D337" w:rsidR="00A86385" w:rsidRPr="00FC0108" w:rsidRDefault="002B7490" w:rsidP="00A018D4">
            <w:pPr>
              <w:jc w:val="center"/>
              <w:rPr>
                <w:rFonts w:cs="Arial"/>
                <w:szCs w:val="16"/>
              </w:rPr>
            </w:pPr>
            <w:r w:rsidRPr="00FC0108">
              <w:rPr>
                <w:rFonts w:cs="Arial"/>
                <w:szCs w:val="16"/>
              </w:rPr>
              <w:t>0.00%</w:t>
            </w:r>
          </w:p>
        </w:tc>
      </w:tr>
      <w:tr w:rsidR="005C29F8" w:rsidRPr="005C29F8" w14:paraId="779019AB" w14:textId="1FD48572" w:rsidTr="00AB0D6A">
        <w:trPr>
          <w:trHeight w:val="361"/>
        </w:trPr>
        <w:tc>
          <w:tcPr>
            <w:tcW w:w="3406" w:type="pct"/>
            <w:shd w:val="clear" w:color="auto" w:fill="auto"/>
            <w:vAlign w:val="center"/>
          </w:tcPr>
          <w:p w14:paraId="6E7F23F0" w14:textId="77777777" w:rsidR="00A86385" w:rsidRPr="00FC0108" w:rsidRDefault="00A86385" w:rsidP="00A86385">
            <w:pPr>
              <w:rPr>
                <w:rFonts w:cs="Arial"/>
                <w:szCs w:val="16"/>
              </w:rPr>
            </w:pPr>
            <w:r w:rsidRPr="00FC0108">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FC0108" w:rsidRDefault="002B7490" w:rsidP="00A018D4">
            <w:pPr>
              <w:jc w:val="center"/>
              <w:rPr>
                <w:rFonts w:cs="Arial"/>
                <w:szCs w:val="16"/>
              </w:rPr>
            </w:pPr>
            <w:r w:rsidRPr="00FC0108">
              <w:rPr>
                <w:rFonts w:cs="Arial"/>
                <w:szCs w:val="16"/>
              </w:rPr>
              <w:t>0</w:t>
            </w:r>
          </w:p>
        </w:tc>
        <w:tc>
          <w:tcPr>
            <w:tcW w:w="797" w:type="pct"/>
            <w:shd w:val="clear" w:color="auto" w:fill="auto"/>
            <w:vAlign w:val="center"/>
          </w:tcPr>
          <w:p w14:paraId="371019D1" w14:textId="49035C13" w:rsidR="00A86385" w:rsidRPr="00FC0108" w:rsidRDefault="002B7490" w:rsidP="00A018D4">
            <w:pPr>
              <w:jc w:val="center"/>
              <w:rPr>
                <w:rFonts w:cs="Arial"/>
                <w:szCs w:val="16"/>
              </w:rPr>
            </w:pPr>
            <w:r w:rsidRPr="00FC0108">
              <w:rPr>
                <w:rFonts w:cs="Arial"/>
                <w:szCs w:val="16"/>
              </w:rPr>
              <w:t>0.00%</w:t>
            </w:r>
          </w:p>
        </w:tc>
      </w:tr>
      <w:tr w:rsidR="005C29F8" w:rsidRPr="005C29F8" w14:paraId="3A078806" w14:textId="7FBB31A0" w:rsidTr="00AB0D6A">
        <w:trPr>
          <w:trHeight w:val="361"/>
        </w:trPr>
        <w:tc>
          <w:tcPr>
            <w:tcW w:w="3406" w:type="pct"/>
            <w:shd w:val="clear" w:color="auto" w:fill="auto"/>
            <w:vAlign w:val="center"/>
          </w:tcPr>
          <w:p w14:paraId="6E35A4C3" w14:textId="77777777" w:rsidR="00A86385" w:rsidRPr="00FC0108" w:rsidRDefault="00A86385" w:rsidP="00A86385">
            <w:pPr>
              <w:rPr>
                <w:rFonts w:cs="Arial"/>
                <w:szCs w:val="16"/>
              </w:rPr>
            </w:pPr>
            <w:r w:rsidRPr="00FC0108">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FC0108" w:rsidRDefault="002B7490" w:rsidP="00A018D4">
            <w:pPr>
              <w:jc w:val="center"/>
              <w:rPr>
                <w:rFonts w:cs="Arial"/>
                <w:szCs w:val="16"/>
              </w:rPr>
            </w:pPr>
            <w:r w:rsidRPr="00FC0108">
              <w:rPr>
                <w:rFonts w:cs="Arial"/>
                <w:szCs w:val="16"/>
              </w:rPr>
              <w:t>17</w:t>
            </w:r>
          </w:p>
        </w:tc>
        <w:tc>
          <w:tcPr>
            <w:tcW w:w="797" w:type="pct"/>
            <w:shd w:val="clear" w:color="auto" w:fill="auto"/>
            <w:vAlign w:val="center"/>
          </w:tcPr>
          <w:p w14:paraId="4B6BCB00" w14:textId="047D3E20" w:rsidR="00A86385" w:rsidRPr="00FC0108" w:rsidRDefault="002B7490" w:rsidP="00A018D4">
            <w:pPr>
              <w:jc w:val="center"/>
              <w:rPr>
                <w:rFonts w:cs="Arial"/>
                <w:szCs w:val="16"/>
              </w:rPr>
            </w:pPr>
            <w:r w:rsidRPr="00FC0108">
              <w:rPr>
                <w:rFonts w:cs="Arial"/>
                <w:szCs w:val="16"/>
              </w:rPr>
              <w:t>48.57%</w:t>
            </w:r>
          </w:p>
        </w:tc>
      </w:tr>
      <w:tr w:rsidR="005C29F8" w:rsidRPr="005C29F8" w14:paraId="37EE0376" w14:textId="01578CDB" w:rsidTr="00AB0D6A">
        <w:trPr>
          <w:trHeight w:val="361"/>
        </w:trPr>
        <w:tc>
          <w:tcPr>
            <w:tcW w:w="3406" w:type="pct"/>
            <w:shd w:val="clear" w:color="auto" w:fill="auto"/>
            <w:vAlign w:val="center"/>
          </w:tcPr>
          <w:p w14:paraId="4DFA1510" w14:textId="77777777" w:rsidR="00A86385" w:rsidRPr="00FC0108" w:rsidRDefault="00A86385" w:rsidP="00A86385">
            <w:pPr>
              <w:rPr>
                <w:rFonts w:cs="Arial"/>
                <w:szCs w:val="16"/>
              </w:rPr>
            </w:pPr>
            <w:r w:rsidRPr="00FC0108">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FC0108" w:rsidRDefault="002B7490" w:rsidP="00A018D4">
            <w:pPr>
              <w:jc w:val="center"/>
              <w:rPr>
                <w:rFonts w:cs="Arial"/>
                <w:szCs w:val="16"/>
              </w:rPr>
            </w:pPr>
            <w:r w:rsidRPr="00FC0108">
              <w:rPr>
                <w:rFonts w:cs="Arial"/>
                <w:szCs w:val="16"/>
              </w:rPr>
              <w:t>14</w:t>
            </w:r>
          </w:p>
        </w:tc>
        <w:tc>
          <w:tcPr>
            <w:tcW w:w="797" w:type="pct"/>
            <w:shd w:val="clear" w:color="auto" w:fill="auto"/>
            <w:vAlign w:val="center"/>
          </w:tcPr>
          <w:p w14:paraId="16C35679" w14:textId="25F05A91" w:rsidR="00A86385" w:rsidRPr="00FC0108" w:rsidRDefault="002B7490" w:rsidP="00A018D4">
            <w:pPr>
              <w:jc w:val="center"/>
              <w:rPr>
                <w:rFonts w:cs="Arial"/>
                <w:szCs w:val="16"/>
              </w:rPr>
            </w:pPr>
            <w:r w:rsidRPr="00FC0108">
              <w:rPr>
                <w:rFonts w:cs="Arial"/>
                <w:szCs w:val="16"/>
              </w:rPr>
              <w:t>40.00%</w:t>
            </w:r>
          </w:p>
        </w:tc>
      </w:tr>
      <w:tr w:rsidR="005C29F8" w:rsidRPr="005C29F8" w14:paraId="2EAC8E4E" w14:textId="5ED91A2D" w:rsidTr="00AB0D6A">
        <w:trPr>
          <w:trHeight w:val="361"/>
        </w:trPr>
        <w:tc>
          <w:tcPr>
            <w:tcW w:w="3406" w:type="pct"/>
            <w:shd w:val="clear" w:color="auto" w:fill="auto"/>
            <w:vAlign w:val="center"/>
          </w:tcPr>
          <w:p w14:paraId="4107A866" w14:textId="77777777" w:rsidR="00A86385" w:rsidRPr="00FC0108" w:rsidRDefault="00A86385" w:rsidP="00A86385">
            <w:pPr>
              <w:rPr>
                <w:rFonts w:cs="Arial"/>
                <w:szCs w:val="16"/>
              </w:rPr>
            </w:pPr>
            <w:r w:rsidRPr="00FC0108">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FC0108" w:rsidRDefault="002B7490" w:rsidP="00A018D4">
            <w:pPr>
              <w:jc w:val="center"/>
              <w:rPr>
                <w:rFonts w:cs="Arial"/>
                <w:szCs w:val="16"/>
              </w:rPr>
            </w:pPr>
            <w:r w:rsidRPr="00FC0108">
              <w:rPr>
                <w:rFonts w:cs="Arial"/>
                <w:szCs w:val="16"/>
              </w:rPr>
              <w:t>4</w:t>
            </w:r>
          </w:p>
        </w:tc>
        <w:tc>
          <w:tcPr>
            <w:tcW w:w="797" w:type="pct"/>
            <w:shd w:val="clear" w:color="auto" w:fill="auto"/>
            <w:vAlign w:val="center"/>
          </w:tcPr>
          <w:p w14:paraId="49CE1ADC" w14:textId="7D7D7E9C" w:rsidR="00A86385" w:rsidRPr="00FC0108" w:rsidRDefault="002B7490" w:rsidP="00A018D4">
            <w:pPr>
              <w:jc w:val="center"/>
              <w:rPr>
                <w:rFonts w:cs="Arial"/>
                <w:szCs w:val="16"/>
              </w:rPr>
            </w:pPr>
            <w:r w:rsidRPr="00FC0108">
              <w:rPr>
                <w:rFonts w:cs="Arial"/>
                <w:szCs w:val="16"/>
              </w:rPr>
              <w:t>11.43%</w:t>
            </w:r>
          </w:p>
        </w:tc>
      </w:tr>
    </w:tbl>
    <w:p w14:paraId="2CDC19A8"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5C29F8" w14:paraId="3D9EEDAD" w14:textId="30B2445F" w:rsidTr="00AB0D6A">
        <w:trPr>
          <w:trHeight w:val="354"/>
          <w:tblHeader/>
        </w:trPr>
        <w:tc>
          <w:tcPr>
            <w:tcW w:w="1040" w:type="pct"/>
            <w:shd w:val="clear" w:color="auto" w:fill="auto"/>
            <w:vAlign w:val="bottom"/>
          </w:tcPr>
          <w:p w14:paraId="12D11B46" w14:textId="1FAAAC6F" w:rsidR="00E13B95" w:rsidRPr="005C29F8" w:rsidRDefault="003E11AE" w:rsidP="0033429D">
            <w:pPr>
              <w:rPr>
                <w:rFonts w:cs="Arial"/>
                <w:color w:val="000000" w:themeColor="text1"/>
                <w:szCs w:val="16"/>
              </w:rPr>
            </w:pPr>
            <w:r w:rsidRPr="0033429D">
              <w:rPr>
                <w:rFonts w:cs="Arial"/>
                <w:b/>
                <w:color w:val="000000" w:themeColor="text1"/>
                <w:szCs w:val="16"/>
              </w:rPr>
              <w:t>Outcome A</w:t>
            </w:r>
          </w:p>
        </w:tc>
        <w:tc>
          <w:tcPr>
            <w:tcW w:w="531" w:type="pct"/>
            <w:shd w:val="clear" w:color="auto" w:fill="auto"/>
            <w:vAlign w:val="bottom"/>
          </w:tcPr>
          <w:p w14:paraId="7B100CB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Numerator</w:t>
            </w:r>
          </w:p>
        </w:tc>
        <w:tc>
          <w:tcPr>
            <w:tcW w:w="572" w:type="pct"/>
            <w:shd w:val="clear" w:color="auto" w:fill="auto"/>
            <w:vAlign w:val="bottom"/>
          </w:tcPr>
          <w:p w14:paraId="31C4C2D7" w14:textId="77777777" w:rsidR="00E13B95" w:rsidRPr="005C29F8" w:rsidRDefault="00E13B95" w:rsidP="00681BA6">
            <w:pPr>
              <w:jc w:val="center"/>
              <w:rPr>
                <w:rFonts w:cs="Arial"/>
                <w:b/>
                <w:color w:val="000000" w:themeColor="text1"/>
                <w:szCs w:val="16"/>
              </w:rPr>
            </w:pPr>
            <w:r w:rsidRPr="005C29F8">
              <w:rPr>
                <w:rFonts w:cs="Arial"/>
                <w:b/>
                <w:color w:val="000000" w:themeColor="text1"/>
                <w:szCs w:val="16"/>
              </w:rPr>
              <w:t>Denominator</w:t>
            </w:r>
          </w:p>
        </w:tc>
        <w:tc>
          <w:tcPr>
            <w:tcW w:w="571" w:type="pct"/>
            <w:shd w:val="clear" w:color="auto" w:fill="auto"/>
            <w:vAlign w:val="bottom"/>
          </w:tcPr>
          <w:p w14:paraId="1634F3BC" w14:textId="08D078C4" w:rsidR="00E13B95"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72" w:type="pct"/>
            <w:shd w:val="clear" w:color="auto" w:fill="auto"/>
            <w:vAlign w:val="bottom"/>
          </w:tcPr>
          <w:p w14:paraId="41DCEE89" w14:textId="40B5ABBB"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64737D68" w14:textId="1489FC12" w:rsidR="00E13B95" w:rsidRPr="005C29F8" w:rsidRDefault="00E13B95" w:rsidP="00681BA6">
            <w:pPr>
              <w:jc w:val="center"/>
              <w:rPr>
                <w:rFonts w:cs="Arial"/>
                <w:b/>
                <w:color w:val="000000" w:themeColor="text1"/>
                <w:szCs w:val="16"/>
              </w:rPr>
            </w:pPr>
            <w:r w:rsidRPr="005C29F8">
              <w:rPr>
                <w:rFonts w:cs="Arial"/>
                <w:b/>
                <w:color w:val="000000" w:themeColor="text1"/>
                <w:szCs w:val="16"/>
              </w:rPr>
              <w:t>FFY 2019 Data</w:t>
            </w:r>
          </w:p>
        </w:tc>
        <w:tc>
          <w:tcPr>
            <w:tcW w:w="572" w:type="pct"/>
            <w:shd w:val="clear" w:color="auto" w:fill="auto"/>
            <w:vAlign w:val="bottom"/>
          </w:tcPr>
          <w:p w14:paraId="4592E227" w14:textId="424684DB" w:rsidR="00E13B95" w:rsidRPr="005C29F8" w:rsidRDefault="00E13B95" w:rsidP="00681BA6">
            <w:pPr>
              <w:jc w:val="center"/>
              <w:rPr>
                <w:rFonts w:cs="Arial"/>
                <w:b/>
                <w:color w:val="000000" w:themeColor="text1"/>
                <w:szCs w:val="16"/>
              </w:rPr>
            </w:pPr>
            <w:r w:rsidRPr="005C29F8">
              <w:rPr>
                <w:rFonts w:cs="Arial"/>
                <w:b/>
                <w:color w:val="000000" w:themeColor="text1"/>
                <w:szCs w:val="16"/>
              </w:rPr>
              <w:t>Status</w:t>
            </w:r>
          </w:p>
        </w:tc>
        <w:tc>
          <w:tcPr>
            <w:tcW w:w="572" w:type="pct"/>
            <w:shd w:val="clear" w:color="auto" w:fill="auto"/>
            <w:vAlign w:val="bottom"/>
          </w:tcPr>
          <w:p w14:paraId="41F5B2E6" w14:textId="7085A5D7" w:rsidR="00E13B95" w:rsidRPr="005C29F8" w:rsidRDefault="00E13B95"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B94B2E" w14:textId="09DCF8DA" w:rsidTr="00AB0D6A">
        <w:trPr>
          <w:trHeight w:val="361"/>
        </w:trPr>
        <w:tc>
          <w:tcPr>
            <w:tcW w:w="1040" w:type="pct"/>
            <w:shd w:val="clear" w:color="auto" w:fill="auto"/>
          </w:tcPr>
          <w:p w14:paraId="42653FFD" w14:textId="308747A7" w:rsidR="00A86385" w:rsidRPr="005C29F8" w:rsidRDefault="00A86385" w:rsidP="00A018D4">
            <w:pPr>
              <w:rPr>
                <w:rFonts w:cs="Arial"/>
                <w:color w:val="000000" w:themeColor="text1"/>
                <w:szCs w:val="16"/>
              </w:rPr>
            </w:pPr>
            <w:r w:rsidRPr="005C29F8">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w:t>
            </w:r>
            <w:r w:rsidRPr="005C29F8">
              <w:rPr>
                <w:rFonts w:cs="Arial"/>
                <w:color w:val="000000" w:themeColor="text1"/>
                <w:szCs w:val="16"/>
              </w:rPr>
              <w:lastRenderedPageBreak/>
              <w:t xml:space="preserve">or exited the program. </w:t>
            </w:r>
            <w:r w:rsidR="00401663" w:rsidRPr="005C29F8">
              <w:rPr>
                <w:rFonts w:cs="Arial"/>
                <w:i/>
                <w:color w:val="000000" w:themeColor="text1"/>
                <w:szCs w:val="16"/>
              </w:rPr>
              <w:t>C</w:t>
            </w:r>
            <w:r w:rsidRPr="005C29F8">
              <w:rPr>
                <w:rFonts w:cs="Arial"/>
                <w:i/>
                <w:color w:val="000000" w:themeColor="text1"/>
                <w:szCs w:val="16"/>
              </w:rPr>
              <w:t>alculation:(</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31" w:type="pct"/>
            <w:shd w:val="clear" w:color="auto" w:fill="auto"/>
            <w:vAlign w:val="center"/>
          </w:tcPr>
          <w:p w14:paraId="4154B7AF" w14:textId="22483590" w:rsidR="00A86385" w:rsidRPr="005C29F8" w:rsidRDefault="002B7490" w:rsidP="00A86385">
            <w:pPr>
              <w:jc w:val="center"/>
              <w:rPr>
                <w:rFonts w:cs="Arial"/>
                <w:color w:val="000000" w:themeColor="text1"/>
                <w:szCs w:val="16"/>
              </w:rPr>
            </w:pPr>
            <w:r w:rsidRPr="005C29F8">
              <w:rPr>
                <w:rFonts w:cs="Arial"/>
                <w:color w:val="000000" w:themeColor="text1"/>
                <w:szCs w:val="16"/>
              </w:rPr>
              <w:lastRenderedPageBreak/>
              <w:t>31</w:t>
            </w:r>
          </w:p>
        </w:tc>
        <w:tc>
          <w:tcPr>
            <w:tcW w:w="572" w:type="pct"/>
            <w:shd w:val="clear" w:color="auto" w:fill="auto"/>
            <w:vAlign w:val="center"/>
          </w:tcPr>
          <w:p w14:paraId="6A178831" w14:textId="564F7234" w:rsidR="00A86385" w:rsidRPr="005C29F8" w:rsidRDefault="002B7490" w:rsidP="00A86385">
            <w:pPr>
              <w:jc w:val="center"/>
              <w:rPr>
                <w:rFonts w:cs="Arial"/>
                <w:color w:val="000000" w:themeColor="text1"/>
                <w:szCs w:val="16"/>
              </w:rPr>
            </w:pPr>
            <w:r w:rsidRPr="005C29F8">
              <w:rPr>
                <w:rFonts w:cs="Arial"/>
                <w:color w:val="000000" w:themeColor="text1"/>
                <w:szCs w:val="16"/>
              </w:rPr>
              <w:t>31</w:t>
            </w:r>
          </w:p>
        </w:tc>
        <w:tc>
          <w:tcPr>
            <w:tcW w:w="571" w:type="pct"/>
            <w:shd w:val="clear" w:color="auto" w:fill="auto"/>
            <w:vAlign w:val="center"/>
          </w:tcPr>
          <w:p w14:paraId="5EEC0208" w14:textId="526E193A" w:rsidR="00A86385" w:rsidRPr="005C29F8" w:rsidRDefault="002B7490" w:rsidP="00A86385">
            <w:pPr>
              <w:jc w:val="center"/>
              <w:rPr>
                <w:rFonts w:cs="Arial"/>
                <w:color w:val="000000" w:themeColor="text1"/>
                <w:szCs w:val="16"/>
              </w:rPr>
            </w:pPr>
            <w:r w:rsidRPr="005C29F8">
              <w:rPr>
                <w:rFonts w:cs="Arial"/>
                <w:color w:val="000000" w:themeColor="text1"/>
                <w:szCs w:val="16"/>
              </w:rPr>
              <w:t>89.47%</w:t>
            </w:r>
          </w:p>
        </w:tc>
        <w:tc>
          <w:tcPr>
            <w:tcW w:w="572" w:type="pct"/>
            <w:shd w:val="clear" w:color="auto" w:fill="auto"/>
            <w:vAlign w:val="center"/>
          </w:tcPr>
          <w:p w14:paraId="4FDFC172" w14:textId="02E04CF5" w:rsidR="00A86385" w:rsidRPr="005C29F8" w:rsidRDefault="003D7F56">
            <w:pPr>
              <w:jc w:val="center"/>
              <w:rPr>
                <w:color w:val="000000" w:themeColor="text1"/>
              </w:rPr>
            </w:pPr>
            <w:r w:rsidRPr="005C29F8">
              <w:rPr>
                <w:color w:val="000000" w:themeColor="text1"/>
              </w:rPr>
              <w:t>96.50%</w:t>
            </w:r>
          </w:p>
        </w:tc>
        <w:tc>
          <w:tcPr>
            <w:tcW w:w="571" w:type="pct"/>
            <w:shd w:val="clear" w:color="auto" w:fill="auto"/>
            <w:vAlign w:val="center"/>
          </w:tcPr>
          <w:p w14:paraId="23D0B4EA" w14:textId="4DE98DDB" w:rsidR="00A86385" w:rsidRPr="005C29F8" w:rsidRDefault="002B7490" w:rsidP="00A86385">
            <w:pPr>
              <w:jc w:val="center"/>
              <w:rPr>
                <w:rFonts w:cs="Arial"/>
                <w:color w:val="000000" w:themeColor="text1"/>
                <w:szCs w:val="16"/>
              </w:rPr>
            </w:pPr>
            <w:r w:rsidRPr="005C29F8">
              <w:rPr>
                <w:rFonts w:cs="Arial"/>
                <w:color w:val="000000" w:themeColor="text1"/>
                <w:szCs w:val="16"/>
              </w:rPr>
              <w:t>100.00%</w:t>
            </w:r>
          </w:p>
        </w:tc>
        <w:tc>
          <w:tcPr>
            <w:tcW w:w="572" w:type="pct"/>
            <w:shd w:val="clear" w:color="auto" w:fill="auto"/>
            <w:vAlign w:val="center"/>
          </w:tcPr>
          <w:p w14:paraId="64F5CB78" w14:textId="13F3F70F" w:rsidR="00A86385" w:rsidRPr="005C29F8" w:rsidRDefault="002B7490" w:rsidP="00A86385">
            <w:pPr>
              <w:jc w:val="center"/>
              <w:rPr>
                <w:rFonts w:cs="Arial"/>
                <w:color w:val="000000" w:themeColor="text1"/>
                <w:szCs w:val="16"/>
              </w:rPr>
            </w:pPr>
            <w:r w:rsidRPr="005C29F8">
              <w:rPr>
                <w:rFonts w:cs="Arial"/>
                <w:color w:val="000000" w:themeColor="text1"/>
                <w:szCs w:val="16"/>
              </w:rPr>
              <w:t>Met Target</w:t>
            </w:r>
          </w:p>
        </w:tc>
        <w:tc>
          <w:tcPr>
            <w:tcW w:w="572" w:type="pct"/>
            <w:shd w:val="clear" w:color="auto" w:fill="auto"/>
            <w:vAlign w:val="center"/>
          </w:tcPr>
          <w:p w14:paraId="7D4367C2" w14:textId="1159AE87"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r w:rsidR="005C29F8" w:rsidRPr="005C29F8" w14:paraId="79C043DE" w14:textId="1DF06FE5" w:rsidTr="00AB0D6A">
        <w:trPr>
          <w:trHeight w:val="361"/>
        </w:trPr>
        <w:tc>
          <w:tcPr>
            <w:tcW w:w="1040" w:type="pct"/>
            <w:shd w:val="clear" w:color="auto" w:fill="auto"/>
          </w:tcPr>
          <w:p w14:paraId="03F6659D" w14:textId="04DBF049" w:rsidR="00A86385" w:rsidRPr="005C29F8" w:rsidRDefault="00A86385" w:rsidP="00A018D4">
            <w:pPr>
              <w:rPr>
                <w:rFonts w:cs="Arial"/>
                <w:color w:val="000000" w:themeColor="text1"/>
                <w:szCs w:val="16"/>
              </w:rPr>
            </w:pPr>
            <w:r w:rsidRPr="005C29F8">
              <w:rPr>
                <w:rFonts w:cs="Arial"/>
                <w:color w:val="000000" w:themeColor="text1"/>
                <w:szCs w:val="16"/>
              </w:rPr>
              <w:t xml:space="preserve">A2. The percent of preschool children who were functioning within age expectations in Outcome A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w:t>
            </w:r>
            <w:r w:rsidR="0083466B" w:rsidRPr="005C29F8">
              <w:rPr>
                <w:rFonts w:cs="Arial"/>
                <w:i/>
                <w:color w:val="000000" w:themeColor="text1"/>
                <w:szCs w:val="16"/>
              </w:rPr>
              <w:t xml:space="preserve"> </w:t>
            </w:r>
            <w:r w:rsidRPr="005C29F8">
              <w:rPr>
                <w:rFonts w:cs="Arial"/>
                <w:i/>
                <w:color w:val="000000" w:themeColor="text1"/>
                <w:szCs w:val="16"/>
              </w:rPr>
              <w:t>(</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31" w:type="pct"/>
            <w:shd w:val="clear" w:color="auto" w:fill="auto"/>
            <w:vAlign w:val="center"/>
          </w:tcPr>
          <w:p w14:paraId="1EA4F3E8" w14:textId="01AC6416" w:rsidR="00A86385" w:rsidRPr="005C29F8" w:rsidRDefault="002B7490" w:rsidP="00A86385">
            <w:pPr>
              <w:jc w:val="center"/>
              <w:rPr>
                <w:rFonts w:cs="Arial"/>
                <w:color w:val="000000" w:themeColor="text1"/>
                <w:szCs w:val="16"/>
              </w:rPr>
            </w:pPr>
            <w:r w:rsidRPr="005C29F8">
              <w:rPr>
                <w:rFonts w:cs="Arial"/>
                <w:color w:val="000000" w:themeColor="text1"/>
                <w:szCs w:val="16"/>
              </w:rPr>
              <w:t>18</w:t>
            </w:r>
          </w:p>
        </w:tc>
        <w:tc>
          <w:tcPr>
            <w:tcW w:w="572" w:type="pct"/>
            <w:shd w:val="clear" w:color="auto" w:fill="auto"/>
            <w:vAlign w:val="center"/>
          </w:tcPr>
          <w:p w14:paraId="392DC3C7" w14:textId="706433AB" w:rsidR="00A86385" w:rsidRPr="005C29F8" w:rsidRDefault="002B7490" w:rsidP="00A86385">
            <w:pPr>
              <w:jc w:val="center"/>
              <w:rPr>
                <w:rFonts w:cs="Arial"/>
                <w:color w:val="000000" w:themeColor="text1"/>
                <w:szCs w:val="16"/>
              </w:rPr>
            </w:pPr>
            <w:r w:rsidRPr="005C29F8">
              <w:rPr>
                <w:rFonts w:cs="Arial"/>
                <w:color w:val="000000" w:themeColor="text1"/>
                <w:szCs w:val="16"/>
              </w:rPr>
              <w:t>35</w:t>
            </w:r>
          </w:p>
        </w:tc>
        <w:tc>
          <w:tcPr>
            <w:tcW w:w="571" w:type="pct"/>
            <w:shd w:val="clear" w:color="auto" w:fill="auto"/>
            <w:vAlign w:val="center"/>
          </w:tcPr>
          <w:p w14:paraId="480CDC79" w14:textId="4F1F0DEC" w:rsidR="00A86385" w:rsidRPr="005C29F8" w:rsidRDefault="002B7490" w:rsidP="00A86385">
            <w:pPr>
              <w:jc w:val="center"/>
              <w:rPr>
                <w:rFonts w:cs="Arial"/>
                <w:color w:val="000000" w:themeColor="text1"/>
                <w:szCs w:val="16"/>
              </w:rPr>
            </w:pPr>
            <w:r w:rsidRPr="005C29F8">
              <w:rPr>
                <w:rFonts w:cs="Arial"/>
                <w:color w:val="000000" w:themeColor="text1"/>
                <w:szCs w:val="16"/>
              </w:rPr>
              <w:t>39.13%</w:t>
            </w:r>
          </w:p>
        </w:tc>
        <w:tc>
          <w:tcPr>
            <w:tcW w:w="572" w:type="pct"/>
            <w:shd w:val="clear" w:color="auto" w:fill="auto"/>
            <w:vAlign w:val="center"/>
          </w:tcPr>
          <w:p w14:paraId="4E37244D" w14:textId="286AF534" w:rsidR="00A86385" w:rsidRPr="005C29F8" w:rsidRDefault="003D7F56">
            <w:pPr>
              <w:jc w:val="center"/>
              <w:rPr>
                <w:color w:val="000000" w:themeColor="text1"/>
              </w:rPr>
            </w:pPr>
            <w:r w:rsidRPr="005C29F8">
              <w:rPr>
                <w:color w:val="000000" w:themeColor="text1"/>
              </w:rPr>
              <w:t>57.00%</w:t>
            </w:r>
          </w:p>
        </w:tc>
        <w:tc>
          <w:tcPr>
            <w:tcW w:w="571" w:type="pct"/>
            <w:shd w:val="clear" w:color="auto" w:fill="auto"/>
            <w:vAlign w:val="center"/>
          </w:tcPr>
          <w:p w14:paraId="2BBC817C" w14:textId="65BC2730" w:rsidR="00A86385" w:rsidRPr="005C29F8" w:rsidRDefault="002B7490" w:rsidP="00A86385">
            <w:pPr>
              <w:jc w:val="center"/>
              <w:rPr>
                <w:rFonts w:cs="Arial"/>
                <w:color w:val="000000" w:themeColor="text1"/>
                <w:szCs w:val="16"/>
              </w:rPr>
            </w:pPr>
            <w:r w:rsidRPr="005C29F8">
              <w:rPr>
                <w:rFonts w:cs="Arial"/>
                <w:color w:val="000000" w:themeColor="text1"/>
                <w:szCs w:val="16"/>
              </w:rPr>
              <w:t>51.43%</w:t>
            </w:r>
          </w:p>
        </w:tc>
        <w:tc>
          <w:tcPr>
            <w:tcW w:w="572" w:type="pct"/>
            <w:shd w:val="clear" w:color="auto" w:fill="auto"/>
            <w:vAlign w:val="center"/>
          </w:tcPr>
          <w:p w14:paraId="3AC16CE0" w14:textId="7E3856A4" w:rsidR="00A86385" w:rsidRPr="005C29F8" w:rsidRDefault="002B7490" w:rsidP="00A86385">
            <w:pPr>
              <w:jc w:val="center"/>
              <w:rPr>
                <w:rFonts w:cs="Arial"/>
                <w:color w:val="000000" w:themeColor="text1"/>
                <w:szCs w:val="16"/>
              </w:rPr>
            </w:pPr>
            <w:r w:rsidRPr="005C29F8">
              <w:rPr>
                <w:rFonts w:cs="Arial"/>
                <w:color w:val="000000" w:themeColor="text1"/>
                <w:szCs w:val="16"/>
              </w:rPr>
              <w:t>Did Not Meet Target</w:t>
            </w:r>
          </w:p>
        </w:tc>
        <w:tc>
          <w:tcPr>
            <w:tcW w:w="572" w:type="pct"/>
            <w:shd w:val="clear" w:color="auto" w:fill="auto"/>
            <w:vAlign w:val="center"/>
          </w:tcPr>
          <w:p w14:paraId="2C0165C1" w14:textId="5260DB98" w:rsidR="00A86385" w:rsidRPr="005C29F8" w:rsidRDefault="002B7490" w:rsidP="00A86385">
            <w:pPr>
              <w:jc w:val="center"/>
              <w:rPr>
                <w:rFonts w:cs="Arial"/>
                <w:color w:val="000000" w:themeColor="text1"/>
                <w:szCs w:val="16"/>
              </w:rPr>
            </w:pPr>
            <w:r w:rsidRPr="005C29F8">
              <w:rPr>
                <w:rFonts w:cs="Arial"/>
                <w:color w:val="000000" w:themeColor="text1"/>
                <w:szCs w:val="16"/>
              </w:rPr>
              <w:t>No Slippage</w:t>
            </w:r>
          </w:p>
        </w:tc>
      </w:tr>
    </w:tbl>
    <w:p w14:paraId="43C6FD6E" w14:textId="77777777" w:rsidR="00A80FEB" w:rsidRPr="005C29F8" w:rsidRDefault="00A80FEB" w:rsidP="004369B2">
      <w:pPr>
        <w:rPr>
          <w:color w:val="000000" w:themeColor="text1"/>
        </w:rPr>
      </w:pPr>
      <w:r w:rsidRPr="005C29F8">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5C29F8" w14:paraId="637A7029" w14:textId="2CDA80A7" w:rsidTr="0033429D">
        <w:trPr>
          <w:trHeight w:val="361"/>
          <w:tblHeader/>
        </w:trPr>
        <w:tc>
          <w:tcPr>
            <w:tcW w:w="3349" w:type="pct"/>
            <w:shd w:val="clear" w:color="auto" w:fill="auto"/>
            <w:vAlign w:val="bottom"/>
          </w:tcPr>
          <w:p w14:paraId="43F5435F" w14:textId="01DC1145" w:rsidR="00E13B95" w:rsidRPr="005C29F8" w:rsidRDefault="003E11AE" w:rsidP="0024351A">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sidR="009028CA">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33266842" w14:textId="77777777" w:rsidR="00E13B95" w:rsidRPr="005C29F8" w:rsidRDefault="00E13B95"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5864E39" w14:textId="3FAA808D" w:rsidR="00E13B95" w:rsidRPr="005C29F8" w:rsidRDefault="00E13B95"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5E399615" w14:textId="1C73CC75" w:rsidTr="00AB0D6A">
        <w:trPr>
          <w:trHeight w:val="361"/>
        </w:trPr>
        <w:tc>
          <w:tcPr>
            <w:tcW w:w="3349" w:type="pct"/>
            <w:shd w:val="clear" w:color="auto" w:fill="auto"/>
          </w:tcPr>
          <w:p w14:paraId="6B2DB9F8"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1775FA0" w14:textId="7E6665F3"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EABFD05" w14:textId="7B9C3CA9" w:rsidTr="00AB0D6A">
        <w:trPr>
          <w:trHeight w:val="361"/>
        </w:trPr>
        <w:tc>
          <w:tcPr>
            <w:tcW w:w="3349" w:type="pct"/>
            <w:shd w:val="clear" w:color="auto" w:fill="auto"/>
          </w:tcPr>
          <w:p w14:paraId="623F83AF"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5C29F8" w:rsidRDefault="002B7490" w:rsidP="00A018D4">
            <w:pPr>
              <w:jc w:val="center"/>
              <w:rPr>
                <w:rFonts w:cs="Arial"/>
                <w:color w:val="000000" w:themeColor="text1"/>
                <w:szCs w:val="16"/>
              </w:rPr>
            </w:pPr>
            <w:r w:rsidRPr="005C29F8">
              <w:rPr>
                <w:rFonts w:cs="Arial"/>
                <w:color w:val="000000" w:themeColor="text1"/>
                <w:szCs w:val="16"/>
              </w:rPr>
              <w:t>1</w:t>
            </w:r>
          </w:p>
        </w:tc>
        <w:tc>
          <w:tcPr>
            <w:tcW w:w="825" w:type="pct"/>
            <w:shd w:val="clear" w:color="auto" w:fill="auto"/>
            <w:vAlign w:val="center"/>
          </w:tcPr>
          <w:p w14:paraId="33D020CC" w14:textId="0314A001" w:rsidR="00A86385" w:rsidRPr="005C29F8" w:rsidRDefault="002B7490" w:rsidP="00A018D4">
            <w:pPr>
              <w:jc w:val="center"/>
              <w:rPr>
                <w:rFonts w:cs="Arial"/>
                <w:color w:val="000000" w:themeColor="text1"/>
                <w:szCs w:val="16"/>
              </w:rPr>
            </w:pPr>
            <w:r w:rsidRPr="005C29F8">
              <w:rPr>
                <w:rFonts w:cs="Arial"/>
                <w:color w:val="000000" w:themeColor="text1"/>
                <w:szCs w:val="16"/>
              </w:rPr>
              <w:t>2.86%</w:t>
            </w:r>
          </w:p>
        </w:tc>
      </w:tr>
      <w:tr w:rsidR="005C29F8" w:rsidRPr="005C29F8" w14:paraId="2AFEEE7C" w14:textId="52870042" w:rsidTr="00AB0D6A">
        <w:trPr>
          <w:trHeight w:val="361"/>
        </w:trPr>
        <w:tc>
          <w:tcPr>
            <w:tcW w:w="3349" w:type="pct"/>
            <w:shd w:val="clear" w:color="auto" w:fill="auto"/>
          </w:tcPr>
          <w:p w14:paraId="77166FC5"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5C29F8" w:rsidRDefault="002B7490" w:rsidP="00A018D4">
            <w:pPr>
              <w:jc w:val="center"/>
              <w:rPr>
                <w:rFonts w:cs="Arial"/>
                <w:color w:val="000000" w:themeColor="text1"/>
                <w:szCs w:val="16"/>
              </w:rPr>
            </w:pPr>
            <w:r w:rsidRPr="005C29F8">
              <w:rPr>
                <w:rFonts w:cs="Arial"/>
                <w:color w:val="000000" w:themeColor="text1"/>
                <w:szCs w:val="16"/>
              </w:rPr>
              <w:t>25</w:t>
            </w:r>
          </w:p>
        </w:tc>
        <w:tc>
          <w:tcPr>
            <w:tcW w:w="825" w:type="pct"/>
            <w:shd w:val="clear" w:color="auto" w:fill="auto"/>
            <w:vAlign w:val="center"/>
          </w:tcPr>
          <w:p w14:paraId="2021CF20" w14:textId="181B68B8" w:rsidR="00A86385" w:rsidRPr="005C29F8" w:rsidRDefault="002B7490" w:rsidP="00A018D4">
            <w:pPr>
              <w:jc w:val="center"/>
              <w:rPr>
                <w:rFonts w:cs="Arial"/>
                <w:color w:val="000000" w:themeColor="text1"/>
                <w:szCs w:val="16"/>
              </w:rPr>
            </w:pPr>
            <w:r w:rsidRPr="005C29F8">
              <w:rPr>
                <w:rFonts w:cs="Arial"/>
                <w:color w:val="000000" w:themeColor="text1"/>
                <w:szCs w:val="16"/>
              </w:rPr>
              <w:t>71.43%</w:t>
            </w:r>
          </w:p>
        </w:tc>
      </w:tr>
      <w:tr w:rsidR="005C29F8" w:rsidRPr="005C29F8" w14:paraId="5D450E84" w14:textId="4C13CEB9" w:rsidTr="00AB0D6A">
        <w:trPr>
          <w:trHeight w:val="361"/>
        </w:trPr>
        <w:tc>
          <w:tcPr>
            <w:tcW w:w="3349" w:type="pct"/>
            <w:shd w:val="clear" w:color="auto" w:fill="auto"/>
          </w:tcPr>
          <w:p w14:paraId="110FD587"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825" w:type="pct"/>
            <w:shd w:val="clear" w:color="auto" w:fill="auto"/>
            <w:vAlign w:val="center"/>
          </w:tcPr>
          <w:p w14:paraId="2EEE6FB7" w14:textId="6E8D11C4" w:rsidR="00A86385" w:rsidRPr="005C29F8" w:rsidRDefault="002B7490" w:rsidP="00A018D4">
            <w:pPr>
              <w:jc w:val="center"/>
              <w:rPr>
                <w:rFonts w:cs="Arial"/>
                <w:color w:val="000000" w:themeColor="text1"/>
                <w:szCs w:val="16"/>
              </w:rPr>
            </w:pPr>
            <w:r w:rsidRPr="005C29F8">
              <w:rPr>
                <w:rFonts w:cs="Arial"/>
                <w:color w:val="000000" w:themeColor="text1"/>
                <w:szCs w:val="16"/>
              </w:rPr>
              <w:t>20.00%</w:t>
            </w:r>
          </w:p>
        </w:tc>
      </w:tr>
      <w:tr w:rsidR="005C29F8" w:rsidRPr="005C29F8" w14:paraId="108FFB57" w14:textId="0C409786" w:rsidTr="00AB0D6A">
        <w:trPr>
          <w:trHeight w:val="361"/>
        </w:trPr>
        <w:tc>
          <w:tcPr>
            <w:tcW w:w="3349" w:type="pct"/>
            <w:shd w:val="clear" w:color="auto" w:fill="auto"/>
          </w:tcPr>
          <w:p w14:paraId="3D4AD278"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5C29F8" w:rsidRDefault="002B7490" w:rsidP="00A018D4">
            <w:pPr>
              <w:jc w:val="center"/>
              <w:rPr>
                <w:rFonts w:cs="Arial"/>
                <w:color w:val="000000" w:themeColor="text1"/>
                <w:szCs w:val="16"/>
              </w:rPr>
            </w:pPr>
            <w:r w:rsidRPr="005C29F8">
              <w:rPr>
                <w:rFonts w:cs="Arial"/>
                <w:color w:val="000000" w:themeColor="text1"/>
                <w:szCs w:val="16"/>
              </w:rPr>
              <w:t>2</w:t>
            </w:r>
          </w:p>
        </w:tc>
        <w:tc>
          <w:tcPr>
            <w:tcW w:w="825" w:type="pct"/>
            <w:shd w:val="clear" w:color="auto" w:fill="auto"/>
            <w:vAlign w:val="center"/>
          </w:tcPr>
          <w:p w14:paraId="2501B391" w14:textId="1634A6F5" w:rsidR="00A86385" w:rsidRPr="005C29F8" w:rsidRDefault="002B7490" w:rsidP="00A018D4">
            <w:pPr>
              <w:jc w:val="center"/>
              <w:rPr>
                <w:rFonts w:cs="Arial"/>
                <w:color w:val="000000" w:themeColor="text1"/>
                <w:szCs w:val="16"/>
              </w:rPr>
            </w:pPr>
            <w:r w:rsidRPr="005C29F8">
              <w:rPr>
                <w:rFonts w:cs="Arial"/>
                <w:color w:val="000000" w:themeColor="text1"/>
                <w:szCs w:val="16"/>
              </w:rPr>
              <w:t>5.71%</w:t>
            </w:r>
          </w:p>
        </w:tc>
      </w:tr>
    </w:tbl>
    <w:p w14:paraId="7EA9F2D2"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5C29F8" w14:paraId="29447607" w14:textId="4B3B706C" w:rsidTr="00AB0D6A">
        <w:trPr>
          <w:tblHeader/>
        </w:trPr>
        <w:tc>
          <w:tcPr>
            <w:tcW w:w="1000" w:type="pct"/>
            <w:shd w:val="clear" w:color="auto" w:fill="auto"/>
            <w:vAlign w:val="bottom"/>
          </w:tcPr>
          <w:p w14:paraId="58D567A9" w14:textId="7BD30860" w:rsidR="00E13B95" w:rsidRPr="005C29F8" w:rsidRDefault="009028CA" w:rsidP="004369B2">
            <w:pPr>
              <w:rPr>
                <w:b/>
                <w:color w:val="000000" w:themeColor="text1"/>
              </w:rPr>
            </w:pPr>
            <w:r>
              <w:rPr>
                <w:b/>
                <w:color w:val="000000" w:themeColor="text1"/>
              </w:rPr>
              <w:t>Outcome B</w:t>
            </w:r>
          </w:p>
        </w:tc>
        <w:tc>
          <w:tcPr>
            <w:tcW w:w="584" w:type="pct"/>
            <w:shd w:val="clear" w:color="auto" w:fill="auto"/>
            <w:vAlign w:val="bottom"/>
          </w:tcPr>
          <w:p w14:paraId="0DF6A486" w14:textId="77777777" w:rsidR="00E13B95" w:rsidRPr="005C29F8" w:rsidRDefault="00E13B95" w:rsidP="004369B2">
            <w:pPr>
              <w:rPr>
                <w:b/>
                <w:color w:val="000000" w:themeColor="text1"/>
              </w:rPr>
            </w:pPr>
            <w:r w:rsidRPr="005C29F8">
              <w:rPr>
                <w:b/>
                <w:color w:val="000000" w:themeColor="text1"/>
              </w:rPr>
              <w:t>Numerator</w:t>
            </w:r>
          </w:p>
        </w:tc>
        <w:tc>
          <w:tcPr>
            <w:tcW w:w="585" w:type="pct"/>
            <w:shd w:val="clear" w:color="auto" w:fill="auto"/>
            <w:vAlign w:val="bottom"/>
          </w:tcPr>
          <w:p w14:paraId="4A127242" w14:textId="77777777" w:rsidR="00E13B95" w:rsidRPr="005C29F8" w:rsidRDefault="00E13B95" w:rsidP="004369B2">
            <w:pPr>
              <w:rPr>
                <w:b/>
                <w:color w:val="000000" w:themeColor="text1"/>
              </w:rPr>
            </w:pPr>
            <w:r w:rsidRPr="005C29F8">
              <w:rPr>
                <w:b/>
                <w:color w:val="000000" w:themeColor="text1"/>
              </w:rPr>
              <w:t>Denominator</w:t>
            </w:r>
          </w:p>
        </w:tc>
        <w:tc>
          <w:tcPr>
            <w:tcW w:w="543" w:type="pct"/>
            <w:shd w:val="clear" w:color="auto" w:fill="auto"/>
            <w:vAlign w:val="bottom"/>
          </w:tcPr>
          <w:p w14:paraId="03649132" w14:textId="758FF610" w:rsidR="00E13B95" w:rsidRPr="005C29F8" w:rsidRDefault="00B954DC" w:rsidP="004369B2">
            <w:pPr>
              <w:rPr>
                <w:b/>
                <w:color w:val="000000" w:themeColor="text1"/>
              </w:rPr>
            </w:pPr>
            <w:r w:rsidRPr="005C29F8">
              <w:rPr>
                <w:b/>
                <w:color w:val="000000" w:themeColor="text1"/>
              </w:rPr>
              <w:t>FFY  2018 Data</w:t>
            </w:r>
          </w:p>
        </w:tc>
        <w:tc>
          <w:tcPr>
            <w:tcW w:w="584" w:type="pct"/>
            <w:shd w:val="clear" w:color="auto" w:fill="auto"/>
            <w:vAlign w:val="bottom"/>
          </w:tcPr>
          <w:p w14:paraId="3AFAEBC5" w14:textId="2EDFB88D" w:rsidR="00E13B95" w:rsidRPr="005C29F8" w:rsidRDefault="00E13B95" w:rsidP="004369B2">
            <w:pPr>
              <w:rPr>
                <w:b/>
                <w:color w:val="000000" w:themeColor="text1"/>
              </w:rPr>
            </w:pPr>
            <w:r w:rsidRPr="005C29F8">
              <w:rPr>
                <w:b/>
                <w:color w:val="000000" w:themeColor="text1"/>
              </w:rPr>
              <w:t>FFY 2019 Target</w:t>
            </w:r>
          </w:p>
        </w:tc>
        <w:tc>
          <w:tcPr>
            <w:tcW w:w="584" w:type="pct"/>
            <w:shd w:val="clear" w:color="auto" w:fill="auto"/>
            <w:vAlign w:val="bottom"/>
          </w:tcPr>
          <w:p w14:paraId="40B6360D" w14:textId="57B7D310" w:rsidR="00E13B95" w:rsidRPr="005C29F8" w:rsidRDefault="00E13B95" w:rsidP="004369B2">
            <w:pPr>
              <w:rPr>
                <w:b/>
                <w:color w:val="000000" w:themeColor="text1"/>
              </w:rPr>
            </w:pPr>
            <w:r w:rsidRPr="005C29F8">
              <w:rPr>
                <w:b/>
                <w:color w:val="000000" w:themeColor="text1"/>
              </w:rPr>
              <w:t>FFY 2019 Data</w:t>
            </w:r>
          </w:p>
        </w:tc>
        <w:tc>
          <w:tcPr>
            <w:tcW w:w="486" w:type="pct"/>
            <w:shd w:val="clear" w:color="auto" w:fill="auto"/>
            <w:vAlign w:val="bottom"/>
          </w:tcPr>
          <w:p w14:paraId="17C85F8A" w14:textId="625B06E9" w:rsidR="00E13B95" w:rsidRPr="005C29F8" w:rsidRDefault="00E13B95" w:rsidP="004369B2">
            <w:pPr>
              <w:rPr>
                <w:b/>
                <w:color w:val="000000" w:themeColor="text1"/>
              </w:rPr>
            </w:pPr>
            <w:r w:rsidRPr="005C29F8">
              <w:rPr>
                <w:b/>
                <w:color w:val="000000" w:themeColor="text1"/>
              </w:rPr>
              <w:t>Status</w:t>
            </w:r>
          </w:p>
        </w:tc>
        <w:tc>
          <w:tcPr>
            <w:tcW w:w="635" w:type="pct"/>
            <w:shd w:val="clear" w:color="auto" w:fill="auto"/>
            <w:vAlign w:val="bottom"/>
          </w:tcPr>
          <w:p w14:paraId="4254BB19" w14:textId="15C403FF" w:rsidR="00E13B95" w:rsidRPr="005C29F8" w:rsidRDefault="00E13B95" w:rsidP="004369B2">
            <w:pPr>
              <w:rPr>
                <w:b/>
                <w:color w:val="000000" w:themeColor="text1"/>
              </w:rPr>
            </w:pPr>
            <w:r w:rsidRPr="005C29F8">
              <w:rPr>
                <w:b/>
                <w:color w:val="000000" w:themeColor="text1"/>
              </w:rPr>
              <w:t>Slippage</w:t>
            </w:r>
          </w:p>
        </w:tc>
      </w:tr>
      <w:tr w:rsidR="005C29F8" w:rsidRPr="005C29F8" w14:paraId="6493B1D4" w14:textId="479A7C15" w:rsidTr="00AB0D6A">
        <w:tc>
          <w:tcPr>
            <w:tcW w:w="999" w:type="pct"/>
            <w:shd w:val="clear" w:color="auto" w:fill="auto"/>
          </w:tcPr>
          <w:p w14:paraId="78BDD134" w14:textId="77BF78A5" w:rsidR="00A86385" w:rsidRPr="005C29F8" w:rsidRDefault="00A86385" w:rsidP="00A018D4">
            <w:pPr>
              <w:rPr>
                <w:rFonts w:cs="Arial"/>
                <w:color w:val="000000" w:themeColor="text1"/>
                <w:szCs w:val="16"/>
              </w:rPr>
            </w:pPr>
            <w:r w:rsidRPr="005C29F8">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c+d</w:t>
            </w:r>
            <w:proofErr w:type="spellEnd"/>
            <w:r w:rsidRPr="005C29F8">
              <w:rPr>
                <w:rFonts w:cs="Arial"/>
                <w:i/>
                <w:color w:val="000000" w:themeColor="text1"/>
                <w:szCs w:val="16"/>
              </w:rPr>
              <w:t>)/(</w:t>
            </w:r>
            <w:proofErr w:type="spellStart"/>
            <w:r w:rsidRPr="005C29F8">
              <w:rPr>
                <w:rFonts w:cs="Arial"/>
                <w:i/>
                <w:color w:val="000000" w:themeColor="text1"/>
                <w:szCs w:val="16"/>
              </w:rPr>
              <w:t>a+b+c+d</w:t>
            </w:r>
            <w:proofErr w:type="spellEnd"/>
            <w:r w:rsidRPr="005C29F8">
              <w:rPr>
                <w:rFonts w:cs="Arial"/>
                <w:i/>
                <w:color w:val="000000" w:themeColor="text1"/>
                <w:szCs w:val="16"/>
              </w:rPr>
              <w:t>)</w:t>
            </w:r>
          </w:p>
        </w:tc>
        <w:tc>
          <w:tcPr>
            <w:tcW w:w="585" w:type="pct"/>
            <w:shd w:val="clear" w:color="auto" w:fill="auto"/>
            <w:vAlign w:val="center"/>
          </w:tcPr>
          <w:p w14:paraId="250FBF70" w14:textId="269E9F95" w:rsidR="00A86385" w:rsidRPr="005C29F8" w:rsidRDefault="002B7490" w:rsidP="00A018D4">
            <w:pPr>
              <w:jc w:val="center"/>
              <w:rPr>
                <w:rFonts w:cs="Arial"/>
                <w:color w:val="000000" w:themeColor="text1"/>
                <w:szCs w:val="16"/>
              </w:rPr>
            </w:pPr>
            <w:r w:rsidRPr="005C29F8">
              <w:rPr>
                <w:rFonts w:cs="Arial"/>
                <w:color w:val="000000" w:themeColor="text1"/>
                <w:szCs w:val="16"/>
              </w:rPr>
              <w:t>32</w:t>
            </w:r>
          </w:p>
        </w:tc>
        <w:tc>
          <w:tcPr>
            <w:tcW w:w="585" w:type="pct"/>
            <w:shd w:val="clear" w:color="auto" w:fill="auto"/>
            <w:vAlign w:val="center"/>
          </w:tcPr>
          <w:p w14:paraId="682FF5CA" w14:textId="4D1E8D34" w:rsidR="00A86385" w:rsidRPr="005C29F8" w:rsidRDefault="002B7490" w:rsidP="00A018D4">
            <w:pPr>
              <w:jc w:val="center"/>
              <w:rPr>
                <w:rFonts w:cs="Arial"/>
                <w:color w:val="000000" w:themeColor="text1"/>
                <w:szCs w:val="16"/>
              </w:rPr>
            </w:pPr>
            <w:r w:rsidRPr="005C29F8">
              <w:rPr>
                <w:rFonts w:cs="Arial"/>
                <w:color w:val="000000" w:themeColor="text1"/>
                <w:szCs w:val="16"/>
              </w:rPr>
              <w:t>33</w:t>
            </w:r>
          </w:p>
        </w:tc>
        <w:tc>
          <w:tcPr>
            <w:tcW w:w="543" w:type="pct"/>
            <w:shd w:val="clear" w:color="auto" w:fill="auto"/>
            <w:vAlign w:val="center"/>
          </w:tcPr>
          <w:p w14:paraId="07D855DC" w14:textId="52076A3B" w:rsidR="00A86385" w:rsidRPr="005C29F8" w:rsidRDefault="002B7490" w:rsidP="00A018D4">
            <w:pPr>
              <w:jc w:val="center"/>
              <w:rPr>
                <w:rFonts w:cs="Arial"/>
                <w:color w:val="000000" w:themeColor="text1"/>
                <w:szCs w:val="16"/>
              </w:rPr>
            </w:pPr>
            <w:r w:rsidRPr="005C29F8">
              <w:rPr>
                <w:rFonts w:cs="Arial"/>
                <w:color w:val="000000" w:themeColor="text1"/>
                <w:szCs w:val="16"/>
              </w:rPr>
              <w:t>91.30%</w:t>
            </w:r>
          </w:p>
        </w:tc>
        <w:tc>
          <w:tcPr>
            <w:tcW w:w="584" w:type="pct"/>
            <w:shd w:val="clear" w:color="auto" w:fill="auto"/>
            <w:vAlign w:val="center"/>
          </w:tcPr>
          <w:p w14:paraId="2830610A" w14:textId="6D7B3DE8"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584" w:type="pct"/>
            <w:shd w:val="clear" w:color="auto" w:fill="auto"/>
            <w:vAlign w:val="center"/>
          </w:tcPr>
          <w:p w14:paraId="12F538E0" w14:textId="1332D172" w:rsidR="00A86385" w:rsidRPr="005C29F8" w:rsidRDefault="002B7490" w:rsidP="00A018D4">
            <w:pPr>
              <w:jc w:val="center"/>
              <w:rPr>
                <w:rFonts w:cs="Arial"/>
                <w:color w:val="000000" w:themeColor="text1"/>
                <w:szCs w:val="16"/>
              </w:rPr>
            </w:pPr>
            <w:r w:rsidRPr="005C29F8">
              <w:rPr>
                <w:rFonts w:cs="Arial"/>
                <w:color w:val="000000" w:themeColor="text1"/>
                <w:szCs w:val="16"/>
              </w:rPr>
              <w:t>96.97%</w:t>
            </w:r>
          </w:p>
        </w:tc>
        <w:tc>
          <w:tcPr>
            <w:tcW w:w="486" w:type="pct"/>
            <w:shd w:val="clear" w:color="auto" w:fill="auto"/>
            <w:vAlign w:val="center"/>
          </w:tcPr>
          <w:p w14:paraId="68592CBC" w14:textId="66F66CA8"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C970ED8" w14:textId="7AA3F255"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41A2A4C8" w14:textId="1A212673" w:rsidTr="00AB0D6A">
        <w:tc>
          <w:tcPr>
            <w:tcW w:w="999" w:type="pct"/>
            <w:shd w:val="clear" w:color="auto" w:fill="auto"/>
          </w:tcPr>
          <w:p w14:paraId="2E31776D" w14:textId="77B62396" w:rsidR="00A86385" w:rsidRPr="005C29F8" w:rsidRDefault="00A86385" w:rsidP="00A018D4">
            <w:pPr>
              <w:rPr>
                <w:rFonts w:cs="Arial"/>
                <w:color w:val="000000" w:themeColor="text1"/>
                <w:szCs w:val="16"/>
              </w:rPr>
            </w:pPr>
            <w:r w:rsidRPr="005C29F8">
              <w:rPr>
                <w:rFonts w:cs="Arial"/>
                <w:color w:val="000000" w:themeColor="text1"/>
                <w:szCs w:val="16"/>
              </w:rPr>
              <w:t xml:space="preserve">B2. The percent of preschool children who were functioning within age expectations in Outcome B by the time they turned 6 years of age or exited the program. </w:t>
            </w:r>
            <w:r w:rsidR="00401663" w:rsidRPr="005C29F8">
              <w:rPr>
                <w:rFonts w:cs="Arial"/>
                <w:i/>
                <w:color w:val="000000" w:themeColor="text1"/>
                <w:szCs w:val="16"/>
              </w:rPr>
              <w:t>C</w:t>
            </w:r>
            <w:r w:rsidRPr="005C29F8">
              <w:rPr>
                <w:rFonts w:cs="Arial"/>
                <w:i/>
                <w:color w:val="000000" w:themeColor="text1"/>
                <w:szCs w:val="16"/>
              </w:rPr>
              <w:t>alculation: (</w:t>
            </w:r>
            <w:proofErr w:type="spellStart"/>
            <w:r w:rsidRPr="005C29F8">
              <w:rPr>
                <w:rFonts w:cs="Arial"/>
                <w:i/>
                <w:color w:val="000000" w:themeColor="text1"/>
                <w:szCs w:val="16"/>
              </w:rPr>
              <w:t>d+e</w:t>
            </w:r>
            <w:proofErr w:type="spellEnd"/>
            <w:r w:rsidRPr="005C29F8">
              <w:rPr>
                <w:rFonts w:cs="Arial"/>
                <w:i/>
                <w:color w:val="000000" w:themeColor="text1"/>
                <w:szCs w:val="16"/>
              </w:rPr>
              <w:t>)/(</w:t>
            </w:r>
            <w:proofErr w:type="spellStart"/>
            <w:r w:rsidRPr="005C29F8">
              <w:rPr>
                <w:rFonts w:cs="Arial"/>
                <w:i/>
                <w:color w:val="000000" w:themeColor="text1"/>
                <w:szCs w:val="16"/>
              </w:rPr>
              <w:t>a+b+c+d+e</w:t>
            </w:r>
            <w:proofErr w:type="spellEnd"/>
            <w:r w:rsidRPr="005C29F8">
              <w:rPr>
                <w:rFonts w:cs="Arial"/>
                <w:i/>
                <w:color w:val="000000" w:themeColor="text1"/>
                <w:szCs w:val="16"/>
              </w:rPr>
              <w:t>)</w:t>
            </w:r>
          </w:p>
        </w:tc>
        <w:tc>
          <w:tcPr>
            <w:tcW w:w="585" w:type="pct"/>
            <w:shd w:val="clear" w:color="auto" w:fill="auto"/>
            <w:vAlign w:val="center"/>
          </w:tcPr>
          <w:p w14:paraId="3ABF54A2" w14:textId="3376A45C" w:rsidR="00A86385" w:rsidRPr="005C29F8" w:rsidRDefault="002B7490" w:rsidP="00A018D4">
            <w:pPr>
              <w:jc w:val="center"/>
              <w:rPr>
                <w:rFonts w:cs="Arial"/>
                <w:color w:val="000000" w:themeColor="text1"/>
                <w:szCs w:val="16"/>
              </w:rPr>
            </w:pPr>
            <w:r w:rsidRPr="005C29F8">
              <w:rPr>
                <w:rFonts w:cs="Arial"/>
                <w:color w:val="000000" w:themeColor="text1"/>
                <w:szCs w:val="16"/>
              </w:rPr>
              <w:t>9</w:t>
            </w:r>
          </w:p>
        </w:tc>
        <w:tc>
          <w:tcPr>
            <w:tcW w:w="585" w:type="pct"/>
            <w:shd w:val="clear" w:color="auto" w:fill="auto"/>
            <w:vAlign w:val="center"/>
          </w:tcPr>
          <w:p w14:paraId="591EA1FE" w14:textId="556EFD96" w:rsidR="00A86385"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543" w:type="pct"/>
            <w:shd w:val="clear" w:color="auto" w:fill="auto"/>
            <w:vAlign w:val="center"/>
          </w:tcPr>
          <w:p w14:paraId="0B86042E" w14:textId="01488A08" w:rsidR="00A86385" w:rsidRPr="005C29F8" w:rsidRDefault="002B7490" w:rsidP="00A018D4">
            <w:pPr>
              <w:jc w:val="center"/>
              <w:rPr>
                <w:rFonts w:cs="Arial"/>
                <w:color w:val="000000" w:themeColor="text1"/>
                <w:szCs w:val="16"/>
              </w:rPr>
            </w:pPr>
            <w:r w:rsidRPr="005C29F8">
              <w:rPr>
                <w:rFonts w:cs="Arial"/>
                <w:color w:val="000000" w:themeColor="text1"/>
                <w:szCs w:val="16"/>
              </w:rPr>
              <w:t>13.04%</w:t>
            </w:r>
          </w:p>
        </w:tc>
        <w:tc>
          <w:tcPr>
            <w:tcW w:w="584" w:type="pct"/>
            <w:shd w:val="clear" w:color="auto" w:fill="auto"/>
            <w:vAlign w:val="center"/>
          </w:tcPr>
          <w:p w14:paraId="33474719" w14:textId="0E1ED729" w:rsidR="00A86385" w:rsidRPr="005C29F8" w:rsidRDefault="002B7490" w:rsidP="00A018D4">
            <w:pPr>
              <w:jc w:val="center"/>
              <w:rPr>
                <w:rFonts w:cs="Arial"/>
                <w:color w:val="000000" w:themeColor="text1"/>
                <w:szCs w:val="16"/>
              </w:rPr>
            </w:pPr>
            <w:r w:rsidRPr="005C29F8">
              <w:rPr>
                <w:rFonts w:cs="Arial"/>
                <w:color w:val="000000" w:themeColor="text1"/>
                <w:szCs w:val="16"/>
              </w:rPr>
              <w:t>31.00%</w:t>
            </w:r>
          </w:p>
        </w:tc>
        <w:tc>
          <w:tcPr>
            <w:tcW w:w="584" w:type="pct"/>
            <w:shd w:val="clear" w:color="auto" w:fill="auto"/>
            <w:vAlign w:val="center"/>
          </w:tcPr>
          <w:p w14:paraId="073970A2" w14:textId="5A7FF3FA" w:rsidR="00A86385" w:rsidRPr="005C29F8" w:rsidRDefault="002B7490" w:rsidP="00A018D4">
            <w:pPr>
              <w:jc w:val="center"/>
              <w:rPr>
                <w:rFonts w:cs="Arial"/>
                <w:color w:val="000000" w:themeColor="text1"/>
                <w:szCs w:val="16"/>
              </w:rPr>
            </w:pPr>
            <w:r w:rsidRPr="005C29F8">
              <w:rPr>
                <w:rFonts w:cs="Arial"/>
                <w:color w:val="000000" w:themeColor="text1"/>
                <w:szCs w:val="16"/>
              </w:rPr>
              <w:t>25.71%</w:t>
            </w:r>
          </w:p>
        </w:tc>
        <w:tc>
          <w:tcPr>
            <w:tcW w:w="486" w:type="pct"/>
            <w:shd w:val="clear" w:color="auto" w:fill="auto"/>
            <w:vAlign w:val="center"/>
          </w:tcPr>
          <w:p w14:paraId="2B7E9ACC" w14:textId="45CB2456"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35" w:type="pct"/>
            <w:shd w:val="clear" w:color="auto" w:fill="auto"/>
            <w:vAlign w:val="center"/>
          </w:tcPr>
          <w:p w14:paraId="04CCC32D" w14:textId="64DEC314"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2AAE7F9" w14:textId="77777777" w:rsidR="00A80FEB" w:rsidRPr="005C29F8" w:rsidRDefault="00A80FEB" w:rsidP="004369B2">
      <w:pPr>
        <w:rPr>
          <w:color w:val="000000" w:themeColor="text1"/>
        </w:rPr>
      </w:pPr>
      <w:r w:rsidRPr="005C29F8">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5C29F8" w14:paraId="5A5015FC" w14:textId="4FA08BD6" w:rsidTr="0033429D">
        <w:trPr>
          <w:trHeight w:val="361"/>
          <w:tblHeader/>
        </w:trPr>
        <w:tc>
          <w:tcPr>
            <w:tcW w:w="3349" w:type="pct"/>
            <w:shd w:val="clear" w:color="auto" w:fill="auto"/>
            <w:vAlign w:val="bottom"/>
          </w:tcPr>
          <w:p w14:paraId="4191FDB2" w14:textId="72ED8C9D" w:rsidR="002F2379" w:rsidRPr="005C29F8" w:rsidRDefault="009028CA" w:rsidP="0024351A">
            <w:pPr>
              <w:rPr>
                <w:rFonts w:cs="Arial"/>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sidR="00E91363">
              <w:rPr>
                <w:rFonts w:cs="Arial"/>
                <w:b/>
                <w:bCs/>
                <w:color w:val="000000" w:themeColor="text1"/>
                <w:szCs w:val="16"/>
              </w:rPr>
              <w:t>y</w:t>
            </w:r>
          </w:p>
        </w:tc>
        <w:tc>
          <w:tcPr>
            <w:tcW w:w="826" w:type="pct"/>
            <w:shd w:val="clear" w:color="auto" w:fill="auto"/>
            <w:vAlign w:val="bottom"/>
          </w:tcPr>
          <w:p w14:paraId="18BE5F06" w14:textId="77777777" w:rsidR="002F2379" w:rsidRPr="005C29F8" w:rsidRDefault="002F2379" w:rsidP="0024351A">
            <w:pPr>
              <w:jc w:val="center"/>
              <w:rPr>
                <w:rFonts w:cs="Arial"/>
                <w:b/>
                <w:color w:val="000000" w:themeColor="text1"/>
                <w:szCs w:val="16"/>
              </w:rPr>
            </w:pPr>
            <w:r w:rsidRPr="005C29F8">
              <w:rPr>
                <w:rFonts w:cs="Arial"/>
                <w:b/>
                <w:color w:val="000000" w:themeColor="text1"/>
                <w:szCs w:val="16"/>
              </w:rPr>
              <w:t>Number of Children</w:t>
            </w:r>
          </w:p>
        </w:tc>
        <w:tc>
          <w:tcPr>
            <w:tcW w:w="825" w:type="pct"/>
            <w:shd w:val="clear" w:color="auto" w:fill="auto"/>
            <w:vAlign w:val="bottom"/>
          </w:tcPr>
          <w:p w14:paraId="5D2176F1" w14:textId="0AB04833" w:rsidR="002F2379" w:rsidRPr="005C29F8" w:rsidRDefault="002F2379" w:rsidP="0024351A">
            <w:pPr>
              <w:jc w:val="center"/>
              <w:rPr>
                <w:rFonts w:cs="Arial"/>
                <w:b/>
                <w:color w:val="000000" w:themeColor="text1"/>
                <w:szCs w:val="16"/>
              </w:rPr>
            </w:pPr>
            <w:r w:rsidRPr="005C29F8">
              <w:rPr>
                <w:rFonts w:cs="Arial"/>
                <w:b/>
                <w:color w:val="000000" w:themeColor="text1"/>
                <w:szCs w:val="16"/>
              </w:rPr>
              <w:t>Percentage of Children</w:t>
            </w:r>
          </w:p>
        </w:tc>
      </w:tr>
      <w:tr w:rsidR="005C29F8" w:rsidRPr="005C29F8" w14:paraId="091128D7" w14:textId="67DCF276" w:rsidTr="00AB0D6A">
        <w:trPr>
          <w:trHeight w:val="361"/>
        </w:trPr>
        <w:tc>
          <w:tcPr>
            <w:tcW w:w="3349" w:type="pct"/>
            <w:shd w:val="clear" w:color="auto" w:fill="auto"/>
          </w:tcPr>
          <w:p w14:paraId="4D685636" w14:textId="77777777" w:rsidR="00A86385" w:rsidRPr="005C29F8" w:rsidRDefault="00A86385" w:rsidP="00A86385">
            <w:pPr>
              <w:rPr>
                <w:rFonts w:cs="Arial"/>
                <w:color w:val="000000" w:themeColor="text1"/>
                <w:szCs w:val="16"/>
              </w:rPr>
            </w:pPr>
            <w:r w:rsidRPr="005C29F8">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224E7CD3" w14:textId="5C0B6B10"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DFF86FC" w14:textId="381769F8" w:rsidTr="00AB0D6A">
        <w:trPr>
          <w:trHeight w:val="361"/>
        </w:trPr>
        <w:tc>
          <w:tcPr>
            <w:tcW w:w="3349" w:type="pct"/>
            <w:shd w:val="clear" w:color="auto" w:fill="auto"/>
          </w:tcPr>
          <w:p w14:paraId="72586C03" w14:textId="77777777" w:rsidR="00A86385" w:rsidRPr="005C29F8" w:rsidRDefault="00A86385" w:rsidP="00A86385">
            <w:pPr>
              <w:rPr>
                <w:rFonts w:cs="Arial"/>
                <w:color w:val="000000" w:themeColor="text1"/>
                <w:szCs w:val="16"/>
              </w:rPr>
            </w:pPr>
            <w:r w:rsidRPr="005C29F8">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825" w:type="pct"/>
            <w:shd w:val="clear" w:color="auto" w:fill="auto"/>
            <w:vAlign w:val="center"/>
          </w:tcPr>
          <w:p w14:paraId="75491539" w14:textId="4C6956ED" w:rsidR="00A86385" w:rsidRPr="005C29F8" w:rsidRDefault="002B7490" w:rsidP="00A018D4">
            <w:pPr>
              <w:jc w:val="center"/>
              <w:rPr>
                <w:rFonts w:cs="Arial"/>
                <w:color w:val="000000" w:themeColor="text1"/>
                <w:szCs w:val="16"/>
              </w:rPr>
            </w:pPr>
            <w:r w:rsidRPr="005C29F8">
              <w:rPr>
                <w:rFonts w:cs="Arial"/>
                <w:color w:val="000000" w:themeColor="text1"/>
                <w:szCs w:val="16"/>
              </w:rPr>
              <w:t>0.00%</w:t>
            </w:r>
          </w:p>
        </w:tc>
      </w:tr>
      <w:tr w:rsidR="005C29F8" w:rsidRPr="005C29F8" w14:paraId="055A4C9A" w14:textId="0FC02C83" w:rsidTr="00AB0D6A">
        <w:trPr>
          <w:trHeight w:val="395"/>
        </w:trPr>
        <w:tc>
          <w:tcPr>
            <w:tcW w:w="3349" w:type="pct"/>
            <w:shd w:val="clear" w:color="auto" w:fill="auto"/>
          </w:tcPr>
          <w:p w14:paraId="1EEA20E7" w14:textId="77777777" w:rsidR="00A86385" w:rsidRPr="005C29F8" w:rsidRDefault="00A86385" w:rsidP="00A86385">
            <w:pPr>
              <w:rPr>
                <w:rFonts w:cs="Arial"/>
                <w:color w:val="000000" w:themeColor="text1"/>
                <w:szCs w:val="16"/>
              </w:rPr>
            </w:pPr>
            <w:r w:rsidRPr="005C29F8">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825" w:type="pct"/>
            <w:shd w:val="clear" w:color="auto" w:fill="auto"/>
            <w:vAlign w:val="center"/>
          </w:tcPr>
          <w:p w14:paraId="5A785A5B" w14:textId="096612D9" w:rsidR="00A86385" w:rsidRPr="005C29F8" w:rsidRDefault="002B7490" w:rsidP="00A018D4">
            <w:pPr>
              <w:jc w:val="center"/>
              <w:rPr>
                <w:rFonts w:cs="Arial"/>
                <w:color w:val="000000" w:themeColor="text1"/>
                <w:szCs w:val="16"/>
              </w:rPr>
            </w:pPr>
            <w:r w:rsidRPr="005C29F8">
              <w:rPr>
                <w:rFonts w:cs="Arial"/>
                <w:color w:val="000000" w:themeColor="text1"/>
                <w:szCs w:val="16"/>
              </w:rPr>
              <w:t>42.86%</w:t>
            </w:r>
          </w:p>
        </w:tc>
      </w:tr>
      <w:tr w:rsidR="005C29F8" w:rsidRPr="005C29F8" w14:paraId="116C43B5" w14:textId="562F3ACF" w:rsidTr="00AB0D6A">
        <w:trPr>
          <w:trHeight w:val="361"/>
        </w:trPr>
        <w:tc>
          <w:tcPr>
            <w:tcW w:w="3349" w:type="pct"/>
            <w:shd w:val="clear" w:color="auto" w:fill="auto"/>
          </w:tcPr>
          <w:p w14:paraId="74396990" w14:textId="77777777" w:rsidR="00A86385" w:rsidRPr="005C29F8" w:rsidRDefault="00A86385" w:rsidP="00A86385">
            <w:pPr>
              <w:rPr>
                <w:rFonts w:cs="Arial"/>
                <w:color w:val="000000" w:themeColor="text1"/>
                <w:szCs w:val="16"/>
              </w:rPr>
            </w:pPr>
            <w:r w:rsidRPr="005C29F8">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5C29F8" w:rsidRDefault="002B7490" w:rsidP="00A018D4">
            <w:pPr>
              <w:jc w:val="center"/>
              <w:rPr>
                <w:rFonts w:cs="Arial"/>
                <w:color w:val="000000" w:themeColor="text1"/>
                <w:szCs w:val="16"/>
              </w:rPr>
            </w:pPr>
            <w:r w:rsidRPr="005C29F8">
              <w:rPr>
                <w:rFonts w:cs="Arial"/>
                <w:color w:val="000000" w:themeColor="text1"/>
                <w:szCs w:val="16"/>
              </w:rPr>
              <w:t>15</w:t>
            </w:r>
          </w:p>
        </w:tc>
        <w:tc>
          <w:tcPr>
            <w:tcW w:w="825" w:type="pct"/>
            <w:shd w:val="clear" w:color="auto" w:fill="auto"/>
            <w:vAlign w:val="center"/>
          </w:tcPr>
          <w:p w14:paraId="6CF00AA9" w14:textId="2DDC2AAD" w:rsidR="00A86385" w:rsidRPr="005C29F8" w:rsidRDefault="002B7490" w:rsidP="00A018D4">
            <w:pPr>
              <w:jc w:val="center"/>
              <w:rPr>
                <w:rFonts w:cs="Arial"/>
                <w:color w:val="000000" w:themeColor="text1"/>
                <w:szCs w:val="16"/>
              </w:rPr>
            </w:pPr>
            <w:r w:rsidRPr="005C29F8">
              <w:rPr>
                <w:rFonts w:cs="Arial"/>
                <w:color w:val="000000" w:themeColor="text1"/>
                <w:szCs w:val="16"/>
              </w:rPr>
              <w:t>42.86%</w:t>
            </w:r>
          </w:p>
        </w:tc>
      </w:tr>
      <w:tr w:rsidR="005C29F8" w:rsidRPr="005C29F8" w14:paraId="4BA9BE51" w14:textId="4FD5F213" w:rsidTr="00AB0D6A">
        <w:trPr>
          <w:trHeight w:val="361"/>
        </w:trPr>
        <w:tc>
          <w:tcPr>
            <w:tcW w:w="3349" w:type="pct"/>
            <w:shd w:val="clear" w:color="auto" w:fill="auto"/>
          </w:tcPr>
          <w:p w14:paraId="016E3D57" w14:textId="77777777" w:rsidR="00A86385" w:rsidRPr="005C29F8" w:rsidRDefault="00A86385" w:rsidP="00A86385">
            <w:pPr>
              <w:rPr>
                <w:rFonts w:cs="Arial"/>
                <w:color w:val="000000" w:themeColor="text1"/>
                <w:szCs w:val="16"/>
              </w:rPr>
            </w:pPr>
            <w:r w:rsidRPr="005C29F8">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825" w:type="pct"/>
            <w:shd w:val="clear" w:color="auto" w:fill="auto"/>
            <w:vAlign w:val="center"/>
          </w:tcPr>
          <w:p w14:paraId="5DB4A655" w14:textId="2961CB8C" w:rsidR="00A86385" w:rsidRPr="005C29F8" w:rsidRDefault="002B7490" w:rsidP="00A018D4">
            <w:pPr>
              <w:jc w:val="center"/>
              <w:rPr>
                <w:rFonts w:cs="Arial"/>
                <w:color w:val="000000" w:themeColor="text1"/>
                <w:szCs w:val="16"/>
              </w:rPr>
            </w:pPr>
            <w:r w:rsidRPr="005C29F8">
              <w:rPr>
                <w:rFonts w:cs="Arial"/>
                <w:color w:val="000000" w:themeColor="text1"/>
                <w:szCs w:val="16"/>
              </w:rPr>
              <w:t>14.29%</w:t>
            </w:r>
          </w:p>
        </w:tc>
      </w:tr>
    </w:tbl>
    <w:p w14:paraId="49F715FF" w14:textId="77777777" w:rsidR="00A80FEB" w:rsidRPr="005C29F8"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5C29F8" w14:paraId="6D854191" w14:textId="189CF04C" w:rsidTr="00AB0D6A">
        <w:trPr>
          <w:trHeight w:val="354"/>
          <w:tblHeader/>
        </w:trPr>
        <w:tc>
          <w:tcPr>
            <w:tcW w:w="999" w:type="pct"/>
            <w:shd w:val="clear" w:color="auto" w:fill="auto"/>
            <w:vAlign w:val="bottom"/>
          </w:tcPr>
          <w:p w14:paraId="2713B90C" w14:textId="70596E6D" w:rsidR="002F2379" w:rsidRPr="0033429D" w:rsidRDefault="009028CA" w:rsidP="0033429D">
            <w:pPr>
              <w:rPr>
                <w:rFonts w:cs="Arial"/>
                <w:b/>
                <w:bCs/>
                <w:color w:val="000000" w:themeColor="text1"/>
                <w:szCs w:val="16"/>
              </w:rPr>
            </w:pPr>
            <w:r w:rsidRPr="0033429D">
              <w:rPr>
                <w:rFonts w:cs="Arial"/>
                <w:b/>
                <w:bCs/>
                <w:color w:val="000000" w:themeColor="text1"/>
                <w:szCs w:val="16"/>
              </w:rPr>
              <w:t>Outcome C</w:t>
            </w:r>
          </w:p>
        </w:tc>
        <w:tc>
          <w:tcPr>
            <w:tcW w:w="584" w:type="pct"/>
            <w:shd w:val="clear" w:color="auto" w:fill="auto"/>
            <w:vAlign w:val="bottom"/>
          </w:tcPr>
          <w:p w14:paraId="3AAEB9E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Numerator</w:t>
            </w:r>
          </w:p>
        </w:tc>
        <w:tc>
          <w:tcPr>
            <w:tcW w:w="584" w:type="pct"/>
            <w:shd w:val="clear" w:color="auto" w:fill="auto"/>
            <w:vAlign w:val="bottom"/>
          </w:tcPr>
          <w:p w14:paraId="5C1FBE9E" w14:textId="77777777" w:rsidR="002F2379" w:rsidRPr="005C29F8" w:rsidRDefault="002F2379" w:rsidP="00681BA6">
            <w:pPr>
              <w:jc w:val="center"/>
              <w:rPr>
                <w:rFonts w:cs="Arial"/>
                <w:b/>
                <w:color w:val="000000" w:themeColor="text1"/>
                <w:szCs w:val="16"/>
              </w:rPr>
            </w:pPr>
            <w:r w:rsidRPr="005C29F8">
              <w:rPr>
                <w:rFonts w:cs="Arial"/>
                <w:b/>
                <w:color w:val="000000" w:themeColor="text1"/>
                <w:szCs w:val="16"/>
              </w:rPr>
              <w:t>Denominator</w:t>
            </w:r>
          </w:p>
        </w:tc>
        <w:tc>
          <w:tcPr>
            <w:tcW w:w="543" w:type="pct"/>
            <w:shd w:val="clear" w:color="auto" w:fill="auto"/>
            <w:vAlign w:val="bottom"/>
          </w:tcPr>
          <w:p w14:paraId="7E124690" w14:textId="1D530EC3" w:rsidR="002F2379" w:rsidRPr="005C29F8" w:rsidRDefault="00B954DC" w:rsidP="00681BA6">
            <w:pPr>
              <w:jc w:val="center"/>
              <w:rPr>
                <w:rFonts w:cs="Arial"/>
                <w:b/>
                <w:color w:val="000000" w:themeColor="text1"/>
                <w:szCs w:val="16"/>
              </w:rPr>
            </w:pPr>
            <w:r w:rsidRPr="005C29F8">
              <w:rPr>
                <w:rFonts w:cs="Arial"/>
                <w:b/>
                <w:color w:val="000000" w:themeColor="text1"/>
                <w:szCs w:val="16"/>
              </w:rPr>
              <w:t>FFY  2018 Data</w:t>
            </w:r>
          </w:p>
        </w:tc>
        <w:tc>
          <w:tcPr>
            <w:tcW w:w="584" w:type="pct"/>
            <w:shd w:val="clear" w:color="auto" w:fill="auto"/>
            <w:vAlign w:val="bottom"/>
          </w:tcPr>
          <w:p w14:paraId="7E59D447" w14:textId="166A1AD2"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48E0A776" w14:textId="7F93A4CE" w:rsidR="002F2379" w:rsidRPr="005C29F8" w:rsidRDefault="002F2379" w:rsidP="00681BA6">
            <w:pPr>
              <w:jc w:val="center"/>
              <w:rPr>
                <w:rFonts w:cs="Arial"/>
                <w:b/>
                <w:color w:val="000000" w:themeColor="text1"/>
                <w:szCs w:val="16"/>
              </w:rPr>
            </w:pPr>
            <w:r w:rsidRPr="005C29F8">
              <w:rPr>
                <w:rFonts w:cs="Arial"/>
                <w:b/>
                <w:color w:val="000000" w:themeColor="text1"/>
                <w:szCs w:val="16"/>
              </w:rPr>
              <w:t>FFY 2019 Data</w:t>
            </w:r>
          </w:p>
        </w:tc>
        <w:tc>
          <w:tcPr>
            <w:tcW w:w="459" w:type="pct"/>
            <w:shd w:val="clear" w:color="auto" w:fill="auto"/>
            <w:vAlign w:val="bottom"/>
          </w:tcPr>
          <w:p w14:paraId="1271E5C2" w14:textId="7C29A2B3" w:rsidR="002F2379" w:rsidRPr="005C29F8" w:rsidRDefault="002F2379" w:rsidP="00681BA6">
            <w:pPr>
              <w:jc w:val="center"/>
              <w:rPr>
                <w:rFonts w:cs="Arial"/>
                <w:b/>
                <w:color w:val="000000" w:themeColor="text1"/>
                <w:szCs w:val="16"/>
              </w:rPr>
            </w:pPr>
            <w:r w:rsidRPr="005C29F8">
              <w:rPr>
                <w:rFonts w:cs="Arial"/>
                <w:b/>
                <w:color w:val="000000" w:themeColor="text1"/>
                <w:szCs w:val="16"/>
              </w:rPr>
              <w:t>Status</w:t>
            </w:r>
          </w:p>
        </w:tc>
        <w:tc>
          <w:tcPr>
            <w:tcW w:w="622" w:type="pct"/>
            <w:shd w:val="clear" w:color="auto" w:fill="auto"/>
            <w:vAlign w:val="bottom"/>
          </w:tcPr>
          <w:p w14:paraId="57BB5D90" w14:textId="5C773F81" w:rsidR="002F2379" w:rsidRPr="005C29F8" w:rsidRDefault="002F2379"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060DACA6" w14:textId="4A0141DE" w:rsidTr="00AB0D6A">
        <w:trPr>
          <w:trHeight w:val="361"/>
        </w:trPr>
        <w:tc>
          <w:tcPr>
            <w:tcW w:w="999" w:type="pct"/>
            <w:shd w:val="clear" w:color="auto" w:fill="auto"/>
          </w:tcPr>
          <w:p w14:paraId="53F10B71" w14:textId="77777777" w:rsidR="00757D21" w:rsidRDefault="00A86385" w:rsidP="00E526FC">
            <w:pPr>
              <w:rPr>
                <w:rFonts w:cs="Arial"/>
                <w:color w:val="000000" w:themeColor="text1"/>
                <w:szCs w:val="16"/>
              </w:rPr>
            </w:pPr>
            <w:r w:rsidRPr="005C29F8">
              <w:rPr>
                <w:rFonts w:cs="Arial"/>
                <w:color w:val="000000" w:themeColor="text1"/>
                <w:szCs w:val="16"/>
              </w:rPr>
              <w:t xml:space="preserve">C1. Of those children who entered or exited the program below age </w:t>
            </w:r>
            <w:r w:rsidRPr="005C29F8">
              <w:rPr>
                <w:rFonts w:cs="Arial"/>
                <w:color w:val="000000" w:themeColor="text1"/>
                <w:szCs w:val="16"/>
              </w:rPr>
              <w:lastRenderedPageBreak/>
              <w:t>expectations in Outcome C, the percent who substantially increased their rate of growth by the time they turned 6 years of age or exited the program.</w:t>
            </w:r>
          </w:p>
          <w:p w14:paraId="78844CD5" w14:textId="49EF12B7" w:rsidR="00A86385" w:rsidRPr="005C29F8" w:rsidRDefault="00757D21" w:rsidP="00E526FC">
            <w:pPr>
              <w:rPr>
                <w:rFonts w:cs="Arial"/>
                <w:color w:val="000000" w:themeColor="text1"/>
                <w:szCs w:val="16"/>
              </w:rPr>
            </w:pPr>
            <w:r w:rsidRPr="00227D4B">
              <w:rPr>
                <w:rFonts w:cs="Arial"/>
                <w:i/>
                <w:iCs/>
                <w:color w:val="C00000"/>
                <w:szCs w:val="16"/>
              </w:rPr>
              <w:t>Calculation:(</w:t>
            </w:r>
            <w:proofErr w:type="spellStart"/>
            <w:r w:rsidRPr="00227D4B">
              <w:rPr>
                <w:rFonts w:cs="Arial"/>
                <w:i/>
                <w:iCs/>
                <w:color w:val="C00000"/>
                <w:szCs w:val="16"/>
              </w:rPr>
              <w:t>c+d</w:t>
            </w:r>
            <w:proofErr w:type="spellEnd"/>
            <w:r w:rsidRPr="00227D4B">
              <w:rPr>
                <w:rFonts w:cs="Arial"/>
                <w:i/>
                <w:iCs/>
                <w:color w:val="C00000"/>
                <w:szCs w:val="16"/>
              </w:rPr>
              <w:t>)/(</w:t>
            </w:r>
            <w:proofErr w:type="spellStart"/>
            <w:r w:rsidRPr="00227D4B">
              <w:rPr>
                <w:rFonts w:cs="Arial"/>
                <w:i/>
                <w:iCs/>
                <w:color w:val="C00000"/>
                <w:szCs w:val="16"/>
              </w:rPr>
              <w:t>a+b+c+d</w:t>
            </w:r>
            <w:proofErr w:type="spellEnd"/>
            <w:r w:rsidRPr="00227D4B">
              <w:rPr>
                <w:rFonts w:cs="Arial"/>
                <w:i/>
                <w:iCs/>
                <w:color w:val="C00000"/>
                <w:szCs w:val="16"/>
              </w:rPr>
              <w:t>)</w:t>
            </w:r>
            <w:r w:rsidR="00A86385" w:rsidRPr="005C29F8">
              <w:rPr>
                <w:rFonts w:cs="Arial"/>
                <w:color w:val="000000" w:themeColor="text1"/>
                <w:szCs w:val="16"/>
              </w:rPr>
              <w:t xml:space="preserve"> </w:t>
            </w:r>
          </w:p>
        </w:tc>
        <w:tc>
          <w:tcPr>
            <w:tcW w:w="584" w:type="pct"/>
            <w:shd w:val="clear" w:color="auto" w:fill="auto"/>
            <w:vAlign w:val="center"/>
          </w:tcPr>
          <w:p w14:paraId="06847B86" w14:textId="57D8DF81" w:rsidR="00A86385" w:rsidRPr="005C29F8" w:rsidRDefault="002B7490" w:rsidP="00A018D4">
            <w:pPr>
              <w:jc w:val="center"/>
              <w:rPr>
                <w:rFonts w:cs="Arial"/>
                <w:color w:val="000000" w:themeColor="text1"/>
                <w:szCs w:val="16"/>
              </w:rPr>
            </w:pPr>
            <w:r w:rsidRPr="005C29F8">
              <w:rPr>
                <w:rFonts w:cs="Arial"/>
                <w:color w:val="000000" w:themeColor="text1"/>
                <w:szCs w:val="16"/>
              </w:rPr>
              <w:lastRenderedPageBreak/>
              <w:t>30</w:t>
            </w:r>
          </w:p>
        </w:tc>
        <w:tc>
          <w:tcPr>
            <w:tcW w:w="584" w:type="pct"/>
            <w:shd w:val="clear" w:color="auto" w:fill="auto"/>
            <w:vAlign w:val="center"/>
          </w:tcPr>
          <w:p w14:paraId="238365C6" w14:textId="3568431D" w:rsidR="00A86385" w:rsidRPr="005C29F8" w:rsidRDefault="002B7490" w:rsidP="00A018D4">
            <w:pPr>
              <w:jc w:val="center"/>
              <w:rPr>
                <w:rFonts w:cs="Arial"/>
                <w:color w:val="000000" w:themeColor="text1"/>
                <w:szCs w:val="16"/>
              </w:rPr>
            </w:pPr>
            <w:r w:rsidRPr="005C29F8">
              <w:rPr>
                <w:rFonts w:cs="Arial"/>
                <w:color w:val="000000" w:themeColor="text1"/>
                <w:szCs w:val="16"/>
              </w:rPr>
              <w:t>30</w:t>
            </w:r>
          </w:p>
        </w:tc>
        <w:tc>
          <w:tcPr>
            <w:tcW w:w="543" w:type="pct"/>
            <w:shd w:val="clear" w:color="auto" w:fill="auto"/>
            <w:vAlign w:val="center"/>
          </w:tcPr>
          <w:p w14:paraId="4D92698F" w14:textId="1CB8B6A4" w:rsidR="00A86385" w:rsidRPr="005C29F8" w:rsidRDefault="002B7490" w:rsidP="00A018D4">
            <w:pPr>
              <w:jc w:val="center"/>
              <w:rPr>
                <w:rFonts w:cs="Arial"/>
                <w:color w:val="000000" w:themeColor="text1"/>
                <w:szCs w:val="16"/>
              </w:rPr>
            </w:pPr>
            <w:r w:rsidRPr="005C29F8">
              <w:rPr>
                <w:rFonts w:cs="Arial"/>
                <w:color w:val="000000" w:themeColor="text1"/>
                <w:szCs w:val="16"/>
              </w:rPr>
              <w:t>89.74%</w:t>
            </w:r>
          </w:p>
        </w:tc>
        <w:tc>
          <w:tcPr>
            <w:tcW w:w="584" w:type="pct"/>
            <w:shd w:val="clear" w:color="auto" w:fill="auto"/>
            <w:vAlign w:val="center"/>
          </w:tcPr>
          <w:p w14:paraId="282346A8" w14:textId="638BF2E5" w:rsidR="00A86385" w:rsidRPr="005C29F8" w:rsidRDefault="002B7490" w:rsidP="00A018D4">
            <w:pPr>
              <w:jc w:val="center"/>
              <w:rPr>
                <w:rFonts w:cs="Arial"/>
                <w:color w:val="000000" w:themeColor="text1"/>
                <w:szCs w:val="16"/>
              </w:rPr>
            </w:pPr>
            <w:r w:rsidRPr="005C29F8">
              <w:rPr>
                <w:rFonts w:cs="Arial"/>
                <w:color w:val="000000" w:themeColor="text1"/>
                <w:szCs w:val="16"/>
              </w:rPr>
              <w:t>96.50%</w:t>
            </w:r>
          </w:p>
        </w:tc>
        <w:tc>
          <w:tcPr>
            <w:tcW w:w="625" w:type="pct"/>
            <w:shd w:val="clear" w:color="auto" w:fill="auto"/>
            <w:vAlign w:val="center"/>
          </w:tcPr>
          <w:p w14:paraId="02E42936" w14:textId="312E4B4A" w:rsidR="00A86385" w:rsidRPr="005C29F8" w:rsidRDefault="002B7490" w:rsidP="00A018D4">
            <w:pPr>
              <w:jc w:val="center"/>
              <w:rPr>
                <w:rFonts w:cs="Arial"/>
                <w:color w:val="000000" w:themeColor="text1"/>
                <w:szCs w:val="16"/>
              </w:rPr>
            </w:pPr>
            <w:r w:rsidRPr="005C29F8">
              <w:rPr>
                <w:rFonts w:cs="Arial"/>
                <w:color w:val="000000" w:themeColor="text1"/>
                <w:szCs w:val="16"/>
              </w:rPr>
              <w:t>100.00%</w:t>
            </w:r>
          </w:p>
        </w:tc>
        <w:tc>
          <w:tcPr>
            <w:tcW w:w="459" w:type="pct"/>
            <w:shd w:val="clear" w:color="auto" w:fill="auto"/>
            <w:vAlign w:val="center"/>
          </w:tcPr>
          <w:p w14:paraId="1B13A98E" w14:textId="3F3B6900" w:rsidR="00A86385" w:rsidRPr="005C29F8" w:rsidRDefault="002B7490" w:rsidP="00A018D4">
            <w:pPr>
              <w:jc w:val="center"/>
              <w:rPr>
                <w:rFonts w:cs="Arial"/>
                <w:color w:val="000000" w:themeColor="text1"/>
                <w:szCs w:val="16"/>
              </w:rPr>
            </w:pPr>
            <w:r w:rsidRPr="005C29F8">
              <w:rPr>
                <w:rFonts w:cs="Arial"/>
                <w:color w:val="000000" w:themeColor="text1"/>
                <w:szCs w:val="16"/>
              </w:rPr>
              <w:t>Met Target</w:t>
            </w:r>
          </w:p>
        </w:tc>
        <w:tc>
          <w:tcPr>
            <w:tcW w:w="622" w:type="pct"/>
            <w:shd w:val="clear" w:color="auto" w:fill="auto"/>
            <w:vAlign w:val="center"/>
          </w:tcPr>
          <w:p w14:paraId="2D48B259" w14:textId="3185C0C7"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r w:rsidR="005C29F8" w:rsidRPr="005C29F8" w14:paraId="01CBC0C6" w14:textId="58EECBDC" w:rsidTr="00AB0D6A">
        <w:trPr>
          <w:trHeight w:val="361"/>
        </w:trPr>
        <w:tc>
          <w:tcPr>
            <w:tcW w:w="999" w:type="pct"/>
            <w:shd w:val="clear" w:color="auto" w:fill="auto"/>
          </w:tcPr>
          <w:p w14:paraId="080A6F16" w14:textId="77777777" w:rsidR="00A86385" w:rsidRDefault="00A86385" w:rsidP="00E526FC">
            <w:pPr>
              <w:rPr>
                <w:rFonts w:cs="Arial"/>
                <w:color w:val="000000" w:themeColor="text1"/>
                <w:szCs w:val="16"/>
              </w:rPr>
            </w:pPr>
            <w:r w:rsidRPr="005C29F8">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5C29F8" w:rsidRDefault="00757D21" w:rsidP="00E526FC">
            <w:pPr>
              <w:rPr>
                <w:rFonts w:cs="Arial"/>
                <w:color w:val="000000" w:themeColor="text1"/>
                <w:szCs w:val="16"/>
              </w:rPr>
            </w:pPr>
            <w:r w:rsidRPr="00227D4B">
              <w:rPr>
                <w:rFonts w:cs="Arial"/>
                <w:i/>
                <w:iCs/>
                <w:color w:val="C00000"/>
                <w:szCs w:val="16"/>
              </w:rPr>
              <w:t>Calculation: (</w:t>
            </w:r>
            <w:proofErr w:type="spellStart"/>
            <w:r w:rsidRPr="00227D4B">
              <w:rPr>
                <w:rFonts w:cs="Arial"/>
                <w:i/>
                <w:iCs/>
                <w:color w:val="C00000"/>
                <w:szCs w:val="16"/>
              </w:rPr>
              <w:t>d+e</w:t>
            </w:r>
            <w:proofErr w:type="spellEnd"/>
            <w:r w:rsidRPr="00227D4B">
              <w:rPr>
                <w:rFonts w:cs="Arial"/>
                <w:i/>
                <w:iCs/>
                <w:color w:val="C00000"/>
                <w:szCs w:val="16"/>
              </w:rPr>
              <w:t>)/(</w:t>
            </w:r>
            <w:proofErr w:type="spellStart"/>
            <w:r w:rsidRPr="00227D4B">
              <w:rPr>
                <w:rFonts w:cs="Arial"/>
                <w:i/>
                <w:iCs/>
                <w:color w:val="C00000"/>
                <w:szCs w:val="16"/>
              </w:rPr>
              <w:t>a+b+c+d+e</w:t>
            </w:r>
            <w:proofErr w:type="spellEnd"/>
            <w:r w:rsidRPr="00227D4B">
              <w:rPr>
                <w:rFonts w:cs="Arial"/>
                <w:i/>
                <w:iCs/>
                <w:color w:val="C00000"/>
                <w:szCs w:val="16"/>
              </w:rPr>
              <w:t>)</w:t>
            </w:r>
          </w:p>
        </w:tc>
        <w:tc>
          <w:tcPr>
            <w:tcW w:w="584" w:type="pct"/>
            <w:shd w:val="clear" w:color="auto" w:fill="auto"/>
            <w:vAlign w:val="center"/>
          </w:tcPr>
          <w:p w14:paraId="55881F07" w14:textId="24379895" w:rsidR="00E526FC" w:rsidRPr="005C29F8" w:rsidRDefault="002B7490" w:rsidP="00A018D4">
            <w:pPr>
              <w:jc w:val="center"/>
              <w:rPr>
                <w:rFonts w:cs="Arial"/>
                <w:color w:val="000000" w:themeColor="text1"/>
                <w:szCs w:val="16"/>
              </w:rPr>
            </w:pPr>
            <w:r w:rsidRPr="005C29F8">
              <w:rPr>
                <w:rFonts w:cs="Arial"/>
                <w:color w:val="000000" w:themeColor="text1"/>
                <w:szCs w:val="16"/>
              </w:rPr>
              <w:t>20</w:t>
            </w:r>
          </w:p>
        </w:tc>
        <w:tc>
          <w:tcPr>
            <w:tcW w:w="584" w:type="pct"/>
            <w:shd w:val="clear" w:color="auto" w:fill="auto"/>
            <w:vAlign w:val="center"/>
          </w:tcPr>
          <w:p w14:paraId="621B2290" w14:textId="0CB78FA1" w:rsidR="00E526FC" w:rsidRPr="005C29F8" w:rsidRDefault="002B7490" w:rsidP="00A018D4">
            <w:pPr>
              <w:jc w:val="center"/>
              <w:rPr>
                <w:rFonts w:cs="Arial"/>
                <w:color w:val="000000" w:themeColor="text1"/>
                <w:szCs w:val="16"/>
              </w:rPr>
            </w:pPr>
            <w:r w:rsidRPr="005C29F8">
              <w:rPr>
                <w:rFonts w:cs="Arial"/>
                <w:color w:val="000000" w:themeColor="text1"/>
                <w:szCs w:val="16"/>
              </w:rPr>
              <w:t>35</w:t>
            </w:r>
          </w:p>
        </w:tc>
        <w:tc>
          <w:tcPr>
            <w:tcW w:w="543" w:type="pct"/>
            <w:shd w:val="clear" w:color="auto" w:fill="auto"/>
            <w:vAlign w:val="center"/>
          </w:tcPr>
          <w:p w14:paraId="62DBFBFA" w14:textId="0CDB12CF" w:rsidR="00A86385" w:rsidRPr="005C29F8" w:rsidRDefault="002B7490" w:rsidP="00A018D4">
            <w:pPr>
              <w:jc w:val="center"/>
              <w:rPr>
                <w:rFonts w:cs="Arial"/>
                <w:color w:val="000000" w:themeColor="text1"/>
                <w:szCs w:val="16"/>
              </w:rPr>
            </w:pPr>
            <w:r w:rsidRPr="005C29F8">
              <w:rPr>
                <w:rFonts w:cs="Arial"/>
                <w:color w:val="000000" w:themeColor="text1"/>
                <w:szCs w:val="16"/>
              </w:rPr>
              <w:t>36.96%</w:t>
            </w:r>
          </w:p>
        </w:tc>
        <w:tc>
          <w:tcPr>
            <w:tcW w:w="584" w:type="pct"/>
            <w:shd w:val="clear" w:color="auto" w:fill="auto"/>
            <w:vAlign w:val="center"/>
          </w:tcPr>
          <w:p w14:paraId="63A1936F" w14:textId="04F440D6" w:rsidR="00A86385" w:rsidRPr="005C29F8" w:rsidRDefault="002B7490" w:rsidP="00A018D4">
            <w:pPr>
              <w:jc w:val="center"/>
              <w:rPr>
                <w:rFonts w:cs="Arial"/>
                <w:color w:val="000000" w:themeColor="text1"/>
                <w:szCs w:val="16"/>
              </w:rPr>
            </w:pPr>
            <w:r w:rsidRPr="005C29F8">
              <w:rPr>
                <w:rFonts w:cs="Arial"/>
                <w:color w:val="000000" w:themeColor="text1"/>
                <w:szCs w:val="16"/>
              </w:rPr>
              <w:t>72.50%</w:t>
            </w:r>
          </w:p>
        </w:tc>
        <w:tc>
          <w:tcPr>
            <w:tcW w:w="625" w:type="pct"/>
            <w:shd w:val="clear" w:color="auto" w:fill="auto"/>
            <w:vAlign w:val="center"/>
          </w:tcPr>
          <w:p w14:paraId="4609D20B" w14:textId="7D9B89C4" w:rsidR="00A86385" w:rsidRPr="005C29F8" w:rsidRDefault="002B7490" w:rsidP="00A018D4">
            <w:pPr>
              <w:jc w:val="center"/>
              <w:rPr>
                <w:rFonts w:cs="Arial"/>
                <w:color w:val="000000" w:themeColor="text1"/>
                <w:szCs w:val="16"/>
              </w:rPr>
            </w:pPr>
            <w:r w:rsidRPr="005C29F8">
              <w:rPr>
                <w:rFonts w:cs="Arial"/>
                <w:color w:val="000000" w:themeColor="text1"/>
                <w:szCs w:val="16"/>
              </w:rPr>
              <w:t>57.14%</w:t>
            </w:r>
          </w:p>
        </w:tc>
        <w:tc>
          <w:tcPr>
            <w:tcW w:w="459" w:type="pct"/>
            <w:shd w:val="clear" w:color="auto" w:fill="auto"/>
            <w:vAlign w:val="center"/>
          </w:tcPr>
          <w:p w14:paraId="5F56D20D" w14:textId="6A83021F" w:rsidR="00A86385"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2" w:type="pct"/>
            <w:shd w:val="clear" w:color="auto" w:fill="auto"/>
            <w:vAlign w:val="center"/>
          </w:tcPr>
          <w:p w14:paraId="5C0F945B" w14:textId="613A8501" w:rsidR="00A86385" w:rsidRPr="005C29F8" w:rsidRDefault="002B7490" w:rsidP="00A018D4">
            <w:pPr>
              <w:jc w:val="center"/>
              <w:rPr>
                <w:rFonts w:cs="Arial"/>
                <w:color w:val="000000" w:themeColor="text1"/>
                <w:szCs w:val="16"/>
              </w:rPr>
            </w:pPr>
            <w:r w:rsidRPr="005C29F8">
              <w:rPr>
                <w:rFonts w:cs="Arial"/>
                <w:color w:val="000000" w:themeColor="text1"/>
                <w:szCs w:val="16"/>
              </w:rPr>
              <w:t>No Slippage</w:t>
            </w:r>
          </w:p>
        </w:tc>
      </w:tr>
    </w:tbl>
    <w:p w14:paraId="105291D6" w14:textId="2B417D4B" w:rsidR="009B37A2" w:rsidRDefault="009B37A2" w:rsidP="00B3121C">
      <w:pPr>
        <w:rPr>
          <w:color w:val="000000" w:themeColor="text1"/>
        </w:rPr>
      </w:pPr>
    </w:p>
    <w:p w14:paraId="399E6348" w14:textId="36EEF00B" w:rsidR="004B2C2D" w:rsidRPr="005C29F8" w:rsidRDefault="004B2C2D" w:rsidP="007D435F">
      <w:pPr>
        <w:rPr>
          <w:rFonts w:cs="Arial"/>
          <w:b/>
          <w:color w:val="000000" w:themeColor="text1"/>
          <w:szCs w:val="16"/>
        </w:rPr>
      </w:pPr>
      <w:r w:rsidRPr="005C29F8">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Default="004B2C2D" w:rsidP="007D435F">
      <w:pPr>
        <w:rPr>
          <w:rFonts w:cs="Arial"/>
          <w:color w:val="000000" w:themeColor="text1"/>
          <w:szCs w:val="16"/>
        </w:rPr>
      </w:pPr>
      <w:r w:rsidRPr="005C29F8">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5C29F8"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33429D" w:rsidRDefault="001D6B3B" w:rsidP="00A80FEB">
            <w:pPr>
              <w:rPr>
                <w:rFonts w:cs="Arial"/>
                <w:b/>
                <w:bCs/>
                <w:color w:val="000000" w:themeColor="text1"/>
                <w:szCs w:val="16"/>
              </w:rPr>
            </w:pPr>
            <w:r w:rsidRPr="0033429D">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5C29F8" w:rsidRDefault="00B461E1"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58275667" w14:textId="54710A2D" w:rsidTr="000A4757">
        <w:tc>
          <w:tcPr>
            <w:tcW w:w="3855" w:type="pct"/>
            <w:shd w:val="clear" w:color="auto" w:fill="auto"/>
          </w:tcPr>
          <w:p w14:paraId="390A3887" w14:textId="13D1E4BC" w:rsidR="00B461E1" w:rsidRPr="005C29F8" w:rsidRDefault="00B461E1" w:rsidP="00A80FEB">
            <w:pPr>
              <w:rPr>
                <w:rFonts w:cs="Arial"/>
                <w:color w:val="000000" w:themeColor="text1"/>
                <w:szCs w:val="16"/>
              </w:rPr>
            </w:pPr>
            <w:r w:rsidRPr="005C29F8">
              <w:rPr>
                <w:rFonts w:cs="Arial"/>
                <w:color w:val="000000" w:themeColor="text1"/>
                <w:szCs w:val="16"/>
              </w:rPr>
              <w:t xml:space="preserve">Was sampling used? </w:t>
            </w:r>
          </w:p>
        </w:tc>
        <w:tc>
          <w:tcPr>
            <w:tcW w:w="1145" w:type="pct"/>
            <w:shd w:val="clear" w:color="auto" w:fill="auto"/>
          </w:tcPr>
          <w:p w14:paraId="057F9293" w14:textId="70B8666C" w:rsidR="00B461E1"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4EF81044" w14:textId="5EE5725F" w:rsidR="004B2C2D" w:rsidRPr="005C29F8" w:rsidRDefault="004B2C2D" w:rsidP="00A80FEB">
      <w:pPr>
        <w:rPr>
          <w:rFonts w:cs="Arial"/>
          <w:b/>
          <w:color w:val="000000" w:themeColor="text1"/>
          <w:szCs w:val="16"/>
        </w:rPr>
      </w:pPr>
      <w:r w:rsidRPr="005C29F8">
        <w:rPr>
          <w:rFonts w:cs="Arial"/>
          <w:b/>
          <w:color w:val="000000" w:themeColor="text1"/>
          <w:szCs w:val="16"/>
        </w:rPr>
        <w:t>Did you use the Early Childhood Outcomes Center (ECO) Child Outcomes Summary Form (COS) process? (yes/no)</w:t>
      </w:r>
    </w:p>
    <w:p w14:paraId="6C4FBAA6" w14:textId="1B6DC98D" w:rsidR="004B2C2D" w:rsidRDefault="004B2C2D" w:rsidP="00A80FEB">
      <w:pPr>
        <w:rPr>
          <w:rFonts w:cs="Arial"/>
          <w:color w:val="000000" w:themeColor="text1"/>
          <w:szCs w:val="16"/>
        </w:rPr>
      </w:pPr>
      <w:r w:rsidRPr="005C29F8">
        <w:rPr>
          <w:rFonts w:cs="Arial"/>
          <w:color w:val="000000" w:themeColor="text1"/>
          <w:szCs w:val="16"/>
        </w:rPr>
        <w:t>YES</w:t>
      </w:r>
    </w:p>
    <w:p w14:paraId="015A471A" w14:textId="77777777" w:rsidR="004611C1" w:rsidRPr="005C29F8" w:rsidRDefault="004611C1" w:rsidP="00401663">
      <w:pPr>
        <w:rPr>
          <w:rFonts w:cs="Arial"/>
          <w:b/>
          <w:color w:val="000000" w:themeColor="text1"/>
          <w:szCs w:val="16"/>
        </w:rPr>
      </w:pPr>
      <w:bookmarkStart w:id="33" w:name="_Toc382082381"/>
      <w:bookmarkStart w:id="34" w:name="_Toc392159306"/>
      <w:r w:rsidRPr="005C29F8">
        <w:rPr>
          <w:rFonts w:cs="Arial"/>
          <w:b/>
          <w:color w:val="000000" w:themeColor="text1"/>
          <w:szCs w:val="16"/>
        </w:rPr>
        <w:t>List the instruments and procedures used to gather data for this indicator.</w:t>
      </w:r>
    </w:p>
    <w:p w14:paraId="48A16E25" w14:textId="1F2C8CE0" w:rsidR="009B37A2" w:rsidRPr="005C29F8" w:rsidRDefault="002B7490" w:rsidP="007D435F">
      <w:pPr>
        <w:rPr>
          <w:rFonts w:cs="Arial"/>
          <w:color w:val="000000" w:themeColor="text1"/>
          <w:szCs w:val="16"/>
        </w:rPr>
      </w:pPr>
      <w:r w:rsidRPr="005C29F8">
        <w:rPr>
          <w:rFonts w:cs="Arial"/>
          <w:color w:val="000000" w:themeColor="text1"/>
          <w:szCs w:val="16"/>
        </w:rPr>
        <w:t xml:space="preserve">Instruments and Procedures Used: All children eligible for Part B Early Childhood Special Education Services upon entry into the program and having received at least SIX months of services shall participate in the Early Childhood Special Education Outcome Measurement System process. </w:t>
      </w:r>
      <w:r w:rsidRPr="005C29F8">
        <w:rPr>
          <w:rFonts w:cs="Arial"/>
          <w:color w:val="000000" w:themeColor="text1"/>
          <w:szCs w:val="16"/>
        </w:rPr>
        <w:br/>
      </w:r>
      <w:r w:rsidRPr="005C29F8">
        <w:rPr>
          <w:rFonts w:cs="Arial"/>
          <w:color w:val="000000" w:themeColor="text1"/>
          <w:szCs w:val="16"/>
        </w:rPr>
        <w:br/>
        <w:t>The Child Outcome Summary (COS) process consists of four key features of quality. These features include:</w:t>
      </w:r>
      <w:r w:rsidRPr="005C29F8">
        <w:rPr>
          <w:rFonts w:cs="Arial"/>
          <w:color w:val="000000" w:themeColor="text1"/>
          <w:szCs w:val="16"/>
        </w:rPr>
        <w:br/>
      </w:r>
      <w:r w:rsidRPr="005C29F8">
        <w:rPr>
          <w:rFonts w:cs="Arial"/>
          <w:color w:val="000000" w:themeColor="text1"/>
          <w:szCs w:val="16"/>
        </w:rPr>
        <w:br/>
        <w:t xml:space="preserve">1. Using information from multiple sources. The process produces a description of the child’s functioning at a single point in time by synthesizing multiple sources of information. Multiple </w:t>
      </w:r>
      <w:proofErr w:type="gramStart"/>
      <w:r w:rsidRPr="005C29F8">
        <w:rPr>
          <w:rFonts w:cs="Arial"/>
          <w:color w:val="000000" w:themeColor="text1"/>
          <w:szCs w:val="16"/>
        </w:rPr>
        <w:t>source</w:t>
      </w:r>
      <w:proofErr w:type="gramEnd"/>
      <w:r w:rsidRPr="005C29F8">
        <w:rPr>
          <w:rFonts w:cs="Arial"/>
          <w:color w:val="000000" w:themeColor="text1"/>
          <w:szCs w:val="16"/>
        </w:rPr>
        <w:t xml:space="preserve"> of information is used to determine the status of the COS. Most of the information needed is already collected as part of the development of the child’s IEP and therefore, collecting child assessment information is currently part of the IEP development process and is not an added step. Multiple sources of information are used to make decisions regarding the child’s performance related to the three child outcomes. </w:t>
      </w:r>
      <w:r w:rsidRPr="005C29F8">
        <w:rPr>
          <w:rFonts w:cs="Arial"/>
          <w:color w:val="000000" w:themeColor="text1"/>
          <w:szCs w:val="16"/>
        </w:rPr>
        <w:br/>
      </w:r>
      <w:r w:rsidRPr="005C29F8">
        <w:rPr>
          <w:rFonts w:cs="Arial"/>
          <w:color w:val="000000" w:themeColor="text1"/>
          <w:szCs w:val="16"/>
        </w:rPr>
        <w:br/>
        <w:t xml:space="preserve">Data sources include: </w:t>
      </w:r>
      <w:r w:rsidRPr="005C29F8">
        <w:rPr>
          <w:rFonts w:cs="Arial"/>
          <w:color w:val="000000" w:themeColor="text1"/>
          <w:szCs w:val="16"/>
        </w:rPr>
        <w:br/>
        <w:t xml:space="preserve">o The Hawaii Early Learning Profile </w:t>
      </w:r>
      <w:r w:rsidRPr="005C29F8">
        <w:rPr>
          <w:rFonts w:cs="Arial"/>
          <w:color w:val="000000" w:themeColor="text1"/>
          <w:szCs w:val="16"/>
        </w:rPr>
        <w:br/>
      </w:r>
      <w:proofErr w:type="spellStart"/>
      <w:r w:rsidRPr="005C29F8">
        <w:rPr>
          <w:rFonts w:cs="Arial"/>
          <w:color w:val="000000" w:themeColor="text1"/>
          <w:szCs w:val="16"/>
        </w:rPr>
        <w:t>o</w:t>
      </w:r>
      <w:proofErr w:type="spellEnd"/>
      <w:r w:rsidRPr="005C29F8">
        <w:rPr>
          <w:rFonts w:cs="Arial"/>
          <w:color w:val="000000" w:themeColor="text1"/>
          <w:szCs w:val="16"/>
        </w:rPr>
        <w:t xml:space="preserve"> Other assessment results if appropriate </w:t>
      </w:r>
      <w:r w:rsidRPr="005C29F8">
        <w:rPr>
          <w:rFonts w:cs="Arial"/>
          <w:color w:val="000000" w:themeColor="text1"/>
          <w:szCs w:val="16"/>
        </w:rPr>
        <w:br/>
        <w:t xml:space="preserve">o Parent and other caregiver information </w:t>
      </w:r>
      <w:r w:rsidRPr="005C29F8">
        <w:rPr>
          <w:rFonts w:cs="Arial"/>
          <w:color w:val="000000" w:themeColor="text1"/>
          <w:szCs w:val="16"/>
        </w:rPr>
        <w:br/>
      </w:r>
      <w:proofErr w:type="spellStart"/>
      <w:r w:rsidRPr="005C29F8">
        <w:rPr>
          <w:rFonts w:cs="Arial"/>
          <w:color w:val="000000" w:themeColor="text1"/>
          <w:szCs w:val="16"/>
        </w:rPr>
        <w:t>o</w:t>
      </w:r>
      <w:proofErr w:type="spellEnd"/>
      <w:r w:rsidRPr="005C29F8">
        <w:rPr>
          <w:rFonts w:cs="Arial"/>
          <w:color w:val="000000" w:themeColor="text1"/>
          <w:szCs w:val="16"/>
        </w:rPr>
        <w:t xml:space="preserve"> Child observations </w:t>
      </w:r>
      <w:r w:rsidRPr="005C29F8">
        <w:rPr>
          <w:rFonts w:cs="Arial"/>
          <w:color w:val="000000" w:themeColor="text1"/>
          <w:szCs w:val="16"/>
        </w:rPr>
        <w:br/>
        <w:t xml:space="preserve">o Early Childhood Special Education Service provider observations and input </w:t>
      </w:r>
      <w:r w:rsidRPr="005C29F8">
        <w:rPr>
          <w:rFonts w:cs="Arial"/>
          <w:color w:val="000000" w:themeColor="text1"/>
          <w:szCs w:val="16"/>
        </w:rPr>
        <w:br/>
      </w:r>
      <w:r w:rsidRPr="005C29F8">
        <w:rPr>
          <w:rFonts w:cs="Arial"/>
          <w:color w:val="000000" w:themeColor="text1"/>
          <w:szCs w:val="16"/>
        </w:rPr>
        <w:br/>
        <w:t xml:space="preserve">2. Relying on team-based discussion and team decision making. This approach is a team process, involving professionals and family members contributing to decision-making. The COS process is designed to be a team consensus process where each individual member contributes information about the child’s functioning across a variety of setting and situations. The members of the team participate collectively in a discussion to determine the child’s rating. The child’s family is an important member of the COS team. The family provides critical information about the child. The family may not be familiar with the COS </w:t>
      </w:r>
      <w:proofErr w:type="gramStart"/>
      <w:r w:rsidRPr="005C29F8">
        <w:rPr>
          <w:rFonts w:cs="Arial"/>
          <w:color w:val="000000" w:themeColor="text1"/>
          <w:szCs w:val="16"/>
        </w:rPr>
        <w:t>process</w:t>
      </w:r>
      <w:proofErr w:type="gramEnd"/>
      <w:r w:rsidRPr="005C29F8">
        <w:rPr>
          <w:rFonts w:cs="Arial"/>
          <w:color w:val="000000" w:themeColor="text1"/>
          <w:szCs w:val="16"/>
        </w:rPr>
        <w:t xml:space="preserve"> but they are experts on what their child is doing across settings and situations. The team shall include family members, professionals who work with the child, and others familiar with the child’s functioning such as </w:t>
      </w:r>
      <w:proofErr w:type="gramStart"/>
      <w:r w:rsidRPr="005C29F8">
        <w:rPr>
          <w:rFonts w:cs="Arial"/>
          <w:color w:val="000000" w:themeColor="text1"/>
          <w:szCs w:val="16"/>
        </w:rPr>
        <w:t>child care</w:t>
      </w:r>
      <w:proofErr w:type="gramEnd"/>
      <w:r w:rsidRPr="005C29F8">
        <w:rPr>
          <w:rFonts w:cs="Arial"/>
          <w:color w:val="000000" w:themeColor="text1"/>
          <w:szCs w:val="16"/>
        </w:rPr>
        <w:t xml:space="preserve"> providers. Teams can range in size from two people to as many the parent and team feels is needed.</w:t>
      </w:r>
      <w:r w:rsidRPr="005C29F8">
        <w:rPr>
          <w:rFonts w:cs="Arial"/>
          <w:color w:val="000000" w:themeColor="text1"/>
          <w:szCs w:val="16"/>
        </w:rPr>
        <w:br/>
      </w:r>
      <w:r w:rsidRPr="005C29F8">
        <w:rPr>
          <w:rFonts w:cs="Arial"/>
          <w:color w:val="000000" w:themeColor="text1"/>
          <w:szCs w:val="16"/>
        </w:rPr>
        <w:br/>
        <w:t xml:space="preserve">3. Using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COS process results in a rating for each of the three child outcomes. The rating is based on child’s functioning across settings and situations. A child’s functioning is compared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be reported for every child enrolled. Ratings are needed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 </w:t>
      </w:r>
      <w:r w:rsidRPr="005C29F8">
        <w:rPr>
          <w:rFonts w:cs="Arial"/>
          <w:color w:val="000000" w:themeColor="text1"/>
          <w:szCs w:val="16"/>
        </w:rPr>
        <w:br/>
      </w:r>
      <w:r w:rsidRPr="005C29F8">
        <w:rPr>
          <w:rFonts w:cs="Arial"/>
          <w:color w:val="000000" w:themeColor="text1"/>
          <w:szCs w:val="16"/>
        </w:rPr>
        <w:br/>
        <w:t>4. Completing the COS forms upon program entry and exit. The COS process is completed at two points in time, at a minimum--when the child enters the program and when the child exits the program.</w:t>
      </w:r>
    </w:p>
    <w:p w14:paraId="393ECB24" w14:textId="77777777" w:rsidR="00221EC9" w:rsidRPr="005C29F8" w:rsidRDefault="00221EC9" w:rsidP="004369B2">
      <w:pPr>
        <w:rPr>
          <w:b/>
          <w:color w:val="000000" w:themeColor="text1"/>
        </w:rPr>
      </w:pPr>
      <w:r w:rsidRPr="005C29F8">
        <w:rPr>
          <w:b/>
          <w:color w:val="000000" w:themeColor="text1"/>
        </w:rPr>
        <w:t>Provide additional information about this indicator (optional)</w:t>
      </w:r>
    </w:p>
    <w:p w14:paraId="0215673F" w14:textId="7230C48B" w:rsidR="009B37A2" w:rsidRDefault="009B37A2" w:rsidP="007D435F">
      <w:pPr>
        <w:rPr>
          <w:rFonts w:cs="Arial"/>
          <w:color w:val="000000" w:themeColor="text1"/>
          <w:szCs w:val="16"/>
        </w:rPr>
      </w:pPr>
    </w:p>
    <w:p w14:paraId="729220FB" w14:textId="2C05A12E" w:rsidR="000A2C83" w:rsidRPr="0033429D" w:rsidRDefault="00C96236" w:rsidP="008645AD">
      <w:pPr>
        <w:pStyle w:val="Heading2"/>
      </w:pPr>
      <w:r w:rsidRPr="0033429D">
        <w:t>7</w:t>
      </w:r>
      <w:r w:rsidR="00444A9D" w:rsidRPr="0033429D">
        <w:t xml:space="preserve"> </w:t>
      </w:r>
      <w:r w:rsidRPr="0033429D">
        <w:t xml:space="preserve">- </w:t>
      </w:r>
      <w:r w:rsidR="000A2C83" w:rsidRPr="0033429D">
        <w:t>Prior FFY Required Actions</w:t>
      </w:r>
    </w:p>
    <w:p w14:paraId="6B082508" w14:textId="28E3454C" w:rsidR="000A2C83" w:rsidRPr="005C29F8" w:rsidRDefault="002B7490" w:rsidP="000A2C83">
      <w:pPr>
        <w:rPr>
          <w:rFonts w:cs="Arial"/>
          <w:color w:val="000000" w:themeColor="text1"/>
          <w:szCs w:val="16"/>
        </w:rPr>
      </w:pPr>
      <w:r w:rsidRPr="005C29F8">
        <w:rPr>
          <w:rFonts w:cs="Arial"/>
          <w:color w:val="000000" w:themeColor="text1"/>
          <w:szCs w:val="16"/>
        </w:rPr>
        <w:t>None</w:t>
      </w:r>
    </w:p>
    <w:p w14:paraId="342951AE" w14:textId="530DEEBF" w:rsidR="00B1280F" w:rsidRPr="005C29F8" w:rsidRDefault="00B1280F" w:rsidP="000A2C83">
      <w:pPr>
        <w:rPr>
          <w:rFonts w:cs="Arial"/>
          <w:color w:val="000000" w:themeColor="text1"/>
          <w:szCs w:val="16"/>
        </w:rPr>
      </w:pPr>
    </w:p>
    <w:p w14:paraId="311D27F5" w14:textId="36383184"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4844645A" w14:textId="6F051FE6" w:rsidR="00221EC9" w:rsidRPr="0033429D" w:rsidRDefault="00C96236" w:rsidP="008645AD">
      <w:pPr>
        <w:pStyle w:val="Heading2"/>
      </w:pPr>
      <w:r w:rsidRPr="0033429D">
        <w:t>7 - OSEP Response</w:t>
      </w:r>
    </w:p>
    <w:p w14:paraId="408E3220" w14:textId="3BF99ADA" w:rsidR="009B37A2" w:rsidRPr="005C29F8" w:rsidRDefault="009B37A2" w:rsidP="001F692C">
      <w:pPr>
        <w:rPr>
          <w:rFonts w:cs="Arial"/>
          <w:color w:val="000000" w:themeColor="text1"/>
          <w:szCs w:val="16"/>
        </w:rPr>
      </w:pPr>
    </w:p>
    <w:p w14:paraId="50C7CF43" w14:textId="32A5B19E" w:rsidR="00221EC9" w:rsidRPr="0033429D" w:rsidRDefault="00C96236" w:rsidP="008645AD">
      <w:pPr>
        <w:pStyle w:val="Heading2"/>
      </w:pPr>
      <w:r w:rsidRPr="0033429D">
        <w:t>7 - Required Actions</w:t>
      </w:r>
    </w:p>
    <w:p w14:paraId="44281A32" w14:textId="371D4770" w:rsidR="009B37A2" w:rsidRPr="005C29F8" w:rsidRDefault="009B37A2" w:rsidP="001F692C">
      <w:pPr>
        <w:rPr>
          <w:rFonts w:cs="Arial"/>
          <w:color w:val="000000" w:themeColor="text1"/>
          <w:szCs w:val="16"/>
        </w:rPr>
      </w:pPr>
    </w:p>
    <w:p w14:paraId="4FFE0FC1"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3BCCFF07" w14:textId="34122B32" w:rsidR="00B3462E" w:rsidRPr="005C29F8" w:rsidRDefault="00B3462E" w:rsidP="000444E2">
      <w:pPr>
        <w:pStyle w:val="Heading1"/>
        <w:rPr>
          <w:color w:val="000000" w:themeColor="text1"/>
          <w:sz w:val="22"/>
        </w:rPr>
      </w:pPr>
      <w:r w:rsidRPr="005C29F8">
        <w:rPr>
          <w:color w:val="000000" w:themeColor="text1"/>
          <w:sz w:val="22"/>
        </w:rPr>
        <w:lastRenderedPageBreak/>
        <w:t>Indicator 8: Parent involvement</w:t>
      </w:r>
      <w:bookmarkEnd w:id="33"/>
      <w:bookmarkEnd w:id="34"/>
    </w:p>
    <w:p w14:paraId="66FBCA03" w14:textId="77777777" w:rsidR="00B654C1" w:rsidRPr="005C29F8" w:rsidRDefault="00B654C1" w:rsidP="00A018D4">
      <w:pPr>
        <w:rPr>
          <w:color w:val="000000" w:themeColor="text1"/>
          <w:szCs w:val="20"/>
        </w:rPr>
      </w:pPr>
      <w:bookmarkStart w:id="35" w:name="_Toc392159307"/>
      <w:r w:rsidRPr="005C29F8">
        <w:rPr>
          <w:b/>
          <w:color w:val="000000" w:themeColor="text1"/>
          <w:sz w:val="20"/>
          <w:szCs w:val="20"/>
        </w:rPr>
        <w:t>Instructions and Measurement</w:t>
      </w:r>
    </w:p>
    <w:p w14:paraId="42608CC1" w14:textId="182D7ADF" w:rsidR="00CC634E" w:rsidRPr="005C29F8" w:rsidRDefault="00CC634E" w:rsidP="004369B2">
      <w:pPr>
        <w:rPr>
          <w:color w:val="000000" w:themeColor="text1"/>
        </w:rPr>
      </w:pPr>
      <w:r w:rsidRPr="005C29F8">
        <w:rPr>
          <w:b/>
          <w:color w:val="000000" w:themeColor="text1"/>
        </w:rPr>
        <w:t>Monitoring Priority:</w:t>
      </w:r>
      <w:r w:rsidRPr="005C29F8">
        <w:rPr>
          <w:color w:val="000000" w:themeColor="text1"/>
        </w:rPr>
        <w:t xml:space="preserve"> FAPE in the LRE</w:t>
      </w:r>
    </w:p>
    <w:p w14:paraId="090EFEAD" w14:textId="77777777" w:rsidR="009C613A" w:rsidRPr="005C29F8" w:rsidRDefault="00CC634E" w:rsidP="006424B2">
      <w:pPr>
        <w:rPr>
          <w:rFonts w:cs="Arial"/>
          <w:color w:val="000000" w:themeColor="text1"/>
          <w:szCs w:val="16"/>
        </w:rPr>
      </w:pPr>
      <w:r w:rsidRPr="005C29F8">
        <w:rPr>
          <w:rFonts w:cs="Arial"/>
          <w:b/>
          <w:color w:val="000000" w:themeColor="text1"/>
          <w:szCs w:val="16"/>
        </w:rPr>
        <w:t>Results indicator:</w:t>
      </w:r>
      <w:r w:rsidR="00131842" w:rsidRPr="005C29F8">
        <w:rPr>
          <w:rFonts w:cs="Arial"/>
          <w:color w:val="000000" w:themeColor="text1"/>
          <w:szCs w:val="16"/>
        </w:rPr>
        <w:t xml:space="preserve"> </w:t>
      </w:r>
      <w:r w:rsidRPr="005C29F8">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5C29F8" w:rsidRDefault="00CC634E" w:rsidP="006424B2">
      <w:pPr>
        <w:rPr>
          <w:rFonts w:cs="Arial"/>
          <w:color w:val="000000" w:themeColor="text1"/>
          <w:szCs w:val="16"/>
        </w:rPr>
      </w:pPr>
      <w:r w:rsidRPr="005C29F8">
        <w:rPr>
          <w:rFonts w:cs="Arial"/>
          <w:color w:val="000000" w:themeColor="text1"/>
          <w:szCs w:val="16"/>
        </w:rPr>
        <w:t>(20 U.S.C. 1416(a)(3)(A))</w:t>
      </w:r>
    </w:p>
    <w:p w14:paraId="59F98396" w14:textId="77777777" w:rsidR="009C613A" w:rsidRPr="005C29F8" w:rsidRDefault="009C613A" w:rsidP="004369B2">
      <w:pPr>
        <w:rPr>
          <w:color w:val="000000" w:themeColor="text1"/>
        </w:rPr>
      </w:pPr>
      <w:r w:rsidRPr="005C29F8">
        <w:rPr>
          <w:b/>
          <w:color w:val="000000" w:themeColor="text1"/>
        </w:rPr>
        <w:t>Data Source</w:t>
      </w:r>
    </w:p>
    <w:p w14:paraId="543A03AF" w14:textId="13B8F95C" w:rsidR="009C613A" w:rsidRPr="005C29F8" w:rsidRDefault="009C613A" w:rsidP="00286BDF">
      <w:pPr>
        <w:rPr>
          <w:rFonts w:cs="Arial"/>
          <w:color w:val="000000" w:themeColor="text1"/>
          <w:szCs w:val="16"/>
        </w:rPr>
      </w:pPr>
      <w:r w:rsidRPr="005C29F8">
        <w:rPr>
          <w:rFonts w:cs="Arial"/>
          <w:color w:val="000000" w:themeColor="text1"/>
          <w:szCs w:val="16"/>
        </w:rPr>
        <w:t>State selected data source.</w:t>
      </w:r>
    </w:p>
    <w:p w14:paraId="50AC2385" w14:textId="77777777" w:rsidR="009C613A" w:rsidRPr="005C29F8" w:rsidRDefault="009C613A" w:rsidP="004369B2">
      <w:pPr>
        <w:rPr>
          <w:color w:val="000000" w:themeColor="text1"/>
        </w:rPr>
      </w:pPr>
      <w:r w:rsidRPr="005C29F8">
        <w:rPr>
          <w:b/>
          <w:color w:val="000000" w:themeColor="text1"/>
        </w:rPr>
        <w:t>Measurement</w:t>
      </w:r>
    </w:p>
    <w:p w14:paraId="5E1A0E28" w14:textId="46D6A5D9" w:rsidR="009C613A" w:rsidRPr="005C29F8" w:rsidRDefault="009C613A" w:rsidP="00286BDF">
      <w:pPr>
        <w:rPr>
          <w:rFonts w:cs="Arial"/>
          <w:color w:val="000000" w:themeColor="text1"/>
          <w:szCs w:val="16"/>
        </w:rPr>
      </w:pPr>
      <w:r w:rsidRPr="005C29F8">
        <w:rPr>
          <w:rFonts w:cs="Arial"/>
          <w:color w:val="000000" w:themeColor="text1"/>
          <w:szCs w:val="16"/>
        </w:rPr>
        <w:t>Percent</w:t>
      </w:r>
      <w:r w:rsidRPr="005C29F8">
        <w:rPr>
          <w:rFonts w:cs="Arial"/>
          <w:color w:val="000000" w:themeColor="text1"/>
          <w:szCs w:val="16"/>
          <w:shd w:val="clear" w:color="auto" w:fill="FFFFFF"/>
        </w:rPr>
        <w:t xml:space="preserve"> = </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5C29F8">
        <w:rPr>
          <w:rFonts w:cs="Arial"/>
          <w:color w:val="000000" w:themeColor="text1"/>
          <w:szCs w:val="16"/>
          <w:shd w:val="clear" w:color="auto" w:fill="FFFFFF"/>
        </w:rPr>
        <w:t>]</w:t>
      </w:r>
      <w:r w:rsidRPr="005C29F8">
        <w:rPr>
          <w:rFonts w:cs="Arial"/>
          <w:color w:val="000000" w:themeColor="text1"/>
          <w:szCs w:val="16"/>
          <w:shd w:val="clear" w:color="auto" w:fill="FFFFFF"/>
        </w:rPr>
        <w:t xml:space="preserve"> times 100.</w:t>
      </w:r>
    </w:p>
    <w:p w14:paraId="289E0D18" w14:textId="5D04C177" w:rsidR="009C613A" w:rsidRPr="005C29F8" w:rsidRDefault="009C613A" w:rsidP="004369B2">
      <w:pPr>
        <w:rPr>
          <w:color w:val="000000" w:themeColor="text1"/>
        </w:rPr>
      </w:pPr>
      <w:r w:rsidRPr="005C29F8">
        <w:rPr>
          <w:b/>
          <w:color w:val="000000" w:themeColor="text1"/>
        </w:rPr>
        <w:t>Instructions</w:t>
      </w:r>
    </w:p>
    <w:p w14:paraId="60A1EAFB" w14:textId="77777777" w:rsidR="002D7AD6" w:rsidRPr="005C29F8" w:rsidRDefault="002D7AD6" w:rsidP="00286BDF">
      <w:pPr>
        <w:rPr>
          <w:rFonts w:cs="Arial"/>
          <w:color w:val="000000" w:themeColor="text1"/>
          <w:szCs w:val="16"/>
        </w:rPr>
      </w:pPr>
      <w:r w:rsidRPr="005C29F8">
        <w:rPr>
          <w:rFonts w:cs="Arial"/>
          <w:color w:val="000000" w:themeColor="text1"/>
          <w:szCs w:val="16"/>
        </w:rPr>
        <w:t>Sampling </w:t>
      </w:r>
      <w:r w:rsidRPr="005C29F8">
        <w:rPr>
          <w:rFonts w:cs="Arial"/>
          <w:b/>
          <w:bCs/>
          <w:color w:val="000000" w:themeColor="text1"/>
          <w:szCs w:val="16"/>
        </w:rPr>
        <w:t>of parents from whom response is requested</w:t>
      </w:r>
      <w:r w:rsidRPr="005C29F8">
        <w:rPr>
          <w:rFonts w:cs="Arial"/>
          <w:color w:val="000000" w:themeColor="text1"/>
          <w:szCs w:val="16"/>
        </w:rPr>
        <w:t> is allowed. When sampling is used, submit a description of the sampling methodology outlining how the design will yield valid and reliable estimates. (See </w:t>
      </w:r>
      <w:r w:rsidRPr="005C29F8">
        <w:rPr>
          <w:rFonts w:cs="Arial"/>
          <w:color w:val="000000" w:themeColor="text1"/>
          <w:szCs w:val="16"/>
          <w:u w:val="single"/>
        </w:rPr>
        <w:t>General Instructions</w:t>
      </w:r>
      <w:r w:rsidRPr="005C29F8">
        <w:rPr>
          <w:rFonts w:cs="Arial"/>
          <w:color w:val="000000" w:themeColor="text1"/>
          <w:szCs w:val="16"/>
        </w:rPr>
        <w:t> on page 2 for additional instructions on sampling.)</w:t>
      </w:r>
    </w:p>
    <w:p w14:paraId="3EC08FBA" w14:textId="77777777" w:rsidR="002D7AD6" w:rsidRPr="005C29F8" w:rsidRDefault="002D7AD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7C56A5AA" w14:textId="77777777" w:rsidR="002D7AD6" w:rsidRPr="005C29F8" w:rsidRDefault="002D7AD6" w:rsidP="00286BDF">
      <w:pPr>
        <w:rPr>
          <w:rFonts w:cs="Arial"/>
          <w:color w:val="000000" w:themeColor="text1"/>
          <w:szCs w:val="16"/>
        </w:rPr>
      </w:pPr>
      <w:r w:rsidRPr="005C29F8">
        <w:rPr>
          <w:rFonts w:cs="Arial"/>
          <w:color w:val="000000" w:themeColor="text1"/>
          <w:szCs w:val="16"/>
        </w:rPr>
        <w:t>Provide the actual numbers used in the calculation.</w:t>
      </w:r>
    </w:p>
    <w:p w14:paraId="231E5575" w14:textId="77777777" w:rsidR="002D7AD6" w:rsidRPr="005C29F8" w:rsidRDefault="002D7AD6" w:rsidP="00286BDF">
      <w:pPr>
        <w:rPr>
          <w:rFonts w:cs="Arial"/>
          <w:color w:val="000000" w:themeColor="text1"/>
          <w:szCs w:val="16"/>
        </w:rPr>
      </w:pPr>
      <w:r w:rsidRPr="005C29F8">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5C29F8" w:rsidRDefault="002D7AD6" w:rsidP="00286BDF">
      <w:pPr>
        <w:rPr>
          <w:rFonts w:cs="Arial"/>
          <w:color w:val="000000" w:themeColor="text1"/>
          <w:szCs w:val="16"/>
        </w:rPr>
      </w:pPr>
      <w:r w:rsidRPr="005C29F8">
        <w:rPr>
          <w:rFonts w:cs="Arial"/>
          <w:color w:val="000000" w:themeColor="text1"/>
          <w:szCs w:val="16"/>
        </w:rPr>
        <w:t>While a survey is not required for this indicator, a State using a survey must submit a copy of any new or revised survey with its SPP/APR.</w:t>
      </w:r>
    </w:p>
    <w:p w14:paraId="58476F67" w14:textId="77777777" w:rsidR="002D7AD6" w:rsidRPr="005C29F8" w:rsidRDefault="002D7AD6" w:rsidP="00286BDF">
      <w:pPr>
        <w:rPr>
          <w:rFonts w:cs="Arial"/>
          <w:color w:val="000000" w:themeColor="text1"/>
          <w:szCs w:val="16"/>
        </w:rPr>
      </w:pPr>
      <w:r w:rsidRPr="005C29F8">
        <w:rPr>
          <w:rFonts w:cs="Arial"/>
          <w:color w:val="000000" w:themeColor="text1"/>
          <w:szCs w:val="16"/>
        </w:rPr>
        <w:t>Report the number of parents to whom the surveys were distributed.</w:t>
      </w:r>
    </w:p>
    <w:p w14:paraId="47899836" w14:textId="77777777" w:rsidR="002D7AD6" w:rsidRPr="005C29F8" w:rsidRDefault="002D7AD6" w:rsidP="00286BDF">
      <w:pPr>
        <w:rPr>
          <w:rFonts w:cs="Arial"/>
          <w:color w:val="000000" w:themeColor="text1"/>
          <w:szCs w:val="16"/>
        </w:rPr>
      </w:pPr>
      <w:r w:rsidRPr="005C29F8">
        <w:rPr>
          <w:rFonts w:cs="Arial"/>
          <w:color w:val="000000" w:themeColor="text1"/>
          <w:szCs w:val="16"/>
        </w:rPr>
        <w:t>Include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w:t>
      </w:r>
    </w:p>
    <w:p w14:paraId="04A128A3" w14:textId="77777777" w:rsidR="002D7AD6" w:rsidRPr="005C29F8" w:rsidRDefault="002D7AD6" w:rsidP="00286BDF">
      <w:pPr>
        <w:rPr>
          <w:rFonts w:cs="Arial"/>
          <w:color w:val="000000" w:themeColor="text1"/>
          <w:szCs w:val="16"/>
        </w:rPr>
      </w:pPr>
      <w:r w:rsidRPr="005C29F8">
        <w:rPr>
          <w:rFonts w:cs="Arial"/>
          <w:color w:val="000000" w:themeColor="text1"/>
          <w:szCs w:val="16"/>
        </w:rPr>
        <w:t>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p w14:paraId="38028E97" w14:textId="3CEA9087" w:rsidR="009C613A" w:rsidRPr="005C29F8" w:rsidRDefault="002D7AD6" w:rsidP="00286BDF">
      <w:pPr>
        <w:rPr>
          <w:rFonts w:cs="Arial"/>
          <w:color w:val="000000" w:themeColor="text1"/>
          <w:szCs w:val="16"/>
        </w:rPr>
      </w:pPr>
      <w:r w:rsidRPr="005C29F8">
        <w:rPr>
          <w:rFonts w:cs="Arial"/>
          <w:color w:val="000000" w:themeColor="text1"/>
          <w:szCs w:val="16"/>
        </w:rPr>
        <w:t>States are encouraged to work in collaboration with their OSEP-funded parent centers in collecting data.</w:t>
      </w:r>
    </w:p>
    <w:p w14:paraId="2EF00B98" w14:textId="1D44A6D0" w:rsidR="000B547A" w:rsidRPr="0033429D" w:rsidRDefault="00752BAF" w:rsidP="008645AD">
      <w:pPr>
        <w:pStyle w:val="Heading2"/>
      </w:pPr>
      <w:r w:rsidRPr="0033429D">
        <w:t>8</w:t>
      </w:r>
      <w:r w:rsidR="001F6BAA" w:rsidRPr="0033429D">
        <w:t xml:space="preserve"> </w:t>
      </w:r>
      <w:r w:rsidRPr="0033429D">
        <w:t xml:space="preserve">- </w:t>
      </w:r>
      <w:r w:rsidR="000B547A" w:rsidRPr="0033429D">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5C29F8" w14:paraId="74873645" w14:textId="77777777" w:rsidTr="0033429D">
        <w:trPr>
          <w:tblHeader/>
        </w:trPr>
        <w:tc>
          <w:tcPr>
            <w:tcW w:w="8324" w:type="dxa"/>
          </w:tcPr>
          <w:p w14:paraId="08995901" w14:textId="6A8EBD47" w:rsidR="000B547A" w:rsidRPr="0033429D" w:rsidRDefault="002E111A" w:rsidP="00286BDF">
            <w:pPr>
              <w:rPr>
                <w:rFonts w:cs="Arial"/>
                <w:b/>
                <w:bCs/>
                <w:color w:val="000000" w:themeColor="text1"/>
                <w:szCs w:val="16"/>
              </w:rPr>
            </w:pPr>
            <w:r w:rsidRPr="0033429D">
              <w:rPr>
                <w:rFonts w:cs="Arial"/>
                <w:b/>
                <w:bCs/>
                <w:color w:val="000000" w:themeColor="text1"/>
                <w:szCs w:val="16"/>
              </w:rPr>
              <w:t>Question</w:t>
            </w:r>
          </w:p>
        </w:tc>
        <w:tc>
          <w:tcPr>
            <w:tcW w:w="2476" w:type="dxa"/>
          </w:tcPr>
          <w:p w14:paraId="7DF826E5" w14:textId="55897261" w:rsidR="000B547A" w:rsidRPr="005C29F8" w:rsidRDefault="000B547A" w:rsidP="001011BB">
            <w:pPr>
              <w:jc w:val="center"/>
              <w:rPr>
                <w:rFonts w:cs="Arial"/>
                <w:b/>
                <w:color w:val="000000" w:themeColor="text1"/>
                <w:szCs w:val="16"/>
              </w:rPr>
            </w:pPr>
            <w:r w:rsidRPr="005C29F8">
              <w:rPr>
                <w:rFonts w:cs="Arial"/>
                <w:b/>
                <w:color w:val="000000" w:themeColor="text1"/>
                <w:szCs w:val="16"/>
              </w:rPr>
              <w:t xml:space="preserve">Yes / No </w:t>
            </w:r>
          </w:p>
        </w:tc>
      </w:tr>
      <w:tr w:rsidR="005C29F8" w:rsidRPr="005C29F8" w14:paraId="1461C216" w14:textId="7FAEFB03" w:rsidTr="00487CBD">
        <w:trPr>
          <w:trHeight w:val="215"/>
        </w:trPr>
        <w:tc>
          <w:tcPr>
            <w:tcW w:w="8324" w:type="dxa"/>
          </w:tcPr>
          <w:p w14:paraId="443084C1" w14:textId="2A55FAF5" w:rsidR="000B547A" w:rsidRPr="005C29F8" w:rsidRDefault="000B547A" w:rsidP="00286BDF">
            <w:pPr>
              <w:rPr>
                <w:rFonts w:cs="Arial"/>
                <w:color w:val="000000" w:themeColor="text1"/>
                <w:szCs w:val="16"/>
              </w:rPr>
            </w:pPr>
            <w:r w:rsidRPr="005C29F8">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5C29F8" w:rsidRDefault="002B7490" w:rsidP="00A018D4">
            <w:pPr>
              <w:jc w:val="center"/>
              <w:rPr>
                <w:rFonts w:cs="Arial"/>
                <w:color w:val="000000" w:themeColor="text1"/>
                <w:szCs w:val="16"/>
              </w:rPr>
            </w:pPr>
            <w:r w:rsidRPr="005C29F8">
              <w:rPr>
                <w:rFonts w:cs="Arial"/>
                <w:color w:val="000000" w:themeColor="text1"/>
                <w:szCs w:val="16"/>
              </w:rPr>
              <w:t>NO</w:t>
            </w:r>
          </w:p>
        </w:tc>
      </w:tr>
    </w:tbl>
    <w:bookmarkEnd w:id="35"/>
    <w:p w14:paraId="4CE8E077" w14:textId="24912129" w:rsidR="00487CBD" w:rsidRDefault="00487CBD" w:rsidP="00487CBD">
      <w:pPr>
        <w:rPr>
          <w:b/>
          <w:color w:val="000000" w:themeColor="text1"/>
        </w:rPr>
      </w:pPr>
      <w:r w:rsidRPr="005C29F8">
        <w:rPr>
          <w:b/>
          <w:color w:val="000000" w:themeColor="text1"/>
        </w:rPr>
        <w:t xml:space="preserve">Targets: Description of Stakeholder Input </w:t>
      </w:r>
    </w:p>
    <w:p w14:paraId="71AF2AFF" w14:textId="77777777" w:rsidR="00487CBD" w:rsidRPr="005C29F8" w:rsidRDefault="00487CBD" w:rsidP="00487CBD">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339F3968" w14:textId="6278D154" w:rsidR="008B600B" w:rsidRPr="005C29F8" w:rsidRDefault="008B600B" w:rsidP="004369B2">
      <w:pPr>
        <w:rPr>
          <w:rFonts w:cs="Arial"/>
          <w:color w:val="000000" w:themeColor="text1"/>
          <w:szCs w:val="16"/>
        </w:rPr>
      </w:pPr>
    </w:p>
    <w:p w14:paraId="39D78FC4" w14:textId="60D247B6" w:rsidR="00ED0065" w:rsidRDefault="00ED0065"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14:paraId="4FD416E2" w14:textId="77777777" w:rsidTr="00123D76">
        <w:trPr>
          <w:trHeight w:val="311"/>
          <w:tblHeader/>
        </w:trPr>
        <w:tc>
          <w:tcPr>
            <w:tcW w:w="1797" w:type="dxa"/>
          </w:tcPr>
          <w:p w14:paraId="30EEE37E" w14:textId="77777777" w:rsidR="002E111A" w:rsidRDefault="002E111A" w:rsidP="00123D76">
            <w:pPr>
              <w:jc w:val="center"/>
              <w:rPr>
                <w:b/>
                <w:color w:val="000000" w:themeColor="text1"/>
              </w:rPr>
            </w:pPr>
            <w:r w:rsidRPr="005C29F8">
              <w:rPr>
                <w:rFonts w:cs="Arial"/>
                <w:b/>
                <w:color w:val="000000" w:themeColor="text1"/>
                <w:szCs w:val="16"/>
              </w:rPr>
              <w:t>Baseline Year</w:t>
            </w:r>
          </w:p>
        </w:tc>
        <w:tc>
          <w:tcPr>
            <w:tcW w:w="1798" w:type="dxa"/>
          </w:tcPr>
          <w:p w14:paraId="579A26EC" w14:textId="77777777" w:rsidR="002E111A" w:rsidRDefault="002E111A" w:rsidP="00123D76">
            <w:pPr>
              <w:jc w:val="center"/>
              <w:rPr>
                <w:b/>
                <w:color w:val="000000" w:themeColor="text1"/>
              </w:rPr>
            </w:pPr>
            <w:r>
              <w:rPr>
                <w:b/>
                <w:color w:val="000000" w:themeColor="text1"/>
              </w:rPr>
              <w:t>Baseline Data</w:t>
            </w:r>
          </w:p>
        </w:tc>
      </w:tr>
      <w:tr w:rsidR="002E111A" w14:paraId="7FB18E4F" w14:textId="77777777" w:rsidTr="00123D76">
        <w:trPr>
          <w:trHeight w:val="311"/>
        </w:trPr>
        <w:tc>
          <w:tcPr>
            <w:tcW w:w="1797" w:type="dxa"/>
            <w:vAlign w:val="center"/>
          </w:tcPr>
          <w:p w14:paraId="167EAC34" w14:textId="69ED71A1" w:rsidR="002E111A" w:rsidRPr="00227D4B" w:rsidRDefault="002E111A" w:rsidP="00123D76">
            <w:pPr>
              <w:jc w:val="center"/>
              <w:rPr>
                <w:bCs/>
                <w:color w:val="000000" w:themeColor="text1"/>
              </w:rPr>
            </w:pPr>
            <w:r w:rsidRPr="00227D4B">
              <w:rPr>
                <w:bCs/>
                <w:color w:val="000000" w:themeColor="text1"/>
              </w:rPr>
              <w:t>2005</w:t>
            </w:r>
          </w:p>
        </w:tc>
        <w:tc>
          <w:tcPr>
            <w:tcW w:w="1798" w:type="dxa"/>
            <w:vAlign w:val="center"/>
          </w:tcPr>
          <w:p w14:paraId="14A1010A" w14:textId="403EDC7C" w:rsidR="002E111A" w:rsidRPr="00227D4B" w:rsidRDefault="002E111A" w:rsidP="00123D76">
            <w:pPr>
              <w:jc w:val="center"/>
              <w:rPr>
                <w:bCs/>
                <w:color w:val="000000" w:themeColor="text1"/>
              </w:rPr>
            </w:pPr>
            <w:r w:rsidRPr="00227D4B">
              <w:rPr>
                <w:bCs/>
                <w:color w:val="000000" w:themeColor="text1"/>
              </w:rPr>
              <w:t>78.00%</w:t>
            </w:r>
          </w:p>
        </w:tc>
      </w:tr>
    </w:tbl>
    <w:p w14:paraId="79684A14" w14:textId="77777777" w:rsidR="002E111A" w:rsidRPr="005C29F8"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5C29F8" w14:paraId="06FA8C8B" w14:textId="77777777" w:rsidTr="0033429D">
        <w:trPr>
          <w:trHeight w:val="287"/>
        </w:trPr>
        <w:tc>
          <w:tcPr>
            <w:tcW w:w="833" w:type="pct"/>
            <w:tcBorders>
              <w:bottom w:val="single" w:sz="4" w:space="0" w:color="auto"/>
            </w:tcBorders>
            <w:shd w:val="clear" w:color="auto" w:fill="auto"/>
          </w:tcPr>
          <w:p w14:paraId="31735078" w14:textId="77777777" w:rsidR="00FB6462" w:rsidRPr="005C29F8" w:rsidRDefault="00FB6462" w:rsidP="0033429D">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2FE2E19D" w14:textId="1650DFDD" w:rsidR="00FB6462" w:rsidRPr="005C29F8" w:rsidRDefault="002B7490" w:rsidP="00DC263A">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2DF60B98" w14:textId="1CF7D6BE" w:rsidR="00FB6462" w:rsidRPr="005C29F8" w:rsidRDefault="002B7490" w:rsidP="00DC263A">
            <w:pPr>
              <w:keepNext/>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3278B9A" w14:textId="6050DB27" w:rsidR="00FB6462" w:rsidRPr="005C29F8" w:rsidRDefault="002B7490" w:rsidP="00DC263A">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F23746E" w14:textId="403244A2" w:rsidR="00FB6462" w:rsidRPr="005C29F8" w:rsidRDefault="002B7490" w:rsidP="00DC263A">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E365F7F" w14:textId="686F85A1" w:rsidR="00FB6462" w:rsidRPr="005C29F8" w:rsidRDefault="002B7490" w:rsidP="00DC263A">
            <w:pPr>
              <w:jc w:val="center"/>
              <w:rPr>
                <w:rFonts w:cs="Arial"/>
                <w:b/>
                <w:color w:val="000000" w:themeColor="text1"/>
                <w:szCs w:val="16"/>
              </w:rPr>
            </w:pPr>
            <w:r w:rsidRPr="005C29F8">
              <w:rPr>
                <w:rFonts w:cs="Arial"/>
                <w:b/>
                <w:color w:val="000000" w:themeColor="text1"/>
                <w:szCs w:val="16"/>
              </w:rPr>
              <w:t>2018</w:t>
            </w:r>
          </w:p>
        </w:tc>
      </w:tr>
      <w:tr w:rsidR="005C29F8" w:rsidRPr="005C29F8" w14:paraId="040D0378" w14:textId="77777777" w:rsidTr="0033429D">
        <w:trPr>
          <w:trHeight w:val="357"/>
        </w:trPr>
        <w:tc>
          <w:tcPr>
            <w:tcW w:w="833" w:type="pct"/>
            <w:shd w:val="clear" w:color="auto" w:fill="auto"/>
          </w:tcPr>
          <w:p w14:paraId="54EE5848" w14:textId="7260CA74" w:rsidR="00FB6462" w:rsidRPr="005C29F8" w:rsidRDefault="00FB6462" w:rsidP="005A338D">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56BDAD4D" w14:textId="1C7EF6C0" w:rsidR="00FB6462" w:rsidRPr="005C29F8" w:rsidRDefault="002B7490" w:rsidP="00A018D4">
            <w:pPr>
              <w:jc w:val="center"/>
              <w:rPr>
                <w:rFonts w:cs="Arial"/>
                <w:color w:val="000000" w:themeColor="text1"/>
                <w:szCs w:val="16"/>
              </w:rPr>
            </w:pPr>
            <w:r w:rsidRPr="005C29F8">
              <w:rPr>
                <w:rFonts w:cs="Arial"/>
                <w:color w:val="000000" w:themeColor="text1"/>
                <w:szCs w:val="16"/>
              </w:rPr>
              <w:t>82.00%</w:t>
            </w:r>
          </w:p>
        </w:tc>
        <w:tc>
          <w:tcPr>
            <w:tcW w:w="833" w:type="pct"/>
            <w:shd w:val="clear" w:color="auto" w:fill="auto"/>
          </w:tcPr>
          <w:p w14:paraId="45AE596F" w14:textId="6983147C" w:rsidR="00FB6462" w:rsidRPr="005C29F8" w:rsidRDefault="002B7490" w:rsidP="00A018D4">
            <w:pPr>
              <w:jc w:val="center"/>
              <w:rPr>
                <w:rFonts w:cs="Arial"/>
                <w:color w:val="000000" w:themeColor="text1"/>
                <w:szCs w:val="16"/>
              </w:rPr>
            </w:pPr>
            <w:r w:rsidRPr="005C29F8">
              <w:rPr>
                <w:rFonts w:cs="Arial"/>
                <w:color w:val="000000" w:themeColor="text1"/>
                <w:szCs w:val="16"/>
              </w:rPr>
              <w:t>84.00%</w:t>
            </w:r>
          </w:p>
        </w:tc>
        <w:tc>
          <w:tcPr>
            <w:tcW w:w="833" w:type="pct"/>
            <w:shd w:val="clear" w:color="auto" w:fill="auto"/>
            <w:vAlign w:val="center"/>
          </w:tcPr>
          <w:p w14:paraId="4CA9D7D5" w14:textId="26724736" w:rsidR="00FB6462"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833" w:type="pct"/>
            <w:shd w:val="clear" w:color="auto" w:fill="auto"/>
            <w:vAlign w:val="center"/>
          </w:tcPr>
          <w:p w14:paraId="2AC9DE6C" w14:textId="662D879E" w:rsidR="00FB6462" w:rsidRPr="005C29F8" w:rsidRDefault="002B7490" w:rsidP="00A018D4">
            <w:pPr>
              <w:jc w:val="center"/>
              <w:rPr>
                <w:rFonts w:cs="Arial"/>
                <w:color w:val="000000" w:themeColor="text1"/>
                <w:szCs w:val="16"/>
              </w:rPr>
            </w:pPr>
            <w:r w:rsidRPr="005C29F8">
              <w:rPr>
                <w:rFonts w:cs="Arial"/>
                <w:color w:val="000000" w:themeColor="text1"/>
                <w:szCs w:val="16"/>
              </w:rPr>
              <w:t>88.00%</w:t>
            </w:r>
          </w:p>
        </w:tc>
        <w:tc>
          <w:tcPr>
            <w:tcW w:w="834" w:type="pct"/>
            <w:shd w:val="clear" w:color="auto" w:fill="auto"/>
            <w:vAlign w:val="center"/>
          </w:tcPr>
          <w:p w14:paraId="1D66991F" w14:textId="5308C1A9" w:rsidR="00FB6462" w:rsidRPr="005C29F8" w:rsidRDefault="002B7490" w:rsidP="00A018D4">
            <w:pPr>
              <w:jc w:val="center"/>
              <w:rPr>
                <w:rFonts w:cs="Arial"/>
                <w:color w:val="000000" w:themeColor="text1"/>
                <w:szCs w:val="16"/>
              </w:rPr>
            </w:pPr>
            <w:r w:rsidRPr="005C29F8">
              <w:rPr>
                <w:rFonts w:cs="Arial"/>
                <w:color w:val="000000" w:themeColor="text1"/>
                <w:szCs w:val="16"/>
              </w:rPr>
              <w:t>90.00%</w:t>
            </w:r>
          </w:p>
        </w:tc>
      </w:tr>
      <w:tr w:rsidR="005C29F8" w:rsidRPr="005C29F8" w14:paraId="0983C602" w14:textId="77777777" w:rsidTr="0033429D">
        <w:trPr>
          <w:trHeight w:val="85"/>
        </w:trPr>
        <w:tc>
          <w:tcPr>
            <w:tcW w:w="833" w:type="pct"/>
            <w:shd w:val="clear" w:color="auto" w:fill="auto"/>
          </w:tcPr>
          <w:p w14:paraId="024AD7D5" w14:textId="77777777" w:rsidR="00FB6462" w:rsidRPr="005C29F8" w:rsidRDefault="00FB6462" w:rsidP="005A338D">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0C46B390" w14:textId="75A5B1D9" w:rsidR="00FB6462" w:rsidRPr="005C29F8" w:rsidRDefault="002B7490" w:rsidP="00A018D4">
            <w:pPr>
              <w:jc w:val="center"/>
              <w:rPr>
                <w:rFonts w:cs="Arial"/>
                <w:color w:val="000000" w:themeColor="text1"/>
                <w:szCs w:val="16"/>
              </w:rPr>
            </w:pPr>
            <w:r w:rsidRPr="005C29F8">
              <w:rPr>
                <w:rFonts w:cs="Arial"/>
                <w:color w:val="000000" w:themeColor="text1"/>
                <w:szCs w:val="16"/>
              </w:rPr>
              <w:t>90.65%</w:t>
            </w:r>
          </w:p>
        </w:tc>
        <w:tc>
          <w:tcPr>
            <w:tcW w:w="833" w:type="pct"/>
            <w:shd w:val="clear" w:color="auto" w:fill="auto"/>
          </w:tcPr>
          <w:p w14:paraId="0F636319" w14:textId="7C4BA9E9" w:rsidR="00FB6462" w:rsidRPr="005C29F8" w:rsidRDefault="002B7490" w:rsidP="00A018D4">
            <w:pPr>
              <w:jc w:val="center"/>
              <w:rPr>
                <w:rFonts w:cs="Arial"/>
                <w:color w:val="000000" w:themeColor="text1"/>
                <w:szCs w:val="16"/>
              </w:rPr>
            </w:pPr>
            <w:r w:rsidRPr="005C29F8">
              <w:rPr>
                <w:rFonts w:cs="Arial"/>
                <w:color w:val="000000" w:themeColor="text1"/>
                <w:szCs w:val="16"/>
              </w:rPr>
              <w:t>90.07%</w:t>
            </w:r>
          </w:p>
        </w:tc>
        <w:tc>
          <w:tcPr>
            <w:tcW w:w="833" w:type="pct"/>
            <w:tcBorders>
              <w:bottom w:val="single" w:sz="4" w:space="0" w:color="auto"/>
            </w:tcBorders>
            <w:shd w:val="clear" w:color="auto" w:fill="auto"/>
            <w:vAlign w:val="center"/>
          </w:tcPr>
          <w:p w14:paraId="72DD8100" w14:textId="2078A0DC" w:rsidR="00FB6462" w:rsidRPr="005C29F8" w:rsidRDefault="002B7490" w:rsidP="00A018D4">
            <w:pPr>
              <w:jc w:val="center"/>
              <w:rPr>
                <w:rFonts w:cs="Arial"/>
                <w:color w:val="000000" w:themeColor="text1"/>
                <w:szCs w:val="16"/>
              </w:rPr>
            </w:pPr>
            <w:r w:rsidRPr="005C29F8">
              <w:rPr>
                <w:rFonts w:cs="Arial"/>
                <w:color w:val="000000" w:themeColor="text1"/>
                <w:szCs w:val="16"/>
              </w:rPr>
              <w:t>91.34%</w:t>
            </w:r>
          </w:p>
        </w:tc>
        <w:tc>
          <w:tcPr>
            <w:tcW w:w="833" w:type="pct"/>
            <w:tcBorders>
              <w:bottom w:val="single" w:sz="4" w:space="0" w:color="auto"/>
            </w:tcBorders>
            <w:shd w:val="clear" w:color="auto" w:fill="auto"/>
            <w:vAlign w:val="center"/>
          </w:tcPr>
          <w:p w14:paraId="36AAC02B" w14:textId="31D6381A" w:rsidR="00FB6462" w:rsidRPr="005C29F8" w:rsidRDefault="002B7490" w:rsidP="00A018D4">
            <w:pPr>
              <w:jc w:val="center"/>
              <w:rPr>
                <w:rFonts w:cs="Arial"/>
                <w:color w:val="000000" w:themeColor="text1"/>
                <w:szCs w:val="16"/>
              </w:rPr>
            </w:pPr>
            <w:r w:rsidRPr="005C29F8">
              <w:rPr>
                <w:rFonts w:cs="Arial"/>
                <w:color w:val="000000" w:themeColor="text1"/>
                <w:szCs w:val="16"/>
              </w:rPr>
              <w:t>92.31%</w:t>
            </w:r>
          </w:p>
        </w:tc>
        <w:tc>
          <w:tcPr>
            <w:tcW w:w="834" w:type="pct"/>
            <w:tcBorders>
              <w:bottom w:val="single" w:sz="4" w:space="0" w:color="auto"/>
            </w:tcBorders>
            <w:shd w:val="clear" w:color="auto" w:fill="auto"/>
            <w:vAlign w:val="center"/>
          </w:tcPr>
          <w:p w14:paraId="4F9B07B7" w14:textId="7D67594F" w:rsidR="00FB6462" w:rsidRPr="005C29F8" w:rsidRDefault="002B7490" w:rsidP="00A018D4">
            <w:pPr>
              <w:jc w:val="center"/>
              <w:rPr>
                <w:rFonts w:cs="Arial"/>
                <w:color w:val="000000" w:themeColor="text1"/>
                <w:szCs w:val="16"/>
              </w:rPr>
            </w:pPr>
            <w:r w:rsidRPr="005C29F8">
              <w:rPr>
                <w:rFonts w:cs="Arial"/>
                <w:color w:val="000000" w:themeColor="text1"/>
                <w:szCs w:val="16"/>
              </w:rPr>
              <w:t>93.53%</w:t>
            </w:r>
          </w:p>
        </w:tc>
      </w:tr>
    </w:tbl>
    <w:p w14:paraId="0E2D4617" w14:textId="77777777" w:rsidR="000417B4" w:rsidRPr="005C29F8" w:rsidRDefault="000417B4" w:rsidP="004369B2">
      <w:pPr>
        <w:rPr>
          <w:color w:val="000000" w:themeColor="text1"/>
        </w:rPr>
      </w:pPr>
    </w:p>
    <w:p w14:paraId="1F4FFBFE" w14:textId="308C372B" w:rsidR="00FB6462" w:rsidRPr="005C29F8" w:rsidRDefault="00FB6462"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985"/>
        <w:gridCol w:w="2159"/>
      </w:tblGrid>
      <w:tr w:rsidR="00F54A50" w:rsidRPr="005C29F8" w14:paraId="77450D85" w14:textId="16CFB679" w:rsidTr="0033429D">
        <w:trPr>
          <w:trHeight w:val="350"/>
        </w:trPr>
        <w:tc>
          <w:tcPr>
            <w:tcW w:w="1566" w:type="pct"/>
            <w:tcBorders>
              <w:bottom w:val="single" w:sz="4" w:space="0" w:color="auto"/>
            </w:tcBorders>
            <w:shd w:val="clear" w:color="auto" w:fill="auto"/>
            <w:vAlign w:val="bottom"/>
          </w:tcPr>
          <w:p w14:paraId="5A82FAC4" w14:textId="77777777" w:rsidR="00F54A50" w:rsidRPr="005C29F8" w:rsidRDefault="00F54A50" w:rsidP="004369B2">
            <w:pPr>
              <w:jc w:val="center"/>
              <w:rPr>
                <w:b/>
                <w:color w:val="000000" w:themeColor="text1"/>
              </w:rPr>
            </w:pPr>
            <w:r w:rsidRPr="005C29F8">
              <w:rPr>
                <w:b/>
                <w:color w:val="000000" w:themeColor="text1"/>
              </w:rPr>
              <w:t>FFY</w:t>
            </w:r>
          </w:p>
        </w:tc>
        <w:tc>
          <w:tcPr>
            <w:tcW w:w="3434" w:type="pct"/>
            <w:shd w:val="clear" w:color="auto" w:fill="auto"/>
            <w:vAlign w:val="bottom"/>
          </w:tcPr>
          <w:p w14:paraId="6DDB1395" w14:textId="489E70A4" w:rsidR="00F54A50" w:rsidRPr="005C29F8" w:rsidRDefault="00F54A50" w:rsidP="004369B2">
            <w:pPr>
              <w:jc w:val="center"/>
              <w:rPr>
                <w:b/>
                <w:color w:val="000000" w:themeColor="text1"/>
              </w:rPr>
            </w:pPr>
            <w:r w:rsidRPr="005C29F8">
              <w:rPr>
                <w:b/>
                <w:color w:val="000000" w:themeColor="text1"/>
              </w:rPr>
              <w:t>2019</w:t>
            </w:r>
          </w:p>
        </w:tc>
      </w:tr>
      <w:tr w:rsidR="00F54A50" w:rsidRPr="005C29F8" w14:paraId="50A2A35E" w14:textId="176DE376" w:rsidTr="0033429D">
        <w:trPr>
          <w:trHeight w:val="357"/>
        </w:trPr>
        <w:tc>
          <w:tcPr>
            <w:tcW w:w="1566" w:type="pct"/>
            <w:shd w:val="clear" w:color="auto" w:fill="auto"/>
          </w:tcPr>
          <w:p w14:paraId="2F249DEE" w14:textId="4AA3473F" w:rsidR="00F54A50" w:rsidRPr="005C29F8" w:rsidRDefault="00F54A50" w:rsidP="005A338D">
            <w:pPr>
              <w:rPr>
                <w:rFonts w:cs="Arial"/>
                <w:color w:val="000000" w:themeColor="text1"/>
                <w:szCs w:val="16"/>
              </w:rPr>
            </w:pPr>
            <w:r w:rsidRPr="005C29F8">
              <w:rPr>
                <w:rFonts w:cs="Arial"/>
                <w:color w:val="000000" w:themeColor="text1"/>
                <w:szCs w:val="16"/>
              </w:rPr>
              <w:t>Target &gt;=</w:t>
            </w:r>
          </w:p>
        </w:tc>
        <w:tc>
          <w:tcPr>
            <w:tcW w:w="3434" w:type="pct"/>
            <w:shd w:val="clear" w:color="auto" w:fill="auto"/>
            <w:vAlign w:val="center"/>
          </w:tcPr>
          <w:p w14:paraId="2ACB7B9E" w14:textId="427B5E78" w:rsidR="00F54A50" w:rsidRPr="005C29F8" w:rsidRDefault="00F54A50" w:rsidP="00A018D4">
            <w:pPr>
              <w:jc w:val="center"/>
              <w:rPr>
                <w:rFonts w:cs="Arial"/>
                <w:color w:val="000000" w:themeColor="text1"/>
                <w:szCs w:val="16"/>
              </w:rPr>
            </w:pPr>
            <w:r w:rsidRPr="005C29F8">
              <w:rPr>
                <w:rFonts w:cs="Arial"/>
                <w:color w:val="000000" w:themeColor="text1"/>
                <w:szCs w:val="16"/>
              </w:rPr>
              <w:t>90.00%</w:t>
            </w:r>
          </w:p>
        </w:tc>
      </w:tr>
    </w:tbl>
    <w:p w14:paraId="68BCE5ED" w14:textId="77777777" w:rsidR="007E2779" w:rsidRPr="005C29F8" w:rsidRDefault="007E2779" w:rsidP="000A2C83">
      <w:pPr>
        <w:rPr>
          <w:rFonts w:cs="Arial"/>
          <w:color w:val="000000" w:themeColor="text1"/>
          <w:szCs w:val="16"/>
        </w:rPr>
      </w:pPr>
    </w:p>
    <w:p w14:paraId="15954908" w14:textId="32421619" w:rsidR="00FB6462" w:rsidRPr="005C29F8" w:rsidRDefault="00FB6462" w:rsidP="004369B2">
      <w:pPr>
        <w:rPr>
          <w:color w:val="000000" w:themeColor="text1"/>
        </w:rPr>
      </w:pPr>
      <w:r w:rsidRPr="005C29F8">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5C29F8" w14:paraId="2A3467FD" w14:textId="77777777" w:rsidTr="00AB0D6A">
        <w:trPr>
          <w:trHeight w:val="368"/>
          <w:tblHeader/>
        </w:trPr>
        <w:tc>
          <w:tcPr>
            <w:tcW w:w="1244" w:type="pct"/>
            <w:shd w:val="clear" w:color="auto" w:fill="auto"/>
            <w:vAlign w:val="bottom"/>
          </w:tcPr>
          <w:p w14:paraId="1B1F6FBB" w14:textId="77777777" w:rsidR="00FB6462" w:rsidRPr="005C29F8" w:rsidRDefault="00FB6462" w:rsidP="004369B2">
            <w:pPr>
              <w:jc w:val="center"/>
              <w:rPr>
                <w:b/>
                <w:color w:val="000000" w:themeColor="text1"/>
              </w:rPr>
            </w:pPr>
            <w:r w:rsidRPr="005C29F8">
              <w:rPr>
                <w:b/>
                <w:color w:val="000000" w:themeColor="text1"/>
              </w:rPr>
              <w:lastRenderedPageBreak/>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5C29F8" w:rsidRDefault="00FB6462" w:rsidP="004369B2">
            <w:pPr>
              <w:jc w:val="center"/>
              <w:rPr>
                <w:b/>
                <w:color w:val="000000" w:themeColor="text1"/>
              </w:rPr>
            </w:pPr>
            <w:r w:rsidRPr="005C29F8">
              <w:rPr>
                <w:b/>
                <w:color w:val="000000" w:themeColor="text1"/>
              </w:rPr>
              <w:t>Total number of respondent parents of children with disabilities</w:t>
            </w:r>
          </w:p>
        </w:tc>
        <w:tc>
          <w:tcPr>
            <w:tcW w:w="542" w:type="pct"/>
            <w:shd w:val="clear" w:color="auto" w:fill="auto"/>
            <w:vAlign w:val="bottom"/>
          </w:tcPr>
          <w:p w14:paraId="57D9347A" w14:textId="0EACA725" w:rsidR="00FB6462" w:rsidRPr="005C29F8" w:rsidRDefault="00D95C14" w:rsidP="004369B2">
            <w:pPr>
              <w:jc w:val="center"/>
              <w:rPr>
                <w:b/>
                <w:color w:val="000000" w:themeColor="text1"/>
              </w:rPr>
            </w:pPr>
            <w:r w:rsidRPr="005C29F8">
              <w:rPr>
                <w:b/>
                <w:color w:val="000000" w:themeColor="text1"/>
              </w:rPr>
              <w:t>FFY 2018 Data</w:t>
            </w:r>
          </w:p>
        </w:tc>
        <w:tc>
          <w:tcPr>
            <w:tcW w:w="667" w:type="pct"/>
            <w:shd w:val="clear" w:color="auto" w:fill="auto"/>
            <w:vAlign w:val="bottom"/>
          </w:tcPr>
          <w:p w14:paraId="42BF1046" w14:textId="1094F7EF" w:rsidR="00FB6462" w:rsidRPr="005C29F8" w:rsidRDefault="00FB6462" w:rsidP="004369B2">
            <w:pPr>
              <w:jc w:val="center"/>
              <w:rPr>
                <w:b/>
                <w:color w:val="000000" w:themeColor="text1"/>
              </w:rPr>
            </w:pPr>
            <w:r w:rsidRPr="005C29F8">
              <w:rPr>
                <w:b/>
                <w:color w:val="000000" w:themeColor="text1"/>
              </w:rPr>
              <w:t>FFY 2019 Target</w:t>
            </w:r>
          </w:p>
        </w:tc>
        <w:tc>
          <w:tcPr>
            <w:tcW w:w="542" w:type="pct"/>
            <w:shd w:val="clear" w:color="auto" w:fill="auto"/>
            <w:vAlign w:val="bottom"/>
          </w:tcPr>
          <w:p w14:paraId="36E0331C" w14:textId="3DF835DC" w:rsidR="00FB6462" w:rsidRPr="005C29F8" w:rsidRDefault="00FB6462" w:rsidP="004369B2">
            <w:pPr>
              <w:jc w:val="center"/>
              <w:rPr>
                <w:b/>
                <w:color w:val="000000" w:themeColor="text1"/>
              </w:rPr>
            </w:pPr>
            <w:r w:rsidRPr="005C29F8">
              <w:rPr>
                <w:b/>
                <w:color w:val="000000" w:themeColor="text1"/>
              </w:rPr>
              <w:t>FFY 2019 Data</w:t>
            </w:r>
          </w:p>
        </w:tc>
        <w:tc>
          <w:tcPr>
            <w:tcW w:w="625" w:type="pct"/>
            <w:shd w:val="clear" w:color="auto" w:fill="auto"/>
            <w:vAlign w:val="bottom"/>
          </w:tcPr>
          <w:p w14:paraId="52157F4E" w14:textId="77777777" w:rsidR="00FB6462" w:rsidRPr="005C29F8" w:rsidRDefault="00FB6462" w:rsidP="004369B2">
            <w:pPr>
              <w:jc w:val="center"/>
              <w:rPr>
                <w:b/>
                <w:color w:val="000000" w:themeColor="text1"/>
              </w:rPr>
            </w:pPr>
            <w:r w:rsidRPr="005C29F8">
              <w:rPr>
                <w:b/>
                <w:color w:val="000000" w:themeColor="text1"/>
              </w:rPr>
              <w:t>Status</w:t>
            </w:r>
          </w:p>
        </w:tc>
        <w:tc>
          <w:tcPr>
            <w:tcW w:w="706" w:type="pct"/>
            <w:shd w:val="clear" w:color="auto" w:fill="auto"/>
            <w:vAlign w:val="bottom"/>
          </w:tcPr>
          <w:p w14:paraId="1DC1ADC7" w14:textId="77777777" w:rsidR="00FB6462" w:rsidRPr="005C29F8" w:rsidRDefault="00FB6462" w:rsidP="004369B2">
            <w:pPr>
              <w:jc w:val="center"/>
              <w:rPr>
                <w:b/>
                <w:color w:val="000000" w:themeColor="text1"/>
              </w:rPr>
            </w:pPr>
            <w:r w:rsidRPr="005C29F8">
              <w:rPr>
                <w:b/>
                <w:color w:val="000000" w:themeColor="text1"/>
              </w:rPr>
              <w:t>Slippage</w:t>
            </w:r>
          </w:p>
        </w:tc>
      </w:tr>
      <w:tr w:rsidR="005C29F8" w:rsidRPr="005C29F8" w14:paraId="4B4B0594" w14:textId="77777777" w:rsidTr="00AB0D6A">
        <w:trPr>
          <w:trHeight w:val="366"/>
        </w:trPr>
        <w:tc>
          <w:tcPr>
            <w:tcW w:w="1251" w:type="pct"/>
            <w:gridSpan w:val="2"/>
            <w:shd w:val="clear" w:color="auto" w:fill="auto"/>
            <w:vAlign w:val="bottom"/>
          </w:tcPr>
          <w:p w14:paraId="0933F330" w14:textId="2423D9E2" w:rsidR="00FB6462" w:rsidRPr="005C29F8" w:rsidRDefault="00FB6462" w:rsidP="00A018D4">
            <w:pPr>
              <w:jc w:val="center"/>
              <w:rPr>
                <w:rFonts w:cs="Arial"/>
                <w:color w:val="000000" w:themeColor="text1"/>
                <w:szCs w:val="16"/>
              </w:rPr>
            </w:pPr>
          </w:p>
        </w:tc>
        <w:tc>
          <w:tcPr>
            <w:tcW w:w="667" w:type="pct"/>
            <w:shd w:val="clear" w:color="auto" w:fill="auto"/>
            <w:vAlign w:val="bottom"/>
          </w:tcPr>
          <w:p w14:paraId="2905391A" w14:textId="502FBF67" w:rsidR="00FB6462" w:rsidRPr="005C29F8" w:rsidRDefault="00FB6462" w:rsidP="00A018D4">
            <w:pPr>
              <w:jc w:val="center"/>
              <w:rPr>
                <w:rFonts w:cs="Arial"/>
                <w:color w:val="000000" w:themeColor="text1"/>
                <w:szCs w:val="16"/>
              </w:rPr>
            </w:pPr>
          </w:p>
        </w:tc>
        <w:tc>
          <w:tcPr>
            <w:tcW w:w="542" w:type="pct"/>
            <w:shd w:val="clear" w:color="auto" w:fill="auto"/>
            <w:vAlign w:val="bottom"/>
          </w:tcPr>
          <w:p w14:paraId="486C6AEB" w14:textId="2AC5DAB9" w:rsidR="00FB6462" w:rsidRPr="005C29F8" w:rsidRDefault="002B7490" w:rsidP="00A018D4">
            <w:pPr>
              <w:jc w:val="center"/>
              <w:rPr>
                <w:rFonts w:cs="Arial"/>
                <w:color w:val="000000" w:themeColor="text1"/>
                <w:szCs w:val="16"/>
              </w:rPr>
            </w:pPr>
            <w:r w:rsidRPr="005C29F8">
              <w:rPr>
                <w:rFonts w:cs="Arial"/>
                <w:color w:val="000000" w:themeColor="text1"/>
                <w:szCs w:val="16"/>
              </w:rPr>
              <w:t>93.53%</w:t>
            </w:r>
          </w:p>
        </w:tc>
        <w:tc>
          <w:tcPr>
            <w:tcW w:w="667" w:type="pct"/>
            <w:shd w:val="clear" w:color="auto" w:fill="auto"/>
            <w:vAlign w:val="bottom"/>
          </w:tcPr>
          <w:p w14:paraId="024E965C" w14:textId="65736559" w:rsidR="00FB6462" w:rsidRPr="005C29F8" w:rsidRDefault="002B7490" w:rsidP="00A018D4">
            <w:pPr>
              <w:jc w:val="center"/>
              <w:rPr>
                <w:rFonts w:cs="Arial"/>
                <w:color w:val="000000" w:themeColor="text1"/>
                <w:szCs w:val="16"/>
              </w:rPr>
            </w:pPr>
            <w:r w:rsidRPr="005C29F8">
              <w:rPr>
                <w:rFonts w:cs="Arial"/>
                <w:color w:val="000000" w:themeColor="text1"/>
                <w:szCs w:val="16"/>
              </w:rPr>
              <w:t>90.00%</w:t>
            </w:r>
          </w:p>
        </w:tc>
        <w:tc>
          <w:tcPr>
            <w:tcW w:w="542" w:type="pct"/>
            <w:shd w:val="clear" w:color="auto" w:fill="auto"/>
            <w:vAlign w:val="bottom"/>
          </w:tcPr>
          <w:p w14:paraId="1BEB0ADC" w14:textId="5244B4D7" w:rsidR="00FB6462" w:rsidRPr="005C29F8" w:rsidRDefault="00FB6462" w:rsidP="00A018D4">
            <w:pPr>
              <w:jc w:val="center"/>
              <w:rPr>
                <w:rFonts w:cs="Arial"/>
                <w:color w:val="000000" w:themeColor="text1"/>
                <w:szCs w:val="16"/>
              </w:rPr>
            </w:pPr>
          </w:p>
        </w:tc>
        <w:tc>
          <w:tcPr>
            <w:tcW w:w="625" w:type="pct"/>
            <w:shd w:val="clear" w:color="auto" w:fill="auto"/>
            <w:vAlign w:val="bottom"/>
          </w:tcPr>
          <w:p w14:paraId="230C5FAF" w14:textId="6761CD40" w:rsidR="00FB6462"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706" w:type="pct"/>
            <w:shd w:val="clear" w:color="auto" w:fill="auto"/>
            <w:vAlign w:val="bottom"/>
          </w:tcPr>
          <w:p w14:paraId="2CBF8B2D" w14:textId="3929AFC6" w:rsidR="00FB6462"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5A09E881" w14:textId="07D57839" w:rsidR="00FB6462"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The number of parents to whom the surveys were distributed.</w:t>
      </w:r>
    </w:p>
    <w:p w14:paraId="2371D0CA" w14:textId="2D9A0EB4" w:rsidR="007757B1" w:rsidRPr="005C29F8" w:rsidRDefault="007757B1" w:rsidP="00FB6462">
      <w:pPr>
        <w:pStyle w:val="Explanation"/>
        <w:rPr>
          <w:rFonts w:cs="Arial"/>
          <w:i w:val="0"/>
          <w:iCs/>
          <w:color w:val="000000" w:themeColor="text1"/>
          <w:szCs w:val="16"/>
        </w:rPr>
      </w:pPr>
    </w:p>
    <w:p w14:paraId="0A32E03E" w14:textId="5B687258" w:rsidR="007757B1" w:rsidRPr="005C29F8" w:rsidRDefault="007757B1" w:rsidP="00FB6462">
      <w:pPr>
        <w:pStyle w:val="Explanation"/>
        <w:rPr>
          <w:rFonts w:cs="Arial"/>
          <w:b/>
          <w:i w:val="0"/>
          <w:iCs/>
          <w:color w:val="000000" w:themeColor="text1"/>
          <w:szCs w:val="16"/>
        </w:rPr>
      </w:pPr>
      <w:r w:rsidRPr="005C29F8">
        <w:rPr>
          <w:rFonts w:cs="Arial"/>
          <w:b/>
          <w:i w:val="0"/>
          <w:iCs/>
          <w:color w:val="000000" w:themeColor="text1"/>
          <w:szCs w:val="16"/>
        </w:rPr>
        <w:t>Percentage of respondent parents</w:t>
      </w:r>
    </w:p>
    <w:p w14:paraId="50F76EB6" w14:textId="425D0503" w:rsidR="007757B1" w:rsidRDefault="007757B1" w:rsidP="00FB6462">
      <w:pPr>
        <w:pStyle w:val="Explanation"/>
        <w:rPr>
          <w:rFonts w:cs="Arial"/>
          <w:i w:val="0"/>
          <w:iCs/>
          <w:color w:val="000000" w:themeColor="text1"/>
          <w:szCs w:val="16"/>
        </w:rPr>
      </w:pPr>
    </w:p>
    <w:p w14:paraId="22227E2D" w14:textId="3C53FA16" w:rsidR="00FB6462" w:rsidRPr="005C29F8" w:rsidRDefault="00FB6462" w:rsidP="005A338D">
      <w:pPr>
        <w:rPr>
          <w:rFonts w:cs="Arial"/>
          <w:b/>
          <w:color w:val="000000" w:themeColor="text1"/>
          <w:szCs w:val="16"/>
        </w:rPr>
      </w:pPr>
      <w:r w:rsidRPr="005C29F8">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5C29F8" w:rsidRDefault="00230EE6" w:rsidP="005A338D">
      <w:pPr>
        <w:rPr>
          <w:rFonts w:cs="Arial"/>
          <w:color w:val="000000" w:themeColor="text1"/>
          <w:szCs w:val="16"/>
        </w:rPr>
      </w:pPr>
    </w:p>
    <w:p w14:paraId="75502588" w14:textId="77777777" w:rsidR="007E2779" w:rsidRPr="005C29F8" w:rsidRDefault="007E2779" w:rsidP="007E2779">
      <w:pPr>
        <w:pStyle w:val="Bold"/>
        <w:rPr>
          <w:color w:val="000000" w:themeColor="text1"/>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5C29F8" w14:paraId="4C454EA6" w14:textId="77777777" w:rsidTr="0033429D">
        <w:trPr>
          <w:tblHeader/>
        </w:trPr>
        <w:tc>
          <w:tcPr>
            <w:tcW w:w="8550" w:type="dxa"/>
            <w:shd w:val="clear" w:color="auto" w:fill="auto"/>
          </w:tcPr>
          <w:p w14:paraId="641A3E2E" w14:textId="4908A122" w:rsidR="00564D95" w:rsidRPr="0033429D" w:rsidRDefault="00E91363" w:rsidP="00B6413B">
            <w:pPr>
              <w:rPr>
                <w:rFonts w:cs="Arial"/>
                <w:b/>
                <w:bCs/>
                <w:color w:val="000000" w:themeColor="text1"/>
                <w:szCs w:val="16"/>
              </w:rPr>
            </w:pPr>
            <w:r w:rsidRPr="0033429D">
              <w:rPr>
                <w:rFonts w:cs="Arial"/>
                <w:b/>
                <w:bCs/>
                <w:color w:val="000000" w:themeColor="text1"/>
                <w:szCs w:val="16"/>
              </w:rPr>
              <w:t>Sampling Question</w:t>
            </w:r>
          </w:p>
        </w:tc>
        <w:tc>
          <w:tcPr>
            <w:tcW w:w="2245" w:type="dxa"/>
            <w:shd w:val="clear" w:color="auto" w:fill="auto"/>
          </w:tcPr>
          <w:p w14:paraId="5DD050D6" w14:textId="45F46418" w:rsidR="00564D95" w:rsidRPr="005C29F8" w:rsidRDefault="00564D9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5780CF1" w14:textId="46D0A53A" w:rsidTr="00AB0D6A">
        <w:tc>
          <w:tcPr>
            <w:tcW w:w="8550" w:type="dxa"/>
            <w:shd w:val="clear" w:color="auto" w:fill="auto"/>
          </w:tcPr>
          <w:p w14:paraId="43F69327" w14:textId="1229D955" w:rsidR="00564D95" w:rsidRPr="005C29F8" w:rsidRDefault="00564D95" w:rsidP="00B6413B">
            <w:pPr>
              <w:rPr>
                <w:rFonts w:cs="Arial"/>
                <w:color w:val="000000" w:themeColor="text1"/>
                <w:szCs w:val="16"/>
              </w:rPr>
            </w:pPr>
            <w:r w:rsidRPr="005C29F8">
              <w:rPr>
                <w:rFonts w:cs="Arial"/>
                <w:color w:val="000000" w:themeColor="text1"/>
                <w:szCs w:val="16"/>
              </w:rPr>
              <w:t xml:space="preserve">Was sampling used? </w:t>
            </w:r>
          </w:p>
        </w:tc>
        <w:tc>
          <w:tcPr>
            <w:tcW w:w="2245" w:type="dxa"/>
            <w:shd w:val="clear" w:color="auto" w:fill="auto"/>
          </w:tcPr>
          <w:p w14:paraId="1BA005BB" w14:textId="4AC8FD0F" w:rsidR="00564D9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12C8B638" w14:textId="77777777" w:rsidR="00AF550B" w:rsidRPr="005C29F8"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5C29F8" w14:paraId="5A4C524D" w14:textId="77777777" w:rsidTr="0033429D">
        <w:trPr>
          <w:tblHeader/>
        </w:trPr>
        <w:tc>
          <w:tcPr>
            <w:tcW w:w="8550" w:type="dxa"/>
          </w:tcPr>
          <w:p w14:paraId="3B302184" w14:textId="3C2CBF4D" w:rsidR="00B5350E" w:rsidRPr="0033429D" w:rsidRDefault="00BC5CA0" w:rsidP="00B6413B">
            <w:pPr>
              <w:rPr>
                <w:rFonts w:cs="Arial"/>
                <w:b/>
                <w:bCs/>
                <w:color w:val="000000" w:themeColor="text1"/>
                <w:szCs w:val="16"/>
              </w:rPr>
            </w:pPr>
            <w:r w:rsidRPr="0033429D">
              <w:rPr>
                <w:rFonts w:cs="Arial"/>
                <w:b/>
                <w:bCs/>
                <w:color w:val="000000" w:themeColor="text1"/>
                <w:szCs w:val="16"/>
              </w:rPr>
              <w:t>Survey Question</w:t>
            </w:r>
          </w:p>
        </w:tc>
        <w:tc>
          <w:tcPr>
            <w:tcW w:w="2250" w:type="dxa"/>
          </w:tcPr>
          <w:p w14:paraId="4082973A" w14:textId="148FA82D" w:rsidR="00B5350E" w:rsidRPr="005C29F8" w:rsidRDefault="00B5350E"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2BBB7A7B" w14:textId="530EE0A4" w:rsidTr="00E0321D">
        <w:tc>
          <w:tcPr>
            <w:tcW w:w="8550" w:type="dxa"/>
          </w:tcPr>
          <w:p w14:paraId="1C595FC3" w14:textId="00C59640" w:rsidR="00B5350E" w:rsidRPr="005C29F8" w:rsidRDefault="00B5350E" w:rsidP="00B6413B">
            <w:pPr>
              <w:rPr>
                <w:rFonts w:cs="Arial"/>
                <w:color w:val="000000" w:themeColor="text1"/>
                <w:szCs w:val="16"/>
              </w:rPr>
            </w:pPr>
            <w:r w:rsidRPr="005C29F8">
              <w:rPr>
                <w:rFonts w:cs="Arial"/>
                <w:color w:val="000000" w:themeColor="text1"/>
                <w:szCs w:val="16"/>
              </w:rPr>
              <w:t xml:space="preserve">Was a survey used? </w:t>
            </w:r>
          </w:p>
        </w:tc>
        <w:tc>
          <w:tcPr>
            <w:tcW w:w="2250" w:type="dxa"/>
          </w:tcPr>
          <w:p w14:paraId="694FDC95" w14:textId="251E84C1"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r w:rsidR="005C29F8" w:rsidRPr="005C29F8" w14:paraId="51CD1747" w14:textId="62457796" w:rsidTr="00E0321D">
        <w:tc>
          <w:tcPr>
            <w:tcW w:w="8550" w:type="dxa"/>
          </w:tcPr>
          <w:p w14:paraId="72235DA9" w14:textId="295BA49D" w:rsidR="00B5350E" w:rsidRPr="005C29F8" w:rsidRDefault="00B5350E" w:rsidP="00B6413B">
            <w:pPr>
              <w:rPr>
                <w:rFonts w:cs="Arial"/>
                <w:color w:val="000000" w:themeColor="text1"/>
                <w:szCs w:val="16"/>
              </w:rPr>
            </w:pPr>
            <w:r w:rsidRPr="005C29F8">
              <w:rPr>
                <w:rFonts w:cs="Arial"/>
                <w:color w:val="000000" w:themeColor="text1"/>
                <w:szCs w:val="16"/>
              </w:rPr>
              <w:t>The demographics of the parents responding are representative of the demographics of children receiving special education services.</w:t>
            </w:r>
          </w:p>
        </w:tc>
        <w:tc>
          <w:tcPr>
            <w:tcW w:w="2250" w:type="dxa"/>
          </w:tcPr>
          <w:p w14:paraId="6ABD938C" w14:textId="5CF26944" w:rsidR="00B5350E"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A4B7F5E" w14:textId="39034B1A" w:rsidR="009B37A2" w:rsidRPr="005C29F8" w:rsidRDefault="00EF1C23" w:rsidP="00B6413B">
      <w:pPr>
        <w:rPr>
          <w:rFonts w:cs="Arial"/>
          <w:b/>
          <w:color w:val="000000" w:themeColor="text1"/>
          <w:szCs w:val="16"/>
        </w:rPr>
      </w:pPr>
      <w:r w:rsidRPr="005C29F8">
        <w:rPr>
          <w:rFonts w:cs="Arial"/>
          <w:b/>
          <w:color w:val="000000" w:themeColor="text1"/>
          <w:szCs w:val="16"/>
        </w:rPr>
        <w:t>If no, describe the strategies that the State will use to ensure that in the future the response data are representative of those demographics.</w:t>
      </w:r>
    </w:p>
    <w:p w14:paraId="2D61F29F" w14:textId="2989BC14" w:rsidR="009B37A2" w:rsidRDefault="009B37A2" w:rsidP="00B6413B">
      <w:pPr>
        <w:rPr>
          <w:rFonts w:cs="Arial"/>
          <w:color w:val="000000" w:themeColor="text1"/>
          <w:szCs w:val="16"/>
        </w:rPr>
      </w:pPr>
    </w:p>
    <w:p w14:paraId="2DE1E41D" w14:textId="5650C85E" w:rsidR="009F6E02" w:rsidRPr="005C29F8" w:rsidRDefault="009F6E02" w:rsidP="004369B2">
      <w:pPr>
        <w:rPr>
          <w:b/>
          <w:color w:val="000000" w:themeColor="text1"/>
        </w:rPr>
      </w:pPr>
      <w:r w:rsidRPr="005C29F8">
        <w:rPr>
          <w:b/>
          <w:color w:val="000000" w:themeColor="text1"/>
        </w:rPr>
        <w:t>Include the State’s analyses of the extent to which the demographics of the parents responding are representative of the demographics of children receiving special education services.</w:t>
      </w:r>
    </w:p>
    <w:p w14:paraId="4C019156" w14:textId="519F6A8F" w:rsidR="009B37A2" w:rsidRPr="005C29F8" w:rsidRDefault="009B37A2" w:rsidP="003817C0">
      <w:pPr>
        <w:rPr>
          <w:rFonts w:cs="Arial"/>
          <w:color w:val="000000" w:themeColor="text1"/>
          <w:szCs w:val="16"/>
        </w:rPr>
      </w:pPr>
    </w:p>
    <w:p w14:paraId="1A0A4F5E" w14:textId="77777777" w:rsidR="00221EC9" w:rsidRPr="005C29F8" w:rsidRDefault="00221EC9" w:rsidP="00221EC9">
      <w:pPr>
        <w:rPr>
          <w:rFonts w:cs="Arial"/>
          <w:b/>
          <w:color w:val="000000" w:themeColor="text1"/>
          <w:szCs w:val="16"/>
        </w:rPr>
      </w:pPr>
      <w:bookmarkStart w:id="36" w:name="_Toc381956336"/>
      <w:bookmarkStart w:id="37" w:name="_Toc384383342"/>
      <w:bookmarkStart w:id="38" w:name="_Toc392159310"/>
      <w:bookmarkStart w:id="39" w:name="_Toc382082387"/>
      <w:r w:rsidRPr="005C29F8">
        <w:rPr>
          <w:rFonts w:cs="Arial"/>
          <w:b/>
          <w:color w:val="000000" w:themeColor="text1"/>
          <w:szCs w:val="16"/>
        </w:rPr>
        <w:t>Provide additional information about this indicator (optional)</w:t>
      </w:r>
    </w:p>
    <w:p w14:paraId="7F22D6A0" w14:textId="105FEEC5" w:rsidR="009B37A2" w:rsidRPr="005C29F8" w:rsidRDefault="002B7490" w:rsidP="007D435F">
      <w:pPr>
        <w:rPr>
          <w:rFonts w:cs="Arial"/>
          <w:color w:val="000000" w:themeColor="text1"/>
          <w:szCs w:val="16"/>
        </w:rPr>
      </w:pPr>
      <w:r w:rsidRPr="005C29F8">
        <w:rPr>
          <w:rFonts w:cs="Arial"/>
          <w:color w:val="000000" w:themeColor="text1"/>
          <w:szCs w:val="16"/>
        </w:rPr>
        <w:t>Dissemination of the FFY 2019 parent surveys was impacted by the COVID-19 pandemic and school closure. Annually, the parent surveys are distributed to schools to disseminate to parents in April with a return date by the month of May.  Due to the COVID-19 pandemic, CNMI schools were closed on March 16, 2020 before the parent surveys could be distributed to the schools.  CNMI therefore was not able to provide Indicator 8 performance data for FFY 2019.</w:t>
      </w:r>
      <w:r w:rsidRPr="005C29F8">
        <w:rPr>
          <w:rFonts w:cs="Arial"/>
          <w:color w:val="000000" w:themeColor="text1"/>
          <w:szCs w:val="16"/>
        </w:rPr>
        <w:br/>
      </w:r>
      <w:r w:rsidRPr="005C29F8">
        <w:rPr>
          <w:rFonts w:cs="Arial"/>
          <w:color w:val="000000" w:themeColor="text1"/>
          <w:szCs w:val="16"/>
        </w:rPr>
        <w:br/>
        <w:t>Throughout the school closure, CNMI PSS continued to provide information to families of children with an IEP through the Public School System (PSS) announcements. Specific activities for parents of children with an IEP included:</w:t>
      </w:r>
      <w:r w:rsidRPr="005C29F8">
        <w:rPr>
          <w:rFonts w:cs="Arial"/>
          <w:color w:val="000000" w:themeColor="text1"/>
          <w:szCs w:val="16"/>
        </w:rPr>
        <w:br/>
        <w:t xml:space="preserve">-Special Education Teachers communicated with parents and students on a weekly basis via phone, email, or videoconference platforms (messenger, </w:t>
      </w:r>
      <w:proofErr w:type="spellStart"/>
      <w:r w:rsidRPr="005C29F8">
        <w:rPr>
          <w:rFonts w:cs="Arial"/>
          <w:color w:val="000000" w:themeColor="text1"/>
          <w:szCs w:val="16"/>
        </w:rPr>
        <w:t>whatsapp</w:t>
      </w:r>
      <w:proofErr w:type="spellEnd"/>
      <w:r w:rsidRPr="005C29F8">
        <w:rPr>
          <w:rFonts w:cs="Arial"/>
          <w:color w:val="000000" w:themeColor="text1"/>
          <w:szCs w:val="16"/>
        </w:rPr>
        <w:t>, google meet, etc.) to follow-up on the enrichment packets distributed to all students, including supports and strategies for at-home activities, for the remainder of the 2019-2020 school year.</w:t>
      </w:r>
      <w:r w:rsidRPr="005C29F8">
        <w:rPr>
          <w:rFonts w:cs="Arial"/>
          <w:color w:val="000000" w:themeColor="text1"/>
          <w:szCs w:val="16"/>
        </w:rPr>
        <w:br/>
        <w:t xml:space="preserve">-Surveys conducted with families regarding their technology and internet capacity to determine needs in preparation for online learning.  CNMI PSS provided students with a laptop or </w:t>
      </w:r>
      <w:proofErr w:type="spellStart"/>
      <w:r w:rsidRPr="005C29F8">
        <w:rPr>
          <w:rFonts w:cs="Arial"/>
          <w:color w:val="000000" w:themeColor="text1"/>
          <w:szCs w:val="16"/>
        </w:rPr>
        <w:t>ipad</w:t>
      </w:r>
      <w:proofErr w:type="spellEnd"/>
      <w:r w:rsidRPr="005C29F8">
        <w:rPr>
          <w:rFonts w:cs="Arial"/>
          <w:color w:val="000000" w:themeColor="text1"/>
          <w:szCs w:val="16"/>
        </w:rPr>
        <w:t xml:space="preserve"> and access to </w:t>
      </w:r>
      <w:proofErr w:type="spellStart"/>
      <w:r w:rsidRPr="005C29F8">
        <w:rPr>
          <w:rFonts w:cs="Arial"/>
          <w:color w:val="000000" w:themeColor="text1"/>
          <w:szCs w:val="16"/>
        </w:rPr>
        <w:t>wifi</w:t>
      </w:r>
      <w:proofErr w:type="spellEnd"/>
      <w:r w:rsidRPr="005C29F8">
        <w:rPr>
          <w:rFonts w:cs="Arial"/>
          <w:color w:val="000000" w:themeColor="text1"/>
          <w:szCs w:val="16"/>
        </w:rPr>
        <w:t xml:space="preserve"> to engage in the online learning.</w:t>
      </w:r>
      <w:r w:rsidRPr="005C29F8">
        <w:rPr>
          <w:rFonts w:cs="Arial"/>
          <w:color w:val="000000" w:themeColor="text1"/>
          <w:szCs w:val="16"/>
        </w:rPr>
        <w:br/>
        <w:t>-PSS website was updated with guidelines and resources regarding services for students with an IEP.</w:t>
      </w:r>
      <w:r w:rsidRPr="005C29F8">
        <w:rPr>
          <w:rFonts w:cs="Arial"/>
          <w:color w:val="000000" w:themeColor="text1"/>
          <w:szCs w:val="16"/>
        </w:rPr>
        <w:br/>
        <w:t>-District and school-level parent sessions included discussion on any issues related to special education.</w:t>
      </w:r>
    </w:p>
    <w:p w14:paraId="1CDDE440" w14:textId="050C9555" w:rsidR="000A2C83" w:rsidRPr="0033429D" w:rsidRDefault="00752BAF" w:rsidP="008645AD">
      <w:pPr>
        <w:pStyle w:val="Heading2"/>
      </w:pPr>
      <w:r w:rsidRPr="0033429D">
        <w:t>8</w:t>
      </w:r>
      <w:r w:rsidR="001F6BAA" w:rsidRPr="0033429D">
        <w:t xml:space="preserve"> </w:t>
      </w:r>
      <w:r w:rsidRPr="0033429D">
        <w:t xml:space="preserve">- </w:t>
      </w:r>
      <w:r w:rsidR="000A2C83" w:rsidRPr="0033429D">
        <w:t>Prior FFY Required Actions</w:t>
      </w:r>
    </w:p>
    <w:p w14:paraId="078A2B9E" w14:textId="64337A5A" w:rsidR="000A2C83" w:rsidRPr="005C29F8" w:rsidRDefault="002B7490" w:rsidP="000A2C83">
      <w:pPr>
        <w:rPr>
          <w:rFonts w:cs="Arial"/>
          <w:color w:val="000000" w:themeColor="text1"/>
          <w:szCs w:val="16"/>
        </w:rPr>
      </w:pPr>
      <w:r w:rsidRPr="005C29F8">
        <w:rPr>
          <w:rFonts w:cs="Arial"/>
          <w:color w:val="000000" w:themeColor="text1"/>
          <w:szCs w:val="16"/>
        </w:rPr>
        <w:t>None</w:t>
      </w:r>
    </w:p>
    <w:p w14:paraId="5B521A52" w14:textId="17857299" w:rsidR="00221EC9" w:rsidRPr="0033429D" w:rsidRDefault="00752BAF" w:rsidP="008645AD">
      <w:pPr>
        <w:pStyle w:val="Heading2"/>
      </w:pPr>
      <w:r w:rsidRPr="0033429D">
        <w:t>8 - OSEP Response</w:t>
      </w:r>
    </w:p>
    <w:p w14:paraId="1A55D397" w14:textId="0DDAC080" w:rsidR="009B37A2" w:rsidRPr="005C29F8" w:rsidRDefault="002B7490" w:rsidP="001F692C">
      <w:pPr>
        <w:rPr>
          <w:rFonts w:cs="Arial"/>
          <w:color w:val="000000" w:themeColor="text1"/>
          <w:szCs w:val="16"/>
        </w:rPr>
      </w:pPr>
      <w:r w:rsidRPr="005C29F8">
        <w:rPr>
          <w:rFonts w:cs="Arial"/>
          <w:color w:val="000000" w:themeColor="text1"/>
          <w:szCs w:val="16"/>
        </w:rPr>
        <w:t>Due to the COVID-19 pandemic, the Commonwealth of the Northern Mariana Islands did not provide any data for this indicator.  Therefore, OSEP could not determine whether the Commonwealth of the Northern Mariana Islands met its target.</w:t>
      </w:r>
      <w:r w:rsidRPr="005C29F8">
        <w:rPr>
          <w:rFonts w:cs="Arial"/>
          <w:color w:val="000000" w:themeColor="text1"/>
          <w:szCs w:val="16"/>
        </w:rPr>
        <w:br/>
      </w:r>
      <w:r w:rsidRPr="005C29F8">
        <w:rPr>
          <w:rFonts w:cs="Arial"/>
          <w:color w:val="000000" w:themeColor="text1"/>
          <w:szCs w:val="16"/>
        </w:rPr>
        <w:br/>
        <w:t xml:space="preserve"> </w:t>
      </w:r>
    </w:p>
    <w:p w14:paraId="13389642" w14:textId="758A1D0A" w:rsidR="00221EC9" w:rsidRPr="0033429D" w:rsidRDefault="00752BAF" w:rsidP="008645AD">
      <w:pPr>
        <w:pStyle w:val="Heading2"/>
      </w:pPr>
      <w:r w:rsidRPr="0033429D">
        <w:t>8 - Required Actions</w:t>
      </w:r>
    </w:p>
    <w:p w14:paraId="48F68B87" w14:textId="7D160B08" w:rsidR="009B37A2" w:rsidRPr="005C29F8" w:rsidRDefault="009B37A2" w:rsidP="001F692C">
      <w:pPr>
        <w:rPr>
          <w:rFonts w:cs="Arial"/>
          <w:color w:val="000000" w:themeColor="text1"/>
          <w:szCs w:val="16"/>
        </w:rPr>
      </w:pPr>
    </w:p>
    <w:p w14:paraId="6D95E736"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0E39FDA6" w14:textId="025763A2" w:rsidR="00D03701" w:rsidRPr="005C29F8" w:rsidRDefault="00D03701" w:rsidP="000444E2">
      <w:pPr>
        <w:pStyle w:val="Heading1"/>
        <w:rPr>
          <w:color w:val="000000" w:themeColor="text1"/>
          <w:sz w:val="22"/>
        </w:rPr>
      </w:pPr>
      <w:r w:rsidRPr="005C29F8">
        <w:rPr>
          <w:color w:val="000000" w:themeColor="text1"/>
          <w:sz w:val="22"/>
        </w:rPr>
        <w:lastRenderedPageBreak/>
        <w:t>Indicator 9: Disproportionate Representation</w:t>
      </w:r>
      <w:bookmarkEnd w:id="36"/>
      <w:bookmarkEnd w:id="37"/>
      <w:bookmarkEnd w:id="38"/>
    </w:p>
    <w:p w14:paraId="30C4375D" w14:textId="77777777" w:rsidR="00AF5AFB" w:rsidRPr="005C29F8" w:rsidRDefault="00AF5AFB" w:rsidP="00A018D4">
      <w:pPr>
        <w:rPr>
          <w:color w:val="000000" w:themeColor="text1"/>
          <w:szCs w:val="20"/>
        </w:rPr>
      </w:pPr>
      <w:bookmarkStart w:id="40" w:name="_Toc384383343"/>
      <w:bookmarkStart w:id="41" w:name="_Toc392159311"/>
      <w:r w:rsidRPr="005C29F8">
        <w:rPr>
          <w:b/>
          <w:color w:val="000000" w:themeColor="text1"/>
          <w:sz w:val="20"/>
          <w:szCs w:val="20"/>
        </w:rPr>
        <w:t>Instructions and Measurement</w:t>
      </w:r>
    </w:p>
    <w:p w14:paraId="61C479DB" w14:textId="1E252334" w:rsidR="00CC634E" w:rsidRPr="005C29F8" w:rsidRDefault="00CC634E" w:rsidP="006357C5">
      <w:pPr>
        <w:rPr>
          <w:rFonts w:cs="Arial"/>
          <w:b/>
          <w:color w:val="000000" w:themeColor="text1"/>
          <w:szCs w:val="16"/>
        </w:rPr>
      </w:pPr>
      <w:r w:rsidRPr="005C29F8">
        <w:rPr>
          <w:rFonts w:cs="Arial"/>
          <w:b/>
          <w:color w:val="000000" w:themeColor="text1"/>
          <w:szCs w:val="16"/>
        </w:rPr>
        <w:t xml:space="preserve">Monitoring Priority: </w:t>
      </w:r>
      <w:r w:rsidRPr="005C29F8">
        <w:rPr>
          <w:rFonts w:cs="Arial"/>
          <w:color w:val="000000" w:themeColor="text1"/>
          <w:szCs w:val="16"/>
        </w:rPr>
        <w:t>Disproportionality</w:t>
      </w:r>
    </w:p>
    <w:p w14:paraId="2539829F" w14:textId="77777777" w:rsidR="00876394" w:rsidRPr="005C29F8" w:rsidRDefault="00CC634E" w:rsidP="006357C5">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5C29F8" w:rsidRDefault="00CC634E" w:rsidP="006357C5">
      <w:pPr>
        <w:rPr>
          <w:rFonts w:cs="Arial"/>
          <w:color w:val="000000" w:themeColor="text1"/>
          <w:szCs w:val="16"/>
        </w:rPr>
      </w:pPr>
      <w:r w:rsidRPr="005C29F8">
        <w:rPr>
          <w:rFonts w:cs="Arial"/>
          <w:color w:val="000000" w:themeColor="text1"/>
          <w:szCs w:val="16"/>
        </w:rPr>
        <w:t>(20 U.S.C. 1416(a)(3)(C))</w:t>
      </w:r>
    </w:p>
    <w:p w14:paraId="6D2519CF" w14:textId="77777777" w:rsidR="00A66715" w:rsidRPr="005C29F8" w:rsidRDefault="00A66715" w:rsidP="004369B2">
      <w:pPr>
        <w:rPr>
          <w:color w:val="000000" w:themeColor="text1"/>
        </w:rPr>
      </w:pPr>
      <w:r w:rsidRPr="005C29F8">
        <w:rPr>
          <w:b/>
          <w:color w:val="000000" w:themeColor="text1"/>
        </w:rPr>
        <w:t>Data Source</w:t>
      </w:r>
    </w:p>
    <w:p w14:paraId="435C1BC0" w14:textId="1F2EA9FD" w:rsidR="00A66715" w:rsidRPr="005C29F8" w:rsidRDefault="00A66715"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5C29F8" w:rsidRDefault="00A66715" w:rsidP="004369B2">
      <w:pPr>
        <w:rPr>
          <w:color w:val="000000" w:themeColor="text1"/>
        </w:rPr>
      </w:pPr>
      <w:r w:rsidRPr="005C29F8">
        <w:rPr>
          <w:b/>
          <w:color w:val="000000" w:themeColor="text1"/>
        </w:rPr>
        <w:t>Measurement</w:t>
      </w:r>
    </w:p>
    <w:p w14:paraId="477AA533" w14:textId="06ADBA36" w:rsidR="00A66715" w:rsidRPr="005C29F8" w:rsidRDefault="00A66715" w:rsidP="00286BDF">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5C29F8" w:rsidRDefault="00A66715" w:rsidP="00286BDF">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1F53157A" w:rsidR="00A66715" w:rsidRPr="005C29F8" w:rsidRDefault="0016730D" w:rsidP="00286BDF">
      <w:pPr>
        <w:rPr>
          <w:rFonts w:cs="Arial"/>
          <w:color w:val="000000" w:themeColor="text1"/>
          <w:szCs w:val="16"/>
        </w:rPr>
      </w:pPr>
      <w:r w:rsidRPr="005C29F8">
        <w:rPr>
          <w:rFonts w:cs="Arial"/>
          <w:color w:val="000000" w:themeColor="text1"/>
          <w:szCs w:val="16"/>
        </w:rPr>
        <w:t>Based on its review of the 618 data for FFY 2018,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5C234527" w14:textId="77777777" w:rsidR="00A66715" w:rsidRPr="005C29F8" w:rsidRDefault="00A66715" w:rsidP="004369B2">
      <w:pPr>
        <w:rPr>
          <w:color w:val="000000" w:themeColor="text1"/>
        </w:rPr>
      </w:pPr>
      <w:r w:rsidRPr="005C29F8">
        <w:rPr>
          <w:b/>
          <w:color w:val="000000" w:themeColor="text1"/>
        </w:rPr>
        <w:t>Instructions</w:t>
      </w:r>
    </w:p>
    <w:p w14:paraId="66307925" w14:textId="77777777" w:rsidR="00A66715" w:rsidRPr="005C29F8" w:rsidRDefault="00A66715"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6CA47C85" w14:textId="77777777" w:rsidR="00A66715" w:rsidRPr="005C29F8" w:rsidRDefault="00A66715" w:rsidP="00286BDF">
      <w:pPr>
        <w:rPr>
          <w:rFonts w:cs="Arial"/>
          <w:color w:val="000000" w:themeColor="text1"/>
          <w:szCs w:val="16"/>
        </w:rPr>
      </w:pPr>
      <w:r w:rsidRPr="005C29F8">
        <w:rPr>
          <w:rFonts w:cs="Arial"/>
          <w:color w:val="000000" w:themeColor="text1"/>
          <w:szCs w:val="16"/>
        </w:rPr>
        <w:t>States are not required to report on underrepresentation.</w:t>
      </w:r>
    </w:p>
    <w:p w14:paraId="7D49F2B9" w14:textId="77777777" w:rsidR="00A66715" w:rsidRPr="005C29F8" w:rsidRDefault="00A66715"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5C29F8" w:rsidRDefault="00A66715"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5C29F8" w:rsidRDefault="00A66715"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5C29F8" w:rsidRDefault="00A66715" w:rsidP="00286BDF">
      <w:pPr>
        <w:rPr>
          <w:rFonts w:cs="Arial"/>
          <w:color w:val="000000" w:themeColor="text1"/>
          <w:szCs w:val="16"/>
        </w:rPr>
      </w:pPr>
      <w:r w:rsidRPr="005C29F8">
        <w:rPr>
          <w:rFonts w:cs="Arial"/>
          <w:color w:val="000000" w:themeColor="text1"/>
          <w:szCs w:val="16"/>
        </w:rPr>
        <w:t>Targets must be 0%.</w:t>
      </w:r>
    </w:p>
    <w:p w14:paraId="78E093FF" w14:textId="2AC9947F" w:rsidR="00A66715" w:rsidRPr="005C29F8" w:rsidRDefault="0016730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0"/>
    <w:bookmarkEnd w:id="41"/>
    <w:p w14:paraId="1A6C01D0" w14:textId="1BD83E55" w:rsidR="00AF5AFB" w:rsidRPr="0033429D" w:rsidRDefault="00400C56" w:rsidP="008645AD">
      <w:pPr>
        <w:pStyle w:val="Heading2"/>
      </w:pPr>
      <w:r w:rsidRPr="0033429D">
        <w:t>9</w:t>
      </w:r>
      <w:r w:rsidR="000D746C" w:rsidRPr="0033429D">
        <w:t xml:space="preserve"> </w:t>
      </w:r>
      <w:r w:rsidRPr="0033429D">
        <w:t xml:space="preserve">- </w:t>
      </w:r>
      <w:r w:rsidR="00AF5AFB" w:rsidRPr="0033429D">
        <w:t>Indicator Data</w:t>
      </w:r>
    </w:p>
    <w:p w14:paraId="3B629025" w14:textId="77777777" w:rsidR="0091098C" w:rsidRPr="005C29F8" w:rsidRDefault="0091098C" w:rsidP="004369B2">
      <w:pPr>
        <w:rPr>
          <w:color w:val="000000" w:themeColor="text1"/>
        </w:rPr>
      </w:pPr>
      <w:r w:rsidRPr="005C29F8">
        <w:rPr>
          <w:b/>
          <w:color w:val="000000" w:themeColor="text1"/>
        </w:rPr>
        <w:t>Not Applicable</w:t>
      </w:r>
    </w:p>
    <w:p w14:paraId="26955027" w14:textId="78EADA59" w:rsidR="003E7FC1" w:rsidRPr="005C29F8" w:rsidRDefault="00E54DDA">
      <w:pPr>
        <w:rPr>
          <w:b/>
          <w:color w:val="000000" w:themeColor="text1"/>
        </w:rPr>
      </w:pPr>
      <w:r w:rsidRPr="005C29F8">
        <w:rPr>
          <w:b/>
          <w:color w:val="000000" w:themeColor="text1"/>
        </w:rPr>
        <w:t>Select yes if this indicator is not applicable.</w:t>
      </w:r>
    </w:p>
    <w:p w14:paraId="6AB001BB" w14:textId="1DB937E1" w:rsidR="00043AC9" w:rsidRDefault="00043AC9" w:rsidP="004369B2">
      <w:pPr>
        <w:rPr>
          <w:rFonts w:cs="Arial"/>
          <w:color w:val="000000" w:themeColor="text1"/>
          <w:szCs w:val="16"/>
        </w:rPr>
      </w:pPr>
      <w:r w:rsidRPr="005C29F8">
        <w:rPr>
          <w:rFonts w:cs="Arial"/>
          <w:color w:val="000000" w:themeColor="text1"/>
          <w:szCs w:val="16"/>
        </w:rPr>
        <w:t>YES</w:t>
      </w:r>
    </w:p>
    <w:p w14:paraId="7D3F4204" w14:textId="40F13944" w:rsidR="00043AC9" w:rsidRPr="005C29F8" w:rsidRDefault="00F76251" w:rsidP="004369B2">
      <w:pPr>
        <w:rPr>
          <w:b/>
          <w:color w:val="000000" w:themeColor="text1"/>
        </w:rPr>
      </w:pPr>
      <w:r w:rsidRPr="005C29F8">
        <w:rPr>
          <w:b/>
          <w:color w:val="000000" w:themeColor="text1"/>
        </w:rPr>
        <w:t xml:space="preserve">Provide an explanation of why it is not applicable below. </w:t>
      </w:r>
    </w:p>
    <w:p w14:paraId="7ED4808C" w14:textId="193CC099" w:rsidR="00043AC9" w:rsidRDefault="00043AC9" w:rsidP="004369B2">
      <w:pPr>
        <w:rPr>
          <w:color w:val="000000" w:themeColor="text1"/>
        </w:rPr>
      </w:pPr>
      <w:r w:rsidRPr="005C29F8">
        <w:rPr>
          <w:color w:val="000000" w:themeColor="text1"/>
        </w:rPr>
        <w:t>Per OSEP's instruction, Indicator 9 does not apply to the CNMI.</w:t>
      </w:r>
    </w:p>
    <w:p w14:paraId="7A74DCD8" w14:textId="61B7BAF7" w:rsidR="004E2151" w:rsidRPr="0033429D" w:rsidRDefault="00400C56" w:rsidP="008645AD">
      <w:pPr>
        <w:pStyle w:val="Heading2"/>
      </w:pPr>
      <w:r w:rsidRPr="0033429D">
        <w:t>9</w:t>
      </w:r>
      <w:r w:rsidR="00844ADE" w:rsidRPr="0033429D">
        <w:t xml:space="preserve"> </w:t>
      </w:r>
      <w:r w:rsidRPr="0033429D">
        <w:t xml:space="preserve">- </w:t>
      </w:r>
      <w:r w:rsidR="004E2151" w:rsidRPr="0033429D">
        <w:t>Prior FFY Required Actions</w:t>
      </w:r>
    </w:p>
    <w:p w14:paraId="704944D3" w14:textId="21E697E2" w:rsidR="004E2151" w:rsidRPr="005C29F8" w:rsidRDefault="002B7490" w:rsidP="004E2151">
      <w:pPr>
        <w:rPr>
          <w:rFonts w:cs="Arial"/>
          <w:color w:val="000000" w:themeColor="text1"/>
          <w:szCs w:val="16"/>
        </w:rPr>
      </w:pPr>
      <w:r w:rsidRPr="005C29F8">
        <w:rPr>
          <w:rFonts w:cs="Arial"/>
          <w:color w:val="000000" w:themeColor="text1"/>
          <w:szCs w:val="16"/>
        </w:rPr>
        <w:t>None</w:t>
      </w:r>
    </w:p>
    <w:p w14:paraId="7A2A42E5" w14:textId="77777777" w:rsidR="00591597" w:rsidRPr="005C29F8" w:rsidRDefault="00591597" w:rsidP="004E2151">
      <w:pPr>
        <w:rPr>
          <w:rFonts w:cs="Arial"/>
          <w:color w:val="000000" w:themeColor="text1"/>
          <w:szCs w:val="16"/>
        </w:rPr>
      </w:pPr>
    </w:p>
    <w:p w14:paraId="1139CB4A" w14:textId="77777777" w:rsidR="00591597" w:rsidRPr="005C29F8" w:rsidRDefault="00591597" w:rsidP="004E2151">
      <w:pPr>
        <w:rPr>
          <w:rFonts w:cs="Arial"/>
          <w:color w:val="000000" w:themeColor="text1"/>
          <w:szCs w:val="16"/>
        </w:rPr>
      </w:pPr>
    </w:p>
    <w:p w14:paraId="6FDBF7F5" w14:textId="608C7842" w:rsidR="007F5071" w:rsidRPr="0033429D" w:rsidRDefault="00400C56" w:rsidP="008645AD">
      <w:pPr>
        <w:pStyle w:val="Heading2"/>
      </w:pPr>
      <w:r w:rsidRPr="0033429D">
        <w:t>9 - OSEP Response</w:t>
      </w:r>
    </w:p>
    <w:p w14:paraId="77DED45E" w14:textId="3920B295" w:rsidR="00481536" w:rsidRPr="005C29F8" w:rsidRDefault="002B7490" w:rsidP="00212954">
      <w:pPr>
        <w:rPr>
          <w:rFonts w:cs="Arial"/>
          <w:color w:val="000000" w:themeColor="text1"/>
          <w:szCs w:val="16"/>
        </w:rPr>
      </w:pPr>
      <w:r w:rsidRPr="005C29F8">
        <w:rPr>
          <w:rFonts w:cs="Arial"/>
          <w:color w:val="000000" w:themeColor="text1"/>
          <w:szCs w:val="16"/>
        </w:rPr>
        <w:t>This indicator is not applicable to the Commonwealth of the Northern Mariana Islands.</w:t>
      </w:r>
    </w:p>
    <w:p w14:paraId="3F79B021" w14:textId="16E0C852" w:rsidR="007F5071" w:rsidRPr="0033429D" w:rsidRDefault="00977D0D" w:rsidP="008645AD">
      <w:pPr>
        <w:pStyle w:val="Heading2"/>
      </w:pPr>
      <w:r w:rsidRPr="0033429D">
        <w:t>9 - Required Actions</w:t>
      </w:r>
    </w:p>
    <w:p w14:paraId="0B404586" w14:textId="0A97D85C" w:rsidR="00481536" w:rsidRPr="005C29F8" w:rsidRDefault="00481536" w:rsidP="00212954">
      <w:pPr>
        <w:rPr>
          <w:rFonts w:cs="Arial"/>
          <w:color w:val="000000" w:themeColor="text1"/>
          <w:szCs w:val="16"/>
        </w:rPr>
      </w:pPr>
    </w:p>
    <w:p w14:paraId="20A15EBC"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D8087B6" w14:textId="0C652DF9" w:rsidR="00D03701" w:rsidRPr="005C29F8" w:rsidRDefault="00D03701" w:rsidP="000444E2">
      <w:pPr>
        <w:pStyle w:val="Heading1"/>
        <w:rPr>
          <w:color w:val="000000" w:themeColor="text1"/>
          <w:sz w:val="22"/>
        </w:rPr>
      </w:pPr>
      <w:r w:rsidRPr="005C29F8">
        <w:rPr>
          <w:color w:val="000000" w:themeColor="text1"/>
          <w:sz w:val="22"/>
        </w:rPr>
        <w:lastRenderedPageBreak/>
        <w:t xml:space="preserve">Indicator 10: Disproportionate Representation in Specific Disability Categories </w:t>
      </w:r>
    </w:p>
    <w:p w14:paraId="139B488B" w14:textId="77777777" w:rsidR="00B70FBF" w:rsidRPr="005C29F8" w:rsidRDefault="00B70FBF" w:rsidP="00A018D4">
      <w:pPr>
        <w:rPr>
          <w:color w:val="000000" w:themeColor="text1"/>
          <w:szCs w:val="20"/>
        </w:rPr>
      </w:pPr>
      <w:bookmarkStart w:id="42" w:name="_Toc384383348"/>
      <w:bookmarkStart w:id="43" w:name="_Toc392159316"/>
      <w:r w:rsidRPr="005C29F8">
        <w:rPr>
          <w:b/>
          <w:color w:val="000000" w:themeColor="text1"/>
          <w:sz w:val="20"/>
          <w:szCs w:val="20"/>
        </w:rPr>
        <w:t>Instructions and Measurement</w:t>
      </w:r>
    </w:p>
    <w:p w14:paraId="26E33C31" w14:textId="3616C8E9" w:rsidR="00CC634E" w:rsidRPr="005C29F8" w:rsidRDefault="00CC634E" w:rsidP="005A3C12">
      <w:pPr>
        <w:rPr>
          <w:rFonts w:cs="Arial"/>
          <w:b/>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xml:space="preserve"> Disproportionality</w:t>
      </w:r>
    </w:p>
    <w:p w14:paraId="2D2ACC66" w14:textId="77777777" w:rsidR="001D677D" w:rsidRPr="005C29F8" w:rsidRDefault="00CC634E" w:rsidP="005A3C12">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5C29F8" w:rsidRDefault="00CC634E" w:rsidP="005A3C12">
      <w:pPr>
        <w:rPr>
          <w:rFonts w:cs="Arial"/>
          <w:color w:val="000000" w:themeColor="text1"/>
          <w:szCs w:val="16"/>
        </w:rPr>
      </w:pPr>
      <w:r w:rsidRPr="005C29F8">
        <w:rPr>
          <w:rFonts w:cs="Arial"/>
          <w:color w:val="000000" w:themeColor="text1"/>
          <w:szCs w:val="16"/>
        </w:rPr>
        <w:t xml:space="preserve"> (20 U.S.C. 1416(a)(3)(C))</w:t>
      </w:r>
    </w:p>
    <w:p w14:paraId="37F13F1F" w14:textId="77777777" w:rsidR="001D677D" w:rsidRPr="005C29F8" w:rsidRDefault="001D677D" w:rsidP="004369B2">
      <w:pPr>
        <w:rPr>
          <w:color w:val="000000" w:themeColor="text1"/>
        </w:rPr>
      </w:pPr>
      <w:r w:rsidRPr="005C29F8">
        <w:rPr>
          <w:b/>
          <w:color w:val="000000" w:themeColor="text1"/>
        </w:rPr>
        <w:t>Data Source</w:t>
      </w:r>
    </w:p>
    <w:p w14:paraId="3D0F53DD" w14:textId="1C69F23D" w:rsidR="001D677D" w:rsidRPr="005C29F8" w:rsidRDefault="007A3964" w:rsidP="00286BDF">
      <w:pPr>
        <w:rPr>
          <w:rFonts w:cs="Arial"/>
          <w:color w:val="000000" w:themeColor="text1"/>
          <w:szCs w:val="16"/>
        </w:rPr>
      </w:pPr>
      <w:r w:rsidRPr="005C29F8">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5C29F8" w:rsidRDefault="001D677D" w:rsidP="004369B2">
      <w:pPr>
        <w:rPr>
          <w:color w:val="000000" w:themeColor="text1"/>
        </w:rPr>
      </w:pPr>
      <w:r w:rsidRPr="005C29F8">
        <w:rPr>
          <w:b/>
          <w:color w:val="000000" w:themeColor="text1"/>
        </w:rPr>
        <w:t>Measurement</w:t>
      </w:r>
    </w:p>
    <w:p w14:paraId="564157FF" w14:textId="77777777" w:rsidR="007A3964" w:rsidRPr="005C29F8" w:rsidRDefault="007A3964" w:rsidP="007A3964">
      <w:pPr>
        <w:rPr>
          <w:rFonts w:cs="Arial"/>
          <w:color w:val="000000" w:themeColor="text1"/>
          <w:szCs w:val="16"/>
        </w:rPr>
      </w:pPr>
      <w:r w:rsidRPr="005C29F8">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5C29F8" w:rsidRDefault="007A3964" w:rsidP="007A3964">
      <w:pPr>
        <w:rPr>
          <w:rFonts w:cs="Arial"/>
          <w:color w:val="000000" w:themeColor="text1"/>
          <w:szCs w:val="16"/>
        </w:rPr>
      </w:pPr>
      <w:r w:rsidRPr="005C29F8">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55A45462" w:rsidR="001D677D" w:rsidRPr="005C29F8" w:rsidRDefault="007A3964" w:rsidP="007A3964">
      <w:pPr>
        <w:rPr>
          <w:rFonts w:cs="Arial"/>
          <w:color w:val="000000" w:themeColor="text1"/>
          <w:szCs w:val="16"/>
        </w:rPr>
      </w:pPr>
      <w:r w:rsidRPr="005C29F8">
        <w:rPr>
          <w:rFonts w:cs="Arial"/>
          <w:color w:val="000000" w:themeColor="text1"/>
          <w:szCs w:val="16"/>
        </w:rPr>
        <w:t>Based on its review of the 618 data for FFY 2019,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2019 reporting period (i.e., after June 30, 2020).</w:t>
      </w:r>
    </w:p>
    <w:p w14:paraId="3C70F698" w14:textId="77777777" w:rsidR="001D677D" w:rsidRPr="005C29F8" w:rsidRDefault="001D677D" w:rsidP="004369B2">
      <w:pPr>
        <w:rPr>
          <w:color w:val="000000" w:themeColor="text1"/>
        </w:rPr>
      </w:pPr>
      <w:r w:rsidRPr="005C29F8">
        <w:rPr>
          <w:b/>
          <w:color w:val="000000" w:themeColor="text1"/>
        </w:rPr>
        <w:t>Instructions</w:t>
      </w:r>
    </w:p>
    <w:p w14:paraId="54B0F35E" w14:textId="77777777" w:rsidR="001D677D" w:rsidRPr="005C29F8" w:rsidRDefault="001D677D" w:rsidP="00286BDF">
      <w:pPr>
        <w:rPr>
          <w:rFonts w:cs="Arial"/>
          <w:color w:val="000000" w:themeColor="text1"/>
          <w:szCs w:val="16"/>
        </w:rPr>
      </w:pPr>
      <w:r w:rsidRPr="005C29F8">
        <w:rPr>
          <w:rFonts w:cs="Arial"/>
          <w:iCs/>
          <w:color w:val="000000" w:themeColor="text1"/>
          <w:szCs w:val="16"/>
        </w:rPr>
        <w:t>P</w:t>
      </w:r>
      <w:r w:rsidRPr="005C29F8">
        <w:rPr>
          <w:rFonts w:cs="Arial"/>
          <w:color w:val="000000" w:themeColor="text1"/>
          <w:szCs w:val="16"/>
        </w:rPr>
        <w:t>rovide racial/ethnic disproportionality data for all children aged 6 through 21 served under IDEA, aggregated across all disability categories.</w:t>
      </w:r>
    </w:p>
    <w:p w14:paraId="2375484C" w14:textId="77777777" w:rsidR="001D677D" w:rsidRPr="005C29F8" w:rsidRDefault="001D677D" w:rsidP="00286BDF">
      <w:pPr>
        <w:rPr>
          <w:rFonts w:cs="Arial"/>
          <w:color w:val="000000" w:themeColor="text1"/>
          <w:szCs w:val="16"/>
        </w:rPr>
      </w:pPr>
      <w:r w:rsidRPr="005C29F8">
        <w:rPr>
          <w:rFonts w:cs="Arial"/>
          <w:color w:val="000000" w:themeColor="text1"/>
          <w:szCs w:val="16"/>
        </w:rPr>
        <w:t>States are not required to report on underrepresentation.</w:t>
      </w:r>
    </w:p>
    <w:p w14:paraId="65635BB5" w14:textId="77777777" w:rsidR="001D677D" w:rsidRPr="005C29F8" w:rsidRDefault="001D677D" w:rsidP="00286BDF">
      <w:pPr>
        <w:rPr>
          <w:rFonts w:cs="Arial"/>
          <w:color w:val="000000" w:themeColor="text1"/>
          <w:szCs w:val="16"/>
        </w:rPr>
      </w:pPr>
      <w:r w:rsidRPr="005C29F8">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5C29F8" w:rsidRDefault="001D677D" w:rsidP="00286BDF">
      <w:pPr>
        <w:rPr>
          <w:rFonts w:cs="Arial"/>
          <w:color w:val="000000" w:themeColor="text1"/>
          <w:szCs w:val="16"/>
        </w:rPr>
      </w:pPr>
      <w:r w:rsidRPr="005C29F8">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77777777" w:rsidR="001D677D" w:rsidRPr="005C29F8" w:rsidRDefault="001D677D" w:rsidP="00286BDF">
      <w:pPr>
        <w:rPr>
          <w:rFonts w:cs="Arial"/>
          <w:color w:val="000000" w:themeColor="text1"/>
          <w:szCs w:val="16"/>
        </w:rPr>
      </w:pPr>
      <w:r w:rsidRPr="005C29F8">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4D68547C" w14:textId="77777777" w:rsidR="001D677D" w:rsidRPr="005C29F8" w:rsidRDefault="001D677D" w:rsidP="00286BDF">
      <w:pPr>
        <w:rPr>
          <w:rFonts w:cs="Arial"/>
          <w:color w:val="000000" w:themeColor="text1"/>
          <w:szCs w:val="16"/>
        </w:rPr>
      </w:pPr>
      <w:r w:rsidRPr="005C29F8">
        <w:rPr>
          <w:rFonts w:cs="Arial"/>
          <w:color w:val="000000" w:themeColor="text1"/>
          <w:szCs w:val="16"/>
        </w:rPr>
        <w:t>Targets must be 0%.</w:t>
      </w:r>
    </w:p>
    <w:p w14:paraId="7F575E8E" w14:textId="77777777" w:rsidR="001D677D" w:rsidRPr="005C29F8" w:rsidRDefault="001D677D"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469298D1" w:rsidR="001D677D"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42"/>
    <w:bookmarkEnd w:id="43"/>
    <w:p w14:paraId="307820E6" w14:textId="2418F86F" w:rsidR="00B70FBF" w:rsidRPr="0033429D" w:rsidRDefault="009F64D5" w:rsidP="008645AD">
      <w:pPr>
        <w:pStyle w:val="Heading2"/>
      </w:pPr>
      <w:r w:rsidRPr="0033429D">
        <w:t>10</w:t>
      </w:r>
      <w:r w:rsidR="00596F4D" w:rsidRPr="0033429D">
        <w:t xml:space="preserve"> </w:t>
      </w:r>
      <w:r w:rsidRPr="0033429D">
        <w:t xml:space="preserve">- </w:t>
      </w:r>
      <w:r w:rsidR="00D853AE" w:rsidRPr="0033429D">
        <w:t>Indicator Data</w:t>
      </w:r>
    </w:p>
    <w:p w14:paraId="198C31F1" w14:textId="77777777" w:rsidR="0091098C" w:rsidRPr="005C29F8" w:rsidRDefault="0091098C" w:rsidP="004369B2">
      <w:pPr>
        <w:rPr>
          <w:color w:val="000000" w:themeColor="text1"/>
        </w:rPr>
      </w:pPr>
      <w:r w:rsidRPr="005C29F8">
        <w:rPr>
          <w:b/>
          <w:color w:val="000000" w:themeColor="text1"/>
        </w:rPr>
        <w:t>Not Applicable</w:t>
      </w:r>
    </w:p>
    <w:p w14:paraId="769429F9" w14:textId="2143DCD6" w:rsidR="00C2395D" w:rsidRPr="005C29F8" w:rsidRDefault="001B07D3">
      <w:pPr>
        <w:rPr>
          <w:b/>
          <w:color w:val="000000" w:themeColor="text1"/>
        </w:rPr>
      </w:pPr>
      <w:r w:rsidRPr="005C29F8">
        <w:rPr>
          <w:b/>
          <w:color w:val="000000" w:themeColor="text1"/>
        </w:rPr>
        <w:t>Select yes if this indicator is not applicable.</w:t>
      </w:r>
    </w:p>
    <w:p w14:paraId="5BEDAC27" w14:textId="63B8B677" w:rsidR="00043AC9" w:rsidRDefault="00043AC9" w:rsidP="004369B2">
      <w:pPr>
        <w:rPr>
          <w:rFonts w:cs="Arial"/>
          <w:color w:val="000000" w:themeColor="text1"/>
          <w:szCs w:val="16"/>
        </w:rPr>
      </w:pPr>
      <w:r w:rsidRPr="005C29F8">
        <w:rPr>
          <w:rFonts w:cs="Arial"/>
          <w:color w:val="000000" w:themeColor="text1"/>
          <w:szCs w:val="16"/>
        </w:rPr>
        <w:t>YES</w:t>
      </w:r>
    </w:p>
    <w:p w14:paraId="47F245D6" w14:textId="4A6BD584" w:rsidR="00043AC9" w:rsidRPr="005C29F8" w:rsidRDefault="004F50E1" w:rsidP="004369B2">
      <w:pPr>
        <w:rPr>
          <w:b/>
          <w:color w:val="000000" w:themeColor="text1"/>
        </w:rPr>
      </w:pPr>
      <w:r w:rsidRPr="005C29F8">
        <w:rPr>
          <w:b/>
          <w:color w:val="000000" w:themeColor="text1"/>
        </w:rPr>
        <w:t xml:space="preserve">Provide an explanation of why it is not applicable below  </w:t>
      </w:r>
    </w:p>
    <w:p w14:paraId="346DEB46" w14:textId="6ED0AC9E" w:rsidR="00043AC9" w:rsidRDefault="00043AC9" w:rsidP="004369B2">
      <w:pPr>
        <w:rPr>
          <w:color w:val="000000" w:themeColor="text1"/>
        </w:rPr>
      </w:pPr>
      <w:r w:rsidRPr="005C29F8">
        <w:rPr>
          <w:color w:val="000000" w:themeColor="text1"/>
        </w:rPr>
        <w:t>Per OSEP's instruction, Indicator 10 does not apply to the CNMI.</w:t>
      </w:r>
    </w:p>
    <w:p w14:paraId="53A11FEB" w14:textId="6CFF8254" w:rsidR="004E2151" w:rsidRPr="0033429D" w:rsidRDefault="009F64D5" w:rsidP="008645AD">
      <w:pPr>
        <w:pStyle w:val="Heading2"/>
      </w:pPr>
      <w:r w:rsidRPr="0033429D">
        <w:t>10</w:t>
      </w:r>
      <w:r w:rsidR="00596F4D" w:rsidRPr="0033429D">
        <w:t xml:space="preserve"> </w:t>
      </w:r>
      <w:r w:rsidRPr="0033429D">
        <w:t xml:space="preserve">- </w:t>
      </w:r>
      <w:r w:rsidR="004E2151" w:rsidRPr="0033429D">
        <w:t>Prior FFY Required Actions</w:t>
      </w:r>
    </w:p>
    <w:p w14:paraId="67525E19" w14:textId="2FAD1162" w:rsidR="004E2151" w:rsidRPr="005C29F8" w:rsidRDefault="002B7490" w:rsidP="004E2151">
      <w:pPr>
        <w:rPr>
          <w:rFonts w:cs="Arial"/>
          <w:color w:val="000000" w:themeColor="text1"/>
          <w:szCs w:val="16"/>
        </w:rPr>
      </w:pPr>
      <w:r w:rsidRPr="005C29F8">
        <w:rPr>
          <w:rFonts w:cs="Arial"/>
          <w:color w:val="000000" w:themeColor="text1"/>
          <w:szCs w:val="16"/>
        </w:rPr>
        <w:t>None</w:t>
      </w:r>
    </w:p>
    <w:p w14:paraId="7C7C5568" w14:textId="77777777" w:rsidR="009F69E7" w:rsidRPr="005C29F8" w:rsidRDefault="009F69E7" w:rsidP="004E2151">
      <w:pPr>
        <w:rPr>
          <w:rFonts w:cs="Arial"/>
          <w:color w:val="000000" w:themeColor="text1"/>
          <w:szCs w:val="16"/>
        </w:rPr>
      </w:pPr>
    </w:p>
    <w:p w14:paraId="7C3D22D6" w14:textId="3FC2A3F5" w:rsidR="004E2151" w:rsidRPr="005C29F8" w:rsidRDefault="004E2151" w:rsidP="004E2151">
      <w:pPr>
        <w:rPr>
          <w:rFonts w:cs="Arial"/>
          <w:color w:val="000000" w:themeColor="text1"/>
          <w:szCs w:val="16"/>
        </w:rPr>
      </w:pPr>
    </w:p>
    <w:p w14:paraId="024AE3FE" w14:textId="2137BFB6" w:rsidR="007F5071" w:rsidRPr="0033429D" w:rsidRDefault="008B2598" w:rsidP="008645AD">
      <w:pPr>
        <w:pStyle w:val="Heading2"/>
      </w:pPr>
      <w:r w:rsidRPr="0033429D">
        <w:t>10 - OSEP Response</w:t>
      </w:r>
    </w:p>
    <w:p w14:paraId="4384A342" w14:textId="2981C3D3" w:rsidR="00481536" w:rsidRPr="005C29F8" w:rsidRDefault="002B7490" w:rsidP="00212954">
      <w:pPr>
        <w:rPr>
          <w:rFonts w:cs="Arial"/>
          <w:color w:val="000000" w:themeColor="text1"/>
          <w:szCs w:val="16"/>
        </w:rPr>
      </w:pPr>
      <w:r w:rsidRPr="005C29F8">
        <w:rPr>
          <w:rFonts w:cs="Arial"/>
          <w:color w:val="000000" w:themeColor="text1"/>
          <w:szCs w:val="16"/>
        </w:rPr>
        <w:t>This indictor is not applicable to the Commonwealth of the Northern Mariana Islands.</w:t>
      </w:r>
    </w:p>
    <w:p w14:paraId="36F60250" w14:textId="56BA36D9" w:rsidR="007F5071" w:rsidRPr="0033429D" w:rsidRDefault="007C1BCF" w:rsidP="008645AD">
      <w:pPr>
        <w:pStyle w:val="Heading2"/>
      </w:pPr>
      <w:r w:rsidRPr="0033429D">
        <w:t xml:space="preserve">10 - </w:t>
      </w:r>
      <w:r w:rsidR="007F5071" w:rsidRPr="0033429D">
        <w:t>Required Actions</w:t>
      </w:r>
    </w:p>
    <w:p w14:paraId="12C0EBBF" w14:textId="69C4D7D0" w:rsidR="00481536" w:rsidRPr="005C29F8" w:rsidRDefault="00481536" w:rsidP="00212954">
      <w:pPr>
        <w:rPr>
          <w:rFonts w:cs="Arial"/>
          <w:color w:val="000000" w:themeColor="text1"/>
          <w:szCs w:val="16"/>
        </w:rPr>
      </w:pPr>
    </w:p>
    <w:p w14:paraId="2B0C5DE2"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F067DF" w14:textId="45BAD1B8" w:rsidR="00D03701" w:rsidRPr="005C29F8" w:rsidRDefault="00D03701" w:rsidP="000444E2">
      <w:pPr>
        <w:pStyle w:val="Heading1"/>
        <w:rPr>
          <w:color w:val="000000" w:themeColor="text1"/>
          <w:sz w:val="22"/>
        </w:rPr>
      </w:pPr>
      <w:r w:rsidRPr="005C29F8">
        <w:rPr>
          <w:color w:val="000000" w:themeColor="text1"/>
          <w:sz w:val="22"/>
        </w:rPr>
        <w:lastRenderedPageBreak/>
        <w:t>Indicator 11: Child Find</w:t>
      </w:r>
    </w:p>
    <w:p w14:paraId="4F5D642D" w14:textId="77777777" w:rsidR="00E119B0" w:rsidRPr="005C29F8" w:rsidRDefault="00E119B0" w:rsidP="00A018D4">
      <w:pPr>
        <w:rPr>
          <w:color w:val="000000" w:themeColor="text1"/>
          <w:szCs w:val="20"/>
        </w:rPr>
      </w:pPr>
      <w:bookmarkStart w:id="44" w:name="_Toc384383353"/>
      <w:bookmarkStart w:id="45" w:name="_Toc392159321"/>
      <w:r w:rsidRPr="005C29F8">
        <w:rPr>
          <w:b/>
          <w:color w:val="000000" w:themeColor="text1"/>
          <w:sz w:val="20"/>
          <w:szCs w:val="20"/>
        </w:rPr>
        <w:t>Instructions and Measurement</w:t>
      </w:r>
    </w:p>
    <w:p w14:paraId="4ECD8CEF" w14:textId="094F874E" w:rsidR="001F3A65" w:rsidRPr="005C29F8" w:rsidRDefault="001F3A65" w:rsidP="00832807">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Child Find</w:t>
      </w:r>
    </w:p>
    <w:p w14:paraId="56D17CB3" w14:textId="77777777" w:rsidR="003356F1" w:rsidRPr="005C29F8" w:rsidRDefault="001F3A65" w:rsidP="00832807">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5C29F8" w:rsidRDefault="001F3A65" w:rsidP="00832807">
      <w:pPr>
        <w:rPr>
          <w:rFonts w:cs="Arial"/>
          <w:color w:val="000000" w:themeColor="text1"/>
          <w:szCs w:val="16"/>
        </w:rPr>
      </w:pPr>
      <w:r w:rsidRPr="005C29F8">
        <w:rPr>
          <w:rFonts w:cs="Arial"/>
          <w:color w:val="000000" w:themeColor="text1"/>
          <w:szCs w:val="16"/>
        </w:rPr>
        <w:t>(20 U.S.C. 1416(a)(3)(B))</w:t>
      </w:r>
    </w:p>
    <w:p w14:paraId="3DA9D44A" w14:textId="77777777" w:rsidR="003356F1" w:rsidRPr="005C29F8" w:rsidRDefault="003356F1" w:rsidP="004369B2">
      <w:pPr>
        <w:rPr>
          <w:color w:val="000000" w:themeColor="text1"/>
        </w:rPr>
      </w:pPr>
      <w:r w:rsidRPr="005C29F8">
        <w:rPr>
          <w:b/>
          <w:color w:val="000000" w:themeColor="text1"/>
        </w:rPr>
        <w:t>Data Source</w:t>
      </w:r>
    </w:p>
    <w:p w14:paraId="3741FEFD" w14:textId="2D50FC3E" w:rsidR="003356F1" w:rsidRPr="005C29F8" w:rsidRDefault="003356F1"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5C29F8" w:rsidRDefault="003356F1" w:rsidP="004369B2">
      <w:pPr>
        <w:rPr>
          <w:color w:val="000000" w:themeColor="text1"/>
        </w:rPr>
      </w:pPr>
      <w:r w:rsidRPr="005C29F8">
        <w:rPr>
          <w:b/>
          <w:color w:val="000000" w:themeColor="text1"/>
        </w:rPr>
        <w:t>Measurement</w:t>
      </w:r>
    </w:p>
    <w:p w14:paraId="6421FFFB" w14:textId="6BB4E0C2"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a. # of children for whom parental consent to evaluate was received.</w:t>
      </w:r>
    </w:p>
    <w:p w14:paraId="07661B9A" w14:textId="43097164" w:rsidR="003356F1" w:rsidRPr="005C29F8" w:rsidRDefault="003F4D08" w:rsidP="006A01BD">
      <w:pPr>
        <w:spacing w:before="0" w:after="0"/>
        <w:ind w:firstLine="720"/>
        <w:rPr>
          <w:rFonts w:eastAsia="Times New Roman" w:cs="Arial"/>
          <w:color w:val="000000" w:themeColor="text1"/>
          <w:szCs w:val="16"/>
        </w:rPr>
      </w:pPr>
      <w:r w:rsidRPr="005C29F8">
        <w:rPr>
          <w:rFonts w:eastAsia="Times New Roman" w:cs="Arial"/>
          <w:color w:val="000000" w:themeColor="text1"/>
          <w:szCs w:val="16"/>
        </w:rPr>
        <w:t>b. # of children whose evaluations were completed within 60 days (or State-established timeline).</w:t>
      </w:r>
    </w:p>
    <w:p w14:paraId="733D8722" w14:textId="77777777" w:rsidR="003356F1" w:rsidRPr="005C29F8" w:rsidRDefault="003356F1" w:rsidP="006A01BD">
      <w:pPr>
        <w:spacing w:before="0" w:after="210"/>
        <w:ind w:left="72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5C29F8" w:rsidRDefault="003356F1" w:rsidP="006A01BD">
      <w:pPr>
        <w:spacing w:before="0" w:after="210"/>
        <w:ind w:firstLine="720"/>
        <w:rPr>
          <w:rFonts w:eastAsia="Times New Roman" w:cs="Arial"/>
          <w:color w:val="000000" w:themeColor="text1"/>
          <w:szCs w:val="16"/>
        </w:rPr>
      </w:pPr>
      <w:r w:rsidRPr="005C29F8">
        <w:rPr>
          <w:rFonts w:eastAsia="Times New Roman" w:cs="Arial"/>
          <w:color w:val="000000" w:themeColor="text1"/>
          <w:szCs w:val="16"/>
        </w:rPr>
        <w:t>Percent = [(b) divided by (a)] times 100.</w:t>
      </w:r>
    </w:p>
    <w:p w14:paraId="5F28023C" w14:textId="77777777" w:rsidR="003356F1" w:rsidRPr="005C29F8" w:rsidRDefault="003356F1" w:rsidP="004369B2">
      <w:pPr>
        <w:rPr>
          <w:color w:val="000000" w:themeColor="text1"/>
        </w:rPr>
      </w:pPr>
      <w:r w:rsidRPr="005C29F8">
        <w:rPr>
          <w:b/>
          <w:color w:val="000000" w:themeColor="text1"/>
        </w:rPr>
        <w:t>Instructions</w:t>
      </w:r>
    </w:p>
    <w:p w14:paraId="3DD8C135" w14:textId="77777777" w:rsidR="003356F1" w:rsidRPr="005C29F8" w:rsidRDefault="003356F1"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5C29F8" w:rsidRDefault="003356F1"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5C29F8" w:rsidRDefault="003356F1" w:rsidP="00286BDF">
      <w:pPr>
        <w:rPr>
          <w:rFonts w:cs="Arial"/>
          <w:color w:val="000000" w:themeColor="text1"/>
          <w:szCs w:val="16"/>
        </w:rPr>
      </w:pPr>
      <w:r w:rsidRPr="005C29F8">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5C29F8" w:rsidRDefault="003356F1" w:rsidP="00286BDF">
      <w:pPr>
        <w:rPr>
          <w:rFonts w:cs="Arial"/>
          <w:color w:val="000000" w:themeColor="text1"/>
          <w:szCs w:val="16"/>
        </w:rPr>
      </w:pPr>
      <w:r w:rsidRPr="005C29F8">
        <w:rPr>
          <w:rFonts w:cs="Arial"/>
          <w:color w:val="000000" w:themeColor="text1"/>
          <w:szCs w:val="16"/>
        </w:rPr>
        <w:t>Targets must be 100%.</w:t>
      </w:r>
    </w:p>
    <w:p w14:paraId="6E371C53" w14:textId="77777777" w:rsidR="003356F1" w:rsidRPr="005C29F8" w:rsidRDefault="003356F1"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5D4ECEE2" w:rsidR="003356F1" w:rsidRPr="005C29F8" w:rsidRDefault="007A3964"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CA3F78B" w14:textId="72C271DF" w:rsidR="00DB20BC" w:rsidRPr="0033429D" w:rsidRDefault="00C22B92" w:rsidP="00123D76">
      <w:pPr>
        <w:pStyle w:val="Heading2"/>
      </w:pPr>
      <w:bookmarkStart w:id="46" w:name="_Toc384383354"/>
      <w:bookmarkStart w:id="47" w:name="_Toc392159322"/>
      <w:bookmarkEnd w:id="44"/>
      <w:bookmarkEnd w:id="45"/>
      <w:r w:rsidRPr="0033429D">
        <w:t>11</w:t>
      </w:r>
      <w:r w:rsidR="00596F4D" w:rsidRPr="0033429D">
        <w:t xml:space="preserve"> </w:t>
      </w:r>
      <w:r w:rsidRPr="0033429D">
        <w:t xml:space="preserve">- </w:t>
      </w:r>
      <w:r w:rsidR="00DB20BC" w:rsidRPr="0033429D">
        <w:t>Indicator Data</w:t>
      </w:r>
    </w:p>
    <w:p w14:paraId="7C465821" w14:textId="6E27EB07" w:rsidR="00B6413B" w:rsidRDefault="00B6413B"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14:paraId="1E9ECD4B" w14:textId="77777777" w:rsidTr="00123D76">
        <w:trPr>
          <w:trHeight w:val="311"/>
          <w:tblHeader/>
        </w:trPr>
        <w:tc>
          <w:tcPr>
            <w:tcW w:w="1797" w:type="dxa"/>
          </w:tcPr>
          <w:p w14:paraId="7AF55935" w14:textId="77777777" w:rsidR="00126B45" w:rsidRDefault="00126B45" w:rsidP="00123D76">
            <w:pPr>
              <w:jc w:val="center"/>
              <w:rPr>
                <w:b/>
                <w:color w:val="000000" w:themeColor="text1"/>
              </w:rPr>
            </w:pPr>
            <w:r w:rsidRPr="005C29F8">
              <w:rPr>
                <w:rFonts w:cs="Arial"/>
                <w:b/>
                <w:color w:val="000000" w:themeColor="text1"/>
                <w:szCs w:val="16"/>
              </w:rPr>
              <w:t>Baseline Year</w:t>
            </w:r>
          </w:p>
        </w:tc>
        <w:tc>
          <w:tcPr>
            <w:tcW w:w="1798" w:type="dxa"/>
          </w:tcPr>
          <w:p w14:paraId="316C30F4" w14:textId="77777777" w:rsidR="00126B45" w:rsidRDefault="00126B45" w:rsidP="00123D76">
            <w:pPr>
              <w:jc w:val="center"/>
              <w:rPr>
                <w:b/>
                <w:color w:val="000000" w:themeColor="text1"/>
              </w:rPr>
            </w:pPr>
            <w:r>
              <w:rPr>
                <w:b/>
                <w:color w:val="000000" w:themeColor="text1"/>
              </w:rPr>
              <w:t>Baseline Data</w:t>
            </w:r>
          </w:p>
        </w:tc>
      </w:tr>
      <w:tr w:rsidR="00126B45" w14:paraId="1CE17451" w14:textId="77777777" w:rsidTr="00123D76">
        <w:trPr>
          <w:trHeight w:val="311"/>
        </w:trPr>
        <w:tc>
          <w:tcPr>
            <w:tcW w:w="1797" w:type="dxa"/>
            <w:vAlign w:val="center"/>
          </w:tcPr>
          <w:p w14:paraId="4D36891E" w14:textId="227D3313" w:rsidR="00126B45" w:rsidRPr="00227D4B" w:rsidRDefault="00126B45" w:rsidP="00123D76">
            <w:pPr>
              <w:jc w:val="center"/>
              <w:rPr>
                <w:bCs/>
                <w:color w:val="000000" w:themeColor="text1"/>
              </w:rPr>
            </w:pPr>
            <w:r w:rsidRPr="00227D4B">
              <w:rPr>
                <w:bCs/>
                <w:color w:val="000000" w:themeColor="text1"/>
              </w:rPr>
              <w:t>2005</w:t>
            </w:r>
          </w:p>
        </w:tc>
        <w:tc>
          <w:tcPr>
            <w:tcW w:w="1798" w:type="dxa"/>
            <w:vAlign w:val="center"/>
          </w:tcPr>
          <w:p w14:paraId="403719B1" w14:textId="522EF75C" w:rsidR="00126B45" w:rsidRPr="00227D4B" w:rsidRDefault="00126B45" w:rsidP="00123D76">
            <w:pPr>
              <w:jc w:val="center"/>
              <w:rPr>
                <w:bCs/>
                <w:color w:val="000000" w:themeColor="text1"/>
              </w:rPr>
            </w:pPr>
            <w:r w:rsidRPr="00227D4B">
              <w:rPr>
                <w:bCs/>
                <w:color w:val="000000" w:themeColor="text1"/>
              </w:rPr>
              <w:t>53.00%</w:t>
            </w:r>
          </w:p>
        </w:tc>
      </w:tr>
    </w:tbl>
    <w:p w14:paraId="0C706E5F" w14:textId="77777777" w:rsidR="00126B45" w:rsidRPr="005C29F8"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5C29F8" w14:paraId="185735BC" w14:textId="77777777" w:rsidTr="0033429D">
        <w:trPr>
          <w:trHeight w:val="350"/>
        </w:trPr>
        <w:tc>
          <w:tcPr>
            <w:tcW w:w="833" w:type="pct"/>
            <w:tcBorders>
              <w:bottom w:val="single" w:sz="4" w:space="0" w:color="auto"/>
            </w:tcBorders>
            <w:shd w:val="clear" w:color="auto" w:fill="auto"/>
          </w:tcPr>
          <w:p w14:paraId="40BFC57F" w14:textId="77777777" w:rsidR="00B6413B" w:rsidRPr="005C29F8" w:rsidRDefault="00B6413B"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80872C1" w14:textId="09E6591B" w:rsidR="00B6413B" w:rsidRPr="005C29F8" w:rsidRDefault="002B7490" w:rsidP="00B6413B">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72712E2" w14:textId="17CB7B21" w:rsidR="00B6413B" w:rsidRPr="005C29F8" w:rsidRDefault="002B7490" w:rsidP="00B6413B">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10C277D" w14:textId="7361F007" w:rsidR="00B6413B" w:rsidRPr="005C29F8" w:rsidRDefault="002B7490" w:rsidP="00B6413B">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5A53D9E0" w14:textId="2FECDD8F" w:rsidR="00B6413B" w:rsidRPr="005C29F8" w:rsidRDefault="002B7490" w:rsidP="00B6413B">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DDA3CB1" w14:textId="7CA07026" w:rsidR="00B6413B" w:rsidRPr="005C29F8" w:rsidRDefault="002B7490" w:rsidP="00B6413B">
            <w:pPr>
              <w:jc w:val="center"/>
              <w:rPr>
                <w:rFonts w:cs="Arial"/>
                <w:b/>
                <w:color w:val="000000" w:themeColor="text1"/>
                <w:szCs w:val="16"/>
              </w:rPr>
            </w:pPr>
            <w:r w:rsidRPr="005C29F8">
              <w:rPr>
                <w:rFonts w:cs="Arial"/>
                <w:b/>
                <w:color w:val="000000" w:themeColor="text1"/>
                <w:szCs w:val="16"/>
              </w:rPr>
              <w:t>2018</w:t>
            </w:r>
          </w:p>
        </w:tc>
      </w:tr>
      <w:tr w:rsidR="005C29F8" w:rsidRPr="005C29F8" w14:paraId="1D8C5E85" w14:textId="77777777" w:rsidTr="0033429D">
        <w:trPr>
          <w:trHeight w:val="357"/>
        </w:trPr>
        <w:tc>
          <w:tcPr>
            <w:tcW w:w="833" w:type="pct"/>
            <w:shd w:val="clear" w:color="auto" w:fill="auto"/>
          </w:tcPr>
          <w:p w14:paraId="64B52232" w14:textId="6E60704D" w:rsidR="00B6413B" w:rsidRPr="005C29F8" w:rsidRDefault="00B6413B" w:rsidP="00B6413B">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13EDBB26" w14:textId="03929D2F"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2315242" w14:textId="2AA4BC03"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592D8352" w14:textId="0CCD91D0"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213B65B" w14:textId="455FA06B" w:rsidR="00B6413B" w:rsidRPr="005C29F8" w:rsidRDefault="00B16A26">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0947AB89" w14:textId="009A0A22" w:rsidR="00B6413B" w:rsidRPr="005C29F8" w:rsidRDefault="00B16A26">
            <w:pPr>
              <w:jc w:val="center"/>
              <w:rPr>
                <w:rFonts w:cs="Arial"/>
                <w:color w:val="000000" w:themeColor="text1"/>
                <w:szCs w:val="16"/>
              </w:rPr>
            </w:pPr>
            <w:r w:rsidRPr="005C29F8">
              <w:rPr>
                <w:rFonts w:cs="Arial"/>
                <w:color w:val="000000" w:themeColor="text1"/>
                <w:szCs w:val="16"/>
              </w:rPr>
              <w:t>100%</w:t>
            </w:r>
          </w:p>
        </w:tc>
      </w:tr>
      <w:tr w:rsidR="005C29F8" w:rsidRPr="005C29F8" w14:paraId="034A91A9" w14:textId="77777777" w:rsidTr="0033429D">
        <w:trPr>
          <w:trHeight w:val="85"/>
        </w:trPr>
        <w:tc>
          <w:tcPr>
            <w:tcW w:w="833" w:type="pct"/>
            <w:shd w:val="clear" w:color="auto" w:fill="auto"/>
          </w:tcPr>
          <w:p w14:paraId="2D12CD30" w14:textId="77777777" w:rsidR="00B6413B" w:rsidRPr="005C29F8" w:rsidRDefault="00B6413B" w:rsidP="00B6413B">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45567F1B" w14:textId="15BD6387" w:rsidR="00B6413B" w:rsidRPr="005C29F8" w:rsidRDefault="002B7490" w:rsidP="00A018D4">
            <w:pPr>
              <w:jc w:val="center"/>
              <w:rPr>
                <w:rFonts w:cs="Arial"/>
                <w:color w:val="000000" w:themeColor="text1"/>
                <w:szCs w:val="16"/>
              </w:rPr>
            </w:pPr>
            <w:r w:rsidRPr="005C29F8">
              <w:rPr>
                <w:rFonts w:cs="Arial"/>
                <w:color w:val="000000" w:themeColor="text1"/>
                <w:szCs w:val="16"/>
              </w:rPr>
              <w:t>97.47%</w:t>
            </w:r>
          </w:p>
        </w:tc>
        <w:tc>
          <w:tcPr>
            <w:tcW w:w="833" w:type="pct"/>
            <w:shd w:val="clear" w:color="auto" w:fill="auto"/>
          </w:tcPr>
          <w:p w14:paraId="22571264" w14:textId="18DEE061" w:rsidR="00B6413B" w:rsidRPr="005C29F8" w:rsidRDefault="002B7490" w:rsidP="00A018D4">
            <w:pPr>
              <w:jc w:val="center"/>
              <w:rPr>
                <w:rFonts w:cs="Arial"/>
                <w:color w:val="000000" w:themeColor="text1"/>
                <w:szCs w:val="16"/>
              </w:rPr>
            </w:pPr>
            <w:r w:rsidRPr="005C29F8">
              <w:rPr>
                <w:rFonts w:cs="Arial"/>
                <w:color w:val="000000" w:themeColor="text1"/>
                <w:szCs w:val="16"/>
              </w:rPr>
              <w:t>98.45%</w:t>
            </w:r>
          </w:p>
        </w:tc>
        <w:tc>
          <w:tcPr>
            <w:tcW w:w="833" w:type="pct"/>
            <w:tcBorders>
              <w:bottom w:val="single" w:sz="4" w:space="0" w:color="auto"/>
            </w:tcBorders>
            <w:shd w:val="clear" w:color="auto" w:fill="auto"/>
            <w:vAlign w:val="center"/>
          </w:tcPr>
          <w:p w14:paraId="0169492B" w14:textId="35C25712" w:rsidR="00B6413B" w:rsidRPr="005C29F8" w:rsidRDefault="002B7490" w:rsidP="00A018D4">
            <w:pPr>
              <w:jc w:val="center"/>
              <w:rPr>
                <w:rFonts w:cs="Arial"/>
                <w:color w:val="000000" w:themeColor="text1"/>
                <w:szCs w:val="16"/>
              </w:rPr>
            </w:pPr>
            <w:r w:rsidRPr="005C29F8">
              <w:rPr>
                <w:rFonts w:cs="Arial"/>
                <w:color w:val="000000" w:themeColor="text1"/>
                <w:szCs w:val="16"/>
              </w:rPr>
              <w:t>97.96%</w:t>
            </w:r>
          </w:p>
        </w:tc>
        <w:tc>
          <w:tcPr>
            <w:tcW w:w="833" w:type="pct"/>
            <w:tcBorders>
              <w:bottom w:val="single" w:sz="4" w:space="0" w:color="auto"/>
            </w:tcBorders>
            <w:shd w:val="clear" w:color="auto" w:fill="auto"/>
            <w:vAlign w:val="center"/>
          </w:tcPr>
          <w:p w14:paraId="3F28AAFF" w14:textId="54CE0344" w:rsidR="00B6413B" w:rsidRPr="005C29F8" w:rsidRDefault="002B7490" w:rsidP="00A018D4">
            <w:pPr>
              <w:jc w:val="center"/>
              <w:rPr>
                <w:rFonts w:cs="Arial"/>
                <w:color w:val="000000" w:themeColor="text1"/>
                <w:szCs w:val="16"/>
              </w:rPr>
            </w:pPr>
            <w:r w:rsidRPr="005C29F8">
              <w:rPr>
                <w:rFonts w:cs="Arial"/>
                <w:color w:val="000000" w:themeColor="text1"/>
                <w:szCs w:val="16"/>
              </w:rPr>
              <w:t>99.11%</w:t>
            </w:r>
          </w:p>
        </w:tc>
        <w:tc>
          <w:tcPr>
            <w:tcW w:w="834" w:type="pct"/>
            <w:tcBorders>
              <w:bottom w:val="single" w:sz="4" w:space="0" w:color="auto"/>
            </w:tcBorders>
            <w:shd w:val="clear" w:color="auto" w:fill="auto"/>
            <w:vAlign w:val="center"/>
          </w:tcPr>
          <w:p w14:paraId="1634D135" w14:textId="4B1B8A56" w:rsidR="00B6413B" w:rsidRPr="005C29F8" w:rsidRDefault="002B7490" w:rsidP="00A018D4">
            <w:pPr>
              <w:jc w:val="center"/>
              <w:rPr>
                <w:rFonts w:cs="Arial"/>
                <w:color w:val="000000" w:themeColor="text1"/>
                <w:szCs w:val="16"/>
              </w:rPr>
            </w:pPr>
            <w:r w:rsidRPr="005C29F8">
              <w:rPr>
                <w:rFonts w:cs="Arial"/>
                <w:color w:val="000000" w:themeColor="text1"/>
                <w:szCs w:val="16"/>
              </w:rPr>
              <w:t>96.53%</w:t>
            </w:r>
          </w:p>
        </w:tc>
      </w:tr>
    </w:tbl>
    <w:p w14:paraId="4B68E2EB" w14:textId="77777777" w:rsidR="00DE2E22" w:rsidRPr="005C29F8" w:rsidRDefault="00DE2E22" w:rsidP="004369B2">
      <w:pPr>
        <w:rPr>
          <w:color w:val="000000" w:themeColor="text1"/>
        </w:rPr>
      </w:pPr>
    </w:p>
    <w:p w14:paraId="665BBDF2" w14:textId="3C595D9B"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2465"/>
      </w:tblGrid>
      <w:tr w:rsidR="00441578" w:rsidRPr="005C29F8" w14:paraId="76DFECC2" w14:textId="77777777" w:rsidTr="0033429D">
        <w:trPr>
          <w:trHeight w:val="350"/>
        </w:trPr>
        <w:tc>
          <w:tcPr>
            <w:tcW w:w="1079" w:type="pct"/>
            <w:tcBorders>
              <w:bottom w:val="single" w:sz="4" w:space="0" w:color="auto"/>
            </w:tcBorders>
            <w:shd w:val="clear" w:color="auto" w:fill="auto"/>
          </w:tcPr>
          <w:p w14:paraId="6892E70C"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66B6940B"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EC10007" w14:textId="77777777" w:rsidTr="00441578">
        <w:trPr>
          <w:trHeight w:val="357"/>
        </w:trPr>
        <w:tc>
          <w:tcPr>
            <w:tcW w:w="1079" w:type="pct"/>
            <w:shd w:val="clear" w:color="auto" w:fill="auto"/>
            <w:vAlign w:val="center"/>
          </w:tcPr>
          <w:p w14:paraId="078AD14E"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738C5681" w14:textId="308364FD"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5CBD7BB2" w14:textId="77777777" w:rsidR="00DE2E22" w:rsidRPr="005C29F8" w:rsidRDefault="00DE2E22" w:rsidP="004369B2">
      <w:pPr>
        <w:rPr>
          <w:color w:val="000000" w:themeColor="text1"/>
        </w:rPr>
      </w:pPr>
    </w:p>
    <w:p w14:paraId="3FAEB3AB" w14:textId="3363AEFC" w:rsidR="00D03701" w:rsidRPr="005C29F8" w:rsidRDefault="00EC46E4" w:rsidP="004369B2">
      <w:pPr>
        <w:rPr>
          <w:color w:val="000000" w:themeColor="text1"/>
        </w:rPr>
      </w:pPr>
      <w:r w:rsidRPr="005C29F8">
        <w:rPr>
          <w:b/>
          <w:color w:val="000000" w:themeColor="text1"/>
        </w:rPr>
        <w:t>FFY 2019 SPP/APR Data</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5C29F8" w14:paraId="4D51CA61" w14:textId="77777777" w:rsidTr="008227D4">
        <w:trPr>
          <w:trHeight w:val="357"/>
          <w:tblHeader/>
        </w:trPr>
        <w:tc>
          <w:tcPr>
            <w:tcW w:w="677" w:type="pct"/>
            <w:shd w:val="clear" w:color="auto" w:fill="auto"/>
            <w:vAlign w:val="bottom"/>
          </w:tcPr>
          <w:p w14:paraId="2C2F9079"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5C29F8" w:rsidRDefault="003356F1" w:rsidP="00681BA6">
            <w:pPr>
              <w:jc w:val="center"/>
              <w:rPr>
                <w:rFonts w:cs="Arial"/>
                <w:b/>
                <w:color w:val="000000" w:themeColor="text1"/>
                <w:szCs w:val="16"/>
              </w:rPr>
            </w:pPr>
            <w:r w:rsidRPr="005C29F8">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123CCF31" w:rsidR="003356F1" w:rsidRPr="005C29F8" w:rsidRDefault="00D95C14" w:rsidP="00681BA6">
            <w:pPr>
              <w:jc w:val="center"/>
              <w:rPr>
                <w:rFonts w:cs="Arial"/>
                <w:b/>
                <w:color w:val="000000" w:themeColor="text1"/>
                <w:szCs w:val="16"/>
              </w:rPr>
            </w:pPr>
            <w:r w:rsidRPr="005C29F8">
              <w:rPr>
                <w:rFonts w:cs="Arial"/>
                <w:b/>
                <w:color w:val="000000" w:themeColor="text1"/>
                <w:szCs w:val="16"/>
              </w:rPr>
              <w:t>FFY 2018 Data</w:t>
            </w:r>
          </w:p>
        </w:tc>
        <w:tc>
          <w:tcPr>
            <w:tcW w:w="984" w:type="pct"/>
            <w:shd w:val="clear" w:color="auto" w:fill="auto"/>
            <w:vAlign w:val="bottom"/>
          </w:tcPr>
          <w:p w14:paraId="46349806" w14:textId="41E555E1"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Target</w:t>
            </w:r>
          </w:p>
        </w:tc>
        <w:tc>
          <w:tcPr>
            <w:tcW w:w="586" w:type="pct"/>
            <w:shd w:val="clear" w:color="auto" w:fill="auto"/>
            <w:vAlign w:val="bottom"/>
          </w:tcPr>
          <w:p w14:paraId="789B0350" w14:textId="161C72BB" w:rsidR="003356F1" w:rsidRPr="005C29F8" w:rsidRDefault="003356F1" w:rsidP="00681BA6">
            <w:pPr>
              <w:jc w:val="center"/>
              <w:rPr>
                <w:rFonts w:cs="Arial"/>
                <w:b/>
                <w:color w:val="000000" w:themeColor="text1"/>
                <w:szCs w:val="16"/>
              </w:rPr>
            </w:pPr>
            <w:r w:rsidRPr="005C29F8">
              <w:rPr>
                <w:rFonts w:cs="Arial"/>
                <w:b/>
                <w:color w:val="000000" w:themeColor="text1"/>
                <w:szCs w:val="16"/>
              </w:rPr>
              <w:t>FFY 2019 Data</w:t>
            </w:r>
          </w:p>
        </w:tc>
        <w:tc>
          <w:tcPr>
            <w:tcW w:w="747" w:type="pct"/>
            <w:shd w:val="clear" w:color="auto" w:fill="auto"/>
            <w:vAlign w:val="bottom"/>
          </w:tcPr>
          <w:p w14:paraId="1F8A5D0B" w14:textId="1CA25A33" w:rsidR="003356F1" w:rsidRPr="005C29F8" w:rsidRDefault="003356F1" w:rsidP="00681BA6">
            <w:pPr>
              <w:jc w:val="center"/>
              <w:rPr>
                <w:rFonts w:cs="Arial"/>
                <w:b/>
                <w:color w:val="000000" w:themeColor="text1"/>
                <w:szCs w:val="16"/>
              </w:rPr>
            </w:pPr>
            <w:r w:rsidRPr="005C29F8">
              <w:rPr>
                <w:rFonts w:cs="Arial"/>
                <w:b/>
                <w:color w:val="000000" w:themeColor="text1"/>
                <w:szCs w:val="16"/>
              </w:rPr>
              <w:t>Status</w:t>
            </w:r>
          </w:p>
        </w:tc>
        <w:tc>
          <w:tcPr>
            <w:tcW w:w="722" w:type="pct"/>
            <w:shd w:val="clear" w:color="auto" w:fill="auto"/>
            <w:vAlign w:val="bottom"/>
          </w:tcPr>
          <w:p w14:paraId="072F67FA" w14:textId="0AF25FE9" w:rsidR="003356F1" w:rsidRPr="005C29F8" w:rsidRDefault="003356F1"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5C29F8" w:rsidRDefault="002B7490" w:rsidP="004369B2">
            <w:pPr>
              <w:jc w:val="center"/>
              <w:rPr>
                <w:rFonts w:cs="Arial"/>
                <w:color w:val="000000" w:themeColor="text1"/>
                <w:szCs w:val="16"/>
              </w:rPr>
            </w:pPr>
            <w:r w:rsidRPr="005C29F8">
              <w:rPr>
                <w:rFonts w:cs="Arial"/>
                <w:color w:val="000000" w:themeColor="text1"/>
                <w:szCs w:val="16"/>
              </w:rPr>
              <w:t>137</w:t>
            </w:r>
          </w:p>
        </w:tc>
        <w:tc>
          <w:tcPr>
            <w:tcW w:w="631" w:type="pct"/>
            <w:shd w:val="clear" w:color="auto" w:fill="auto"/>
          </w:tcPr>
          <w:p w14:paraId="12D46373" w14:textId="70B5728E" w:rsidR="00227DE4" w:rsidRPr="005C29F8" w:rsidRDefault="002B7490" w:rsidP="004369B2">
            <w:pPr>
              <w:jc w:val="center"/>
              <w:rPr>
                <w:rFonts w:cs="Arial"/>
                <w:color w:val="000000" w:themeColor="text1"/>
                <w:szCs w:val="16"/>
              </w:rPr>
            </w:pPr>
            <w:r w:rsidRPr="005C29F8">
              <w:rPr>
                <w:rFonts w:cs="Arial"/>
                <w:color w:val="000000" w:themeColor="text1"/>
                <w:szCs w:val="16"/>
              </w:rPr>
              <w:t>129</w:t>
            </w:r>
          </w:p>
        </w:tc>
        <w:tc>
          <w:tcPr>
            <w:tcW w:w="652" w:type="pct"/>
            <w:shd w:val="clear" w:color="auto" w:fill="auto"/>
          </w:tcPr>
          <w:p w14:paraId="78F7DC6F" w14:textId="0C25E273" w:rsidR="00227DE4" w:rsidRPr="005C29F8" w:rsidRDefault="002B7490" w:rsidP="004369B2">
            <w:pPr>
              <w:jc w:val="center"/>
              <w:rPr>
                <w:rFonts w:cs="Arial"/>
                <w:color w:val="000000" w:themeColor="text1"/>
                <w:szCs w:val="16"/>
              </w:rPr>
            </w:pPr>
            <w:r w:rsidRPr="005C29F8">
              <w:rPr>
                <w:rFonts w:cs="Arial"/>
                <w:color w:val="000000" w:themeColor="text1"/>
                <w:szCs w:val="16"/>
              </w:rPr>
              <w:t>96.53%</w:t>
            </w:r>
          </w:p>
        </w:tc>
        <w:tc>
          <w:tcPr>
            <w:tcW w:w="984" w:type="pct"/>
            <w:shd w:val="clear" w:color="auto" w:fill="auto"/>
          </w:tcPr>
          <w:p w14:paraId="57D08E3A" w14:textId="02A6843C" w:rsidR="00227DE4"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86" w:type="pct"/>
            <w:shd w:val="clear" w:color="auto" w:fill="auto"/>
          </w:tcPr>
          <w:p w14:paraId="76ED234E" w14:textId="0761C4C5" w:rsidR="00227DE4" w:rsidRPr="005C29F8" w:rsidRDefault="002B7490" w:rsidP="004369B2">
            <w:pPr>
              <w:jc w:val="center"/>
              <w:rPr>
                <w:rFonts w:cs="Arial"/>
                <w:color w:val="000000" w:themeColor="text1"/>
                <w:szCs w:val="16"/>
              </w:rPr>
            </w:pPr>
            <w:r w:rsidRPr="005C29F8">
              <w:rPr>
                <w:rFonts w:cs="Arial"/>
                <w:color w:val="000000" w:themeColor="text1"/>
                <w:szCs w:val="16"/>
              </w:rPr>
              <w:t>94.16%</w:t>
            </w:r>
          </w:p>
        </w:tc>
        <w:tc>
          <w:tcPr>
            <w:tcW w:w="747" w:type="pct"/>
            <w:shd w:val="clear" w:color="auto" w:fill="auto"/>
          </w:tcPr>
          <w:p w14:paraId="0270582F" w14:textId="73E1CA33" w:rsidR="00227DE4"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22" w:type="pct"/>
            <w:shd w:val="clear" w:color="auto" w:fill="auto"/>
          </w:tcPr>
          <w:p w14:paraId="2AF3A578" w14:textId="64369F07" w:rsidR="00227DE4"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5D46E0B7" w14:textId="17C9BC91" w:rsidR="00BC682D" w:rsidRPr="005C29F8" w:rsidRDefault="00481536" w:rsidP="00BC682D">
      <w:pPr>
        <w:rPr>
          <w:rFonts w:cs="Arial"/>
          <w:b/>
          <w:i/>
          <w:color w:val="000000" w:themeColor="text1"/>
          <w:szCs w:val="16"/>
        </w:rPr>
      </w:pPr>
      <w:r w:rsidRPr="005C29F8">
        <w:rPr>
          <w:rFonts w:cs="Arial"/>
          <w:b/>
          <w:color w:val="000000" w:themeColor="text1"/>
          <w:szCs w:val="16"/>
        </w:rPr>
        <w:lastRenderedPageBreak/>
        <w:t>Provide reasons for slippage</w:t>
      </w:r>
    </w:p>
    <w:p w14:paraId="1CA4022B" w14:textId="73E50EE0" w:rsidR="00481536" w:rsidRPr="005C29F8" w:rsidRDefault="002B7490" w:rsidP="007D435F">
      <w:pPr>
        <w:rPr>
          <w:rFonts w:cs="Arial"/>
          <w:color w:val="000000" w:themeColor="text1"/>
          <w:szCs w:val="16"/>
        </w:rPr>
      </w:pPr>
      <w:r w:rsidRPr="005C29F8">
        <w:rPr>
          <w:rFonts w:cs="Arial"/>
          <w:color w:val="000000" w:themeColor="text1"/>
          <w:szCs w:val="16"/>
        </w:rPr>
        <w:t>CNMI's FFY 2019 Indicator 11 performance represented substantial compliance of 94.16% (129/137</w:t>
      </w:r>
      <w:proofErr w:type="gramStart"/>
      <w:r w:rsidRPr="005C29F8">
        <w:rPr>
          <w:rFonts w:cs="Arial"/>
          <w:color w:val="000000" w:themeColor="text1"/>
          <w:szCs w:val="16"/>
        </w:rPr>
        <w:t>), but</w:t>
      </w:r>
      <w:proofErr w:type="gramEnd"/>
      <w:r w:rsidRPr="005C29F8">
        <w:rPr>
          <w:rFonts w:cs="Arial"/>
          <w:color w:val="000000" w:themeColor="text1"/>
          <w:szCs w:val="16"/>
        </w:rPr>
        <w:t xml:space="preserve"> represented slippage by 2.37% from the previous year's substantial compliance of 96.53% (195/202). By numbers, this represented a difference of one initial evaluation from seven in FFY 2018 to eight in FFY 2019 that did not meet the 60-day timeline requirement for Indicator 11.</w:t>
      </w:r>
      <w:r w:rsidRPr="005C29F8">
        <w:rPr>
          <w:rFonts w:cs="Arial"/>
          <w:color w:val="000000" w:themeColor="text1"/>
          <w:szCs w:val="16"/>
        </w:rPr>
        <w:br/>
      </w:r>
      <w:r w:rsidRPr="005C29F8">
        <w:rPr>
          <w:rFonts w:cs="Arial"/>
          <w:color w:val="000000" w:themeColor="text1"/>
          <w:szCs w:val="16"/>
        </w:rPr>
        <w:br/>
        <w:t xml:space="preserve">The COVID-19 pandemic impacted school operations, which impacted the completion of initial evaluations of parent consents to evaluate received prior to the school closure on March 16, 2020. </w:t>
      </w:r>
      <w:r w:rsidRPr="005C29F8">
        <w:rPr>
          <w:rFonts w:cs="Arial"/>
          <w:color w:val="000000" w:themeColor="text1"/>
          <w:szCs w:val="16"/>
        </w:rPr>
        <w:br/>
      </w:r>
      <w:r w:rsidRPr="005C29F8">
        <w:rPr>
          <w:rFonts w:cs="Arial"/>
          <w:color w:val="000000" w:themeColor="text1"/>
          <w:szCs w:val="16"/>
        </w:rPr>
        <w:br/>
        <w:t>Of the eight parent consents to evaluate received for the reporting period, a total of seven parent consents to evaluate were received prior to schools closing in mid-March 2020 and continued to be pending at the end of the reporting period. The impact of the COVID-19 pandemic delayed the completion of these seven initial evaluations. Reasons included:</w:t>
      </w:r>
      <w:r w:rsidRPr="005C29F8">
        <w:rPr>
          <w:rFonts w:cs="Arial"/>
          <w:color w:val="000000" w:themeColor="text1"/>
          <w:szCs w:val="16"/>
        </w:rPr>
        <w:br/>
        <w:t>-Personnel having to adjust to administering tests virtually.</w:t>
      </w:r>
      <w:r w:rsidRPr="005C29F8">
        <w:rPr>
          <w:rFonts w:cs="Arial"/>
          <w:color w:val="000000" w:themeColor="text1"/>
          <w:szCs w:val="16"/>
        </w:rPr>
        <w:br/>
        <w:t>-CNMI’s austerity limited the availability of furloughed general education teachers who had information about the concerns regarding the students prior to schools closing. General education teachers were furloughed from April 1, 2020 – August 26, 2020.</w:t>
      </w:r>
      <w:r w:rsidRPr="005C29F8">
        <w:rPr>
          <w:rFonts w:cs="Arial"/>
          <w:color w:val="000000" w:themeColor="text1"/>
          <w:szCs w:val="16"/>
        </w:rPr>
        <w:br/>
        <w:t>-CNMI PSS implemented a 4-day work/school week, which limited access to general education personnel.</w:t>
      </w:r>
      <w:r w:rsidRPr="005C29F8">
        <w:rPr>
          <w:rFonts w:cs="Arial"/>
          <w:color w:val="000000" w:themeColor="text1"/>
          <w:szCs w:val="16"/>
        </w:rPr>
        <w:br/>
        <w:t xml:space="preserve">-CNMI PSS implemented distance learning with limited face-to-face interventions beginning the new school year 2020-2021. Parents indicated that they </w:t>
      </w:r>
      <w:proofErr w:type="gramStart"/>
      <w:r w:rsidRPr="005C29F8">
        <w:rPr>
          <w:rFonts w:cs="Arial"/>
          <w:color w:val="000000" w:themeColor="text1"/>
          <w:szCs w:val="16"/>
        </w:rPr>
        <w:t>will</w:t>
      </w:r>
      <w:proofErr w:type="gramEnd"/>
      <w:r w:rsidRPr="005C29F8">
        <w:rPr>
          <w:rFonts w:cs="Arial"/>
          <w:color w:val="000000" w:themeColor="text1"/>
          <w:szCs w:val="16"/>
        </w:rPr>
        <w:t xml:space="preserve"> wait until school is back in session.</w:t>
      </w:r>
      <w:r w:rsidRPr="005C29F8">
        <w:rPr>
          <w:rFonts w:cs="Arial"/>
          <w:color w:val="000000" w:themeColor="text1"/>
          <w:szCs w:val="16"/>
        </w:rPr>
        <w:br/>
        <w:t>-CNMI PSS implemented an online school registration system, which resulted in issues for students transitioning or transferring to another school at the beginning of school year 2020-2021.</w:t>
      </w:r>
    </w:p>
    <w:p w14:paraId="00FCD0E7" w14:textId="5068539E" w:rsidR="00596F83" w:rsidRPr="005C29F8" w:rsidRDefault="00596F83" w:rsidP="007D435F">
      <w:pPr>
        <w:rPr>
          <w:rFonts w:cs="Arial"/>
          <w:b/>
          <w:color w:val="000000" w:themeColor="text1"/>
          <w:szCs w:val="16"/>
        </w:rPr>
      </w:pPr>
      <w:r w:rsidRPr="005C29F8">
        <w:rPr>
          <w:rFonts w:cs="Arial"/>
          <w:b/>
          <w:color w:val="000000" w:themeColor="text1"/>
          <w:szCs w:val="16"/>
        </w:rPr>
        <w:t>Number of children included in (a) but not included in (b)</w:t>
      </w:r>
    </w:p>
    <w:p w14:paraId="500E5C8C" w14:textId="708E8E06" w:rsidR="00596F83" w:rsidRPr="005C29F8" w:rsidRDefault="00596F83" w:rsidP="007D435F">
      <w:pPr>
        <w:rPr>
          <w:rFonts w:cs="Arial"/>
          <w:color w:val="000000" w:themeColor="text1"/>
          <w:szCs w:val="16"/>
        </w:rPr>
      </w:pPr>
      <w:r w:rsidRPr="005C29F8">
        <w:rPr>
          <w:rFonts w:cs="Arial"/>
          <w:color w:val="000000" w:themeColor="text1"/>
          <w:szCs w:val="16"/>
        </w:rPr>
        <w:t>8</w:t>
      </w:r>
    </w:p>
    <w:p w14:paraId="59300647" w14:textId="301BC4BA" w:rsidR="00E418E6" w:rsidRPr="005C29F8" w:rsidRDefault="00481536" w:rsidP="006A01BD">
      <w:pPr>
        <w:rPr>
          <w:b/>
          <w:color w:val="000000" w:themeColor="text1"/>
        </w:rPr>
      </w:pPr>
      <w:r w:rsidRPr="005C29F8">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6620F3" w:rsidRDefault="002B7490" w:rsidP="006A01BD">
      <w:pPr>
        <w:rPr>
          <w:color w:val="000000" w:themeColor="text1"/>
        </w:rPr>
      </w:pPr>
      <w:r w:rsidRPr="006620F3">
        <w:rPr>
          <w:color w:val="000000" w:themeColor="text1"/>
        </w:rPr>
        <w:t>The eight initial evaluations accounted for under (a) but not included in (b) were from four elementary schools (GTC, KAG, SVS, WSR) and two middle schools (HMS and TMS). One of the eight initial evaluations were completed over timeline prior to the closing of schools in mid-March 2020 due to the COVID-19 pandemic, and the remaining seven initial evaluations represented parent consents received prior to the closing of schools in mid-March 2020 due to the COVID-19 pandemic, which remained pending at the end of the reporting period.</w:t>
      </w:r>
      <w:r w:rsidRPr="006620F3">
        <w:rPr>
          <w:color w:val="000000" w:themeColor="text1"/>
        </w:rPr>
        <w:br/>
      </w:r>
      <w:r w:rsidRPr="006620F3">
        <w:rPr>
          <w:color w:val="000000" w:themeColor="text1"/>
        </w:rPr>
        <w:br/>
        <w:t>The days beyond the 60-day timeline was 42 days and 252 days for two initial evaluations; one of which was completed after the reporting period due to the impact of COVID-19. The remaining six initial evaluations not completed are still pending due to the COVID-19 pandemic and are anticipated to be completed in the month of February 2021.</w:t>
      </w:r>
      <w:r w:rsidRPr="006620F3">
        <w:rPr>
          <w:color w:val="000000" w:themeColor="text1"/>
        </w:rPr>
        <w:br/>
      </w:r>
      <w:r w:rsidRPr="006620F3">
        <w:rPr>
          <w:color w:val="000000" w:themeColor="text1"/>
        </w:rPr>
        <w:br/>
        <w:t>The reasons for delay include non-adherence to procedures for one initial evaluation and the impact of the COVID-19 pandemic for seven initial evaluations.  As described under the slippage explanation, CNMI PSS closed schools which required school personnel to adjust its support to students from face-to-face to virtual.  Virtual learning also impacted the ability for CNMI PSS to administer appropriate assessments for eligibility determination.</w:t>
      </w:r>
    </w:p>
    <w:p w14:paraId="4FE2B83B" w14:textId="50CDAD1F" w:rsidR="00596F83" w:rsidRPr="005C29F8" w:rsidRDefault="00596F83" w:rsidP="00596F83">
      <w:pPr>
        <w:rPr>
          <w:rFonts w:cs="Arial"/>
          <w:b/>
          <w:color w:val="000000" w:themeColor="text1"/>
          <w:szCs w:val="16"/>
        </w:rPr>
      </w:pPr>
      <w:r w:rsidRPr="005C29F8">
        <w:rPr>
          <w:rFonts w:cs="Arial"/>
          <w:b/>
          <w:color w:val="000000" w:themeColor="text1"/>
          <w:szCs w:val="16"/>
        </w:rPr>
        <w:t>Indicate the evaluation timeline used:</w:t>
      </w:r>
    </w:p>
    <w:p w14:paraId="7D77618A" w14:textId="3A3B87A2" w:rsidR="00596F83" w:rsidRDefault="00596F83" w:rsidP="004369B2">
      <w:pPr>
        <w:rPr>
          <w:rFonts w:cs="Arial"/>
          <w:color w:val="000000" w:themeColor="text1"/>
          <w:szCs w:val="16"/>
        </w:rPr>
      </w:pPr>
      <w:r w:rsidRPr="005C29F8">
        <w:rPr>
          <w:rFonts w:cs="Arial"/>
          <w:color w:val="000000" w:themeColor="text1"/>
          <w:szCs w:val="16"/>
        </w:rPr>
        <w:t xml:space="preserve">The State used the </w:t>
      </w:r>
      <w:proofErr w:type="gramStart"/>
      <w:r w:rsidRPr="005C29F8">
        <w:rPr>
          <w:rFonts w:cs="Arial"/>
          <w:color w:val="000000" w:themeColor="text1"/>
          <w:szCs w:val="16"/>
        </w:rPr>
        <w:t>60 day</w:t>
      </w:r>
      <w:proofErr w:type="gramEnd"/>
      <w:r w:rsidRPr="005C29F8">
        <w:rPr>
          <w:rFonts w:cs="Arial"/>
          <w:color w:val="000000" w:themeColor="text1"/>
          <w:szCs w:val="16"/>
        </w:rPr>
        <w:t xml:space="preserve"> timeframe within which the evaluation must be conducted</w:t>
      </w:r>
    </w:p>
    <w:p w14:paraId="7B602C87" w14:textId="77777777" w:rsidR="00596F83" w:rsidRPr="005C29F8" w:rsidRDefault="00030B45">
      <w:pPr>
        <w:rPr>
          <w:b/>
          <w:color w:val="000000" w:themeColor="text1"/>
        </w:rPr>
      </w:pPr>
      <w:r w:rsidRPr="005C29F8">
        <w:rPr>
          <w:b/>
          <w:color w:val="000000" w:themeColor="text1"/>
        </w:rPr>
        <w:t xml:space="preserve">What is the source of the data provided for this indicator? </w:t>
      </w:r>
    </w:p>
    <w:p w14:paraId="6EC5182D" w14:textId="7DE4D103" w:rsidR="00030B45" w:rsidRDefault="002B7490" w:rsidP="004369B2">
      <w:pPr>
        <w:rPr>
          <w:iCs/>
          <w:color w:val="000000" w:themeColor="text1"/>
        </w:rPr>
      </w:pPr>
      <w:r w:rsidRPr="005C29F8">
        <w:rPr>
          <w:iCs/>
          <w:color w:val="000000" w:themeColor="text1"/>
        </w:rPr>
        <w:t>State database that includes data for the entire reporting year</w:t>
      </w:r>
    </w:p>
    <w:p w14:paraId="5C41E868" w14:textId="77777777" w:rsidR="00030B45" w:rsidRPr="005C29F8" w:rsidRDefault="00030B45"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41D2EA17" w14:textId="243E2564" w:rsidR="00326C0B" w:rsidRDefault="002B7490" w:rsidP="00030B45">
      <w:pPr>
        <w:rPr>
          <w:rFonts w:cs="Arial"/>
          <w:color w:val="000000" w:themeColor="text1"/>
          <w:szCs w:val="16"/>
        </w:rPr>
      </w:pPr>
      <w:r w:rsidRPr="005C29F8">
        <w:rPr>
          <w:rFonts w:cs="Arial"/>
          <w:color w:val="000000" w:themeColor="text1"/>
          <w:szCs w:val="16"/>
        </w:rPr>
        <w:t>The data for this indicator is taken from the database of all children for whom a consent for initial evaluation was received for the report period of July 1, 2019 to June 30, 2020.  The Data Manager logs the referral information into the database which generates the time requirements (60 days from receipt of the parent consent). The Data Manager sends out the referral information to the schools and providers responsible for the evaluation. Upon completion of evaluations, the reports are sent to the data manager to input into the database. The database is formatted to “flag” any date over the 60-day timeline. For all red flags, a Reason for Delay form is required. The Data Manager, in consultation with the Special Education Director and Compliance Monitor, designates a determination of valid or invalid reasons for delay, consistent with 34 CFR §300.301(d).</w:t>
      </w:r>
    </w:p>
    <w:p w14:paraId="4F981BFF" w14:textId="77777777" w:rsidR="00C86164" w:rsidRPr="005C29F8" w:rsidRDefault="00C86164" w:rsidP="00C86164">
      <w:pPr>
        <w:rPr>
          <w:rFonts w:cs="Arial"/>
          <w:b/>
          <w:color w:val="000000" w:themeColor="text1"/>
          <w:szCs w:val="16"/>
        </w:rPr>
      </w:pPr>
      <w:bookmarkStart w:id="48" w:name="_Toc381956339"/>
      <w:bookmarkStart w:id="49" w:name="_Toc384383357"/>
      <w:bookmarkStart w:id="50" w:name="_Toc392159325"/>
      <w:r w:rsidRPr="005C29F8">
        <w:rPr>
          <w:rFonts w:cs="Arial"/>
          <w:b/>
          <w:color w:val="000000" w:themeColor="text1"/>
          <w:szCs w:val="16"/>
        </w:rPr>
        <w:t>Provide additional information about this indicator (optional)</w:t>
      </w:r>
    </w:p>
    <w:p w14:paraId="4D7330D9" w14:textId="5E39C58C" w:rsidR="00326C0B" w:rsidRPr="005C29F8" w:rsidRDefault="00326C0B" w:rsidP="007D435F">
      <w:pPr>
        <w:rPr>
          <w:rFonts w:cs="Arial"/>
          <w:color w:val="000000" w:themeColor="text1"/>
          <w:szCs w:val="16"/>
        </w:rPr>
      </w:pPr>
    </w:p>
    <w:p w14:paraId="53B75C36" w14:textId="77777777" w:rsidR="00DE2E22" w:rsidRPr="005C29F8" w:rsidRDefault="00DE2E22" w:rsidP="004369B2">
      <w:pPr>
        <w:rPr>
          <w:color w:val="000000" w:themeColor="text1"/>
        </w:rPr>
      </w:pPr>
    </w:p>
    <w:p w14:paraId="3221D503" w14:textId="5C6A292D"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5C29F8" w14:paraId="19F31341" w14:textId="77777777" w:rsidTr="008227D4">
        <w:trPr>
          <w:trHeight w:val="389"/>
          <w:tblHeader/>
        </w:trPr>
        <w:tc>
          <w:tcPr>
            <w:tcW w:w="1228" w:type="pct"/>
            <w:shd w:val="clear" w:color="auto" w:fill="auto"/>
            <w:vAlign w:val="bottom"/>
          </w:tcPr>
          <w:p w14:paraId="56F59E58"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A7D6F00" w14:textId="77777777" w:rsidTr="008227D4">
        <w:tc>
          <w:tcPr>
            <w:tcW w:w="1228" w:type="pct"/>
            <w:shd w:val="clear" w:color="auto" w:fill="auto"/>
          </w:tcPr>
          <w:p w14:paraId="1D3665CE" w14:textId="31AA2004"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88" w:type="pct"/>
            <w:shd w:val="clear" w:color="auto" w:fill="auto"/>
          </w:tcPr>
          <w:p w14:paraId="4AEC445C" w14:textId="6396B491" w:rsidR="009A755E" w:rsidRPr="005C29F8" w:rsidRDefault="002B7490" w:rsidP="00A018D4">
            <w:pPr>
              <w:jc w:val="center"/>
              <w:rPr>
                <w:rFonts w:cs="Arial"/>
                <w:color w:val="000000" w:themeColor="text1"/>
                <w:szCs w:val="16"/>
              </w:rPr>
            </w:pPr>
            <w:r w:rsidRPr="005C29F8">
              <w:rPr>
                <w:rFonts w:cs="Arial"/>
                <w:color w:val="000000" w:themeColor="text1"/>
                <w:szCs w:val="16"/>
              </w:rPr>
              <w:t>7</w:t>
            </w:r>
          </w:p>
        </w:tc>
        <w:tc>
          <w:tcPr>
            <w:tcW w:w="1231" w:type="pct"/>
            <w:shd w:val="clear" w:color="auto" w:fill="auto"/>
          </w:tcPr>
          <w:p w14:paraId="650763EC" w14:textId="5B71F402" w:rsidR="009A755E" w:rsidRPr="005C29F8"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9183A2D" w14:textId="6FBA9ADB" w:rsidR="009A755E" w:rsidRPr="005C29F8" w:rsidRDefault="00062E68" w:rsidP="004369B2">
      <w:pPr>
        <w:rPr>
          <w:color w:val="000000" w:themeColor="text1"/>
        </w:rPr>
      </w:pPr>
      <w:r w:rsidRPr="005C29F8">
        <w:rPr>
          <w:b/>
          <w:color w:val="000000" w:themeColor="text1"/>
        </w:rPr>
        <w:t>FFY 2018 Findings of Noncompliance Verified as Corrected</w:t>
      </w:r>
    </w:p>
    <w:p w14:paraId="417CAEC2" w14:textId="31AFF48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the source of noncompliance is correctly implementing the </w:t>
      </w:r>
      <w:r w:rsidRPr="005C29F8">
        <w:rPr>
          <w:rFonts w:cs="Arial"/>
          <w:b/>
          <w:i/>
          <w:color w:val="000000" w:themeColor="text1"/>
          <w:szCs w:val="16"/>
        </w:rPr>
        <w:t>regulatory requirements</w:t>
      </w:r>
    </w:p>
    <w:p w14:paraId="61965D8E" w14:textId="42E8D356" w:rsidR="00326C0B" w:rsidRPr="005C29F8" w:rsidRDefault="002B7490" w:rsidP="009A755E">
      <w:pPr>
        <w:rPr>
          <w:rFonts w:cs="Arial"/>
          <w:color w:val="000000" w:themeColor="text1"/>
          <w:szCs w:val="16"/>
        </w:rPr>
      </w:pPr>
      <w:r w:rsidRPr="005C29F8">
        <w:rPr>
          <w:rFonts w:cs="Arial"/>
          <w:color w:val="000000" w:themeColor="text1"/>
          <w:szCs w:val="16"/>
        </w:rPr>
        <w:t>The FFY 2018 Findings were verified as corrected through a review of updated data of actual initial evaluation documents from the three schools that received the Written Notice of Findings. These actual initial evaluation documents were submitted to PSS Special Education Program for input into the special education database, the State data system. The review of the actual initial evaluation documents resulted in the three schools determined to have verified correction of the initial evaluation regulatory requirement with the updated data demonstrating 100% compliance with the 60-day timeline requirement. In December 2019, a total of nine initial evaluations for the three schools were the updated data submitted to the PSS Special Education Program for review and input into the State data system. All nine initial evaluations were 100% in compliance with the 60-day timeline requirement, which confirmed that these schools were correctly implementing the 60-day initial evaluation regulatory requirement, which resulted in them receiving a Written Notice of Timely Correction.</w:t>
      </w:r>
    </w:p>
    <w:p w14:paraId="51512AE8" w14:textId="46445215" w:rsidR="009A755E" w:rsidRPr="005C29F8" w:rsidRDefault="009A755E" w:rsidP="009A755E">
      <w:pPr>
        <w:rPr>
          <w:rFonts w:cs="Arial"/>
          <w:b/>
          <w:color w:val="000000" w:themeColor="text1"/>
          <w:szCs w:val="16"/>
        </w:rPr>
      </w:pPr>
      <w:r w:rsidRPr="005C29F8">
        <w:rPr>
          <w:rFonts w:cs="Arial"/>
          <w:b/>
          <w:color w:val="000000" w:themeColor="text1"/>
          <w:szCs w:val="16"/>
        </w:rPr>
        <w:t xml:space="preserve">Describe how the State verified that each </w:t>
      </w:r>
      <w:r w:rsidRPr="005C29F8">
        <w:rPr>
          <w:rFonts w:cs="Arial"/>
          <w:b/>
          <w:i/>
          <w:color w:val="000000" w:themeColor="text1"/>
          <w:szCs w:val="16"/>
        </w:rPr>
        <w:t>individual case</w:t>
      </w:r>
      <w:r w:rsidRPr="005C29F8">
        <w:rPr>
          <w:rFonts w:cs="Arial"/>
          <w:b/>
          <w:color w:val="000000" w:themeColor="text1"/>
          <w:szCs w:val="16"/>
        </w:rPr>
        <w:t xml:space="preserve"> of noncompliance was corrected</w:t>
      </w:r>
    </w:p>
    <w:p w14:paraId="1D2403D9" w14:textId="1E0996F1" w:rsidR="00326C0B" w:rsidRPr="005C29F8" w:rsidRDefault="002B7490" w:rsidP="009A755E">
      <w:pPr>
        <w:rPr>
          <w:rFonts w:cs="Arial"/>
          <w:color w:val="000000" w:themeColor="text1"/>
          <w:szCs w:val="16"/>
        </w:rPr>
      </w:pPr>
      <w:r w:rsidRPr="005C29F8">
        <w:rPr>
          <w:rFonts w:cs="Arial"/>
          <w:color w:val="000000" w:themeColor="text1"/>
          <w:szCs w:val="16"/>
        </w:rPr>
        <w:t xml:space="preserve">As documented in the FFY 2018 performance data for Indicator 11, seven initial evaluations from three schools were not completed in a timely manner. These schools were issued a Written Notice of Findings because the initial evaluations were not completed within the 60-day timeline. Although late, all instances of noncompliance were verified to be completed through a review of actual initial evaluation documents submitted to PSS Special Education </w:t>
      </w:r>
      <w:r w:rsidRPr="005C29F8">
        <w:rPr>
          <w:rFonts w:cs="Arial"/>
          <w:color w:val="000000" w:themeColor="text1"/>
          <w:szCs w:val="16"/>
        </w:rPr>
        <w:lastRenderedPageBreak/>
        <w:t>Program for input into the special education database, as reported in FFY 2018 for Indicator 11. In addition, through a review of updated data of a total of nine actual initial evaluations submitted to the PSS Special Education Program for input into the special education database, the three schools demonstrated 100% compliance with the updated data of initial evaluations demonstrating 100% verified timely correction and received a Written Notice of Timely Correction.</w:t>
      </w:r>
    </w:p>
    <w:p w14:paraId="47B6C111" w14:textId="77777777" w:rsidR="008227D4" w:rsidRPr="005C29F8" w:rsidRDefault="008227D4" w:rsidP="004369B2">
      <w:pPr>
        <w:rPr>
          <w:color w:val="000000" w:themeColor="text1"/>
        </w:rPr>
      </w:pPr>
    </w:p>
    <w:p w14:paraId="3D219E0E" w14:textId="2969146A"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5C29F8" w14:paraId="24C0CC8B" w14:textId="77777777" w:rsidTr="003968A6">
        <w:trPr>
          <w:tblHeader/>
        </w:trPr>
        <w:tc>
          <w:tcPr>
            <w:tcW w:w="988" w:type="pct"/>
            <w:shd w:val="clear" w:color="auto" w:fill="auto"/>
            <w:vAlign w:val="bottom"/>
          </w:tcPr>
          <w:p w14:paraId="4DB94990" w14:textId="41E221B0"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58480848" w14:textId="3F40FD9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5E728C5E"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4D9969AD" w14:textId="77777777" w:rsidTr="003968A6">
        <w:tc>
          <w:tcPr>
            <w:tcW w:w="988" w:type="pct"/>
            <w:shd w:val="clear" w:color="auto" w:fill="auto"/>
          </w:tcPr>
          <w:p w14:paraId="1373C0BF" w14:textId="5ED00762" w:rsidR="009A755E" w:rsidRPr="005C29F8"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5C29F8" w:rsidRDefault="009A755E">
            <w:pPr>
              <w:jc w:val="center"/>
              <w:rPr>
                <w:rFonts w:cs="Arial"/>
                <w:noProof/>
                <w:color w:val="000000" w:themeColor="text1"/>
                <w:szCs w:val="16"/>
              </w:rPr>
            </w:pPr>
          </w:p>
        </w:tc>
        <w:tc>
          <w:tcPr>
            <w:tcW w:w="1317" w:type="pct"/>
            <w:shd w:val="clear" w:color="auto" w:fill="auto"/>
          </w:tcPr>
          <w:p w14:paraId="1914F665" w14:textId="53788CBE" w:rsidR="009A755E" w:rsidRPr="005C29F8" w:rsidRDefault="009A755E">
            <w:pPr>
              <w:jc w:val="center"/>
              <w:rPr>
                <w:rFonts w:cs="Arial"/>
                <w:noProof/>
                <w:color w:val="000000" w:themeColor="text1"/>
                <w:szCs w:val="16"/>
              </w:rPr>
            </w:pPr>
          </w:p>
        </w:tc>
        <w:tc>
          <w:tcPr>
            <w:tcW w:w="1234" w:type="pct"/>
            <w:shd w:val="clear" w:color="auto" w:fill="auto"/>
          </w:tcPr>
          <w:p w14:paraId="543D4553" w14:textId="411E0F5D" w:rsidR="009A755E" w:rsidRPr="005C29F8" w:rsidRDefault="009A755E">
            <w:pPr>
              <w:jc w:val="center"/>
              <w:rPr>
                <w:rFonts w:cs="Arial"/>
                <w:noProof/>
                <w:color w:val="000000" w:themeColor="text1"/>
                <w:szCs w:val="16"/>
              </w:rPr>
            </w:pPr>
          </w:p>
        </w:tc>
      </w:tr>
      <w:tr w:rsidR="005C29F8" w:rsidRPr="005C29F8" w14:paraId="1816F3D1" w14:textId="77777777" w:rsidTr="003968A6">
        <w:tc>
          <w:tcPr>
            <w:tcW w:w="988" w:type="pct"/>
            <w:shd w:val="clear" w:color="auto" w:fill="auto"/>
          </w:tcPr>
          <w:p w14:paraId="1177FA9A" w14:textId="73A2A90B" w:rsidR="009A755E" w:rsidRPr="005C29F8"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5C29F8" w:rsidRDefault="009A755E">
            <w:pPr>
              <w:jc w:val="center"/>
              <w:rPr>
                <w:rFonts w:cs="Arial"/>
                <w:noProof/>
                <w:color w:val="000000" w:themeColor="text1"/>
                <w:szCs w:val="16"/>
              </w:rPr>
            </w:pPr>
          </w:p>
        </w:tc>
        <w:tc>
          <w:tcPr>
            <w:tcW w:w="1317" w:type="pct"/>
            <w:shd w:val="clear" w:color="auto" w:fill="auto"/>
          </w:tcPr>
          <w:p w14:paraId="1709DA4E" w14:textId="03D6E40F" w:rsidR="009A755E" w:rsidRPr="005C29F8" w:rsidRDefault="009A755E">
            <w:pPr>
              <w:jc w:val="center"/>
              <w:rPr>
                <w:rFonts w:cs="Arial"/>
                <w:noProof/>
                <w:color w:val="000000" w:themeColor="text1"/>
                <w:szCs w:val="16"/>
              </w:rPr>
            </w:pPr>
          </w:p>
        </w:tc>
        <w:tc>
          <w:tcPr>
            <w:tcW w:w="1234" w:type="pct"/>
            <w:shd w:val="clear" w:color="auto" w:fill="auto"/>
          </w:tcPr>
          <w:p w14:paraId="7008AE63" w14:textId="0E87CC18" w:rsidR="009A755E" w:rsidRPr="005C29F8" w:rsidRDefault="009A755E">
            <w:pPr>
              <w:jc w:val="center"/>
              <w:rPr>
                <w:rFonts w:cs="Arial"/>
                <w:noProof/>
                <w:color w:val="000000" w:themeColor="text1"/>
                <w:szCs w:val="16"/>
              </w:rPr>
            </w:pPr>
          </w:p>
        </w:tc>
      </w:tr>
      <w:tr w:rsidR="005C29F8" w:rsidRPr="005C29F8" w14:paraId="6B4A8AF5" w14:textId="77777777" w:rsidTr="003968A6">
        <w:tc>
          <w:tcPr>
            <w:tcW w:w="988" w:type="pct"/>
            <w:shd w:val="clear" w:color="auto" w:fill="auto"/>
          </w:tcPr>
          <w:p w14:paraId="43946979" w14:textId="506054A6" w:rsidR="009A755E" w:rsidRPr="005C29F8"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5C29F8" w:rsidRDefault="009A755E">
            <w:pPr>
              <w:jc w:val="center"/>
              <w:rPr>
                <w:rFonts w:cs="Arial"/>
                <w:noProof/>
                <w:color w:val="000000" w:themeColor="text1"/>
                <w:szCs w:val="16"/>
              </w:rPr>
            </w:pPr>
          </w:p>
        </w:tc>
        <w:tc>
          <w:tcPr>
            <w:tcW w:w="1317" w:type="pct"/>
            <w:shd w:val="clear" w:color="auto" w:fill="auto"/>
          </w:tcPr>
          <w:p w14:paraId="083E1253" w14:textId="465F1687" w:rsidR="009A755E" w:rsidRPr="005C29F8" w:rsidRDefault="009A755E">
            <w:pPr>
              <w:jc w:val="center"/>
              <w:rPr>
                <w:rFonts w:cs="Arial"/>
                <w:noProof/>
                <w:color w:val="000000" w:themeColor="text1"/>
                <w:szCs w:val="16"/>
              </w:rPr>
            </w:pPr>
          </w:p>
        </w:tc>
        <w:tc>
          <w:tcPr>
            <w:tcW w:w="1234" w:type="pct"/>
            <w:shd w:val="clear" w:color="auto" w:fill="auto"/>
          </w:tcPr>
          <w:p w14:paraId="5051C049" w14:textId="54F55515" w:rsidR="009A755E" w:rsidRPr="005C29F8" w:rsidRDefault="009A755E">
            <w:pPr>
              <w:jc w:val="center"/>
              <w:rPr>
                <w:rFonts w:cs="Arial"/>
                <w:noProof/>
                <w:color w:val="000000" w:themeColor="text1"/>
                <w:szCs w:val="16"/>
              </w:rPr>
            </w:pPr>
          </w:p>
        </w:tc>
      </w:tr>
    </w:tbl>
    <w:p w14:paraId="6AA9F004" w14:textId="407DFBC2" w:rsidR="004E2151" w:rsidRPr="0033429D" w:rsidRDefault="00C22B92" w:rsidP="00123D76">
      <w:pPr>
        <w:pStyle w:val="Heading2"/>
      </w:pPr>
      <w:r w:rsidRPr="0033429D">
        <w:t>11</w:t>
      </w:r>
      <w:r w:rsidR="004838A4" w:rsidRPr="0033429D">
        <w:t xml:space="preserve"> </w:t>
      </w:r>
      <w:r w:rsidRPr="0033429D">
        <w:t xml:space="preserve">- </w:t>
      </w:r>
      <w:r w:rsidR="004E2151" w:rsidRPr="0033429D">
        <w:t>Prior FFY Required Actions</w:t>
      </w:r>
    </w:p>
    <w:p w14:paraId="1469B26E" w14:textId="5BCE6CA0" w:rsidR="004E2151" w:rsidRPr="005C29F8" w:rsidRDefault="002B7490" w:rsidP="004E2151">
      <w:pPr>
        <w:rPr>
          <w:rFonts w:cs="Arial"/>
          <w:color w:val="000000" w:themeColor="text1"/>
          <w:szCs w:val="16"/>
        </w:rPr>
      </w:pPr>
      <w:r w:rsidRPr="005C29F8">
        <w:rPr>
          <w:rFonts w:cs="Arial"/>
          <w:color w:val="000000" w:themeColor="text1"/>
          <w:szCs w:val="16"/>
        </w:rPr>
        <w:t>None</w:t>
      </w:r>
    </w:p>
    <w:p w14:paraId="314020BE" w14:textId="77777777" w:rsidR="009F69E7" w:rsidRPr="005C29F8" w:rsidRDefault="009F69E7" w:rsidP="004E2151">
      <w:pPr>
        <w:rPr>
          <w:rFonts w:cs="Arial"/>
          <w:color w:val="000000" w:themeColor="text1"/>
          <w:szCs w:val="16"/>
        </w:rPr>
      </w:pPr>
    </w:p>
    <w:p w14:paraId="1D3AFFE6" w14:textId="5250F151" w:rsidR="007F5071" w:rsidRPr="0033429D" w:rsidRDefault="00C22B92" w:rsidP="00123D76">
      <w:pPr>
        <w:pStyle w:val="Heading2"/>
      </w:pPr>
      <w:r w:rsidRPr="0033429D">
        <w:t>11 - OSEP Response</w:t>
      </w:r>
    </w:p>
    <w:p w14:paraId="2479DA6D" w14:textId="3DE51C13" w:rsidR="00326C0B" w:rsidRPr="005C29F8" w:rsidRDefault="00326C0B" w:rsidP="00212954">
      <w:pPr>
        <w:rPr>
          <w:rFonts w:cs="Arial"/>
          <w:color w:val="000000" w:themeColor="text1"/>
          <w:szCs w:val="16"/>
        </w:rPr>
      </w:pPr>
    </w:p>
    <w:p w14:paraId="140652C1" w14:textId="064683E6" w:rsidR="007F5071" w:rsidRPr="0033429D" w:rsidRDefault="00C22B92" w:rsidP="00123D76">
      <w:pPr>
        <w:pStyle w:val="Heading2"/>
      </w:pPr>
      <w:r w:rsidRPr="0033429D">
        <w:t>11 - Required Actions</w:t>
      </w:r>
    </w:p>
    <w:p w14:paraId="542023B0" w14:textId="425F5FF5" w:rsidR="00326C0B" w:rsidRPr="005C29F8" w:rsidRDefault="002B7490" w:rsidP="00212954">
      <w:pPr>
        <w:rPr>
          <w:rFonts w:cs="Arial"/>
          <w:color w:val="000000" w:themeColor="text1"/>
          <w:szCs w:val="16"/>
        </w:rPr>
      </w:pPr>
      <w:r w:rsidRPr="005C29F8">
        <w:rPr>
          <w:rFonts w:cs="Arial"/>
          <w:color w:val="000000" w:themeColor="text1"/>
          <w:szCs w:val="16"/>
        </w:rPr>
        <w:t>Because the Commonwealth of the Northern Mariana reported less than 100% compliance for FFY 2019, the Commonwealth of the Northern Mariana must report on the status of correction of noncompliance identified in FFY 2019 for this indicator. When reporting on the correction of noncompliance, the Commonwealth of the Northern Mariana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Commonwealth of the Northern Mariana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Commonwealth of the Northern Mariana did not identify any findings of noncompliance in FFY 2019, although its FFY 2019 data reflect less than 100% compliance, provide an explanation of why the Commonwealth of the Northern Mariana did not identify any findings of noncompliance in FFY 2019.</w:t>
      </w:r>
    </w:p>
    <w:p w14:paraId="529C4C74"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5C7C90D" w14:textId="1ACF121A" w:rsidR="00D03701" w:rsidRPr="005C29F8" w:rsidRDefault="00D03701" w:rsidP="000444E2">
      <w:pPr>
        <w:pStyle w:val="Heading1"/>
        <w:rPr>
          <w:color w:val="000000" w:themeColor="text1"/>
          <w:sz w:val="22"/>
        </w:rPr>
      </w:pPr>
      <w:r w:rsidRPr="005C29F8">
        <w:rPr>
          <w:color w:val="000000" w:themeColor="text1"/>
          <w:sz w:val="22"/>
        </w:rPr>
        <w:lastRenderedPageBreak/>
        <w:t>Indicator 12: Early Childhood Transition</w:t>
      </w:r>
      <w:bookmarkEnd w:id="48"/>
      <w:bookmarkEnd w:id="49"/>
      <w:bookmarkEnd w:id="50"/>
    </w:p>
    <w:p w14:paraId="435B75C0" w14:textId="77777777" w:rsidR="00652135" w:rsidRPr="005C29F8" w:rsidRDefault="00652135" w:rsidP="00A018D4">
      <w:pPr>
        <w:rPr>
          <w:color w:val="000000" w:themeColor="text1"/>
          <w:szCs w:val="20"/>
        </w:rPr>
      </w:pPr>
      <w:r w:rsidRPr="005C29F8">
        <w:rPr>
          <w:b/>
          <w:color w:val="000000" w:themeColor="text1"/>
          <w:sz w:val="20"/>
          <w:szCs w:val="20"/>
        </w:rPr>
        <w:t>Instructions and Measurement</w:t>
      </w:r>
    </w:p>
    <w:p w14:paraId="6C78EC4F" w14:textId="77777777" w:rsidR="001F3A65" w:rsidRPr="005C29F8" w:rsidRDefault="001F3A65" w:rsidP="009447A3">
      <w:pPr>
        <w:rPr>
          <w:rFonts w:cs="Arial"/>
          <w:color w:val="000000" w:themeColor="text1"/>
          <w:szCs w:val="16"/>
        </w:rPr>
      </w:pPr>
      <w:bookmarkStart w:id="51" w:name="_Toc384383358"/>
      <w:bookmarkStart w:id="52" w:name="_Toc392159326"/>
      <w:r w:rsidRPr="005C29F8">
        <w:rPr>
          <w:rFonts w:cs="Arial"/>
          <w:b/>
          <w:color w:val="000000" w:themeColor="text1"/>
          <w:szCs w:val="16"/>
        </w:rPr>
        <w:t>Monitoring Priorit</w:t>
      </w:r>
      <w:r w:rsidRPr="005C29F8">
        <w:rPr>
          <w:rFonts w:cs="Arial"/>
          <w:color w:val="000000" w:themeColor="text1"/>
          <w:szCs w:val="16"/>
        </w:rPr>
        <w:t>y: Effective General Supervision Part B / Effective Transition</w:t>
      </w:r>
    </w:p>
    <w:p w14:paraId="5BB6E6C8" w14:textId="77777777" w:rsidR="00704E6A"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5C29F8" w:rsidRDefault="001F3A65" w:rsidP="009447A3">
      <w:pPr>
        <w:rPr>
          <w:rFonts w:cs="Arial"/>
          <w:color w:val="000000" w:themeColor="text1"/>
          <w:szCs w:val="16"/>
        </w:rPr>
      </w:pPr>
      <w:r w:rsidRPr="005C29F8">
        <w:rPr>
          <w:rFonts w:cs="Arial"/>
          <w:color w:val="000000" w:themeColor="text1"/>
          <w:szCs w:val="16"/>
        </w:rPr>
        <w:t>(20 U.S.C. 1416(a)(3)(B))</w:t>
      </w:r>
    </w:p>
    <w:p w14:paraId="10C4B518" w14:textId="77777777" w:rsidR="00704E6A" w:rsidRPr="005C29F8" w:rsidRDefault="00704E6A" w:rsidP="004369B2">
      <w:pPr>
        <w:rPr>
          <w:color w:val="000000" w:themeColor="text1"/>
        </w:rPr>
      </w:pPr>
      <w:r w:rsidRPr="005C29F8">
        <w:rPr>
          <w:b/>
          <w:color w:val="000000" w:themeColor="text1"/>
        </w:rPr>
        <w:t>Data Source</w:t>
      </w:r>
    </w:p>
    <w:p w14:paraId="65642578" w14:textId="09D10273" w:rsidR="00704E6A" w:rsidRPr="005C29F8" w:rsidRDefault="00704E6A"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DFE5EEF" w14:textId="77777777" w:rsidR="00704E6A" w:rsidRPr="005C29F8" w:rsidRDefault="00704E6A" w:rsidP="004369B2">
      <w:pPr>
        <w:rPr>
          <w:color w:val="000000" w:themeColor="text1"/>
        </w:rPr>
      </w:pPr>
      <w:r w:rsidRPr="005C29F8">
        <w:rPr>
          <w:b/>
          <w:color w:val="000000" w:themeColor="text1"/>
        </w:rPr>
        <w:t>Measurement</w:t>
      </w:r>
    </w:p>
    <w:p w14:paraId="577779AD" w14:textId="51863F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c. # of those found eligible who have an IEP developed and implemented by their third birthdays.</w:t>
      </w:r>
    </w:p>
    <w:p w14:paraId="43DE876C" w14:textId="58ABBAA9"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5C29F8">
        <w:rPr>
          <w:rFonts w:eastAsia="Times New Roman" w:cs="Arial"/>
          <w:color w:val="000000" w:themeColor="text1"/>
          <w:szCs w:val="16"/>
        </w:rPr>
        <w:tab/>
      </w:r>
      <w:r w:rsidR="00704E6A" w:rsidRPr="005C29F8">
        <w:rPr>
          <w:rFonts w:eastAsia="Times New Roman" w:cs="Arial"/>
          <w:color w:val="000000" w:themeColor="text1"/>
          <w:szCs w:val="16"/>
        </w:rPr>
        <w:t>§300.301(d) applied.</w:t>
      </w:r>
    </w:p>
    <w:p w14:paraId="4AFE260E" w14:textId="6A26A1CE" w:rsidR="00704E6A" w:rsidRPr="005C29F8" w:rsidRDefault="00A90E71" w:rsidP="006A01BD">
      <w:pPr>
        <w:spacing w:before="0" w:after="0"/>
        <w:rPr>
          <w:rFonts w:eastAsia="Times New Roman" w:cs="Arial"/>
          <w:color w:val="000000" w:themeColor="text1"/>
          <w:szCs w:val="16"/>
        </w:rPr>
      </w:pPr>
      <w:r w:rsidRPr="005C29F8">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5C29F8" w:rsidRDefault="00A90E71" w:rsidP="00A90E71">
      <w:pPr>
        <w:spacing w:before="0" w:after="0"/>
        <w:rPr>
          <w:rFonts w:eastAsia="Times New Roman" w:cs="Arial"/>
          <w:color w:val="000000" w:themeColor="text1"/>
          <w:szCs w:val="16"/>
        </w:rPr>
      </w:pPr>
      <w:r w:rsidRPr="005C29F8">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5C29F8">
        <w:rPr>
          <w:rFonts w:eastAsia="Times New Roman" w:cs="Arial"/>
          <w:color w:val="000000" w:themeColor="text1"/>
          <w:szCs w:val="16"/>
        </w:rPr>
        <w:tab/>
      </w:r>
      <w:r w:rsidR="00704E6A" w:rsidRPr="005C29F8">
        <w:rPr>
          <w:rFonts w:eastAsia="Times New Roman" w:cs="Arial"/>
          <w:color w:val="000000" w:themeColor="text1"/>
          <w:szCs w:val="16"/>
        </w:rPr>
        <w:t>CFR §303.211 or a similar State option.</w:t>
      </w:r>
    </w:p>
    <w:p w14:paraId="13DB13F0" w14:textId="77777777" w:rsidR="00A90E71" w:rsidRPr="005C29F8" w:rsidRDefault="00A90E71" w:rsidP="006A01BD">
      <w:pPr>
        <w:spacing w:before="0" w:after="0"/>
        <w:rPr>
          <w:rFonts w:eastAsia="Times New Roman" w:cs="Arial"/>
          <w:color w:val="000000" w:themeColor="text1"/>
          <w:szCs w:val="16"/>
        </w:rPr>
      </w:pPr>
    </w:p>
    <w:p w14:paraId="07549C8E" w14:textId="77777777" w:rsidR="00704E6A" w:rsidRPr="005C29F8" w:rsidRDefault="00704E6A" w:rsidP="006A01BD">
      <w:pPr>
        <w:spacing w:before="0" w:after="210"/>
        <w:rPr>
          <w:rFonts w:eastAsia="Times New Roman" w:cs="Arial"/>
          <w:color w:val="000000" w:themeColor="text1"/>
          <w:szCs w:val="16"/>
        </w:rPr>
      </w:pPr>
      <w:r w:rsidRPr="005C29F8">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5C29F8" w:rsidRDefault="00704E6A" w:rsidP="009447A3">
      <w:pPr>
        <w:spacing w:before="0" w:after="210"/>
        <w:rPr>
          <w:rFonts w:eastAsia="Times New Roman" w:cs="Arial"/>
          <w:color w:val="000000" w:themeColor="text1"/>
          <w:szCs w:val="16"/>
        </w:rPr>
      </w:pPr>
      <w:r w:rsidRPr="005C29F8">
        <w:rPr>
          <w:rFonts w:eastAsia="Times New Roman" w:cs="Arial"/>
          <w:color w:val="000000" w:themeColor="text1"/>
          <w:szCs w:val="16"/>
        </w:rPr>
        <w:t>Percent = [(c) divided by (a - b - d - e - f)] times 100.</w:t>
      </w:r>
    </w:p>
    <w:p w14:paraId="568E2452" w14:textId="77777777" w:rsidR="00704E6A" w:rsidRPr="005C29F8" w:rsidRDefault="00704E6A" w:rsidP="004369B2">
      <w:pPr>
        <w:rPr>
          <w:color w:val="000000" w:themeColor="text1"/>
        </w:rPr>
      </w:pPr>
      <w:r w:rsidRPr="005C29F8">
        <w:rPr>
          <w:b/>
          <w:color w:val="000000" w:themeColor="text1"/>
        </w:rPr>
        <w:t>Instructions</w:t>
      </w:r>
    </w:p>
    <w:p w14:paraId="26144B56" w14:textId="77777777" w:rsidR="00704E6A" w:rsidRPr="005C29F8" w:rsidRDefault="00704E6A"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5C29F8" w:rsidRDefault="00704E6A"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B4708FE" w14:textId="1FCE0034" w:rsidR="00704E6A" w:rsidRPr="005C29F8" w:rsidRDefault="00BA70F9" w:rsidP="00286BDF">
      <w:pPr>
        <w:rPr>
          <w:rFonts w:cs="Arial"/>
          <w:color w:val="000000" w:themeColor="text1"/>
          <w:szCs w:val="16"/>
        </w:rPr>
      </w:pPr>
      <w:r w:rsidRPr="005C29F8">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0F30C753" w14:textId="77777777" w:rsidR="00704E6A" w:rsidRPr="005C29F8" w:rsidRDefault="00704E6A" w:rsidP="00286BDF">
      <w:pPr>
        <w:rPr>
          <w:rFonts w:cs="Arial"/>
          <w:color w:val="000000" w:themeColor="text1"/>
          <w:szCs w:val="16"/>
        </w:rPr>
      </w:pPr>
      <w:r w:rsidRPr="005C29F8">
        <w:rPr>
          <w:rFonts w:cs="Arial"/>
          <w:color w:val="000000" w:themeColor="text1"/>
          <w:szCs w:val="16"/>
        </w:rPr>
        <w:t>Targets must be 100%.</w:t>
      </w:r>
    </w:p>
    <w:p w14:paraId="5D5B86D4" w14:textId="77777777" w:rsidR="00704E6A" w:rsidRPr="005C29F8" w:rsidRDefault="00704E6A"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560B2DD6" w:rsidR="00704E6A"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9824C1D" w14:textId="3C301685" w:rsidR="00FE7D29" w:rsidRPr="0033429D" w:rsidRDefault="00056350" w:rsidP="00123D76">
      <w:pPr>
        <w:pStyle w:val="Heading2"/>
      </w:pPr>
      <w:bookmarkStart w:id="53" w:name="_Toc384383359"/>
      <w:bookmarkStart w:id="54" w:name="_Toc392159327"/>
      <w:bookmarkEnd w:id="51"/>
      <w:bookmarkEnd w:id="52"/>
      <w:r w:rsidRPr="0033429D">
        <w:t>12</w:t>
      </w:r>
      <w:r w:rsidR="004838A4" w:rsidRPr="0033429D">
        <w:t xml:space="preserve"> </w:t>
      </w:r>
      <w:r w:rsidRPr="0033429D">
        <w:t xml:space="preserve">- </w:t>
      </w:r>
      <w:r w:rsidR="00211617" w:rsidRPr="0033429D">
        <w:t>Indicator Data</w:t>
      </w:r>
    </w:p>
    <w:p w14:paraId="0150EC4C" w14:textId="77777777" w:rsidR="0091098C" w:rsidRPr="005C29F8" w:rsidRDefault="0091098C" w:rsidP="004369B2">
      <w:pPr>
        <w:rPr>
          <w:color w:val="000000" w:themeColor="text1"/>
        </w:rPr>
      </w:pPr>
      <w:r w:rsidRPr="005C29F8">
        <w:rPr>
          <w:b/>
          <w:color w:val="000000" w:themeColor="text1"/>
        </w:rPr>
        <w:t>Not Applicable</w:t>
      </w:r>
    </w:p>
    <w:p w14:paraId="1844E5CA" w14:textId="6EC3A331" w:rsidR="00A5601C" w:rsidRPr="005C29F8" w:rsidRDefault="005D604C">
      <w:pPr>
        <w:rPr>
          <w:b/>
          <w:color w:val="000000" w:themeColor="text1"/>
        </w:rPr>
      </w:pPr>
      <w:r w:rsidRPr="005C29F8">
        <w:rPr>
          <w:b/>
          <w:color w:val="000000" w:themeColor="text1"/>
        </w:rPr>
        <w:t>Select yes if this indicator is not applicable.</w:t>
      </w:r>
    </w:p>
    <w:p w14:paraId="5B7EBB05" w14:textId="76B0BD88" w:rsidR="00043AC9" w:rsidRDefault="00043AC9" w:rsidP="004369B2">
      <w:pPr>
        <w:rPr>
          <w:rFonts w:cs="Arial"/>
          <w:color w:val="000000" w:themeColor="text1"/>
          <w:szCs w:val="16"/>
        </w:rPr>
      </w:pPr>
      <w:r w:rsidRPr="005C29F8">
        <w:rPr>
          <w:rFonts w:cs="Arial"/>
          <w:color w:val="000000" w:themeColor="text1"/>
          <w:szCs w:val="16"/>
        </w:rPr>
        <w:t>NO</w:t>
      </w:r>
    </w:p>
    <w:p w14:paraId="0D26312C" w14:textId="77777777" w:rsidR="00C50290" w:rsidRPr="005C29F8" w:rsidRDefault="00C50290" w:rsidP="004369B2">
      <w:pPr>
        <w:rPr>
          <w:color w:val="000000" w:themeColor="text1"/>
        </w:rPr>
      </w:pPr>
    </w:p>
    <w:p w14:paraId="71DDF5C0" w14:textId="3F9EB38B"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14:paraId="056D9953" w14:textId="77777777" w:rsidTr="00123D76">
        <w:trPr>
          <w:trHeight w:val="311"/>
          <w:tblHeader/>
        </w:trPr>
        <w:tc>
          <w:tcPr>
            <w:tcW w:w="1797" w:type="dxa"/>
          </w:tcPr>
          <w:p w14:paraId="3B806594" w14:textId="77777777" w:rsidR="001875AF" w:rsidRDefault="001875AF" w:rsidP="00123D76">
            <w:pPr>
              <w:jc w:val="center"/>
              <w:rPr>
                <w:b/>
                <w:color w:val="000000" w:themeColor="text1"/>
              </w:rPr>
            </w:pPr>
            <w:r w:rsidRPr="005C29F8">
              <w:rPr>
                <w:rFonts w:cs="Arial"/>
                <w:b/>
                <w:color w:val="000000" w:themeColor="text1"/>
                <w:szCs w:val="16"/>
              </w:rPr>
              <w:t>Baseline Year</w:t>
            </w:r>
          </w:p>
        </w:tc>
        <w:tc>
          <w:tcPr>
            <w:tcW w:w="1798" w:type="dxa"/>
          </w:tcPr>
          <w:p w14:paraId="47C5AC3E" w14:textId="77777777" w:rsidR="001875AF" w:rsidRDefault="001875AF" w:rsidP="00123D76">
            <w:pPr>
              <w:jc w:val="center"/>
              <w:rPr>
                <w:b/>
                <w:color w:val="000000" w:themeColor="text1"/>
              </w:rPr>
            </w:pPr>
            <w:r>
              <w:rPr>
                <w:b/>
                <w:color w:val="000000" w:themeColor="text1"/>
              </w:rPr>
              <w:t>Baseline Data</w:t>
            </w:r>
          </w:p>
        </w:tc>
      </w:tr>
      <w:tr w:rsidR="001875AF" w14:paraId="693B925B" w14:textId="77777777" w:rsidTr="00123D76">
        <w:trPr>
          <w:trHeight w:val="311"/>
        </w:trPr>
        <w:tc>
          <w:tcPr>
            <w:tcW w:w="1797" w:type="dxa"/>
            <w:vAlign w:val="center"/>
          </w:tcPr>
          <w:p w14:paraId="589FAD9D" w14:textId="6C47315C" w:rsidR="001875AF" w:rsidRPr="00227D4B" w:rsidRDefault="001875AF" w:rsidP="00123D76">
            <w:pPr>
              <w:jc w:val="center"/>
              <w:rPr>
                <w:bCs/>
                <w:color w:val="000000" w:themeColor="text1"/>
              </w:rPr>
            </w:pPr>
            <w:r w:rsidRPr="00227D4B">
              <w:rPr>
                <w:bCs/>
                <w:color w:val="000000" w:themeColor="text1"/>
              </w:rPr>
              <w:t>2005</w:t>
            </w:r>
          </w:p>
        </w:tc>
        <w:tc>
          <w:tcPr>
            <w:tcW w:w="1798" w:type="dxa"/>
            <w:vAlign w:val="center"/>
          </w:tcPr>
          <w:p w14:paraId="00D43D2D" w14:textId="0C3ED28A" w:rsidR="001875AF" w:rsidRPr="00227D4B" w:rsidRDefault="001875AF" w:rsidP="00123D76">
            <w:pPr>
              <w:jc w:val="center"/>
              <w:rPr>
                <w:bCs/>
                <w:color w:val="000000" w:themeColor="text1"/>
              </w:rPr>
            </w:pPr>
            <w:r w:rsidRPr="00227D4B">
              <w:rPr>
                <w:bCs/>
                <w:color w:val="000000" w:themeColor="text1"/>
              </w:rPr>
              <w:t>96.00%</w:t>
            </w:r>
          </w:p>
        </w:tc>
      </w:tr>
    </w:tbl>
    <w:p w14:paraId="465AB33D" w14:textId="77777777" w:rsidR="001875AF" w:rsidRPr="005C29F8"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5C29F8" w14:paraId="641F8356" w14:textId="77777777" w:rsidTr="0033429D">
        <w:trPr>
          <w:trHeight w:val="350"/>
        </w:trPr>
        <w:tc>
          <w:tcPr>
            <w:tcW w:w="833" w:type="pct"/>
            <w:tcBorders>
              <w:bottom w:val="single" w:sz="4" w:space="0" w:color="auto"/>
            </w:tcBorders>
            <w:shd w:val="clear" w:color="auto" w:fill="auto"/>
          </w:tcPr>
          <w:bookmarkEnd w:id="53"/>
          <w:bookmarkEnd w:id="54"/>
          <w:p w14:paraId="5D9A28F2"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E21A227" w14:textId="61889525"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6B56B4FE" w14:textId="34D3DC5E"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786A53CE" w14:textId="3A94FF3D"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221DF675" w14:textId="00A1F14E"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72849A47" w14:textId="21327CD6"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1A3B7AC8" w14:textId="77777777" w:rsidTr="0033429D">
        <w:trPr>
          <w:trHeight w:val="357"/>
        </w:trPr>
        <w:tc>
          <w:tcPr>
            <w:tcW w:w="833" w:type="pct"/>
            <w:shd w:val="clear" w:color="auto" w:fill="auto"/>
          </w:tcPr>
          <w:p w14:paraId="27FE69AA" w14:textId="697900D5" w:rsidR="009447A3" w:rsidRPr="005C29F8" w:rsidRDefault="009447A3" w:rsidP="008E31C4">
            <w:pPr>
              <w:rPr>
                <w:rFonts w:cs="Arial"/>
                <w:color w:val="000000" w:themeColor="text1"/>
                <w:szCs w:val="16"/>
              </w:rPr>
            </w:pPr>
            <w:r w:rsidRPr="005C29F8">
              <w:rPr>
                <w:rFonts w:cs="Arial"/>
                <w:color w:val="000000" w:themeColor="text1"/>
                <w:szCs w:val="16"/>
              </w:rPr>
              <w:t>Target</w:t>
            </w:r>
          </w:p>
        </w:tc>
        <w:tc>
          <w:tcPr>
            <w:tcW w:w="833" w:type="pct"/>
            <w:shd w:val="clear" w:color="auto" w:fill="auto"/>
          </w:tcPr>
          <w:p w14:paraId="6628560E" w14:textId="0BC4570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47A32E0" w14:textId="064AD14E"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EFE8268" w14:textId="7F4C4E30"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14DDB11E" w14:textId="2D6071C3"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17E07D81" w14:textId="67F91616" w:rsidR="009447A3" w:rsidRPr="005C29F8" w:rsidRDefault="00B16A26" w:rsidP="003A4027">
            <w:pPr>
              <w:jc w:val="center"/>
              <w:rPr>
                <w:rFonts w:cs="Arial"/>
                <w:color w:val="000000" w:themeColor="text1"/>
                <w:szCs w:val="16"/>
              </w:rPr>
            </w:pPr>
            <w:r w:rsidRPr="005C29F8">
              <w:rPr>
                <w:rFonts w:cs="Arial"/>
                <w:color w:val="000000" w:themeColor="text1"/>
                <w:szCs w:val="16"/>
              </w:rPr>
              <w:t>100%</w:t>
            </w:r>
          </w:p>
        </w:tc>
      </w:tr>
      <w:tr w:rsidR="005C29F8" w:rsidRPr="005C29F8" w14:paraId="6BA24638" w14:textId="77777777" w:rsidTr="0033429D">
        <w:trPr>
          <w:trHeight w:val="85"/>
        </w:trPr>
        <w:tc>
          <w:tcPr>
            <w:tcW w:w="833" w:type="pct"/>
            <w:shd w:val="clear" w:color="auto" w:fill="auto"/>
          </w:tcPr>
          <w:p w14:paraId="76E217FB"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ABEE368" w14:textId="7DA2F686" w:rsidR="009447A3" w:rsidRPr="005C29F8" w:rsidRDefault="002B7490" w:rsidP="003A4027">
            <w:pPr>
              <w:jc w:val="center"/>
              <w:rPr>
                <w:rFonts w:cs="Arial"/>
                <w:color w:val="000000" w:themeColor="text1"/>
                <w:szCs w:val="16"/>
              </w:rPr>
            </w:pPr>
            <w:r w:rsidRPr="005C29F8">
              <w:rPr>
                <w:rFonts w:cs="Arial"/>
                <w:color w:val="000000" w:themeColor="text1"/>
                <w:szCs w:val="16"/>
              </w:rPr>
              <w:t>96.30%</w:t>
            </w:r>
          </w:p>
        </w:tc>
        <w:tc>
          <w:tcPr>
            <w:tcW w:w="833" w:type="pct"/>
            <w:shd w:val="clear" w:color="auto" w:fill="auto"/>
          </w:tcPr>
          <w:p w14:paraId="6826E3EC" w14:textId="5DEFD785"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3702B817" w14:textId="1114F76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7E5D1EA5" w14:textId="75D6241E"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56DAD68" w14:textId="7FC0436F" w:rsidR="009447A3" w:rsidRPr="005C29F8" w:rsidRDefault="002B7490" w:rsidP="003A4027">
            <w:pPr>
              <w:jc w:val="center"/>
              <w:rPr>
                <w:rFonts w:cs="Arial"/>
                <w:color w:val="000000" w:themeColor="text1"/>
                <w:szCs w:val="16"/>
              </w:rPr>
            </w:pPr>
            <w:r w:rsidRPr="005C29F8">
              <w:rPr>
                <w:rFonts w:cs="Arial"/>
                <w:color w:val="000000" w:themeColor="text1"/>
                <w:szCs w:val="16"/>
              </w:rPr>
              <w:t>100.00%</w:t>
            </w:r>
          </w:p>
        </w:tc>
      </w:tr>
    </w:tbl>
    <w:p w14:paraId="3BDF8559" w14:textId="77777777" w:rsidR="00D82883" w:rsidRPr="005C29F8" w:rsidRDefault="00D82883" w:rsidP="004369B2">
      <w:pPr>
        <w:rPr>
          <w:color w:val="000000" w:themeColor="text1"/>
        </w:rPr>
      </w:pPr>
    </w:p>
    <w:p w14:paraId="32D6DA70" w14:textId="38C36AA8"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2465"/>
      </w:tblGrid>
      <w:tr w:rsidR="00441578" w:rsidRPr="005C29F8" w14:paraId="41D3AE7A" w14:textId="77777777" w:rsidTr="0033429D">
        <w:trPr>
          <w:trHeight w:val="350"/>
        </w:trPr>
        <w:tc>
          <w:tcPr>
            <w:tcW w:w="1079" w:type="pct"/>
            <w:tcBorders>
              <w:bottom w:val="single" w:sz="4" w:space="0" w:color="auto"/>
            </w:tcBorders>
            <w:shd w:val="clear" w:color="auto" w:fill="auto"/>
          </w:tcPr>
          <w:p w14:paraId="7786D02D"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tcPr>
          <w:p w14:paraId="09ED5838"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B267817" w14:textId="77777777" w:rsidTr="00441578">
        <w:trPr>
          <w:trHeight w:val="357"/>
        </w:trPr>
        <w:tc>
          <w:tcPr>
            <w:tcW w:w="1079" w:type="pct"/>
            <w:shd w:val="clear" w:color="auto" w:fill="auto"/>
            <w:vAlign w:val="center"/>
          </w:tcPr>
          <w:p w14:paraId="70D956A8"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5CDE7127" w14:textId="59D1386F"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1AD7361B" w14:textId="77777777" w:rsidR="00D82883" w:rsidRPr="005C29F8" w:rsidRDefault="00D82883" w:rsidP="004369B2">
      <w:pPr>
        <w:rPr>
          <w:color w:val="000000" w:themeColor="text1"/>
        </w:rPr>
      </w:pPr>
    </w:p>
    <w:p w14:paraId="4C8DD49F" w14:textId="05EA45B6" w:rsidR="00634AD8" w:rsidRPr="005C29F8" w:rsidRDefault="00EC46E4" w:rsidP="004369B2">
      <w:pPr>
        <w:rPr>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5C29F8" w14:paraId="5DD64811" w14:textId="77777777" w:rsidTr="009D3860">
        <w:trPr>
          <w:trHeight w:val="350"/>
        </w:trPr>
        <w:tc>
          <w:tcPr>
            <w:tcW w:w="4335" w:type="pct"/>
          </w:tcPr>
          <w:p w14:paraId="7822AF5A"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5C29F8" w:rsidRDefault="002B7490" w:rsidP="00A018D4">
            <w:pPr>
              <w:jc w:val="center"/>
              <w:rPr>
                <w:rFonts w:cs="Arial"/>
                <w:color w:val="000000" w:themeColor="text1"/>
                <w:szCs w:val="16"/>
              </w:rPr>
            </w:pPr>
            <w:r w:rsidRPr="005C29F8">
              <w:rPr>
                <w:rFonts w:cs="Arial"/>
                <w:color w:val="000000" w:themeColor="text1"/>
                <w:szCs w:val="16"/>
              </w:rPr>
              <w:t>43</w:t>
            </w:r>
          </w:p>
        </w:tc>
      </w:tr>
      <w:tr w:rsidR="005C29F8" w:rsidRPr="005C29F8" w14:paraId="6497A162" w14:textId="77777777" w:rsidTr="009D3860">
        <w:trPr>
          <w:trHeight w:val="357"/>
        </w:trPr>
        <w:tc>
          <w:tcPr>
            <w:tcW w:w="4335" w:type="pct"/>
          </w:tcPr>
          <w:p w14:paraId="00979D87"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5C29F8" w:rsidRDefault="002B7490" w:rsidP="00A018D4">
            <w:pPr>
              <w:jc w:val="center"/>
              <w:rPr>
                <w:rFonts w:cs="Arial"/>
                <w:color w:val="000000" w:themeColor="text1"/>
                <w:szCs w:val="16"/>
              </w:rPr>
            </w:pPr>
            <w:r w:rsidRPr="005C29F8">
              <w:rPr>
                <w:rFonts w:cs="Arial"/>
                <w:color w:val="000000" w:themeColor="text1"/>
                <w:szCs w:val="16"/>
              </w:rPr>
              <w:t>8</w:t>
            </w:r>
          </w:p>
        </w:tc>
      </w:tr>
      <w:tr w:rsidR="005C29F8" w:rsidRPr="005C29F8" w14:paraId="3372C19D" w14:textId="77777777" w:rsidTr="009D3860">
        <w:trPr>
          <w:trHeight w:val="357"/>
        </w:trPr>
        <w:tc>
          <w:tcPr>
            <w:tcW w:w="4335" w:type="pct"/>
          </w:tcPr>
          <w:p w14:paraId="2817071E" w14:textId="77777777" w:rsidR="00634AD8" w:rsidRPr="005C29F8" w:rsidRDefault="00634AD8" w:rsidP="003E65F5">
            <w:pPr>
              <w:rPr>
                <w:rFonts w:cs="Arial"/>
                <w:color w:val="000000" w:themeColor="text1"/>
                <w:szCs w:val="16"/>
              </w:rPr>
            </w:pPr>
            <w:r w:rsidRPr="005C29F8">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5C29F8" w:rsidRDefault="002B7490" w:rsidP="00A018D4">
            <w:pPr>
              <w:jc w:val="center"/>
              <w:rPr>
                <w:rFonts w:cs="Arial"/>
                <w:color w:val="000000" w:themeColor="text1"/>
                <w:szCs w:val="16"/>
              </w:rPr>
            </w:pPr>
            <w:r w:rsidRPr="005C29F8">
              <w:rPr>
                <w:rFonts w:cs="Arial"/>
                <w:color w:val="000000" w:themeColor="text1"/>
                <w:szCs w:val="16"/>
              </w:rPr>
              <w:t>30</w:t>
            </w:r>
          </w:p>
        </w:tc>
      </w:tr>
      <w:tr w:rsidR="005C29F8" w:rsidRPr="005C29F8" w14:paraId="00CE41C8" w14:textId="77777777" w:rsidTr="009D3860">
        <w:trPr>
          <w:trHeight w:val="357"/>
        </w:trPr>
        <w:tc>
          <w:tcPr>
            <w:tcW w:w="4335" w:type="pct"/>
          </w:tcPr>
          <w:p w14:paraId="547A75A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5C29F8" w:rsidRDefault="002B7490" w:rsidP="00A018D4">
            <w:pPr>
              <w:jc w:val="center"/>
              <w:rPr>
                <w:rFonts w:cs="Arial"/>
                <w:color w:val="000000" w:themeColor="text1"/>
                <w:szCs w:val="16"/>
              </w:rPr>
            </w:pPr>
            <w:r w:rsidRPr="005C29F8">
              <w:rPr>
                <w:rFonts w:cs="Arial"/>
                <w:color w:val="000000" w:themeColor="text1"/>
                <w:szCs w:val="16"/>
              </w:rPr>
              <w:t>5</w:t>
            </w:r>
          </w:p>
        </w:tc>
      </w:tr>
      <w:tr w:rsidR="005C29F8" w:rsidRPr="005C29F8" w14:paraId="47C8B30F" w14:textId="77777777" w:rsidTr="009D3860">
        <w:trPr>
          <w:trHeight w:val="357"/>
        </w:trPr>
        <w:tc>
          <w:tcPr>
            <w:tcW w:w="4335" w:type="pct"/>
          </w:tcPr>
          <w:p w14:paraId="03BE3AC0"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4E67B3" w:rsidRPr="005C29F8" w14:paraId="19297440" w14:textId="77777777" w:rsidTr="009D3860">
        <w:trPr>
          <w:trHeight w:val="357"/>
        </w:trPr>
        <w:tc>
          <w:tcPr>
            <w:tcW w:w="4335" w:type="pct"/>
          </w:tcPr>
          <w:p w14:paraId="592F3289" w14:textId="43CA733D" w:rsidR="004E67B3" w:rsidRPr="005C29F8" w:rsidRDefault="004E67B3" w:rsidP="003E65F5">
            <w:pPr>
              <w:rPr>
                <w:rFonts w:cs="Arial"/>
                <w:color w:val="000000" w:themeColor="text1"/>
                <w:szCs w:val="16"/>
              </w:rPr>
            </w:pPr>
            <w:r w:rsidRPr="005C29F8">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798A2079"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5C29F8" w14:paraId="666B6B4E" w14:textId="2C1DC9A0" w:rsidTr="00AB0D6A">
        <w:trPr>
          <w:trHeight w:val="340"/>
          <w:tblHeader/>
        </w:trPr>
        <w:tc>
          <w:tcPr>
            <w:tcW w:w="831" w:type="pct"/>
            <w:shd w:val="clear" w:color="auto" w:fill="auto"/>
          </w:tcPr>
          <w:p w14:paraId="5A0321EA" w14:textId="34C57852" w:rsidR="00704E6A" w:rsidRPr="0033429D" w:rsidRDefault="00694A39" w:rsidP="009447A3">
            <w:pPr>
              <w:rPr>
                <w:rFonts w:cs="Arial"/>
                <w:b/>
                <w:bCs/>
                <w:color w:val="000000" w:themeColor="text1"/>
                <w:szCs w:val="16"/>
              </w:rPr>
            </w:pPr>
            <w:r w:rsidRPr="0033429D">
              <w:rPr>
                <w:rFonts w:cs="Arial"/>
                <w:b/>
                <w:bCs/>
                <w:color w:val="000000" w:themeColor="text1"/>
                <w:szCs w:val="16"/>
              </w:rPr>
              <w:t>Measure</w:t>
            </w:r>
          </w:p>
        </w:tc>
        <w:tc>
          <w:tcPr>
            <w:tcW w:w="595" w:type="pct"/>
            <w:shd w:val="clear" w:color="auto" w:fill="auto"/>
          </w:tcPr>
          <w:p w14:paraId="45390059"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Numerator (c)</w:t>
            </w:r>
          </w:p>
        </w:tc>
        <w:tc>
          <w:tcPr>
            <w:tcW w:w="595" w:type="pct"/>
            <w:shd w:val="clear" w:color="auto" w:fill="auto"/>
          </w:tcPr>
          <w:p w14:paraId="46860D80" w14:textId="77777777" w:rsidR="00704E6A" w:rsidRPr="005C29F8" w:rsidRDefault="00704E6A" w:rsidP="00681BA6">
            <w:pPr>
              <w:jc w:val="center"/>
              <w:rPr>
                <w:rFonts w:cs="Arial"/>
                <w:b/>
                <w:color w:val="000000" w:themeColor="text1"/>
                <w:szCs w:val="16"/>
              </w:rPr>
            </w:pPr>
            <w:r w:rsidRPr="005C29F8">
              <w:rPr>
                <w:rFonts w:cs="Arial"/>
                <w:b/>
                <w:color w:val="000000" w:themeColor="text1"/>
                <w:szCs w:val="16"/>
              </w:rPr>
              <w:t>Denominator (a-b-d-e-f)</w:t>
            </w:r>
          </w:p>
        </w:tc>
        <w:tc>
          <w:tcPr>
            <w:tcW w:w="595" w:type="pct"/>
            <w:shd w:val="clear" w:color="auto" w:fill="auto"/>
          </w:tcPr>
          <w:p w14:paraId="58F547FF" w14:textId="79B19B38" w:rsidR="00704E6A"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595" w:type="pct"/>
            <w:shd w:val="clear" w:color="auto" w:fill="auto"/>
          </w:tcPr>
          <w:p w14:paraId="36BD2BCA" w14:textId="2D9CAD8E"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Target</w:t>
            </w:r>
          </w:p>
        </w:tc>
        <w:tc>
          <w:tcPr>
            <w:tcW w:w="595" w:type="pct"/>
            <w:shd w:val="clear" w:color="auto" w:fill="auto"/>
          </w:tcPr>
          <w:p w14:paraId="0030B6C4" w14:textId="6EBADDF3" w:rsidR="00704E6A" w:rsidRPr="005C29F8" w:rsidRDefault="00704E6A" w:rsidP="00681BA6">
            <w:pPr>
              <w:jc w:val="center"/>
              <w:rPr>
                <w:rFonts w:cs="Arial"/>
                <w:b/>
                <w:color w:val="000000" w:themeColor="text1"/>
                <w:szCs w:val="16"/>
              </w:rPr>
            </w:pPr>
            <w:r w:rsidRPr="005C29F8">
              <w:rPr>
                <w:rFonts w:cs="Arial"/>
                <w:b/>
                <w:color w:val="000000" w:themeColor="text1"/>
                <w:szCs w:val="16"/>
              </w:rPr>
              <w:t>FFY 2019 Data</w:t>
            </w:r>
          </w:p>
        </w:tc>
        <w:tc>
          <w:tcPr>
            <w:tcW w:w="595" w:type="pct"/>
            <w:shd w:val="clear" w:color="auto" w:fill="auto"/>
          </w:tcPr>
          <w:p w14:paraId="16905A6D" w14:textId="19A3632B" w:rsidR="00704E6A" w:rsidRPr="005C29F8" w:rsidRDefault="00704E6A" w:rsidP="00681BA6">
            <w:pPr>
              <w:jc w:val="center"/>
              <w:rPr>
                <w:rFonts w:cs="Arial"/>
                <w:b/>
                <w:color w:val="000000" w:themeColor="text1"/>
                <w:szCs w:val="16"/>
              </w:rPr>
            </w:pPr>
            <w:r w:rsidRPr="005C29F8">
              <w:rPr>
                <w:rFonts w:cs="Arial"/>
                <w:b/>
                <w:color w:val="000000" w:themeColor="text1"/>
                <w:szCs w:val="16"/>
              </w:rPr>
              <w:t>Status</w:t>
            </w:r>
          </w:p>
        </w:tc>
        <w:tc>
          <w:tcPr>
            <w:tcW w:w="596" w:type="pct"/>
            <w:shd w:val="clear" w:color="auto" w:fill="auto"/>
          </w:tcPr>
          <w:p w14:paraId="0DCCD9DE" w14:textId="3F28AD62" w:rsidR="00704E6A" w:rsidRPr="005C29F8" w:rsidRDefault="00704E6A"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F7C0EED" w14:textId="06CECBDB" w:rsidTr="00AB0D6A">
        <w:trPr>
          <w:trHeight w:val="347"/>
        </w:trPr>
        <w:tc>
          <w:tcPr>
            <w:tcW w:w="831" w:type="pct"/>
            <w:shd w:val="clear" w:color="auto" w:fill="auto"/>
          </w:tcPr>
          <w:p w14:paraId="42006EF2" w14:textId="30F01538" w:rsidR="009447A3" w:rsidRPr="005C29F8" w:rsidRDefault="00616BA4" w:rsidP="009447A3">
            <w:pPr>
              <w:rPr>
                <w:rFonts w:cs="Arial"/>
                <w:color w:val="000000" w:themeColor="text1"/>
                <w:szCs w:val="16"/>
              </w:rPr>
            </w:pPr>
            <w:r w:rsidRPr="005C29F8">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5C29F8" w:rsidRDefault="00FA318E" w:rsidP="004369B2">
            <w:pPr>
              <w:jc w:val="center"/>
              <w:rPr>
                <w:rFonts w:cs="Arial"/>
                <w:color w:val="000000" w:themeColor="text1"/>
                <w:szCs w:val="16"/>
              </w:rPr>
            </w:pPr>
            <w:r>
              <w:rPr>
                <w:rFonts w:cs="Arial"/>
                <w:color w:val="000000" w:themeColor="text1"/>
                <w:szCs w:val="16"/>
              </w:rPr>
              <w:t>30</w:t>
            </w:r>
          </w:p>
        </w:tc>
        <w:tc>
          <w:tcPr>
            <w:tcW w:w="595" w:type="pct"/>
            <w:shd w:val="clear" w:color="auto" w:fill="auto"/>
            <w:vAlign w:val="center"/>
          </w:tcPr>
          <w:p w14:paraId="7A8E33C9" w14:textId="2CE029E7" w:rsidR="009447A3" w:rsidRPr="005C29F8" w:rsidRDefault="00FA318E" w:rsidP="004369B2">
            <w:pPr>
              <w:jc w:val="center"/>
              <w:rPr>
                <w:rFonts w:cs="Arial"/>
                <w:color w:val="000000" w:themeColor="text1"/>
                <w:szCs w:val="16"/>
              </w:rPr>
            </w:pPr>
            <w:r w:rsidRPr="00FA318E">
              <w:rPr>
                <w:rFonts w:cs="Arial"/>
                <w:color w:val="000000" w:themeColor="text1"/>
                <w:szCs w:val="16"/>
              </w:rPr>
              <w:t>30</w:t>
            </w:r>
          </w:p>
        </w:tc>
        <w:tc>
          <w:tcPr>
            <w:tcW w:w="595" w:type="pct"/>
            <w:shd w:val="clear" w:color="auto" w:fill="auto"/>
            <w:vAlign w:val="center"/>
          </w:tcPr>
          <w:p w14:paraId="7A618E17" w14:textId="730CF37E"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173DD24A" w14:textId="02E11A38"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95" w:type="pct"/>
            <w:shd w:val="clear" w:color="auto" w:fill="auto"/>
            <w:vAlign w:val="center"/>
          </w:tcPr>
          <w:p w14:paraId="1BEC9517" w14:textId="612C62A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595" w:type="pct"/>
            <w:shd w:val="clear" w:color="auto" w:fill="auto"/>
            <w:vAlign w:val="center"/>
          </w:tcPr>
          <w:p w14:paraId="35C0024C" w14:textId="6347E5FC" w:rsidR="009447A3" w:rsidRPr="005C29F8" w:rsidRDefault="002B7490" w:rsidP="004369B2">
            <w:pPr>
              <w:jc w:val="center"/>
              <w:rPr>
                <w:rFonts w:cs="Arial"/>
                <w:color w:val="000000" w:themeColor="text1"/>
                <w:szCs w:val="16"/>
              </w:rPr>
            </w:pPr>
            <w:r w:rsidRPr="005C29F8">
              <w:rPr>
                <w:rFonts w:cs="Arial"/>
                <w:color w:val="000000" w:themeColor="text1"/>
                <w:szCs w:val="16"/>
              </w:rPr>
              <w:t>Met Target</w:t>
            </w:r>
          </w:p>
        </w:tc>
        <w:tc>
          <w:tcPr>
            <w:tcW w:w="596" w:type="pct"/>
            <w:shd w:val="clear" w:color="auto" w:fill="auto"/>
            <w:vAlign w:val="center"/>
          </w:tcPr>
          <w:p w14:paraId="466F387F" w14:textId="652A9CC9" w:rsidR="009447A3" w:rsidRPr="005C29F8" w:rsidRDefault="002B7490" w:rsidP="004369B2">
            <w:pPr>
              <w:jc w:val="center"/>
              <w:rPr>
                <w:rFonts w:cs="Arial"/>
                <w:color w:val="000000" w:themeColor="text1"/>
                <w:szCs w:val="16"/>
              </w:rPr>
            </w:pPr>
            <w:r w:rsidRPr="005C29F8">
              <w:rPr>
                <w:rFonts w:cs="Arial"/>
                <w:color w:val="000000" w:themeColor="text1"/>
                <w:szCs w:val="16"/>
              </w:rPr>
              <w:t>No Slippage</w:t>
            </w:r>
          </w:p>
        </w:tc>
      </w:tr>
    </w:tbl>
    <w:p w14:paraId="0416C2F1" w14:textId="4E2D4957" w:rsidR="00A5601C" w:rsidRPr="005C29F8" w:rsidRDefault="00A5601C" w:rsidP="007D435F">
      <w:pPr>
        <w:rPr>
          <w:rFonts w:cs="Arial"/>
          <w:b/>
          <w:color w:val="000000" w:themeColor="text1"/>
          <w:szCs w:val="16"/>
        </w:rPr>
      </w:pPr>
      <w:r w:rsidRPr="005C29F8">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5C29F8" w:rsidRDefault="00A5601C" w:rsidP="007D435F">
      <w:pPr>
        <w:rPr>
          <w:rFonts w:cs="Arial"/>
          <w:color w:val="000000" w:themeColor="text1"/>
          <w:szCs w:val="16"/>
        </w:rPr>
      </w:pPr>
      <w:r w:rsidRPr="005C29F8">
        <w:rPr>
          <w:rFonts w:cs="Arial"/>
          <w:color w:val="000000" w:themeColor="text1"/>
          <w:szCs w:val="16"/>
        </w:rPr>
        <w:t>0</w:t>
      </w:r>
    </w:p>
    <w:p w14:paraId="2DB77447" w14:textId="5C5B3699" w:rsidR="00E418E6" w:rsidRPr="005C29F8" w:rsidRDefault="00326C0B" w:rsidP="006A01BD">
      <w:pPr>
        <w:rPr>
          <w:b/>
          <w:color w:val="000000" w:themeColor="text1"/>
        </w:rPr>
      </w:pPr>
      <w:r w:rsidRPr="005C29F8">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5C29F8" w:rsidRDefault="00326C0B" w:rsidP="006A01BD">
      <w:pPr>
        <w:rPr>
          <w:bCs/>
          <w:color w:val="000000" w:themeColor="text1"/>
        </w:rPr>
      </w:pPr>
    </w:p>
    <w:p w14:paraId="4BE9E8DB" w14:textId="127EF17F" w:rsidR="00A5601C" w:rsidRPr="005C29F8" w:rsidRDefault="00326C0B" w:rsidP="006A01BD">
      <w:pPr>
        <w:rPr>
          <w:b/>
          <w:color w:val="000000" w:themeColor="text1"/>
        </w:rPr>
      </w:pPr>
      <w:r w:rsidRPr="005C29F8">
        <w:rPr>
          <w:b/>
          <w:color w:val="000000" w:themeColor="text1"/>
        </w:rPr>
        <w:t>Attach PDF table (optional)</w:t>
      </w:r>
    </w:p>
    <w:p w14:paraId="79E6A8DD" w14:textId="2B03416C" w:rsidR="00326C0B" w:rsidRPr="00C34F6D" w:rsidRDefault="00326C0B" w:rsidP="006A01BD">
      <w:pPr>
        <w:rPr>
          <w:bCs/>
          <w:color w:val="000000" w:themeColor="text1"/>
        </w:rPr>
      </w:pPr>
      <w:bookmarkStart w:id="55" w:name="_Hlk20318414"/>
      <w:bookmarkEnd w:id="55"/>
    </w:p>
    <w:p w14:paraId="5E057416" w14:textId="77777777" w:rsidR="00A5601C" w:rsidRPr="005C29F8" w:rsidRDefault="009447A3">
      <w:pPr>
        <w:rPr>
          <w:b/>
          <w:color w:val="000000" w:themeColor="text1"/>
        </w:rPr>
      </w:pPr>
      <w:r w:rsidRPr="005C29F8">
        <w:rPr>
          <w:b/>
          <w:color w:val="000000" w:themeColor="text1"/>
        </w:rPr>
        <w:t>What is the source of the data provided for this indicator?</w:t>
      </w:r>
    </w:p>
    <w:p w14:paraId="50B7435C" w14:textId="024484CA" w:rsidR="009447A3" w:rsidRDefault="002B7490" w:rsidP="004369B2">
      <w:pPr>
        <w:rPr>
          <w:color w:val="000000" w:themeColor="text1"/>
        </w:rPr>
      </w:pPr>
      <w:r w:rsidRPr="005C29F8">
        <w:rPr>
          <w:color w:val="000000" w:themeColor="text1"/>
        </w:rPr>
        <w:t>State database that includes data for the entire reporting year</w:t>
      </w:r>
    </w:p>
    <w:p w14:paraId="4558F99F" w14:textId="77777777" w:rsidR="009447A3" w:rsidRPr="005C29F8" w:rsidRDefault="009447A3"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6C2B5D1A" w14:textId="61019073" w:rsidR="00326C0B" w:rsidRDefault="002B7490" w:rsidP="008E31C4">
      <w:pPr>
        <w:rPr>
          <w:rFonts w:cs="Arial"/>
          <w:color w:val="000000" w:themeColor="text1"/>
          <w:szCs w:val="16"/>
        </w:rPr>
      </w:pPr>
      <w:r w:rsidRPr="005C29F8">
        <w:rPr>
          <w:rFonts w:cs="Arial"/>
          <w:color w:val="000000" w:themeColor="text1"/>
          <w:szCs w:val="16"/>
        </w:rPr>
        <w:t>Data used to report in this indicator was taken from the database and verified in the child’s IEP folder. The Early Intervention Program submits a monthly listing of Part C children who will be three (3) years old during the year and who are potentially eligible for Part B services. The Early Childhood Special Education (EC-SPED) team attends all Transition Conferences of children potentially eligible for Special Education. During the Transition Conference, the EC-SPED team plans and schedules with parents the potential dates to begin the Part B evaluation and IEP process. The EC-SPED team is responsible to ensure procedural safeguard requirements are followed (Prior Written Notice provided to the parent and parental consent to evaluate is obtained prior to the evaluation). If the child is determined eligible for special education, parental consent is obtained prior to the development and implementation of initial services and placement. The EC-SPED team submits the timeline data (date of Consent to Evaluate, date of Consent for Initial IEP, and IEP implementation date) to the data manager. The data manager logs the information into the database and verifies the dates with the documents. The database is formatted to “flag” untimely IEP’s by third birthday. Allowable delays are parent refusal to consent to the initial evaluation or refusal to consent to the initial IEP.</w:t>
      </w:r>
    </w:p>
    <w:p w14:paraId="6353DD92" w14:textId="77777777" w:rsidR="00E46206" w:rsidRPr="005C29F8" w:rsidRDefault="00E46206" w:rsidP="00E46206">
      <w:pPr>
        <w:rPr>
          <w:rFonts w:cs="Arial"/>
          <w:b/>
          <w:color w:val="000000" w:themeColor="text1"/>
          <w:szCs w:val="16"/>
        </w:rPr>
      </w:pPr>
      <w:r w:rsidRPr="005C29F8">
        <w:rPr>
          <w:rFonts w:cs="Arial"/>
          <w:b/>
          <w:color w:val="000000" w:themeColor="text1"/>
          <w:szCs w:val="16"/>
        </w:rPr>
        <w:t>Provide additional information about this indicator (optional)</w:t>
      </w:r>
    </w:p>
    <w:p w14:paraId="7201221D" w14:textId="686A034C" w:rsidR="00326C0B" w:rsidRPr="005C29F8" w:rsidRDefault="00326C0B" w:rsidP="007D435F">
      <w:pPr>
        <w:rPr>
          <w:rFonts w:cs="Arial"/>
          <w:color w:val="000000" w:themeColor="text1"/>
          <w:szCs w:val="16"/>
        </w:rPr>
      </w:pPr>
    </w:p>
    <w:p w14:paraId="4E94D02C" w14:textId="77777777" w:rsidR="009C5AE7" w:rsidRPr="005C29F8" w:rsidRDefault="009C5AE7" w:rsidP="004369B2">
      <w:pPr>
        <w:rPr>
          <w:color w:val="000000" w:themeColor="text1"/>
        </w:rPr>
      </w:pPr>
    </w:p>
    <w:p w14:paraId="7740DC21" w14:textId="11E1AA6B"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5C29F8" w14:paraId="716024C7" w14:textId="77777777" w:rsidTr="00455889">
        <w:trPr>
          <w:trHeight w:val="389"/>
          <w:tblHeader/>
        </w:trPr>
        <w:tc>
          <w:tcPr>
            <w:tcW w:w="1228" w:type="pct"/>
            <w:shd w:val="clear" w:color="auto" w:fill="auto"/>
            <w:vAlign w:val="bottom"/>
          </w:tcPr>
          <w:p w14:paraId="0E49E3D0"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5362EE0E" w14:textId="77777777" w:rsidTr="00455889">
        <w:tc>
          <w:tcPr>
            <w:tcW w:w="1228" w:type="pct"/>
            <w:shd w:val="clear" w:color="auto" w:fill="auto"/>
          </w:tcPr>
          <w:p w14:paraId="106FED18" w14:textId="3538FD80"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30E75C81" w14:textId="5263D718"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36D48FD7" w14:textId="2F6E80E6"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39EEFD1" w14:textId="6A5591D3" w:rsidR="009A755E"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A909BBB" w14:textId="77777777" w:rsidR="00455889" w:rsidRPr="005C29F8" w:rsidRDefault="00455889" w:rsidP="004369B2">
      <w:pPr>
        <w:rPr>
          <w:color w:val="000000" w:themeColor="text1"/>
        </w:rPr>
      </w:pPr>
    </w:p>
    <w:p w14:paraId="1C75EC2F" w14:textId="03A9C041"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5C29F8" w14:paraId="4192A257" w14:textId="77777777" w:rsidTr="00AB0D6A">
        <w:trPr>
          <w:tblHeader/>
        </w:trPr>
        <w:tc>
          <w:tcPr>
            <w:tcW w:w="1016" w:type="pct"/>
            <w:shd w:val="clear" w:color="auto" w:fill="auto"/>
            <w:vAlign w:val="bottom"/>
          </w:tcPr>
          <w:p w14:paraId="72F29034" w14:textId="1B3341B8"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360" w:type="pct"/>
            <w:shd w:val="clear" w:color="auto" w:fill="auto"/>
            <w:vAlign w:val="bottom"/>
          </w:tcPr>
          <w:p w14:paraId="5E92FF85" w14:textId="224127E0"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55" w:type="pct"/>
            <w:shd w:val="clear" w:color="auto" w:fill="auto"/>
            <w:vAlign w:val="bottom"/>
          </w:tcPr>
          <w:p w14:paraId="4861690F"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204865EB" w14:textId="77777777" w:rsidTr="00AB0D6A">
        <w:tc>
          <w:tcPr>
            <w:tcW w:w="1016" w:type="pct"/>
            <w:shd w:val="clear" w:color="auto" w:fill="auto"/>
          </w:tcPr>
          <w:p w14:paraId="316ACDB5" w14:textId="541F250F" w:rsidR="009A755E" w:rsidRPr="005C29F8"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5C29F8" w:rsidRDefault="009A755E">
            <w:pPr>
              <w:jc w:val="center"/>
              <w:rPr>
                <w:rFonts w:cs="Arial"/>
                <w:noProof/>
                <w:color w:val="000000" w:themeColor="text1"/>
                <w:szCs w:val="16"/>
              </w:rPr>
            </w:pPr>
          </w:p>
        </w:tc>
        <w:tc>
          <w:tcPr>
            <w:tcW w:w="1355" w:type="pct"/>
            <w:shd w:val="clear" w:color="auto" w:fill="auto"/>
          </w:tcPr>
          <w:p w14:paraId="7C3E37A7" w14:textId="61202FB3" w:rsidR="009A755E" w:rsidRPr="005C29F8" w:rsidRDefault="009A755E">
            <w:pPr>
              <w:jc w:val="center"/>
              <w:rPr>
                <w:rFonts w:cs="Arial"/>
                <w:noProof/>
                <w:color w:val="000000" w:themeColor="text1"/>
                <w:szCs w:val="16"/>
              </w:rPr>
            </w:pPr>
          </w:p>
        </w:tc>
        <w:tc>
          <w:tcPr>
            <w:tcW w:w="1269" w:type="pct"/>
            <w:shd w:val="clear" w:color="auto" w:fill="auto"/>
          </w:tcPr>
          <w:p w14:paraId="79E9FAD3" w14:textId="3428603A" w:rsidR="009A755E" w:rsidRPr="005C29F8" w:rsidRDefault="009A755E">
            <w:pPr>
              <w:jc w:val="center"/>
              <w:rPr>
                <w:rFonts w:cs="Arial"/>
                <w:noProof/>
                <w:color w:val="000000" w:themeColor="text1"/>
                <w:szCs w:val="16"/>
              </w:rPr>
            </w:pPr>
          </w:p>
        </w:tc>
      </w:tr>
      <w:tr w:rsidR="005C29F8" w:rsidRPr="005C29F8" w14:paraId="7F75F2C7" w14:textId="77777777" w:rsidTr="00AB0D6A">
        <w:tc>
          <w:tcPr>
            <w:tcW w:w="1016" w:type="pct"/>
            <w:shd w:val="clear" w:color="auto" w:fill="auto"/>
          </w:tcPr>
          <w:p w14:paraId="147AA631" w14:textId="76843337" w:rsidR="009A755E" w:rsidRPr="005C29F8"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5C29F8" w:rsidRDefault="009A755E">
            <w:pPr>
              <w:jc w:val="center"/>
              <w:rPr>
                <w:rFonts w:cs="Arial"/>
                <w:noProof/>
                <w:color w:val="000000" w:themeColor="text1"/>
                <w:szCs w:val="16"/>
              </w:rPr>
            </w:pPr>
          </w:p>
        </w:tc>
        <w:tc>
          <w:tcPr>
            <w:tcW w:w="1355" w:type="pct"/>
            <w:shd w:val="clear" w:color="auto" w:fill="auto"/>
          </w:tcPr>
          <w:p w14:paraId="6504342A" w14:textId="13575C8A" w:rsidR="009A755E" w:rsidRPr="005C29F8" w:rsidRDefault="009A755E">
            <w:pPr>
              <w:jc w:val="center"/>
              <w:rPr>
                <w:rFonts w:cs="Arial"/>
                <w:noProof/>
                <w:color w:val="000000" w:themeColor="text1"/>
                <w:szCs w:val="16"/>
              </w:rPr>
            </w:pPr>
          </w:p>
        </w:tc>
        <w:tc>
          <w:tcPr>
            <w:tcW w:w="1269" w:type="pct"/>
            <w:shd w:val="clear" w:color="auto" w:fill="auto"/>
          </w:tcPr>
          <w:p w14:paraId="6D520AD1" w14:textId="4947031C" w:rsidR="009A755E" w:rsidRPr="005C29F8" w:rsidRDefault="009A755E">
            <w:pPr>
              <w:jc w:val="center"/>
              <w:rPr>
                <w:rFonts w:cs="Arial"/>
                <w:noProof/>
                <w:color w:val="000000" w:themeColor="text1"/>
                <w:szCs w:val="16"/>
              </w:rPr>
            </w:pPr>
          </w:p>
        </w:tc>
      </w:tr>
      <w:tr w:rsidR="005C29F8" w:rsidRPr="005C29F8" w14:paraId="2D4810B4" w14:textId="77777777" w:rsidTr="00AB0D6A">
        <w:tc>
          <w:tcPr>
            <w:tcW w:w="1016" w:type="pct"/>
            <w:shd w:val="clear" w:color="auto" w:fill="auto"/>
          </w:tcPr>
          <w:p w14:paraId="6AEFAA10" w14:textId="16E2E3E6" w:rsidR="009A755E" w:rsidRPr="005C29F8"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5C29F8" w:rsidRDefault="009A755E">
            <w:pPr>
              <w:jc w:val="center"/>
              <w:rPr>
                <w:rFonts w:cs="Arial"/>
                <w:noProof/>
                <w:color w:val="000000" w:themeColor="text1"/>
                <w:szCs w:val="16"/>
              </w:rPr>
            </w:pPr>
          </w:p>
        </w:tc>
        <w:tc>
          <w:tcPr>
            <w:tcW w:w="1355" w:type="pct"/>
            <w:shd w:val="clear" w:color="auto" w:fill="auto"/>
          </w:tcPr>
          <w:p w14:paraId="70536E6E" w14:textId="5BE8198D" w:rsidR="009A755E" w:rsidRPr="005C29F8" w:rsidRDefault="009A755E">
            <w:pPr>
              <w:jc w:val="center"/>
              <w:rPr>
                <w:rFonts w:cs="Arial"/>
                <w:noProof/>
                <w:color w:val="000000" w:themeColor="text1"/>
                <w:szCs w:val="16"/>
              </w:rPr>
            </w:pPr>
          </w:p>
        </w:tc>
        <w:tc>
          <w:tcPr>
            <w:tcW w:w="1269" w:type="pct"/>
            <w:shd w:val="clear" w:color="auto" w:fill="auto"/>
          </w:tcPr>
          <w:p w14:paraId="4BC059F6" w14:textId="5DCA531E" w:rsidR="009A755E" w:rsidRPr="005C29F8" w:rsidRDefault="009A755E">
            <w:pPr>
              <w:jc w:val="center"/>
              <w:rPr>
                <w:rFonts w:cs="Arial"/>
                <w:noProof/>
                <w:color w:val="000000" w:themeColor="text1"/>
                <w:szCs w:val="16"/>
              </w:rPr>
            </w:pPr>
          </w:p>
        </w:tc>
      </w:tr>
    </w:tbl>
    <w:p w14:paraId="2F3E7ED0" w14:textId="1BDCCC61" w:rsidR="004E2151" w:rsidRPr="0033429D" w:rsidRDefault="00056350" w:rsidP="00123D76">
      <w:pPr>
        <w:pStyle w:val="Heading2"/>
      </w:pPr>
      <w:r w:rsidRPr="0033429D">
        <w:t>12</w:t>
      </w:r>
      <w:r w:rsidR="004838A4" w:rsidRPr="0033429D">
        <w:t xml:space="preserve"> </w:t>
      </w:r>
      <w:r w:rsidRPr="0033429D">
        <w:t xml:space="preserve">- </w:t>
      </w:r>
      <w:r w:rsidR="004E2151" w:rsidRPr="0033429D">
        <w:t>Prior FFY Required Actions</w:t>
      </w:r>
    </w:p>
    <w:p w14:paraId="3D03A210" w14:textId="19033EA5" w:rsidR="009F69E7" w:rsidRPr="005C29F8" w:rsidRDefault="002B7490" w:rsidP="004E2151">
      <w:pPr>
        <w:rPr>
          <w:rFonts w:cs="Arial"/>
          <w:color w:val="000000" w:themeColor="text1"/>
          <w:szCs w:val="16"/>
        </w:rPr>
      </w:pPr>
      <w:r w:rsidRPr="005C29F8">
        <w:rPr>
          <w:rFonts w:cs="Arial"/>
          <w:color w:val="000000" w:themeColor="text1"/>
          <w:szCs w:val="16"/>
        </w:rPr>
        <w:t>None</w:t>
      </w:r>
    </w:p>
    <w:p w14:paraId="29993C29" w14:textId="00995379" w:rsidR="007F5071" w:rsidRPr="0033429D" w:rsidRDefault="00056350" w:rsidP="00123D76">
      <w:pPr>
        <w:pStyle w:val="Heading2"/>
      </w:pPr>
      <w:r w:rsidRPr="0033429D">
        <w:t>12 - OSEP Response</w:t>
      </w:r>
    </w:p>
    <w:p w14:paraId="25E9178D" w14:textId="14A4C34F" w:rsidR="00326C0B" w:rsidRPr="005C29F8" w:rsidRDefault="00326C0B" w:rsidP="00212954">
      <w:pPr>
        <w:rPr>
          <w:rFonts w:cs="Arial"/>
          <w:color w:val="000000" w:themeColor="text1"/>
          <w:szCs w:val="16"/>
        </w:rPr>
      </w:pPr>
    </w:p>
    <w:p w14:paraId="06759F0A" w14:textId="1523FF35" w:rsidR="007F5071" w:rsidRPr="0033429D" w:rsidRDefault="00056350" w:rsidP="00123D76">
      <w:pPr>
        <w:pStyle w:val="Heading2"/>
      </w:pPr>
      <w:r w:rsidRPr="0033429D">
        <w:lastRenderedPageBreak/>
        <w:t>12 - Required Actions</w:t>
      </w:r>
    </w:p>
    <w:p w14:paraId="57889B20" w14:textId="73162143" w:rsidR="00326C0B" w:rsidRPr="005C29F8" w:rsidRDefault="00326C0B" w:rsidP="00212954">
      <w:pPr>
        <w:rPr>
          <w:rFonts w:cs="Arial"/>
          <w:color w:val="000000" w:themeColor="text1"/>
          <w:szCs w:val="16"/>
        </w:rPr>
      </w:pPr>
    </w:p>
    <w:p w14:paraId="09BE7DCF"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117517B2" w14:textId="1ECF1753" w:rsidR="00D03701" w:rsidRPr="005C29F8" w:rsidRDefault="00D03701" w:rsidP="000444E2">
      <w:pPr>
        <w:pStyle w:val="Heading1"/>
        <w:rPr>
          <w:color w:val="000000" w:themeColor="text1"/>
          <w:sz w:val="22"/>
        </w:rPr>
      </w:pPr>
      <w:r w:rsidRPr="005C29F8">
        <w:rPr>
          <w:color w:val="000000" w:themeColor="text1"/>
          <w:sz w:val="22"/>
        </w:rPr>
        <w:lastRenderedPageBreak/>
        <w:t>Indicator 13: Secondary Transition</w:t>
      </w:r>
    </w:p>
    <w:p w14:paraId="20F3CA53" w14:textId="77777777" w:rsidR="00D04044" w:rsidRPr="005C29F8" w:rsidRDefault="00D04044" w:rsidP="00A018D4">
      <w:pPr>
        <w:rPr>
          <w:color w:val="000000" w:themeColor="text1"/>
          <w:szCs w:val="20"/>
        </w:rPr>
      </w:pPr>
      <w:bookmarkStart w:id="56" w:name="_Toc384383363"/>
      <w:bookmarkStart w:id="57" w:name="_Toc392159331"/>
      <w:r w:rsidRPr="005C29F8">
        <w:rPr>
          <w:b/>
          <w:color w:val="000000" w:themeColor="text1"/>
          <w:sz w:val="20"/>
          <w:szCs w:val="20"/>
        </w:rPr>
        <w:t>Instructions and Measurement</w:t>
      </w:r>
    </w:p>
    <w:p w14:paraId="541AD2D1" w14:textId="15B7D425" w:rsidR="001F3A65" w:rsidRPr="005C29F8" w:rsidRDefault="001F3A65" w:rsidP="009447A3">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Effective Transition</w:t>
      </w:r>
    </w:p>
    <w:p w14:paraId="2098A995" w14:textId="77777777" w:rsidR="0096257C" w:rsidRPr="005C29F8" w:rsidRDefault="001F3A65" w:rsidP="009447A3">
      <w:pPr>
        <w:rPr>
          <w:rFonts w:cs="Arial"/>
          <w:color w:val="000000" w:themeColor="text1"/>
          <w:szCs w:val="16"/>
        </w:rPr>
      </w:pPr>
      <w:r w:rsidRPr="005C29F8">
        <w:rPr>
          <w:rFonts w:cs="Arial"/>
          <w:b/>
          <w:color w:val="000000" w:themeColor="text1"/>
          <w:szCs w:val="16"/>
        </w:rPr>
        <w:t>Compliance indicator</w:t>
      </w:r>
      <w:r w:rsidRPr="005C29F8">
        <w:rPr>
          <w:rFonts w:cs="Arial"/>
          <w:color w:val="000000" w:themeColor="text1"/>
          <w:szCs w:val="16"/>
        </w:rPr>
        <w:t xml:space="preserve">: Secondary transition: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w:t>
      </w:r>
    </w:p>
    <w:p w14:paraId="24167CE3" w14:textId="32AC8C8C" w:rsidR="001F3A65" w:rsidRPr="005C29F8" w:rsidRDefault="001F3A65" w:rsidP="009447A3">
      <w:pPr>
        <w:rPr>
          <w:rFonts w:cs="Arial"/>
          <w:color w:val="000000" w:themeColor="text1"/>
          <w:szCs w:val="16"/>
        </w:rPr>
      </w:pPr>
      <w:r w:rsidRPr="005C29F8">
        <w:rPr>
          <w:rFonts w:cs="Arial"/>
          <w:color w:val="000000" w:themeColor="text1"/>
          <w:szCs w:val="16"/>
        </w:rPr>
        <w:t xml:space="preserve"> (20 U.S.C. 1416(a)(3)(B))</w:t>
      </w:r>
    </w:p>
    <w:p w14:paraId="1BD1BDBD" w14:textId="77777777" w:rsidR="0096257C" w:rsidRPr="005C29F8" w:rsidRDefault="0096257C" w:rsidP="004369B2">
      <w:pPr>
        <w:rPr>
          <w:color w:val="000000" w:themeColor="text1"/>
        </w:rPr>
      </w:pPr>
      <w:r w:rsidRPr="005C29F8">
        <w:rPr>
          <w:b/>
          <w:color w:val="000000" w:themeColor="text1"/>
        </w:rPr>
        <w:t>Data Source</w:t>
      </w:r>
    </w:p>
    <w:p w14:paraId="5868BA99" w14:textId="77777777" w:rsidR="0096257C" w:rsidRPr="005C29F8" w:rsidRDefault="0096257C" w:rsidP="00286BDF">
      <w:pPr>
        <w:rPr>
          <w:rFonts w:cs="Arial"/>
          <w:color w:val="000000" w:themeColor="text1"/>
          <w:szCs w:val="16"/>
        </w:rPr>
      </w:pPr>
      <w:r w:rsidRPr="005C29F8">
        <w:rPr>
          <w:rFonts w:cs="Arial"/>
          <w:color w:val="000000" w:themeColor="text1"/>
          <w:szCs w:val="16"/>
          <w:shd w:val="clear" w:color="auto" w:fill="FFFFFF"/>
        </w:rPr>
        <w:t>Data to be taken from State monitoring or State data system.</w:t>
      </w:r>
    </w:p>
    <w:p w14:paraId="44CB6F9A" w14:textId="71312CEA" w:rsidR="0096257C" w:rsidRPr="005C29F8" w:rsidRDefault="0096257C" w:rsidP="004369B2">
      <w:pPr>
        <w:rPr>
          <w:color w:val="000000" w:themeColor="text1"/>
        </w:rPr>
      </w:pPr>
      <w:r w:rsidRPr="005C29F8">
        <w:rPr>
          <w:b/>
          <w:color w:val="000000" w:themeColor="text1"/>
        </w:rPr>
        <w:t>Measurement</w:t>
      </w:r>
    </w:p>
    <w:p w14:paraId="780214FF" w14:textId="118D2AD2" w:rsidR="00B67038" w:rsidRPr="005C29F8" w:rsidRDefault="00B67038" w:rsidP="00286BDF">
      <w:pPr>
        <w:rPr>
          <w:rFonts w:cs="Arial"/>
          <w:color w:val="000000" w:themeColor="text1"/>
          <w:szCs w:val="16"/>
        </w:rPr>
      </w:pPr>
      <w:r w:rsidRPr="005C29F8">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w:t>
      </w:r>
      <w:proofErr w:type="spellStart"/>
      <w:r w:rsidRPr="005C29F8">
        <w:rPr>
          <w:rFonts w:cs="Arial"/>
          <w:color w:val="000000" w:themeColor="text1"/>
          <w:szCs w:val="16"/>
        </w:rPr>
        <w:t>services</w:t>
      </w:r>
      <w:proofErr w:type="spellEnd"/>
      <w:r w:rsidRPr="005C29F8">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695051F" w14:textId="0AB8CE10" w:rsidR="00B67038" w:rsidRPr="005C29F8" w:rsidRDefault="00B67038" w:rsidP="00286BDF">
      <w:pPr>
        <w:rPr>
          <w:rFonts w:cs="Arial"/>
          <w:color w:val="000000" w:themeColor="text1"/>
          <w:szCs w:val="16"/>
        </w:rPr>
      </w:pPr>
      <w:r w:rsidRPr="005C29F8">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5C29F8" w:rsidRDefault="0096257C" w:rsidP="004369B2">
      <w:pPr>
        <w:rPr>
          <w:color w:val="000000" w:themeColor="text1"/>
        </w:rPr>
      </w:pPr>
      <w:r w:rsidRPr="005C29F8">
        <w:rPr>
          <w:b/>
          <w:color w:val="000000" w:themeColor="text1"/>
        </w:rPr>
        <w:t>Instructions</w:t>
      </w:r>
    </w:p>
    <w:p w14:paraId="7B194027" w14:textId="77777777" w:rsidR="00B67038" w:rsidRPr="005C29F8" w:rsidRDefault="00B67038" w:rsidP="00286BDF">
      <w:pPr>
        <w:rPr>
          <w:rFonts w:cs="Arial"/>
          <w:color w:val="000000" w:themeColor="text1"/>
          <w:szCs w:val="16"/>
        </w:rPr>
      </w:pPr>
      <w:r w:rsidRPr="005C29F8">
        <w:rPr>
          <w:rFonts w:cs="Arial"/>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5C29F8" w:rsidRDefault="00B67038" w:rsidP="00286BDF">
      <w:pPr>
        <w:rPr>
          <w:rFonts w:cs="Arial"/>
          <w:color w:val="000000" w:themeColor="text1"/>
          <w:szCs w:val="16"/>
        </w:rPr>
      </w:pPr>
      <w:r w:rsidRPr="005C29F8">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5C29F8" w:rsidRDefault="00B67038" w:rsidP="00286BDF">
      <w:pPr>
        <w:rPr>
          <w:rFonts w:cs="Arial"/>
          <w:color w:val="000000" w:themeColor="text1"/>
          <w:szCs w:val="16"/>
        </w:rPr>
      </w:pPr>
      <w:r w:rsidRPr="005C29F8">
        <w:rPr>
          <w:rFonts w:cs="Arial"/>
          <w:color w:val="000000" w:themeColor="text1"/>
          <w:szCs w:val="16"/>
        </w:rPr>
        <w:t>Targets must be 100%.</w:t>
      </w:r>
    </w:p>
    <w:p w14:paraId="1ACBC1E2" w14:textId="77777777" w:rsidR="00B67038" w:rsidRPr="005C29F8" w:rsidRDefault="00B67038" w:rsidP="00286BDF">
      <w:pPr>
        <w:rPr>
          <w:rFonts w:cs="Arial"/>
          <w:color w:val="000000" w:themeColor="text1"/>
          <w:szCs w:val="16"/>
        </w:rPr>
      </w:pPr>
      <w:r w:rsidRPr="005C29F8">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6417A01B" w:rsidR="00B67038" w:rsidRPr="005C29F8" w:rsidRDefault="003A4027" w:rsidP="00286BDF">
      <w:pPr>
        <w:rPr>
          <w:rFonts w:cs="Arial"/>
          <w:color w:val="000000" w:themeColor="text1"/>
          <w:szCs w:val="16"/>
        </w:rPr>
      </w:pPr>
      <w:r w:rsidRPr="005C29F8">
        <w:rPr>
          <w:rFonts w:cs="Arial"/>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3E6D66A" w14:textId="21025B37" w:rsidR="00D04044" w:rsidRPr="0033429D" w:rsidRDefault="00056350" w:rsidP="00123D76">
      <w:pPr>
        <w:pStyle w:val="Heading2"/>
      </w:pPr>
      <w:bookmarkStart w:id="58" w:name="_Toc384383364"/>
      <w:bookmarkStart w:id="59" w:name="_Toc392159332"/>
      <w:bookmarkEnd w:id="56"/>
      <w:bookmarkEnd w:id="57"/>
      <w:r w:rsidRPr="0033429D">
        <w:t>13</w:t>
      </w:r>
      <w:r w:rsidR="004838A4" w:rsidRPr="0033429D">
        <w:t xml:space="preserve"> </w:t>
      </w:r>
      <w:r w:rsidRPr="0033429D">
        <w:t xml:space="preserve">- </w:t>
      </w:r>
      <w:r w:rsidR="00D04044" w:rsidRPr="0033429D">
        <w:t>Indicator Data</w:t>
      </w:r>
    </w:p>
    <w:p w14:paraId="61C4C68D" w14:textId="294F0305" w:rsidR="009447A3" w:rsidRDefault="009447A3"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14:paraId="03B988E1" w14:textId="77777777" w:rsidTr="00123D76">
        <w:trPr>
          <w:trHeight w:val="311"/>
          <w:tblHeader/>
        </w:trPr>
        <w:tc>
          <w:tcPr>
            <w:tcW w:w="1797" w:type="dxa"/>
          </w:tcPr>
          <w:p w14:paraId="74B6B294" w14:textId="77777777" w:rsidR="00694A39" w:rsidRDefault="00694A39" w:rsidP="00123D76">
            <w:pPr>
              <w:jc w:val="center"/>
              <w:rPr>
                <w:b/>
                <w:color w:val="000000" w:themeColor="text1"/>
              </w:rPr>
            </w:pPr>
            <w:r w:rsidRPr="005C29F8">
              <w:rPr>
                <w:rFonts w:cs="Arial"/>
                <w:b/>
                <w:color w:val="000000" w:themeColor="text1"/>
                <w:szCs w:val="16"/>
              </w:rPr>
              <w:t>Baseline Year</w:t>
            </w:r>
          </w:p>
        </w:tc>
        <w:tc>
          <w:tcPr>
            <w:tcW w:w="1798" w:type="dxa"/>
          </w:tcPr>
          <w:p w14:paraId="1FEDE010" w14:textId="77777777" w:rsidR="00694A39" w:rsidRDefault="00694A39" w:rsidP="00123D76">
            <w:pPr>
              <w:jc w:val="center"/>
              <w:rPr>
                <w:b/>
                <w:color w:val="000000" w:themeColor="text1"/>
              </w:rPr>
            </w:pPr>
            <w:r>
              <w:rPr>
                <w:b/>
                <w:color w:val="000000" w:themeColor="text1"/>
              </w:rPr>
              <w:t>Baseline Data</w:t>
            </w:r>
          </w:p>
        </w:tc>
      </w:tr>
      <w:tr w:rsidR="00694A39" w14:paraId="6D8D944B" w14:textId="77777777" w:rsidTr="00123D76">
        <w:trPr>
          <w:trHeight w:val="311"/>
        </w:trPr>
        <w:tc>
          <w:tcPr>
            <w:tcW w:w="1797" w:type="dxa"/>
            <w:vAlign w:val="center"/>
          </w:tcPr>
          <w:p w14:paraId="7FC4C2A7" w14:textId="00CC5CF2" w:rsidR="00694A39" w:rsidRPr="00227D4B" w:rsidRDefault="00694A39" w:rsidP="00123D76">
            <w:pPr>
              <w:jc w:val="center"/>
              <w:rPr>
                <w:bCs/>
                <w:color w:val="000000" w:themeColor="text1"/>
              </w:rPr>
            </w:pPr>
            <w:r w:rsidRPr="00227D4B">
              <w:rPr>
                <w:bCs/>
                <w:color w:val="000000" w:themeColor="text1"/>
              </w:rPr>
              <w:t>2009</w:t>
            </w:r>
          </w:p>
        </w:tc>
        <w:tc>
          <w:tcPr>
            <w:tcW w:w="1798" w:type="dxa"/>
            <w:vAlign w:val="center"/>
          </w:tcPr>
          <w:p w14:paraId="3A6C733C" w14:textId="66F52DB8" w:rsidR="00694A39" w:rsidRPr="00227D4B" w:rsidRDefault="00694A39" w:rsidP="00123D76">
            <w:pPr>
              <w:jc w:val="center"/>
              <w:rPr>
                <w:bCs/>
                <w:color w:val="000000" w:themeColor="text1"/>
              </w:rPr>
            </w:pPr>
            <w:r w:rsidRPr="00227D4B">
              <w:rPr>
                <w:bCs/>
                <w:color w:val="000000" w:themeColor="text1"/>
              </w:rPr>
              <w:t>77.00%</w:t>
            </w:r>
          </w:p>
        </w:tc>
      </w:tr>
    </w:tbl>
    <w:p w14:paraId="5733AE68" w14:textId="77777777" w:rsidR="00694A39" w:rsidRPr="005C29F8"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5C29F8" w14:paraId="687251DC" w14:textId="77777777" w:rsidTr="0033429D">
        <w:trPr>
          <w:trHeight w:val="350"/>
        </w:trPr>
        <w:tc>
          <w:tcPr>
            <w:tcW w:w="833" w:type="pct"/>
            <w:tcBorders>
              <w:bottom w:val="single" w:sz="4" w:space="0" w:color="auto"/>
            </w:tcBorders>
            <w:shd w:val="clear" w:color="auto" w:fill="auto"/>
          </w:tcPr>
          <w:p w14:paraId="14E01593" w14:textId="77777777" w:rsidR="009447A3" w:rsidRPr="005C29F8" w:rsidRDefault="009447A3"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73A85907" w14:textId="1D9118C1" w:rsidR="009447A3"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1C6C5D54" w14:textId="213C7749" w:rsidR="009447A3"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044515B1" w14:textId="14B45245" w:rsidR="009447A3"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695DE74A" w14:textId="50B444D4" w:rsidR="009447A3"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527EE05E" w14:textId="3E89E5BC" w:rsidR="009447A3"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0A07B33E" w14:textId="77777777" w:rsidTr="0033429D">
        <w:trPr>
          <w:trHeight w:val="357"/>
        </w:trPr>
        <w:tc>
          <w:tcPr>
            <w:tcW w:w="833" w:type="pct"/>
            <w:shd w:val="clear" w:color="auto" w:fill="auto"/>
          </w:tcPr>
          <w:p w14:paraId="04BB4B5A" w14:textId="3FC3EE91" w:rsidR="009447A3" w:rsidRPr="005C29F8" w:rsidRDefault="009447A3" w:rsidP="008E31C4">
            <w:pPr>
              <w:rPr>
                <w:rFonts w:cs="Arial"/>
                <w:color w:val="000000" w:themeColor="text1"/>
                <w:szCs w:val="16"/>
              </w:rPr>
            </w:pPr>
            <w:r w:rsidRPr="005C29F8">
              <w:rPr>
                <w:rFonts w:cs="Arial"/>
                <w:color w:val="000000" w:themeColor="text1"/>
                <w:szCs w:val="16"/>
              </w:rPr>
              <w:t xml:space="preserve">Target </w:t>
            </w:r>
          </w:p>
        </w:tc>
        <w:tc>
          <w:tcPr>
            <w:tcW w:w="833" w:type="pct"/>
            <w:shd w:val="clear" w:color="auto" w:fill="auto"/>
          </w:tcPr>
          <w:p w14:paraId="20467ACA" w14:textId="658A99BC"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4AE1489C" w14:textId="1138B82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3FAB6F79" w14:textId="47FCCD56"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3" w:type="pct"/>
            <w:shd w:val="clear" w:color="auto" w:fill="auto"/>
          </w:tcPr>
          <w:p w14:paraId="2EE056E4" w14:textId="485E460A"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834" w:type="pct"/>
            <w:shd w:val="clear" w:color="auto" w:fill="auto"/>
          </w:tcPr>
          <w:p w14:paraId="6F722BD0" w14:textId="06244133" w:rsidR="009447A3" w:rsidRPr="005C29F8" w:rsidRDefault="00B16A26" w:rsidP="004369B2">
            <w:pPr>
              <w:jc w:val="center"/>
              <w:rPr>
                <w:rFonts w:cs="Arial"/>
                <w:color w:val="000000" w:themeColor="text1"/>
                <w:szCs w:val="16"/>
              </w:rPr>
            </w:pPr>
            <w:r w:rsidRPr="005C29F8">
              <w:rPr>
                <w:rFonts w:cs="Arial"/>
                <w:color w:val="000000" w:themeColor="text1"/>
                <w:szCs w:val="16"/>
              </w:rPr>
              <w:t>100%</w:t>
            </w:r>
          </w:p>
        </w:tc>
      </w:tr>
      <w:tr w:rsidR="005C29F8" w:rsidRPr="005C29F8" w14:paraId="4403D1A8" w14:textId="77777777" w:rsidTr="0033429D">
        <w:trPr>
          <w:trHeight w:val="85"/>
        </w:trPr>
        <w:tc>
          <w:tcPr>
            <w:tcW w:w="833" w:type="pct"/>
            <w:shd w:val="clear" w:color="auto" w:fill="auto"/>
          </w:tcPr>
          <w:p w14:paraId="6473FB8E" w14:textId="77777777" w:rsidR="009447A3" w:rsidRPr="005C29F8" w:rsidRDefault="009447A3"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08672F7" w14:textId="4FDD51CC"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shd w:val="clear" w:color="auto" w:fill="auto"/>
          </w:tcPr>
          <w:p w14:paraId="50F55BA6" w14:textId="73CC9B0F"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6FC9DB0D" w14:textId="5188F524"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834" w:type="pct"/>
            <w:tcBorders>
              <w:bottom w:val="single" w:sz="4" w:space="0" w:color="auto"/>
            </w:tcBorders>
            <w:shd w:val="clear" w:color="auto" w:fill="auto"/>
            <w:vAlign w:val="center"/>
          </w:tcPr>
          <w:p w14:paraId="541BA7DE" w14:textId="2D80E9D8" w:rsidR="009447A3" w:rsidRPr="005C29F8" w:rsidRDefault="002B7490" w:rsidP="004369B2">
            <w:pPr>
              <w:jc w:val="center"/>
              <w:rPr>
                <w:rFonts w:cs="Arial"/>
                <w:color w:val="000000" w:themeColor="text1"/>
                <w:szCs w:val="16"/>
              </w:rPr>
            </w:pPr>
            <w:r w:rsidRPr="005C29F8">
              <w:rPr>
                <w:rFonts w:cs="Arial"/>
                <w:color w:val="000000" w:themeColor="text1"/>
                <w:szCs w:val="16"/>
              </w:rPr>
              <w:t>100.00%</w:t>
            </w:r>
          </w:p>
        </w:tc>
      </w:tr>
    </w:tbl>
    <w:p w14:paraId="30C8D33B" w14:textId="77777777" w:rsidR="00AF12E4" w:rsidRPr="005C29F8" w:rsidRDefault="00AF12E4" w:rsidP="004369B2">
      <w:pPr>
        <w:rPr>
          <w:color w:val="000000" w:themeColor="text1"/>
        </w:rPr>
      </w:pPr>
    </w:p>
    <w:p w14:paraId="75465A8F" w14:textId="65C77B0F" w:rsidR="007A3964" w:rsidRPr="005C29F8" w:rsidRDefault="007A3964" w:rsidP="004369B2">
      <w:pPr>
        <w:rPr>
          <w:color w:val="000000" w:themeColor="text1"/>
        </w:rPr>
      </w:pPr>
      <w:r w:rsidRPr="005C29F8">
        <w:rPr>
          <w:b/>
          <w:color w:val="000000" w:themeColor="text1"/>
        </w:rPr>
        <w:t>Targets</w:t>
      </w:r>
    </w:p>
    <w:tbl>
      <w:tblPr>
        <w:tblW w:w="1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TARGETS"/>
      </w:tblPr>
      <w:tblGrid>
        <w:gridCol w:w="679"/>
        <w:gridCol w:w="2465"/>
      </w:tblGrid>
      <w:tr w:rsidR="00441578" w:rsidRPr="005C29F8" w14:paraId="75609119" w14:textId="77777777" w:rsidTr="00441578">
        <w:trPr>
          <w:trHeight w:val="350"/>
        </w:trPr>
        <w:tc>
          <w:tcPr>
            <w:tcW w:w="1079" w:type="pct"/>
            <w:tcBorders>
              <w:bottom w:val="single" w:sz="4" w:space="0" w:color="auto"/>
            </w:tcBorders>
            <w:shd w:val="clear" w:color="auto" w:fill="auto"/>
          </w:tcPr>
          <w:p w14:paraId="270D1909" w14:textId="77777777" w:rsidR="00441578" w:rsidRPr="005C29F8" w:rsidRDefault="00441578" w:rsidP="004369B2">
            <w:pPr>
              <w:jc w:val="center"/>
              <w:rPr>
                <w:b/>
                <w:color w:val="000000" w:themeColor="text1"/>
              </w:rPr>
            </w:pPr>
            <w:r w:rsidRPr="005C29F8">
              <w:rPr>
                <w:b/>
                <w:color w:val="000000" w:themeColor="text1"/>
              </w:rPr>
              <w:t>FFY</w:t>
            </w:r>
          </w:p>
        </w:tc>
        <w:tc>
          <w:tcPr>
            <w:tcW w:w="3921" w:type="pct"/>
            <w:shd w:val="clear" w:color="auto" w:fill="auto"/>
            <w:vAlign w:val="center"/>
          </w:tcPr>
          <w:p w14:paraId="3C863620" w14:textId="7777777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129EADEA" w14:textId="77777777" w:rsidTr="00441578">
        <w:trPr>
          <w:trHeight w:val="357"/>
        </w:trPr>
        <w:tc>
          <w:tcPr>
            <w:tcW w:w="1079" w:type="pct"/>
            <w:shd w:val="clear" w:color="auto" w:fill="auto"/>
            <w:vAlign w:val="center"/>
          </w:tcPr>
          <w:p w14:paraId="14AB537C" w14:textId="77777777" w:rsidR="00441578" w:rsidRPr="005C29F8" w:rsidRDefault="00441578" w:rsidP="00D95C14">
            <w:pPr>
              <w:rPr>
                <w:rFonts w:cs="Arial"/>
                <w:color w:val="000000" w:themeColor="text1"/>
                <w:szCs w:val="16"/>
              </w:rPr>
            </w:pPr>
            <w:r w:rsidRPr="005C29F8">
              <w:rPr>
                <w:rFonts w:cs="Arial"/>
                <w:color w:val="000000" w:themeColor="text1"/>
                <w:szCs w:val="16"/>
              </w:rPr>
              <w:t xml:space="preserve">Target </w:t>
            </w:r>
          </w:p>
        </w:tc>
        <w:tc>
          <w:tcPr>
            <w:tcW w:w="3921" w:type="pct"/>
            <w:shd w:val="clear" w:color="auto" w:fill="auto"/>
            <w:vAlign w:val="center"/>
          </w:tcPr>
          <w:p w14:paraId="0BAE8900" w14:textId="37E5F8C0" w:rsidR="00441578" w:rsidRPr="005C29F8" w:rsidRDefault="00441578" w:rsidP="00D95C14">
            <w:pPr>
              <w:jc w:val="center"/>
              <w:rPr>
                <w:rFonts w:cs="Arial"/>
                <w:color w:val="000000" w:themeColor="text1"/>
                <w:szCs w:val="16"/>
              </w:rPr>
            </w:pPr>
            <w:r w:rsidRPr="005C29F8">
              <w:rPr>
                <w:rFonts w:cs="Arial"/>
                <w:color w:val="000000" w:themeColor="text1"/>
                <w:szCs w:val="16"/>
              </w:rPr>
              <w:t>100%</w:t>
            </w:r>
          </w:p>
        </w:tc>
      </w:tr>
    </w:tbl>
    <w:p w14:paraId="2E844227" w14:textId="77777777" w:rsidR="00AF12E4" w:rsidRPr="005C29F8" w:rsidRDefault="00AF12E4" w:rsidP="004369B2">
      <w:pPr>
        <w:rPr>
          <w:color w:val="000000" w:themeColor="text1"/>
        </w:rPr>
      </w:pPr>
    </w:p>
    <w:p w14:paraId="596F7C13" w14:textId="79662929" w:rsidR="00D03701" w:rsidRPr="005C29F8" w:rsidRDefault="00EC46E4" w:rsidP="004369B2">
      <w:pPr>
        <w:rPr>
          <w:color w:val="000000" w:themeColor="text1"/>
        </w:rPr>
      </w:pPr>
      <w:r w:rsidRPr="005C29F8">
        <w:rPr>
          <w:b/>
          <w:color w:val="000000" w:themeColor="text1"/>
        </w:rPr>
        <w:t>FFY 2019 SPP/APR Data</w:t>
      </w:r>
      <w:bookmarkEnd w:id="58"/>
      <w:bookmarkEnd w:id="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5C29F8" w14:paraId="22208B6A" w14:textId="2EBA1D17" w:rsidTr="00A947D9">
        <w:trPr>
          <w:trHeight w:val="354"/>
          <w:tblHeader/>
        </w:trPr>
        <w:tc>
          <w:tcPr>
            <w:tcW w:w="710" w:type="pct"/>
            <w:shd w:val="clear" w:color="auto" w:fill="auto"/>
            <w:vAlign w:val="bottom"/>
          </w:tcPr>
          <w:p w14:paraId="24F7C6E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5C29F8" w:rsidRDefault="00B67038" w:rsidP="00681BA6">
            <w:pPr>
              <w:jc w:val="center"/>
              <w:rPr>
                <w:rFonts w:cs="Arial"/>
                <w:b/>
                <w:color w:val="000000" w:themeColor="text1"/>
                <w:szCs w:val="16"/>
              </w:rPr>
            </w:pPr>
            <w:r w:rsidRPr="005C29F8">
              <w:rPr>
                <w:rFonts w:cs="Arial"/>
                <w:b/>
                <w:color w:val="000000" w:themeColor="text1"/>
                <w:szCs w:val="16"/>
              </w:rPr>
              <w:t xml:space="preserve">Number of </w:t>
            </w:r>
            <w:proofErr w:type="gramStart"/>
            <w:r w:rsidRPr="005C29F8">
              <w:rPr>
                <w:rFonts w:cs="Arial"/>
                <w:b/>
                <w:color w:val="000000" w:themeColor="text1"/>
                <w:szCs w:val="16"/>
              </w:rPr>
              <w:t>youth</w:t>
            </w:r>
            <w:proofErr w:type="gramEnd"/>
            <w:r w:rsidRPr="005C29F8">
              <w:rPr>
                <w:rFonts w:cs="Arial"/>
                <w:b/>
                <w:color w:val="000000" w:themeColor="text1"/>
                <w:szCs w:val="16"/>
              </w:rPr>
              <w:t xml:space="preserve"> with IEPs aged 16 and above</w:t>
            </w:r>
          </w:p>
        </w:tc>
        <w:tc>
          <w:tcPr>
            <w:tcW w:w="636" w:type="pct"/>
            <w:shd w:val="clear" w:color="auto" w:fill="auto"/>
            <w:vAlign w:val="bottom"/>
          </w:tcPr>
          <w:p w14:paraId="77D0CB34" w14:textId="5F4605AD" w:rsidR="00B67038"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958" w:type="pct"/>
            <w:shd w:val="clear" w:color="auto" w:fill="auto"/>
            <w:vAlign w:val="bottom"/>
          </w:tcPr>
          <w:p w14:paraId="0E375E75" w14:textId="1C549A6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Target</w:t>
            </w:r>
          </w:p>
        </w:tc>
        <w:tc>
          <w:tcPr>
            <w:tcW w:w="571" w:type="pct"/>
            <w:shd w:val="clear" w:color="auto" w:fill="auto"/>
            <w:vAlign w:val="bottom"/>
          </w:tcPr>
          <w:p w14:paraId="58CCB0C1" w14:textId="74B387F3" w:rsidR="00B67038" w:rsidRPr="005C29F8" w:rsidRDefault="00B67038" w:rsidP="00681BA6">
            <w:pPr>
              <w:jc w:val="center"/>
              <w:rPr>
                <w:rFonts w:cs="Arial"/>
                <w:b/>
                <w:color w:val="000000" w:themeColor="text1"/>
                <w:szCs w:val="16"/>
              </w:rPr>
            </w:pPr>
            <w:r w:rsidRPr="005C29F8">
              <w:rPr>
                <w:rFonts w:cs="Arial"/>
                <w:b/>
                <w:color w:val="000000" w:themeColor="text1"/>
                <w:szCs w:val="16"/>
              </w:rPr>
              <w:t>FFY 2019 Data</w:t>
            </w:r>
          </w:p>
        </w:tc>
        <w:tc>
          <w:tcPr>
            <w:tcW w:w="728" w:type="pct"/>
            <w:shd w:val="clear" w:color="auto" w:fill="auto"/>
            <w:vAlign w:val="bottom"/>
          </w:tcPr>
          <w:p w14:paraId="3A7C3260" w14:textId="5AACBA6E" w:rsidR="00B67038" w:rsidRPr="005C29F8" w:rsidRDefault="00B67038" w:rsidP="00681BA6">
            <w:pPr>
              <w:jc w:val="center"/>
              <w:rPr>
                <w:rFonts w:cs="Arial"/>
                <w:b/>
                <w:color w:val="000000" w:themeColor="text1"/>
                <w:szCs w:val="16"/>
              </w:rPr>
            </w:pPr>
            <w:r w:rsidRPr="005C29F8">
              <w:rPr>
                <w:rFonts w:cs="Arial"/>
                <w:b/>
                <w:color w:val="000000" w:themeColor="text1"/>
                <w:szCs w:val="16"/>
              </w:rPr>
              <w:t>Status</w:t>
            </w:r>
          </w:p>
        </w:tc>
        <w:tc>
          <w:tcPr>
            <w:tcW w:w="704" w:type="pct"/>
            <w:shd w:val="clear" w:color="auto" w:fill="auto"/>
            <w:vAlign w:val="bottom"/>
          </w:tcPr>
          <w:p w14:paraId="34FABCEB" w14:textId="119B0EB2" w:rsidR="00B67038" w:rsidRPr="005C29F8" w:rsidRDefault="00B67038"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8CC159D" w14:textId="122E5ABE" w:rsidTr="00A947D9">
        <w:trPr>
          <w:trHeight w:val="361"/>
        </w:trPr>
        <w:tc>
          <w:tcPr>
            <w:tcW w:w="710" w:type="pct"/>
            <w:shd w:val="clear" w:color="auto" w:fill="auto"/>
            <w:vAlign w:val="center"/>
          </w:tcPr>
          <w:p w14:paraId="55912D09" w14:textId="371B119A" w:rsidR="00070D9E" w:rsidRPr="005C29F8" w:rsidRDefault="002B7490" w:rsidP="004369B2">
            <w:pPr>
              <w:jc w:val="center"/>
              <w:rPr>
                <w:rFonts w:cs="Arial"/>
                <w:color w:val="000000" w:themeColor="text1"/>
                <w:szCs w:val="16"/>
              </w:rPr>
            </w:pPr>
            <w:r w:rsidRPr="005C29F8">
              <w:rPr>
                <w:rFonts w:cs="Arial"/>
                <w:color w:val="000000" w:themeColor="text1"/>
                <w:szCs w:val="16"/>
              </w:rPr>
              <w:t>183</w:t>
            </w:r>
          </w:p>
        </w:tc>
        <w:tc>
          <w:tcPr>
            <w:tcW w:w="694" w:type="pct"/>
            <w:shd w:val="clear" w:color="auto" w:fill="auto"/>
            <w:vAlign w:val="center"/>
          </w:tcPr>
          <w:p w14:paraId="3D798FB5" w14:textId="3B2AC314" w:rsidR="00070D9E" w:rsidRPr="005C29F8" w:rsidRDefault="002B7490" w:rsidP="004369B2">
            <w:pPr>
              <w:jc w:val="center"/>
              <w:rPr>
                <w:rFonts w:cs="Arial"/>
                <w:color w:val="000000" w:themeColor="text1"/>
                <w:szCs w:val="16"/>
              </w:rPr>
            </w:pPr>
            <w:r w:rsidRPr="005C29F8">
              <w:rPr>
                <w:rFonts w:cs="Arial"/>
                <w:color w:val="000000" w:themeColor="text1"/>
                <w:szCs w:val="16"/>
              </w:rPr>
              <w:t>220</w:t>
            </w:r>
          </w:p>
        </w:tc>
        <w:tc>
          <w:tcPr>
            <w:tcW w:w="636" w:type="pct"/>
            <w:shd w:val="clear" w:color="auto" w:fill="auto"/>
            <w:vAlign w:val="center"/>
          </w:tcPr>
          <w:p w14:paraId="36E1BD35" w14:textId="4F5BD8EB" w:rsidR="00070D9E" w:rsidRPr="005C29F8" w:rsidRDefault="002B7490" w:rsidP="004369B2">
            <w:pPr>
              <w:jc w:val="center"/>
              <w:rPr>
                <w:rFonts w:cs="Arial"/>
                <w:color w:val="000000" w:themeColor="text1"/>
                <w:szCs w:val="16"/>
              </w:rPr>
            </w:pPr>
            <w:r w:rsidRPr="005C29F8">
              <w:rPr>
                <w:rFonts w:cs="Arial"/>
                <w:color w:val="000000" w:themeColor="text1"/>
                <w:szCs w:val="16"/>
              </w:rPr>
              <w:t>100.00%</w:t>
            </w:r>
          </w:p>
        </w:tc>
        <w:tc>
          <w:tcPr>
            <w:tcW w:w="958" w:type="pct"/>
            <w:shd w:val="clear" w:color="auto" w:fill="auto"/>
            <w:vAlign w:val="center"/>
          </w:tcPr>
          <w:p w14:paraId="20E5284B" w14:textId="1FE0CF32" w:rsidR="00070D9E" w:rsidRPr="005C29F8" w:rsidRDefault="00B16A26" w:rsidP="004369B2">
            <w:pPr>
              <w:jc w:val="center"/>
              <w:rPr>
                <w:rFonts w:cs="Arial"/>
                <w:color w:val="000000" w:themeColor="text1"/>
                <w:szCs w:val="16"/>
              </w:rPr>
            </w:pPr>
            <w:r w:rsidRPr="005C29F8">
              <w:rPr>
                <w:rFonts w:cs="Arial"/>
                <w:color w:val="000000" w:themeColor="text1"/>
                <w:szCs w:val="16"/>
              </w:rPr>
              <w:t>100%</w:t>
            </w:r>
          </w:p>
        </w:tc>
        <w:tc>
          <w:tcPr>
            <w:tcW w:w="571" w:type="pct"/>
            <w:shd w:val="clear" w:color="auto" w:fill="auto"/>
            <w:vAlign w:val="center"/>
          </w:tcPr>
          <w:p w14:paraId="55A387E5" w14:textId="6321743C" w:rsidR="00070D9E" w:rsidRPr="005C29F8" w:rsidRDefault="002B7490" w:rsidP="004369B2">
            <w:pPr>
              <w:jc w:val="center"/>
              <w:rPr>
                <w:rFonts w:cs="Arial"/>
                <w:color w:val="000000" w:themeColor="text1"/>
                <w:szCs w:val="16"/>
              </w:rPr>
            </w:pPr>
            <w:r w:rsidRPr="005C29F8">
              <w:rPr>
                <w:rFonts w:cs="Arial"/>
                <w:color w:val="000000" w:themeColor="text1"/>
                <w:szCs w:val="16"/>
              </w:rPr>
              <w:t>83.18%</w:t>
            </w:r>
          </w:p>
        </w:tc>
        <w:tc>
          <w:tcPr>
            <w:tcW w:w="728" w:type="pct"/>
            <w:shd w:val="clear" w:color="auto" w:fill="auto"/>
            <w:vAlign w:val="center"/>
          </w:tcPr>
          <w:p w14:paraId="66968C5A" w14:textId="493EB054" w:rsidR="00070D9E" w:rsidRPr="005C29F8" w:rsidRDefault="002B7490" w:rsidP="004369B2">
            <w:pPr>
              <w:jc w:val="center"/>
              <w:rPr>
                <w:rFonts w:cs="Arial"/>
                <w:color w:val="000000" w:themeColor="text1"/>
                <w:szCs w:val="16"/>
              </w:rPr>
            </w:pPr>
            <w:r w:rsidRPr="005C29F8">
              <w:rPr>
                <w:rFonts w:cs="Arial"/>
                <w:color w:val="000000" w:themeColor="text1"/>
                <w:szCs w:val="16"/>
              </w:rPr>
              <w:t>Did Not Meet Target</w:t>
            </w:r>
          </w:p>
        </w:tc>
        <w:tc>
          <w:tcPr>
            <w:tcW w:w="704" w:type="pct"/>
            <w:shd w:val="clear" w:color="auto" w:fill="auto"/>
            <w:vAlign w:val="center"/>
          </w:tcPr>
          <w:p w14:paraId="175BD68F" w14:textId="534B9E4D" w:rsidR="00070D9E" w:rsidRPr="005C29F8" w:rsidRDefault="002B7490" w:rsidP="004369B2">
            <w:pPr>
              <w:jc w:val="center"/>
              <w:rPr>
                <w:rFonts w:cs="Arial"/>
                <w:color w:val="000000" w:themeColor="text1"/>
                <w:szCs w:val="16"/>
              </w:rPr>
            </w:pPr>
            <w:r w:rsidRPr="005C29F8">
              <w:rPr>
                <w:rFonts w:cs="Arial"/>
                <w:color w:val="000000" w:themeColor="text1"/>
                <w:szCs w:val="16"/>
              </w:rPr>
              <w:t>Slippage</w:t>
            </w:r>
          </w:p>
        </w:tc>
      </w:tr>
    </w:tbl>
    <w:p w14:paraId="056B3BB4" w14:textId="223762EA" w:rsidR="004301DA" w:rsidRPr="007C1BCF" w:rsidRDefault="00326C0B" w:rsidP="004301DA">
      <w:pPr>
        <w:rPr>
          <w:rFonts w:cs="Arial"/>
          <w:b/>
          <w:iCs/>
          <w:color w:val="000000" w:themeColor="text1"/>
          <w:szCs w:val="16"/>
        </w:rPr>
      </w:pPr>
      <w:r w:rsidRPr="005C29F8">
        <w:rPr>
          <w:rFonts w:cs="Arial"/>
          <w:b/>
          <w:color w:val="000000" w:themeColor="text1"/>
          <w:szCs w:val="16"/>
        </w:rPr>
        <w:t>Provide reasons for slippage, if applicable</w:t>
      </w:r>
    </w:p>
    <w:p w14:paraId="1C23CDFF" w14:textId="05BA6A6C" w:rsidR="00326C0B" w:rsidRDefault="002B7490" w:rsidP="007D435F">
      <w:pPr>
        <w:rPr>
          <w:rFonts w:cs="Arial"/>
          <w:color w:val="000000" w:themeColor="text1"/>
          <w:szCs w:val="16"/>
        </w:rPr>
      </w:pPr>
      <w:r w:rsidRPr="005C29F8">
        <w:rPr>
          <w:rFonts w:cs="Arial"/>
          <w:color w:val="000000" w:themeColor="text1"/>
          <w:szCs w:val="16"/>
        </w:rPr>
        <w:lastRenderedPageBreak/>
        <w:t>The COVID-19 pandemic impacted school operations, which affected the completion of annual Individualized Education Program (IEP) reviews during the school closure from March 16, 2020 through June 15, 2020.</w:t>
      </w:r>
      <w:r w:rsidRPr="005C29F8">
        <w:rPr>
          <w:rFonts w:cs="Arial"/>
          <w:color w:val="000000" w:themeColor="text1"/>
          <w:szCs w:val="16"/>
        </w:rPr>
        <w:br/>
      </w:r>
      <w:r w:rsidRPr="005C29F8">
        <w:rPr>
          <w:rFonts w:cs="Arial"/>
          <w:color w:val="000000" w:themeColor="text1"/>
          <w:szCs w:val="16"/>
        </w:rPr>
        <w:br/>
        <w:t>CNMI’s FFY 2019 Indicator 13 performance of 83.18% (183/220) represented students with an IEP who were 16 years old or older by June 30, 2020 who had the required secondary transition elements indicated in their IEP. This left 16.82% or 37 IEPs without the required secondary transition elements indicated in their IEP that were due for an annual IEP review during the school closure period. Reasons for this slippage from previous reporting period include:</w:t>
      </w:r>
      <w:r w:rsidRPr="005C29F8">
        <w:rPr>
          <w:rFonts w:cs="Arial"/>
          <w:color w:val="000000" w:themeColor="text1"/>
          <w:szCs w:val="16"/>
        </w:rPr>
        <w:br/>
        <w:t>-CNMI’s austerity limited the availability of furloughed general education teachers who had information regarding the students prior to schools closing. General education teachers were furloughed from April 1, 2020 – August 26, 2020.</w:t>
      </w:r>
      <w:r w:rsidRPr="005C29F8">
        <w:rPr>
          <w:rFonts w:cs="Arial"/>
          <w:color w:val="000000" w:themeColor="text1"/>
          <w:szCs w:val="16"/>
        </w:rPr>
        <w:br/>
        <w:t>-CNMI PSS implemented a 4-day work/school week, which limited access to general education personnel.</w:t>
      </w:r>
      <w:r w:rsidRPr="005C29F8">
        <w:rPr>
          <w:rFonts w:cs="Arial"/>
          <w:color w:val="000000" w:themeColor="text1"/>
          <w:szCs w:val="16"/>
        </w:rPr>
        <w:br/>
        <w:t>-Schools implemented distance learning with limited face-to-face interventions beginning October 2020. Parents indicated that they will wait until school is back in session.</w:t>
      </w:r>
      <w:r w:rsidRPr="005C29F8">
        <w:rPr>
          <w:rFonts w:cs="Arial"/>
          <w:color w:val="000000" w:themeColor="text1"/>
          <w:szCs w:val="16"/>
        </w:rPr>
        <w:br/>
        <w:t>-CNMI PSS implemented an online school registration system, which resulted in issues for students transitioning or transferring to another school at the beginning of school year 2020-2021.</w:t>
      </w:r>
      <w:r w:rsidRPr="005C29F8">
        <w:rPr>
          <w:rFonts w:cs="Arial"/>
          <w:color w:val="000000" w:themeColor="text1"/>
          <w:szCs w:val="16"/>
        </w:rPr>
        <w:br/>
        <w:t>-Personnel error with not scheduling annual IEP reviews.</w:t>
      </w:r>
    </w:p>
    <w:p w14:paraId="01C32496" w14:textId="77777777" w:rsidR="00A5601C" w:rsidRPr="005C29F8" w:rsidRDefault="00070D9E">
      <w:pPr>
        <w:rPr>
          <w:b/>
          <w:color w:val="000000" w:themeColor="text1"/>
        </w:rPr>
      </w:pPr>
      <w:r w:rsidRPr="005C29F8">
        <w:rPr>
          <w:b/>
          <w:color w:val="000000" w:themeColor="text1"/>
        </w:rPr>
        <w:t xml:space="preserve">What is the source of the data provided for this indicator? </w:t>
      </w:r>
    </w:p>
    <w:p w14:paraId="2BFF05E7" w14:textId="7BFBE390" w:rsidR="00070D9E" w:rsidRDefault="002B7490" w:rsidP="004369B2">
      <w:pPr>
        <w:rPr>
          <w:iCs/>
          <w:color w:val="000000" w:themeColor="text1"/>
        </w:rPr>
      </w:pPr>
      <w:r w:rsidRPr="005C29F8">
        <w:rPr>
          <w:iCs/>
          <w:color w:val="000000" w:themeColor="text1"/>
        </w:rPr>
        <w:t>State database that includes data for the entire reporting year</w:t>
      </w:r>
    </w:p>
    <w:p w14:paraId="68493AF0" w14:textId="77777777" w:rsidR="00070D9E" w:rsidRPr="005C29F8" w:rsidRDefault="00070D9E" w:rsidP="004369B2">
      <w:pPr>
        <w:rPr>
          <w:b/>
          <w:color w:val="000000" w:themeColor="text1"/>
        </w:rPr>
      </w:pPr>
      <w:r w:rsidRPr="005C29F8">
        <w:rPr>
          <w:b/>
          <w:color w:val="000000" w:themeColor="text1"/>
        </w:rPr>
        <w:t xml:space="preserve">Describe the method used to collect these data, and if data are from the State’s monitoring, describe the procedures used to collect these data. </w:t>
      </w:r>
    </w:p>
    <w:p w14:paraId="22E8774A" w14:textId="46B4955A" w:rsidR="00326C0B" w:rsidRDefault="002B7490" w:rsidP="008E31C4">
      <w:pPr>
        <w:rPr>
          <w:rFonts w:cs="Arial"/>
          <w:color w:val="000000" w:themeColor="text1"/>
          <w:szCs w:val="16"/>
        </w:rPr>
      </w:pPr>
      <w:r w:rsidRPr="005C29F8">
        <w:rPr>
          <w:rFonts w:cs="Arial"/>
          <w:color w:val="000000" w:themeColor="text1"/>
          <w:szCs w:val="16"/>
        </w:rPr>
        <w:t xml:space="preserve">The Data Manager uses the National Secondary Transition Technical Assistance Center (NSTTAC) checklist to review all IEP’s of 16 year </w:t>
      </w:r>
      <w:proofErr w:type="spellStart"/>
      <w:r w:rsidRPr="005C29F8">
        <w:rPr>
          <w:rFonts w:cs="Arial"/>
          <w:color w:val="000000" w:themeColor="text1"/>
          <w:szCs w:val="16"/>
        </w:rPr>
        <w:t>olds</w:t>
      </w:r>
      <w:proofErr w:type="spellEnd"/>
      <w:r w:rsidRPr="005C29F8">
        <w:rPr>
          <w:rFonts w:cs="Arial"/>
          <w:color w:val="000000" w:themeColor="text1"/>
          <w:szCs w:val="16"/>
        </w:rPr>
        <w:t xml:space="preserve"> to verify the survey results and to ensure the surveys reflect students who are at least 16 years old and above and that there were no duplicate counts. The data is collected from each IEP and inputted on an excel sheet created by the Data Manager as a component of the State data base.</w:t>
      </w:r>
    </w:p>
    <w:tbl>
      <w:tblPr>
        <w:tblStyle w:val="TableGrid"/>
        <w:tblW w:w="5000" w:type="pct"/>
        <w:tblLook w:val="04A0" w:firstRow="1" w:lastRow="0" w:firstColumn="1" w:lastColumn="0" w:noHBand="0" w:noVBand="1"/>
        <w:tblCaption w:val="B13CFFYCOLLECT"/>
      </w:tblPr>
      <w:tblGrid>
        <w:gridCol w:w="8503"/>
        <w:gridCol w:w="2287"/>
      </w:tblGrid>
      <w:tr w:rsidR="005C29F8" w:rsidRPr="005C29F8" w14:paraId="366D2592" w14:textId="77777777" w:rsidTr="0033429D">
        <w:trPr>
          <w:tblHeader/>
        </w:trPr>
        <w:tc>
          <w:tcPr>
            <w:tcW w:w="3940" w:type="pct"/>
          </w:tcPr>
          <w:p w14:paraId="49221B81" w14:textId="4811C153" w:rsidR="006B4D98" w:rsidRPr="0033429D" w:rsidRDefault="00694A39" w:rsidP="005F442C">
            <w:pPr>
              <w:rPr>
                <w:rFonts w:cs="Arial"/>
                <w:b/>
                <w:bCs/>
                <w:color w:val="000000" w:themeColor="text1"/>
                <w:szCs w:val="16"/>
              </w:rPr>
            </w:pPr>
            <w:r w:rsidRPr="0033429D">
              <w:rPr>
                <w:rFonts w:cs="Arial"/>
                <w:b/>
                <w:bCs/>
                <w:color w:val="000000" w:themeColor="text1"/>
                <w:szCs w:val="16"/>
              </w:rPr>
              <w:t>Question</w:t>
            </w:r>
          </w:p>
        </w:tc>
        <w:tc>
          <w:tcPr>
            <w:tcW w:w="1060" w:type="pct"/>
          </w:tcPr>
          <w:p w14:paraId="3C85F11D" w14:textId="67F200AD" w:rsidR="006B4D98" w:rsidRPr="005C29F8" w:rsidRDefault="006B4D98"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3EAB126" w14:textId="25879D68" w:rsidTr="00A947D9">
        <w:tc>
          <w:tcPr>
            <w:tcW w:w="3940" w:type="pct"/>
          </w:tcPr>
          <w:p w14:paraId="48B431E3" w14:textId="55B03061" w:rsidR="006B4D98" w:rsidRPr="005C29F8" w:rsidRDefault="006B4D98" w:rsidP="005F442C">
            <w:pPr>
              <w:rPr>
                <w:rFonts w:cs="Arial"/>
                <w:color w:val="000000" w:themeColor="text1"/>
                <w:szCs w:val="16"/>
              </w:rPr>
            </w:pPr>
            <w:r w:rsidRPr="005C29F8">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735DB55A" w14:textId="18C77FF1" w:rsidR="00644AC8" w:rsidRPr="005C29F8" w:rsidRDefault="00644AC8" w:rsidP="005F442C">
      <w:pPr>
        <w:rPr>
          <w:rFonts w:cs="Arial"/>
          <w:b/>
          <w:color w:val="000000" w:themeColor="text1"/>
          <w:szCs w:val="16"/>
        </w:rPr>
      </w:pPr>
      <w:bookmarkStart w:id="60" w:name="_Toc392159335"/>
      <w:r w:rsidRPr="005C29F8">
        <w:rPr>
          <w:rFonts w:cs="Arial"/>
          <w:b/>
          <w:color w:val="000000" w:themeColor="text1"/>
          <w:szCs w:val="16"/>
        </w:rPr>
        <w:t>Provide additional information about this indicator (optional)</w:t>
      </w:r>
    </w:p>
    <w:p w14:paraId="2F22AC76" w14:textId="5FF8D00A" w:rsidR="00326C0B" w:rsidRPr="005C29F8" w:rsidRDefault="002B7490" w:rsidP="007D435F">
      <w:pPr>
        <w:rPr>
          <w:rFonts w:cs="Arial"/>
          <w:color w:val="000000" w:themeColor="text1"/>
          <w:szCs w:val="16"/>
        </w:rPr>
      </w:pPr>
      <w:r w:rsidRPr="005C29F8">
        <w:rPr>
          <w:rFonts w:cs="Arial"/>
          <w:color w:val="000000" w:themeColor="text1"/>
          <w:szCs w:val="16"/>
        </w:rPr>
        <w:t>As of the date of this report submission, CNMI reports that of the 37 IEPs that did not meet the Indicator 13 secondary transition requirements in the FFY 2019 reporting period, 31 or 83.78% have met the Indicator 13 secondary transition requirements.  The remaining six IEPs are anticipated to be completed in the month of February 2021.</w:t>
      </w:r>
    </w:p>
    <w:p w14:paraId="1F3D4141" w14:textId="77777777" w:rsidR="00AF12E4" w:rsidRPr="005C29F8" w:rsidRDefault="00AF12E4" w:rsidP="004369B2">
      <w:pPr>
        <w:rPr>
          <w:color w:val="000000" w:themeColor="text1"/>
        </w:rPr>
      </w:pPr>
    </w:p>
    <w:p w14:paraId="37C34CDA" w14:textId="26737A21" w:rsidR="009A755E" w:rsidRPr="005C29F8" w:rsidRDefault="009A755E" w:rsidP="004369B2">
      <w:pPr>
        <w:rPr>
          <w:color w:val="000000" w:themeColor="text1"/>
        </w:rPr>
      </w:pPr>
      <w:r w:rsidRPr="005C29F8">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5C29F8" w14:paraId="6C308319" w14:textId="77777777" w:rsidTr="00A947D9">
        <w:trPr>
          <w:trHeight w:val="389"/>
          <w:tblHeader/>
        </w:trPr>
        <w:tc>
          <w:tcPr>
            <w:tcW w:w="1228" w:type="pct"/>
            <w:shd w:val="clear" w:color="auto" w:fill="auto"/>
            <w:vAlign w:val="bottom"/>
          </w:tcPr>
          <w:p w14:paraId="5A6805D6"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04582DC7" w14:textId="77777777" w:rsidTr="00A947D9">
        <w:tc>
          <w:tcPr>
            <w:tcW w:w="1228" w:type="pct"/>
            <w:shd w:val="clear" w:color="auto" w:fill="auto"/>
          </w:tcPr>
          <w:p w14:paraId="1C22474D" w14:textId="5ECD77A3"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88" w:type="pct"/>
            <w:shd w:val="clear" w:color="auto" w:fill="auto"/>
          </w:tcPr>
          <w:p w14:paraId="6A161A21" w14:textId="698D820A"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31" w:type="pct"/>
            <w:shd w:val="clear" w:color="auto" w:fill="auto"/>
          </w:tcPr>
          <w:p w14:paraId="6CF556ED" w14:textId="6BD64A21"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1254" w:type="pct"/>
            <w:shd w:val="clear" w:color="auto" w:fill="auto"/>
          </w:tcPr>
          <w:p w14:paraId="1B14B45E" w14:textId="6409289E" w:rsidR="009A755E" w:rsidRPr="005C29F8" w:rsidRDefault="002B7490" w:rsidP="004369B2">
            <w:pPr>
              <w:jc w:val="center"/>
              <w:rPr>
                <w:rFonts w:cs="Arial"/>
                <w:color w:val="000000" w:themeColor="text1"/>
                <w:szCs w:val="16"/>
              </w:rPr>
            </w:pPr>
            <w:r w:rsidRPr="005C29F8">
              <w:rPr>
                <w:rFonts w:cs="Arial"/>
                <w:color w:val="000000" w:themeColor="text1"/>
                <w:szCs w:val="16"/>
              </w:rPr>
              <w:t>0</w:t>
            </w:r>
          </w:p>
        </w:tc>
      </w:tr>
    </w:tbl>
    <w:p w14:paraId="09CD9C74" w14:textId="77777777" w:rsidR="00A947D9" w:rsidRPr="005C29F8" w:rsidRDefault="00A947D9" w:rsidP="004369B2">
      <w:pPr>
        <w:rPr>
          <w:color w:val="000000" w:themeColor="text1"/>
        </w:rPr>
      </w:pPr>
    </w:p>
    <w:p w14:paraId="59FD8363" w14:textId="1D597578" w:rsidR="009A755E" w:rsidRPr="005C29F8" w:rsidRDefault="009A755E" w:rsidP="004369B2">
      <w:pPr>
        <w:rPr>
          <w:color w:val="000000" w:themeColor="text1"/>
        </w:rPr>
      </w:pPr>
      <w:r w:rsidRPr="005C29F8">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5C29F8" w14:paraId="1C8DDFE9" w14:textId="77777777" w:rsidTr="00A947D9">
        <w:trPr>
          <w:tblHeader/>
        </w:trPr>
        <w:tc>
          <w:tcPr>
            <w:tcW w:w="988" w:type="pct"/>
            <w:shd w:val="clear" w:color="auto" w:fill="auto"/>
            <w:vAlign w:val="bottom"/>
          </w:tcPr>
          <w:p w14:paraId="6DA65F9A" w14:textId="186CEF16" w:rsidR="009A755E" w:rsidRPr="005C29F8" w:rsidRDefault="003A4027" w:rsidP="009A755E">
            <w:pPr>
              <w:jc w:val="center"/>
              <w:rPr>
                <w:rFonts w:cs="Arial"/>
                <w:b/>
                <w:color w:val="000000" w:themeColor="text1"/>
                <w:szCs w:val="16"/>
              </w:rPr>
            </w:pPr>
            <w:r w:rsidRPr="005C29F8">
              <w:rPr>
                <w:rFonts w:cs="Arial"/>
                <w:b/>
                <w:color w:val="000000" w:themeColor="text1"/>
                <w:szCs w:val="16"/>
              </w:rPr>
              <w:t>Year Findings of Noncompliance Were Identified</w:t>
            </w:r>
          </w:p>
        </w:tc>
        <w:tc>
          <w:tcPr>
            <w:tcW w:w="1461" w:type="pct"/>
            <w:shd w:val="clear" w:color="auto" w:fill="auto"/>
            <w:vAlign w:val="bottom"/>
          </w:tcPr>
          <w:p w14:paraId="22AE93B4" w14:textId="0BFC2E33"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Not Yet Verified as Corrected as of FFY 2018 APR</w:t>
            </w:r>
          </w:p>
        </w:tc>
        <w:tc>
          <w:tcPr>
            <w:tcW w:w="1317" w:type="pct"/>
            <w:shd w:val="clear" w:color="auto" w:fill="auto"/>
            <w:vAlign w:val="bottom"/>
          </w:tcPr>
          <w:p w14:paraId="1E652481"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5C29F8" w:rsidRDefault="009A755E" w:rsidP="009A755E">
            <w:pPr>
              <w:jc w:val="center"/>
              <w:rPr>
                <w:rFonts w:cs="Arial"/>
                <w:b/>
                <w:color w:val="000000" w:themeColor="text1"/>
                <w:szCs w:val="16"/>
              </w:rPr>
            </w:pPr>
            <w:r w:rsidRPr="005C29F8">
              <w:rPr>
                <w:rFonts w:cs="Arial"/>
                <w:b/>
                <w:color w:val="000000" w:themeColor="text1"/>
                <w:szCs w:val="16"/>
              </w:rPr>
              <w:t>Findings Not Yet Verified as Corrected</w:t>
            </w:r>
          </w:p>
        </w:tc>
      </w:tr>
      <w:tr w:rsidR="005C29F8" w:rsidRPr="005C29F8" w14:paraId="1DF4458C" w14:textId="77777777" w:rsidTr="00A947D9">
        <w:tc>
          <w:tcPr>
            <w:tcW w:w="988" w:type="pct"/>
            <w:shd w:val="clear" w:color="auto" w:fill="auto"/>
          </w:tcPr>
          <w:p w14:paraId="09D39BF4" w14:textId="12080EC7" w:rsidR="009A755E" w:rsidRPr="005C29F8"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5C29F8" w:rsidRDefault="009A755E">
            <w:pPr>
              <w:jc w:val="center"/>
              <w:rPr>
                <w:rFonts w:cs="Arial"/>
                <w:noProof/>
                <w:color w:val="000000" w:themeColor="text1"/>
                <w:szCs w:val="16"/>
              </w:rPr>
            </w:pPr>
          </w:p>
        </w:tc>
        <w:tc>
          <w:tcPr>
            <w:tcW w:w="1317" w:type="pct"/>
            <w:shd w:val="clear" w:color="auto" w:fill="auto"/>
          </w:tcPr>
          <w:p w14:paraId="631866C2" w14:textId="7A733589" w:rsidR="009A755E" w:rsidRPr="005C29F8" w:rsidRDefault="009A755E">
            <w:pPr>
              <w:jc w:val="center"/>
              <w:rPr>
                <w:rFonts w:cs="Arial"/>
                <w:noProof/>
                <w:color w:val="000000" w:themeColor="text1"/>
                <w:szCs w:val="16"/>
              </w:rPr>
            </w:pPr>
          </w:p>
        </w:tc>
        <w:tc>
          <w:tcPr>
            <w:tcW w:w="1234" w:type="pct"/>
            <w:shd w:val="clear" w:color="auto" w:fill="auto"/>
          </w:tcPr>
          <w:p w14:paraId="3A2AFB37" w14:textId="4D254CD3" w:rsidR="009A755E" w:rsidRPr="005C29F8" w:rsidRDefault="009A755E">
            <w:pPr>
              <w:jc w:val="center"/>
              <w:rPr>
                <w:rFonts w:cs="Arial"/>
                <w:noProof/>
                <w:color w:val="000000" w:themeColor="text1"/>
                <w:szCs w:val="16"/>
              </w:rPr>
            </w:pPr>
          </w:p>
        </w:tc>
      </w:tr>
      <w:tr w:rsidR="005C29F8" w:rsidRPr="005C29F8" w14:paraId="22754C03" w14:textId="77777777" w:rsidTr="00A947D9">
        <w:tc>
          <w:tcPr>
            <w:tcW w:w="988" w:type="pct"/>
            <w:shd w:val="clear" w:color="auto" w:fill="auto"/>
          </w:tcPr>
          <w:p w14:paraId="3F1CDA29" w14:textId="16C6A591" w:rsidR="009A755E" w:rsidRPr="005C29F8"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5C29F8" w:rsidRDefault="009A755E">
            <w:pPr>
              <w:jc w:val="center"/>
              <w:rPr>
                <w:rFonts w:cs="Arial"/>
                <w:noProof/>
                <w:color w:val="000000" w:themeColor="text1"/>
                <w:szCs w:val="16"/>
              </w:rPr>
            </w:pPr>
          </w:p>
        </w:tc>
        <w:tc>
          <w:tcPr>
            <w:tcW w:w="1317" w:type="pct"/>
            <w:shd w:val="clear" w:color="auto" w:fill="auto"/>
          </w:tcPr>
          <w:p w14:paraId="424B5A41" w14:textId="57F0D24B" w:rsidR="009A755E" w:rsidRPr="005C29F8" w:rsidRDefault="009A755E">
            <w:pPr>
              <w:jc w:val="center"/>
              <w:rPr>
                <w:rFonts w:cs="Arial"/>
                <w:noProof/>
                <w:color w:val="000000" w:themeColor="text1"/>
                <w:szCs w:val="16"/>
              </w:rPr>
            </w:pPr>
          </w:p>
        </w:tc>
        <w:tc>
          <w:tcPr>
            <w:tcW w:w="1234" w:type="pct"/>
            <w:shd w:val="clear" w:color="auto" w:fill="auto"/>
          </w:tcPr>
          <w:p w14:paraId="5FD250DE" w14:textId="1F07D8E0" w:rsidR="009A755E" w:rsidRPr="005C29F8" w:rsidRDefault="009A755E">
            <w:pPr>
              <w:jc w:val="center"/>
              <w:rPr>
                <w:rFonts w:cs="Arial"/>
                <w:noProof/>
                <w:color w:val="000000" w:themeColor="text1"/>
                <w:szCs w:val="16"/>
              </w:rPr>
            </w:pPr>
          </w:p>
        </w:tc>
      </w:tr>
      <w:tr w:rsidR="005C29F8" w:rsidRPr="005C29F8" w14:paraId="1554C3DE" w14:textId="77777777" w:rsidTr="00A947D9">
        <w:tc>
          <w:tcPr>
            <w:tcW w:w="988" w:type="pct"/>
            <w:shd w:val="clear" w:color="auto" w:fill="auto"/>
          </w:tcPr>
          <w:p w14:paraId="08F1D022" w14:textId="2DEB05AF" w:rsidR="009A755E" w:rsidRPr="005C29F8"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5C29F8" w:rsidRDefault="009A755E">
            <w:pPr>
              <w:jc w:val="center"/>
              <w:rPr>
                <w:rFonts w:cs="Arial"/>
                <w:noProof/>
                <w:color w:val="000000" w:themeColor="text1"/>
                <w:szCs w:val="16"/>
              </w:rPr>
            </w:pPr>
          </w:p>
        </w:tc>
        <w:tc>
          <w:tcPr>
            <w:tcW w:w="1317" w:type="pct"/>
            <w:shd w:val="clear" w:color="auto" w:fill="auto"/>
          </w:tcPr>
          <w:p w14:paraId="4F433BEE" w14:textId="401E2469" w:rsidR="009A755E" w:rsidRPr="005C29F8" w:rsidRDefault="009A755E">
            <w:pPr>
              <w:jc w:val="center"/>
              <w:rPr>
                <w:rFonts w:cs="Arial"/>
                <w:noProof/>
                <w:color w:val="000000" w:themeColor="text1"/>
                <w:szCs w:val="16"/>
              </w:rPr>
            </w:pPr>
          </w:p>
        </w:tc>
        <w:tc>
          <w:tcPr>
            <w:tcW w:w="1234" w:type="pct"/>
            <w:shd w:val="clear" w:color="auto" w:fill="auto"/>
          </w:tcPr>
          <w:p w14:paraId="615F0522" w14:textId="27A5AF36" w:rsidR="009A755E" w:rsidRPr="005C29F8" w:rsidRDefault="009A755E">
            <w:pPr>
              <w:jc w:val="center"/>
              <w:rPr>
                <w:rFonts w:cs="Arial"/>
                <w:noProof/>
                <w:color w:val="000000" w:themeColor="text1"/>
                <w:szCs w:val="16"/>
              </w:rPr>
            </w:pPr>
          </w:p>
        </w:tc>
      </w:tr>
    </w:tbl>
    <w:p w14:paraId="0764B6D1" w14:textId="7BF666C6" w:rsidR="004E2151" w:rsidRPr="0033429D" w:rsidRDefault="00056350" w:rsidP="00123D76">
      <w:pPr>
        <w:pStyle w:val="Heading2"/>
      </w:pPr>
      <w:r w:rsidRPr="0033429D">
        <w:t>13</w:t>
      </w:r>
      <w:r w:rsidR="001D508D" w:rsidRPr="0033429D">
        <w:t xml:space="preserve"> </w:t>
      </w:r>
      <w:r w:rsidRPr="0033429D">
        <w:t xml:space="preserve">- </w:t>
      </w:r>
      <w:r w:rsidR="004E2151" w:rsidRPr="0033429D">
        <w:t>Prior FFY Required Actions</w:t>
      </w:r>
    </w:p>
    <w:p w14:paraId="3DC62C2B" w14:textId="341FD615" w:rsidR="004E2151" w:rsidRPr="005C29F8" w:rsidRDefault="002B7490" w:rsidP="004E2151">
      <w:pPr>
        <w:rPr>
          <w:rFonts w:cs="Arial"/>
          <w:color w:val="000000" w:themeColor="text1"/>
          <w:szCs w:val="16"/>
        </w:rPr>
      </w:pPr>
      <w:r w:rsidRPr="005C29F8">
        <w:rPr>
          <w:rFonts w:cs="Arial"/>
          <w:color w:val="000000" w:themeColor="text1"/>
          <w:szCs w:val="16"/>
        </w:rPr>
        <w:t>None</w:t>
      </w:r>
    </w:p>
    <w:p w14:paraId="6FDC964C" w14:textId="7C7EE16F" w:rsidR="009F69E7" w:rsidRPr="005C29F8" w:rsidRDefault="009F69E7" w:rsidP="004E2151">
      <w:pPr>
        <w:rPr>
          <w:rFonts w:cs="Arial"/>
          <w:color w:val="000000" w:themeColor="text1"/>
          <w:szCs w:val="16"/>
        </w:rPr>
      </w:pPr>
    </w:p>
    <w:p w14:paraId="310A49DA" w14:textId="36D1B81C" w:rsidR="007F5071" w:rsidRPr="0033429D" w:rsidRDefault="00056350" w:rsidP="00123D76">
      <w:pPr>
        <w:pStyle w:val="Heading2"/>
      </w:pPr>
      <w:r w:rsidRPr="0033429D">
        <w:t>13 - OSEP Response</w:t>
      </w:r>
    </w:p>
    <w:p w14:paraId="55757593" w14:textId="79413C8B" w:rsidR="00293C7E" w:rsidRPr="005C29F8" w:rsidRDefault="00293C7E" w:rsidP="00212954">
      <w:pPr>
        <w:rPr>
          <w:rFonts w:cs="Arial"/>
          <w:color w:val="000000" w:themeColor="text1"/>
          <w:szCs w:val="16"/>
        </w:rPr>
      </w:pPr>
    </w:p>
    <w:p w14:paraId="139D82E4" w14:textId="2690DF84" w:rsidR="007F5071" w:rsidRPr="0033429D" w:rsidRDefault="00056350" w:rsidP="00123D76">
      <w:pPr>
        <w:pStyle w:val="Heading2"/>
      </w:pPr>
      <w:r w:rsidRPr="0033429D">
        <w:t>13 - Required Actions</w:t>
      </w:r>
    </w:p>
    <w:p w14:paraId="3AC05AE9" w14:textId="66211D68" w:rsidR="00293C7E" w:rsidRPr="005C29F8" w:rsidRDefault="002B7490" w:rsidP="00212954">
      <w:pPr>
        <w:rPr>
          <w:rFonts w:cs="Arial"/>
          <w:color w:val="000000" w:themeColor="text1"/>
          <w:szCs w:val="16"/>
        </w:rPr>
      </w:pPr>
      <w:r w:rsidRPr="005C29F8">
        <w:rPr>
          <w:rFonts w:cs="Arial"/>
          <w:color w:val="000000" w:themeColor="text1"/>
          <w:szCs w:val="16"/>
        </w:rPr>
        <w:t>Because the Commonwealth of the Northern Mariana reported less than 100% compliance for FFY 2019, the Commonwealth of the Northern Mariana must report on the status of correction of noncompliance identified in FFY 2019 for this indicator. When reporting on the correction of noncompliance, the Commonwealth of the Northern Mariana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Commonwealth of the Northern Mariana must describe the specific actions that were taken to verify the correction.</w:t>
      </w:r>
      <w:r w:rsidRPr="005C29F8">
        <w:rPr>
          <w:rFonts w:cs="Arial"/>
          <w:color w:val="000000" w:themeColor="text1"/>
          <w:szCs w:val="16"/>
        </w:rPr>
        <w:br/>
      </w:r>
      <w:r w:rsidRPr="005C29F8">
        <w:rPr>
          <w:rFonts w:cs="Arial"/>
          <w:color w:val="000000" w:themeColor="text1"/>
          <w:szCs w:val="16"/>
        </w:rPr>
        <w:br/>
        <w:t>If the Commonwealth of the Northern Mariana did not identify any findings of noncompliance in FFY 2019, although its FFY 2019 data reflect less than 100% compliance, provide an explanation of why the Commonwealth of the Northern Mariana did not identify any findings of noncompliance in FFY 2019.</w:t>
      </w:r>
    </w:p>
    <w:p w14:paraId="2D88F5D3"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6BE48297" w14:textId="374F3BC7" w:rsidR="00B3462E" w:rsidRPr="005C29F8" w:rsidRDefault="00B3462E" w:rsidP="000444E2">
      <w:pPr>
        <w:pStyle w:val="Heading1"/>
        <w:rPr>
          <w:color w:val="000000" w:themeColor="text1"/>
          <w:sz w:val="22"/>
        </w:rPr>
      </w:pPr>
      <w:r w:rsidRPr="005C29F8">
        <w:rPr>
          <w:color w:val="000000" w:themeColor="text1"/>
          <w:sz w:val="22"/>
        </w:rPr>
        <w:lastRenderedPageBreak/>
        <w:t>Indicator 14: Post-School Outcomes</w:t>
      </w:r>
      <w:bookmarkEnd w:id="39"/>
      <w:bookmarkEnd w:id="60"/>
    </w:p>
    <w:p w14:paraId="22761492" w14:textId="77777777" w:rsidR="005C50DB" w:rsidRPr="00D37503" w:rsidRDefault="005C50DB" w:rsidP="00A018D4">
      <w:pPr>
        <w:rPr>
          <w:szCs w:val="20"/>
        </w:rPr>
      </w:pPr>
      <w:bookmarkStart w:id="61" w:name="_Toc392159336"/>
      <w:r w:rsidRPr="00D37503">
        <w:rPr>
          <w:b/>
          <w:sz w:val="20"/>
          <w:szCs w:val="20"/>
        </w:rPr>
        <w:t>Instructions and Measurement</w:t>
      </w:r>
    </w:p>
    <w:p w14:paraId="3872DE81" w14:textId="173DF04F" w:rsidR="001F3A65" w:rsidRPr="00D37503" w:rsidRDefault="001F3A65" w:rsidP="005F442C">
      <w:pPr>
        <w:rPr>
          <w:rFonts w:cs="Arial"/>
          <w:szCs w:val="16"/>
        </w:rPr>
      </w:pPr>
      <w:r w:rsidRPr="00D37503">
        <w:rPr>
          <w:rFonts w:cs="Arial"/>
          <w:b/>
          <w:szCs w:val="16"/>
        </w:rPr>
        <w:t>Monitoring Priority</w:t>
      </w:r>
      <w:r w:rsidRPr="00D37503">
        <w:rPr>
          <w:rFonts w:cs="Arial"/>
          <w:szCs w:val="16"/>
        </w:rPr>
        <w:t>: Effective General Supervision Part B / Effective Transition</w:t>
      </w:r>
    </w:p>
    <w:p w14:paraId="29CEDA40" w14:textId="77777777" w:rsidR="001F3A65" w:rsidRPr="007A1398" w:rsidRDefault="001F3A65" w:rsidP="005F442C">
      <w:pPr>
        <w:rPr>
          <w:rFonts w:cs="Arial"/>
          <w:szCs w:val="16"/>
        </w:rPr>
      </w:pPr>
      <w:r w:rsidRPr="00D37503">
        <w:rPr>
          <w:rFonts w:cs="Arial"/>
          <w:b/>
          <w:szCs w:val="16"/>
        </w:rPr>
        <w:t>Results indicator:</w:t>
      </w:r>
      <w:r w:rsidR="00131842" w:rsidRPr="00D37503">
        <w:rPr>
          <w:rFonts w:cs="Arial"/>
          <w:szCs w:val="16"/>
        </w:rPr>
        <w:t xml:space="preserve"> </w:t>
      </w:r>
      <w:r w:rsidRPr="00D37503">
        <w:rPr>
          <w:rFonts w:cs="Arial"/>
          <w:szCs w:val="16"/>
        </w:rPr>
        <w:t>Post-school outcomes:</w:t>
      </w:r>
      <w:r w:rsidR="00131842" w:rsidRPr="00D37503">
        <w:rPr>
          <w:rFonts w:cs="Arial"/>
          <w:szCs w:val="16"/>
        </w:rPr>
        <w:t xml:space="preserve"> </w:t>
      </w:r>
      <w:r w:rsidRPr="00F37764">
        <w:rPr>
          <w:rFonts w:cs="Arial"/>
          <w:szCs w:val="16"/>
        </w:rPr>
        <w:t>Percent of youth who are no longer in secondary school, had IEPs in effect at the time they left school, and were:</w:t>
      </w:r>
    </w:p>
    <w:p w14:paraId="7F97857D" w14:textId="77777777" w:rsidR="001F3A65" w:rsidRPr="002002C8" w:rsidRDefault="001F3A65" w:rsidP="005F442C">
      <w:pPr>
        <w:rPr>
          <w:rFonts w:cs="Arial"/>
          <w:szCs w:val="16"/>
        </w:rPr>
      </w:pPr>
      <w:r w:rsidRPr="00791C5F">
        <w:rPr>
          <w:rFonts w:cs="Arial"/>
          <w:szCs w:val="16"/>
        </w:rPr>
        <w:t>Enrolled in higher education within one year of leaving high school.</w:t>
      </w:r>
    </w:p>
    <w:p w14:paraId="72E90E1C" w14:textId="77777777" w:rsidR="001F3A65" w:rsidRPr="00D37503" w:rsidRDefault="001F3A65" w:rsidP="005F442C">
      <w:pPr>
        <w:rPr>
          <w:rFonts w:cs="Arial"/>
          <w:szCs w:val="16"/>
        </w:rPr>
      </w:pPr>
      <w:r w:rsidRPr="00D37503">
        <w:rPr>
          <w:rFonts w:cs="Arial"/>
          <w:szCs w:val="16"/>
        </w:rPr>
        <w:t>Enrolled in higher education or competitively employed within one year of leaving high school.</w:t>
      </w:r>
    </w:p>
    <w:p w14:paraId="71CF3231" w14:textId="77777777" w:rsidR="001F3A65" w:rsidRPr="00D37503" w:rsidRDefault="001F3A65" w:rsidP="005F442C">
      <w:pPr>
        <w:rPr>
          <w:rFonts w:cs="Arial"/>
          <w:szCs w:val="16"/>
        </w:rPr>
      </w:pPr>
      <w:r w:rsidRPr="00D37503">
        <w:rPr>
          <w:rFonts w:cs="Arial"/>
          <w:szCs w:val="16"/>
        </w:rPr>
        <w:t>Enrolled in higher education or in some other postsecondary education or training program; or competitively employed or in some other employment within one year of leaving high school.</w:t>
      </w:r>
    </w:p>
    <w:p w14:paraId="34C582E7" w14:textId="77777777" w:rsidR="001F3A65" w:rsidRPr="00D37503" w:rsidRDefault="001F3A65" w:rsidP="005F442C">
      <w:pPr>
        <w:rPr>
          <w:rFonts w:cs="Arial"/>
          <w:szCs w:val="16"/>
        </w:rPr>
      </w:pPr>
      <w:r w:rsidRPr="00D37503">
        <w:rPr>
          <w:rFonts w:cs="Arial"/>
          <w:szCs w:val="16"/>
        </w:rPr>
        <w:t>(20 U.S.C. 1416(a)(3)(B))</w:t>
      </w:r>
    </w:p>
    <w:p w14:paraId="48D4CA91" w14:textId="77777777" w:rsidR="00B67038" w:rsidRPr="00D37503" w:rsidRDefault="00B67038" w:rsidP="004369B2">
      <w:r w:rsidRPr="00D37503">
        <w:rPr>
          <w:b/>
        </w:rPr>
        <w:t>Data Source</w:t>
      </w:r>
    </w:p>
    <w:p w14:paraId="266BF2FF" w14:textId="7EC5F0A3" w:rsidR="00B67038" w:rsidRPr="00D37503" w:rsidRDefault="00B67038" w:rsidP="005F442C">
      <w:pPr>
        <w:rPr>
          <w:rFonts w:cs="Arial"/>
          <w:szCs w:val="16"/>
        </w:rPr>
      </w:pPr>
      <w:r w:rsidRPr="00D37503">
        <w:rPr>
          <w:rFonts w:cs="Arial"/>
          <w:szCs w:val="16"/>
        </w:rPr>
        <w:t>State selected data source.</w:t>
      </w:r>
    </w:p>
    <w:p w14:paraId="1655DDB5" w14:textId="4F072B5B" w:rsidR="00B67038" w:rsidRPr="00D37503" w:rsidRDefault="00B67038" w:rsidP="004369B2">
      <w:r w:rsidRPr="00D37503">
        <w:rPr>
          <w:b/>
        </w:rPr>
        <w:t>Measurement</w:t>
      </w:r>
    </w:p>
    <w:p w14:paraId="0B074DD3" w14:textId="77777777" w:rsidR="00B67038" w:rsidRPr="00D37503" w:rsidRDefault="009B2B72" w:rsidP="006A01BD">
      <w:pPr>
        <w:pStyle w:val="Numbering"/>
        <w:ind w:left="360"/>
        <w:rPr>
          <w:color w:val="auto"/>
        </w:rPr>
      </w:pPr>
      <w:r w:rsidRPr="00D37503">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2002C8" w:rsidRDefault="009B2B72" w:rsidP="006A01BD">
      <w:pPr>
        <w:pStyle w:val="Numbering"/>
        <w:ind w:left="360"/>
        <w:rPr>
          <w:color w:val="auto"/>
        </w:rPr>
      </w:pPr>
      <w:r w:rsidRPr="00F37764">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D37503" w:rsidRDefault="009B2B72" w:rsidP="006A01BD">
      <w:pPr>
        <w:pStyle w:val="Numbering"/>
        <w:ind w:left="360"/>
        <w:rPr>
          <w:color w:val="auto"/>
        </w:rPr>
      </w:pPr>
      <w:r w:rsidRPr="00D37503">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D37503" w:rsidRDefault="00B67038" w:rsidP="004369B2">
      <w:r w:rsidRPr="00D37503">
        <w:rPr>
          <w:b/>
        </w:rPr>
        <w:t>Instructions</w:t>
      </w:r>
    </w:p>
    <w:p w14:paraId="4987E862" w14:textId="77777777" w:rsidR="00B67038" w:rsidRPr="00D37503" w:rsidRDefault="00B67038" w:rsidP="003A4027">
      <w:pPr>
        <w:spacing w:before="0" w:after="210"/>
        <w:rPr>
          <w:rFonts w:eastAsia="Times New Roman" w:cs="Arial"/>
          <w:i/>
          <w:iCs/>
          <w:szCs w:val="16"/>
        </w:rPr>
      </w:pPr>
      <w:r w:rsidRPr="00D37503">
        <w:rPr>
          <w:rFonts w:eastAsia="Times New Roman" w:cs="Arial"/>
          <w:i/>
          <w:iCs/>
          <w:szCs w:val="16"/>
        </w:rPr>
        <w:t>Sampling </w:t>
      </w:r>
      <w:r w:rsidRPr="00D37503">
        <w:rPr>
          <w:rFonts w:eastAsia="Times New Roman" w:cs="Arial"/>
          <w:b/>
          <w:bCs/>
          <w:i/>
          <w:iCs/>
          <w:szCs w:val="16"/>
        </w:rPr>
        <w:t>of youth who had IEPs and are no longer in secondary school</w:t>
      </w:r>
      <w:r w:rsidRPr="00D37503">
        <w:rPr>
          <w:rFonts w:eastAsia="Times New Roman" w:cs="Arial"/>
          <w:i/>
          <w:iCs/>
          <w:szCs w:val="16"/>
        </w:rPr>
        <w:t> is allowed. When sampling is used, submit a description of the sampling methodology outlining how the design will yield valid and reliable estimates of the target population. (See </w:t>
      </w:r>
      <w:r w:rsidRPr="00D37503">
        <w:rPr>
          <w:rFonts w:eastAsia="Times New Roman" w:cs="Arial"/>
          <w:i/>
          <w:iCs/>
          <w:szCs w:val="16"/>
          <w:u w:val="single"/>
        </w:rPr>
        <w:t>General Instructions</w:t>
      </w:r>
      <w:r w:rsidRPr="00D37503">
        <w:rPr>
          <w:rFonts w:eastAsia="Times New Roman" w:cs="Arial"/>
          <w:i/>
          <w:iCs/>
          <w:szCs w:val="16"/>
        </w:rPr>
        <w:t> on page 2 for additional instructions on sampling.)</w:t>
      </w:r>
    </w:p>
    <w:p w14:paraId="7DEAD51C" w14:textId="67E7D5C8" w:rsidR="00B67038" w:rsidRPr="00C20C52" w:rsidRDefault="003A4027" w:rsidP="003A4027">
      <w:pPr>
        <w:spacing w:before="0" w:after="210"/>
        <w:rPr>
          <w:rFonts w:eastAsia="Times New Roman" w:cs="Arial"/>
          <w:szCs w:val="16"/>
        </w:rPr>
      </w:pPr>
      <w:r w:rsidRPr="00D37503">
        <w:rPr>
          <w:rFonts w:eastAsia="Times New Roman" w:cs="Arial"/>
          <w:szCs w:val="16"/>
        </w:rPr>
        <w:t>Collect data by September 2020 on students who left school during 2018-2019, timing the data collection so that at least one year has passed since the students left school. Include students who dropped out during 2018-2019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A1398" w:rsidRDefault="00B67038" w:rsidP="003A4027">
      <w:pPr>
        <w:spacing w:before="0" w:after="0"/>
        <w:rPr>
          <w:rFonts w:eastAsia="Times New Roman" w:cs="Arial"/>
          <w:b/>
          <w:bCs/>
          <w:szCs w:val="16"/>
        </w:rPr>
      </w:pPr>
      <w:r w:rsidRPr="00F37764">
        <w:rPr>
          <w:rFonts w:eastAsia="Times New Roman" w:cs="Arial"/>
          <w:b/>
          <w:bCs/>
          <w:szCs w:val="16"/>
        </w:rPr>
        <w:t>I. </w:t>
      </w:r>
      <w:r w:rsidRPr="00F04643">
        <w:rPr>
          <w:rFonts w:eastAsia="Times New Roman" w:cs="Arial"/>
          <w:b/>
          <w:bCs/>
          <w:i/>
          <w:iCs/>
          <w:szCs w:val="16"/>
        </w:rPr>
        <w:t>Definitions</w:t>
      </w:r>
    </w:p>
    <w:p w14:paraId="239CB051" w14:textId="357D0921" w:rsidR="00B67038" w:rsidRPr="00D37503" w:rsidRDefault="00B67038" w:rsidP="003A4027">
      <w:pPr>
        <w:spacing w:before="0" w:after="210"/>
        <w:rPr>
          <w:rFonts w:eastAsia="Times New Roman" w:cs="Arial"/>
          <w:szCs w:val="16"/>
        </w:rPr>
      </w:pPr>
      <w:r w:rsidRPr="00791C5F">
        <w:rPr>
          <w:rFonts w:eastAsia="Times New Roman" w:cs="Arial"/>
          <w:i/>
          <w:iCs/>
          <w:szCs w:val="16"/>
        </w:rPr>
        <w:t>Enrolled in higher education</w:t>
      </w:r>
      <w:r w:rsidRPr="007816D8">
        <w:rPr>
          <w:rFonts w:eastAsia="Times New Roman" w:cs="Arial"/>
          <w:szCs w:val="16"/>
        </w:rPr>
        <w:t> as used in measures A, B, and C means youth have been enrolled on a full- or part-time basis in a community college (</w:t>
      </w:r>
      <w:r w:rsidR="00DB1150" w:rsidRPr="002002C8">
        <w:rPr>
          <w:rFonts w:eastAsia="Times New Roman" w:cs="Arial"/>
          <w:szCs w:val="16"/>
        </w:rPr>
        <w:t>two</w:t>
      </w:r>
      <w:r w:rsidR="00DB1150" w:rsidRPr="00D37503">
        <w:rPr>
          <w:rFonts w:eastAsia="Times New Roman" w:cs="Arial"/>
          <w:szCs w:val="16"/>
        </w:rPr>
        <w:t>-year</w:t>
      </w:r>
      <w:r w:rsidRPr="00D37503">
        <w:rPr>
          <w:rFonts w:eastAsia="Times New Roman" w:cs="Arial"/>
          <w:szCs w:val="16"/>
        </w:rPr>
        <w:t xml:space="preserve"> program) or college/university (four or more year program) for at least one complete term, at any time in the year since leaving high school.</w:t>
      </w:r>
    </w:p>
    <w:p w14:paraId="4D24D49D" w14:textId="7EC50DEC" w:rsidR="00B67038" w:rsidRPr="00D37503" w:rsidRDefault="003A4027" w:rsidP="003A4027">
      <w:pPr>
        <w:spacing w:before="0" w:after="210"/>
        <w:rPr>
          <w:rFonts w:eastAsia="Times New Roman" w:cs="Arial"/>
          <w:szCs w:val="16"/>
        </w:rPr>
      </w:pPr>
      <w:r w:rsidRPr="00D37503">
        <w:rPr>
          <w:rFonts w:eastAsia="Times New Roman" w:cs="Arial"/>
          <w:i/>
          <w:iCs/>
          <w:szCs w:val="16"/>
        </w:rPr>
        <w:t xml:space="preserve">Competitive employment </w:t>
      </w:r>
      <w:r w:rsidRPr="00D37503">
        <w:rPr>
          <w:rFonts w:eastAsia="Times New Roman" w:cs="Arial"/>
          <w:iCs/>
          <w:szCs w:val="16"/>
        </w:rPr>
        <w:t xml:space="preserve">as used in measures B and C: States have two options to report data under “competitive employment” in the FFY </w:t>
      </w:r>
      <w:r w:rsidR="00C20C52">
        <w:rPr>
          <w:rFonts w:eastAsia="Times New Roman" w:cs="Arial"/>
          <w:iCs/>
          <w:szCs w:val="16"/>
        </w:rPr>
        <w:t>2019</w:t>
      </w:r>
      <w:r w:rsidRPr="00D37503">
        <w:rPr>
          <w:rFonts w:eastAsia="Times New Roman" w:cs="Arial"/>
          <w:iCs/>
          <w:szCs w:val="16"/>
        </w:rPr>
        <w:t xml:space="preserve"> SPP/APR, due February </w:t>
      </w:r>
      <w:r w:rsidR="00D37503">
        <w:rPr>
          <w:rFonts w:eastAsia="Times New Roman" w:cs="Arial"/>
          <w:iCs/>
          <w:szCs w:val="16"/>
        </w:rPr>
        <w:t>2021</w:t>
      </w:r>
      <w:r w:rsidRPr="00D37503">
        <w:rPr>
          <w:rFonts w:eastAsia="Times New Roman" w:cs="Arial"/>
          <w:iCs/>
          <w:szCs w:val="16"/>
        </w:rPr>
        <w:t>:</w:t>
      </w:r>
    </w:p>
    <w:p w14:paraId="18FD65ED" w14:textId="77777777" w:rsidR="00B67038" w:rsidRPr="00D37503" w:rsidRDefault="00B67038" w:rsidP="002D597B">
      <w:pPr>
        <w:spacing w:before="0" w:after="210"/>
        <w:rPr>
          <w:rFonts w:eastAsia="Times New Roman" w:cs="Arial"/>
          <w:szCs w:val="16"/>
        </w:rPr>
      </w:pPr>
      <w:r w:rsidRPr="00D37503">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77777777" w:rsidR="00B67038" w:rsidRPr="00D37503" w:rsidRDefault="00B67038" w:rsidP="002D597B">
      <w:pPr>
        <w:spacing w:before="0"/>
        <w:rPr>
          <w:rFonts w:eastAsia="Times New Roman" w:cs="Arial"/>
          <w:szCs w:val="16"/>
        </w:rPr>
      </w:pPr>
      <w:r w:rsidRPr="00D37503">
        <w:rPr>
          <w:rFonts w:eastAsia="Times New Roman" w:cs="Arial"/>
          <w:szCs w:val="16"/>
        </w:rPr>
        <w:t xml:space="preserve">Option 2: States report in alignment with the term “competitive integrated employment” and its definition, in section 7(5) of the Rehabilitation Act, as amended by Workforce Innovation and Opportunity Act (WIOA), and 34 CFR §361.5(c)(9). </w:t>
      </w:r>
      <w:proofErr w:type="gramStart"/>
      <w:r w:rsidRPr="00D37503">
        <w:rPr>
          <w:rFonts w:eastAsia="Times New Roman" w:cs="Arial"/>
          <w:szCs w:val="16"/>
        </w:rPr>
        <w:t>For the purpose of</w:t>
      </w:r>
      <w:proofErr w:type="gramEnd"/>
      <w:r w:rsidRPr="00D37503">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D37503" w:rsidRDefault="00B67038" w:rsidP="003A4027">
      <w:pPr>
        <w:spacing w:before="0" w:after="0"/>
        <w:rPr>
          <w:rFonts w:eastAsia="Times New Roman" w:cs="Arial"/>
          <w:b/>
          <w:bCs/>
          <w:szCs w:val="16"/>
        </w:rPr>
      </w:pPr>
    </w:p>
    <w:p w14:paraId="1CBB96D1" w14:textId="18D4158D" w:rsidR="00B67038" w:rsidRPr="00D37503" w:rsidRDefault="00B67038" w:rsidP="003A4027">
      <w:pPr>
        <w:spacing w:before="0" w:after="210"/>
        <w:rPr>
          <w:rFonts w:eastAsia="Times New Roman" w:cs="Arial"/>
          <w:szCs w:val="16"/>
        </w:rPr>
      </w:pPr>
      <w:r w:rsidRPr="00D37503">
        <w:rPr>
          <w:rFonts w:eastAsia="Times New Roman" w:cs="Arial"/>
          <w:i/>
          <w:iCs/>
          <w:szCs w:val="16"/>
        </w:rPr>
        <w:t>Enrolled in other postsecondary education or training</w:t>
      </w:r>
      <w:r w:rsidRPr="00D37503">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D37503">
        <w:rPr>
          <w:rFonts w:eastAsia="Times New Roman" w:cs="Arial"/>
          <w:szCs w:val="16"/>
        </w:rPr>
        <w:t>two-year</w:t>
      </w:r>
      <w:r w:rsidRPr="00D37503">
        <w:rPr>
          <w:rFonts w:eastAsia="Times New Roman" w:cs="Arial"/>
          <w:szCs w:val="16"/>
        </w:rPr>
        <w:t xml:space="preserve"> program).</w:t>
      </w:r>
    </w:p>
    <w:p w14:paraId="639590BD" w14:textId="77777777" w:rsidR="00B67038" w:rsidRPr="00D37503" w:rsidRDefault="00B67038" w:rsidP="003A4027">
      <w:pPr>
        <w:spacing w:before="0"/>
        <w:rPr>
          <w:rFonts w:eastAsia="Times New Roman" w:cs="Arial"/>
          <w:szCs w:val="16"/>
        </w:rPr>
      </w:pPr>
      <w:r w:rsidRPr="00D37503">
        <w:rPr>
          <w:rFonts w:eastAsia="Times New Roman" w:cs="Arial"/>
          <w:i/>
          <w:iCs/>
          <w:szCs w:val="16"/>
        </w:rPr>
        <w:t>Some other employment</w:t>
      </w:r>
      <w:r w:rsidRPr="00D37503">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7BDE8111" w14:textId="77777777" w:rsidR="00B67038" w:rsidRPr="00D37503" w:rsidRDefault="00B67038" w:rsidP="003A4027">
      <w:pPr>
        <w:spacing w:before="0" w:after="0"/>
        <w:rPr>
          <w:rFonts w:eastAsia="Times New Roman" w:cs="Arial"/>
          <w:b/>
          <w:bCs/>
          <w:szCs w:val="16"/>
        </w:rPr>
      </w:pPr>
      <w:r w:rsidRPr="00D37503">
        <w:rPr>
          <w:rFonts w:eastAsia="Times New Roman" w:cs="Arial"/>
          <w:b/>
          <w:bCs/>
          <w:szCs w:val="16"/>
        </w:rPr>
        <w:t>II. </w:t>
      </w:r>
      <w:r w:rsidRPr="00D37503">
        <w:rPr>
          <w:rFonts w:eastAsia="Times New Roman" w:cs="Arial"/>
          <w:b/>
          <w:bCs/>
          <w:i/>
          <w:iCs/>
          <w:szCs w:val="16"/>
        </w:rPr>
        <w:t>Data Reporting</w:t>
      </w:r>
    </w:p>
    <w:p w14:paraId="220A6449" w14:textId="77777777" w:rsidR="00B67038" w:rsidRPr="00D37503" w:rsidRDefault="00B67038" w:rsidP="003A4027">
      <w:pPr>
        <w:spacing w:before="0" w:after="210"/>
        <w:rPr>
          <w:rFonts w:eastAsia="Times New Roman" w:cs="Arial"/>
          <w:szCs w:val="16"/>
        </w:rPr>
      </w:pPr>
      <w:r w:rsidRPr="00D37503">
        <w:rPr>
          <w:rFonts w:eastAsia="Times New Roman" w:cs="Arial"/>
          <w:szCs w:val="16"/>
        </w:rPr>
        <w:t>Provide the actual numbers for each of the following mutually exclusive categories. The actual number of “leavers” who are:</w:t>
      </w:r>
    </w:p>
    <w:p w14:paraId="03B608C9" w14:textId="51223E67"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1. Enrolled in higher education within one year of leaving high </w:t>
      </w:r>
      <w:proofErr w:type="gramStart"/>
      <w:r w:rsidRPr="00D37503">
        <w:rPr>
          <w:rFonts w:eastAsia="Times New Roman" w:cs="Arial"/>
          <w:szCs w:val="16"/>
        </w:rPr>
        <w:t>school;</w:t>
      </w:r>
      <w:proofErr w:type="gramEnd"/>
    </w:p>
    <w:p w14:paraId="797BA656" w14:textId="599F8145" w:rsidR="00B67038" w:rsidRPr="00D37503" w:rsidRDefault="006C58FD" w:rsidP="006A01BD">
      <w:pPr>
        <w:spacing w:before="0" w:after="0"/>
        <w:ind w:left="432"/>
        <w:rPr>
          <w:rFonts w:eastAsia="Times New Roman" w:cs="Arial"/>
          <w:szCs w:val="16"/>
        </w:rPr>
      </w:pPr>
      <w:r w:rsidRPr="00D37503">
        <w:rPr>
          <w:rFonts w:eastAsia="Times New Roman" w:cs="Arial"/>
          <w:szCs w:val="16"/>
        </w:rPr>
        <w:tab/>
        <w:t>2. Competitively employed within one year of leaving high school (but not enrolled in higher education</w:t>
      </w:r>
      <w:proofErr w:type="gramStart"/>
      <w:r w:rsidRPr="00D37503">
        <w:rPr>
          <w:rFonts w:eastAsia="Times New Roman" w:cs="Arial"/>
          <w:szCs w:val="16"/>
        </w:rPr>
        <w:t>);</w:t>
      </w:r>
      <w:proofErr w:type="gramEnd"/>
    </w:p>
    <w:p w14:paraId="17A92E9A" w14:textId="64EC74C3"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3. Enrolled in some other postsecondary education or training program within one year of leaving high school (but not enrolled in </w:t>
      </w:r>
      <w:r w:rsidRPr="00D37503">
        <w:rPr>
          <w:rFonts w:eastAsia="Times New Roman" w:cs="Arial"/>
          <w:szCs w:val="16"/>
        </w:rPr>
        <w:tab/>
      </w:r>
      <w:r w:rsidRPr="00D37503">
        <w:rPr>
          <w:rFonts w:eastAsia="Times New Roman" w:cs="Arial"/>
          <w:szCs w:val="16"/>
        </w:rPr>
        <w:tab/>
      </w:r>
      <w:r w:rsidRPr="00D37503">
        <w:rPr>
          <w:rFonts w:eastAsia="Times New Roman" w:cs="Arial"/>
          <w:szCs w:val="16"/>
        </w:rPr>
        <w:tab/>
      </w:r>
      <w:r w:rsidR="00B67038" w:rsidRPr="00D37503">
        <w:rPr>
          <w:rFonts w:eastAsia="Times New Roman" w:cs="Arial"/>
          <w:szCs w:val="16"/>
        </w:rPr>
        <w:t>higher education or competitively employed</w:t>
      </w:r>
      <w:proofErr w:type="gramStart"/>
      <w:r w:rsidR="00B67038" w:rsidRPr="00D37503">
        <w:rPr>
          <w:rFonts w:eastAsia="Times New Roman" w:cs="Arial"/>
          <w:szCs w:val="16"/>
        </w:rPr>
        <w:t>);</w:t>
      </w:r>
      <w:proofErr w:type="gramEnd"/>
    </w:p>
    <w:p w14:paraId="506D7913" w14:textId="49E1F1FF" w:rsidR="00B67038" w:rsidRPr="00D37503" w:rsidRDefault="006C58FD" w:rsidP="006A01BD">
      <w:pPr>
        <w:spacing w:before="0" w:after="0"/>
        <w:ind w:left="432"/>
        <w:rPr>
          <w:rFonts w:eastAsia="Times New Roman" w:cs="Arial"/>
          <w:szCs w:val="16"/>
        </w:rPr>
      </w:pPr>
      <w:r w:rsidRPr="00D37503">
        <w:rPr>
          <w:rFonts w:eastAsia="Times New Roman" w:cs="Arial"/>
          <w:szCs w:val="16"/>
        </w:rPr>
        <w:tab/>
        <w:t xml:space="preserve">4. In some other employment within one year of leaving high school (but not enrolled in higher education, some other postsecondary </w:t>
      </w:r>
      <w:r w:rsidRPr="00D37503">
        <w:rPr>
          <w:rFonts w:eastAsia="Times New Roman" w:cs="Arial"/>
          <w:szCs w:val="16"/>
        </w:rPr>
        <w:tab/>
      </w:r>
      <w:r w:rsidR="00B67038" w:rsidRPr="00D37503">
        <w:rPr>
          <w:rFonts w:eastAsia="Times New Roman" w:cs="Arial"/>
          <w:szCs w:val="16"/>
        </w:rPr>
        <w:t>education or training program, or competitively employed).</w:t>
      </w:r>
    </w:p>
    <w:p w14:paraId="32C672D4" w14:textId="77777777" w:rsidR="006C58FD" w:rsidRPr="00D37503" w:rsidRDefault="006C58FD" w:rsidP="00B67038">
      <w:pPr>
        <w:spacing w:before="0"/>
        <w:ind w:left="432"/>
        <w:rPr>
          <w:rFonts w:eastAsia="Times New Roman" w:cs="Arial"/>
          <w:szCs w:val="16"/>
        </w:rPr>
      </w:pPr>
    </w:p>
    <w:p w14:paraId="12CAB169" w14:textId="7C0DA6D7" w:rsidR="00B67038" w:rsidRPr="005C29F8" w:rsidRDefault="00B67038" w:rsidP="00B67038">
      <w:pPr>
        <w:spacing w:before="0"/>
        <w:ind w:left="432"/>
        <w:rPr>
          <w:rFonts w:eastAsia="Times New Roman" w:cs="Arial"/>
          <w:color w:val="000000" w:themeColor="text1"/>
          <w:szCs w:val="16"/>
        </w:rPr>
      </w:pPr>
      <w:r w:rsidRPr="00D37503">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5C29F8">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0504C504" w14:textId="1B4B7E8B" w:rsidR="00B67038" w:rsidRPr="005C29F8" w:rsidRDefault="00B67038" w:rsidP="003A4027">
      <w:pPr>
        <w:spacing w:before="0" w:after="0"/>
        <w:rPr>
          <w:rFonts w:eastAsia="Times New Roman" w:cs="Arial"/>
          <w:b/>
          <w:bCs/>
          <w:color w:val="000000" w:themeColor="text1"/>
          <w:szCs w:val="16"/>
        </w:rPr>
      </w:pPr>
      <w:r w:rsidRPr="005C29F8">
        <w:rPr>
          <w:rFonts w:eastAsia="Times New Roman" w:cs="Arial"/>
          <w:b/>
          <w:bCs/>
          <w:color w:val="000000" w:themeColor="text1"/>
          <w:szCs w:val="16"/>
        </w:rPr>
        <w:t>III. </w:t>
      </w:r>
      <w:r w:rsidRPr="005C29F8">
        <w:rPr>
          <w:rFonts w:eastAsia="Times New Roman" w:cs="Arial"/>
          <w:b/>
          <w:bCs/>
          <w:i/>
          <w:iCs/>
          <w:color w:val="000000" w:themeColor="text1"/>
          <w:szCs w:val="16"/>
        </w:rPr>
        <w:t xml:space="preserve">Reporting </w:t>
      </w:r>
      <w:r w:rsidR="00DB1150" w:rsidRPr="005C29F8">
        <w:rPr>
          <w:rFonts w:eastAsia="Times New Roman" w:cs="Arial"/>
          <w:b/>
          <w:bCs/>
          <w:i/>
          <w:iCs/>
          <w:color w:val="000000" w:themeColor="text1"/>
          <w:szCs w:val="16"/>
        </w:rPr>
        <w:t>on</w:t>
      </w:r>
      <w:r w:rsidRPr="005C29F8">
        <w:rPr>
          <w:rFonts w:eastAsia="Times New Roman" w:cs="Arial"/>
          <w:b/>
          <w:bCs/>
          <w:i/>
          <w:iCs/>
          <w:color w:val="000000" w:themeColor="text1"/>
          <w:szCs w:val="16"/>
        </w:rPr>
        <w:t xml:space="preserve"> the Measures/Indicators</w:t>
      </w:r>
    </w:p>
    <w:p w14:paraId="2306E2F3"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lastRenderedPageBreak/>
        <w:t>Targets must be established for measures A, B, and C.</w:t>
      </w:r>
    </w:p>
    <w:p w14:paraId="5A3D5C77"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7777777" w:rsidR="00B67038" w:rsidRPr="005C29F8" w:rsidRDefault="00B67038" w:rsidP="003A4027">
      <w:pPr>
        <w:spacing w:before="0" w:after="210"/>
        <w:rPr>
          <w:rFonts w:eastAsia="Times New Roman" w:cs="Arial"/>
          <w:color w:val="000000" w:themeColor="text1"/>
          <w:szCs w:val="16"/>
        </w:rPr>
      </w:pPr>
      <w:r w:rsidRPr="005C29F8">
        <w:rPr>
          <w:rFonts w:eastAsia="Times New Roman" w:cs="Arial"/>
          <w:color w:val="000000" w:themeColor="text1"/>
          <w:szCs w:val="16"/>
        </w:rPr>
        <w:t>Include the State’s analysis of the extent to which the response data are representative of the demographics of youth who are no longer in secondary school and had IEPs in effect at the time they left school. States should consider categories such as race and ethnicity, disability category, and geographic location in the State.</w:t>
      </w:r>
    </w:p>
    <w:p w14:paraId="0E3C94F2" w14:textId="6C70D6B4" w:rsidR="00B67038" w:rsidRPr="005C29F8" w:rsidRDefault="00B67038" w:rsidP="003A4027">
      <w:pPr>
        <w:spacing w:before="0"/>
        <w:rPr>
          <w:rFonts w:eastAsia="Times New Roman" w:cs="Arial"/>
          <w:color w:val="000000" w:themeColor="text1"/>
          <w:szCs w:val="16"/>
        </w:rPr>
      </w:pPr>
      <w:r w:rsidRPr="005C29F8">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FE9961A" w14:textId="1EDBA086" w:rsidR="000301BA" w:rsidRPr="0033429D" w:rsidRDefault="00172058" w:rsidP="00123D76">
      <w:pPr>
        <w:pStyle w:val="Heading2"/>
      </w:pPr>
      <w:r w:rsidRPr="0033429D">
        <w:t>14 - Indicator Data</w:t>
      </w:r>
    </w:p>
    <w:bookmarkEnd w:id="61"/>
    <w:p w14:paraId="373EDCC8" w14:textId="77777777" w:rsidR="005F442C" w:rsidRPr="005C29F8" w:rsidRDefault="005F442C" w:rsidP="004369B2">
      <w:pPr>
        <w:rPr>
          <w:color w:val="000000" w:themeColor="text1"/>
        </w:rPr>
      </w:pPr>
      <w:r w:rsidRPr="005C29F8">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5C29F8" w14:paraId="23017209" w14:textId="77777777" w:rsidTr="0033429D">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5C29F8" w:rsidRDefault="004E1996" w:rsidP="008E31C4">
            <w:pPr>
              <w:spacing w:line="276" w:lineRule="auto"/>
              <w:jc w:val="center"/>
              <w:rPr>
                <w:rFonts w:cs="Arial"/>
                <w:b/>
                <w:color w:val="000000" w:themeColor="text1"/>
                <w:szCs w:val="16"/>
              </w:rPr>
            </w:pPr>
            <w:r>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5C29F8" w:rsidRDefault="005F442C" w:rsidP="008E31C4">
            <w:pPr>
              <w:spacing w:line="276" w:lineRule="auto"/>
              <w:jc w:val="center"/>
              <w:rPr>
                <w:rFonts w:cs="Arial"/>
                <w:b/>
                <w:color w:val="000000" w:themeColor="text1"/>
                <w:szCs w:val="16"/>
              </w:rPr>
            </w:pPr>
            <w:r w:rsidRPr="005C29F8">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2014</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2017</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5C29F8" w:rsidRDefault="002B7490" w:rsidP="001111BE">
            <w:pPr>
              <w:spacing w:line="276" w:lineRule="auto"/>
              <w:jc w:val="center"/>
              <w:rPr>
                <w:rFonts w:cs="Arial"/>
                <w:b/>
                <w:color w:val="000000" w:themeColor="text1"/>
                <w:szCs w:val="16"/>
              </w:rPr>
            </w:pPr>
            <w:r w:rsidRPr="005C29F8">
              <w:rPr>
                <w:rFonts w:cs="Arial"/>
                <w:b/>
                <w:color w:val="000000" w:themeColor="text1"/>
                <w:szCs w:val="16"/>
              </w:rPr>
              <w:t>2018</w:t>
            </w:r>
          </w:p>
        </w:tc>
      </w:tr>
      <w:tr w:rsidR="005C29F8" w:rsidRPr="005C29F8" w14:paraId="083B463F" w14:textId="77777777" w:rsidTr="00AB0D6A">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5C29F8" w:rsidRDefault="002B7490" w:rsidP="00A018D4">
            <w:pPr>
              <w:jc w:val="center"/>
              <w:rPr>
                <w:rFonts w:cs="Arial"/>
                <w:color w:val="000000" w:themeColor="text1"/>
                <w:szCs w:val="16"/>
              </w:rPr>
            </w:pPr>
            <w:r w:rsidRPr="005C29F8">
              <w:rPr>
                <w:rFonts w:cs="Arial"/>
                <w:color w:val="000000" w:themeColor="text1"/>
                <w:szCs w:val="16"/>
              </w:rPr>
              <w:t>14.00%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5C29F8" w:rsidRDefault="002B7490" w:rsidP="00A018D4">
            <w:pPr>
              <w:jc w:val="center"/>
              <w:rPr>
                <w:rFonts w:cs="Arial"/>
                <w:color w:val="000000" w:themeColor="text1"/>
                <w:szCs w:val="16"/>
              </w:rPr>
            </w:pPr>
            <w:r w:rsidRPr="005C29F8">
              <w:rPr>
                <w:rFonts w:cs="Arial"/>
                <w:color w:val="000000" w:themeColor="text1"/>
                <w:szCs w:val="16"/>
              </w:rPr>
              <w:t>16.00%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5C29F8" w:rsidRDefault="002B7490" w:rsidP="00A018D4">
            <w:pPr>
              <w:jc w:val="center"/>
              <w:rPr>
                <w:rFonts w:cs="Arial"/>
                <w:color w:val="000000" w:themeColor="text1"/>
                <w:szCs w:val="16"/>
              </w:rPr>
            </w:pPr>
            <w:r w:rsidRPr="005C29F8">
              <w:rPr>
                <w:rFonts w:cs="Arial"/>
                <w:color w:val="000000" w:themeColor="text1"/>
                <w:szCs w:val="16"/>
              </w:rPr>
              <w:t>18.00%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5C29F8" w:rsidRDefault="002B7490" w:rsidP="00A018D4">
            <w:pPr>
              <w:jc w:val="center"/>
              <w:rPr>
                <w:rFonts w:cs="Arial"/>
                <w:color w:val="000000" w:themeColor="text1"/>
                <w:szCs w:val="16"/>
              </w:rPr>
            </w:pPr>
            <w:r w:rsidRPr="005C29F8">
              <w:rPr>
                <w:rFonts w:cs="Arial"/>
                <w:color w:val="000000" w:themeColor="text1"/>
                <w:szCs w:val="16"/>
              </w:rPr>
              <w:t>19.00%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5C29F8" w:rsidRDefault="002B7490" w:rsidP="00A018D4">
            <w:pPr>
              <w:jc w:val="center"/>
              <w:rPr>
                <w:rFonts w:cs="Arial"/>
                <w:color w:val="000000" w:themeColor="text1"/>
                <w:szCs w:val="16"/>
              </w:rPr>
            </w:pPr>
            <w:r w:rsidRPr="005C29F8">
              <w:rPr>
                <w:rFonts w:cs="Arial"/>
                <w:color w:val="000000" w:themeColor="text1"/>
                <w:szCs w:val="16"/>
              </w:rPr>
              <w:t>20.00%</w:t>
            </w:r>
          </w:p>
        </w:tc>
      </w:tr>
      <w:tr w:rsidR="005C29F8" w:rsidRPr="005C29F8" w14:paraId="4DFAA88C" w14:textId="77777777" w:rsidTr="00AB0D6A">
        <w:trPr>
          <w:trHeight w:val="85"/>
        </w:trPr>
        <w:tc>
          <w:tcPr>
            <w:tcW w:w="190" w:type="pct"/>
            <w:tcBorders>
              <w:left w:val="single" w:sz="4" w:space="0" w:color="auto"/>
              <w:right w:val="single" w:sz="4" w:space="0" w:color="auto"/>
            </w:tcBorders>
            <w:shd w:val="clear" w:color="auto" w:fill="auto"/>
          </w:tcPr>
          <w:p w14:paraId="65028A7E" w14:textId="6CD117ED"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5C29F8" w:rsidRDefault="002B7490" w:rsidP="00A018D4">
            <w:pPr>
              <w:jc w:val="center"/>
              <w:rPr>
                <w:rFonts w:cs="Arial"/>
                <w:color w:val="000000" w:themeColor="text1"/>
                <w:szCs w:val="16"/>
              </w:rPr>
            </w:pPr>
            <w:r w:rsidRPr="005C29F8">
              <w:rPr>
                <w:rFonts w:cs="Arial"/>
                <w:color w:val="000000" w:themeColor="text1"/>
                <w:szCs w:val="16"/>
              </w:rPr>
              <w:t>10.00%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5C29F8" w:rsidRDefault="002B7490" w:rsidP="00A018D4">
            <w:pPr>
              <w:jc w:val="center"/>
              <w:rPr>
                <w:rFonts w:cs="Arial"/>
                <w:color w:val="000000" w:themeColor="text1"/>
                <w:szCs w:val="16"/>
              </w:rPr>
            </w:pPr>
            <w:r w:rsidRPr="005C29F8">
              <w:rPr>
                <w:rFonts w:cs="Arial"/>
                <w:color w:val="000000" w:themeColor="text1"/>
                <w:szCs w:val="16"/>
              </w:rPr>
              <w:t>25.45%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5C29F8" w:rsidRDefault="002B7490" w:rsidP="00A018D4">
            <w:pPr>
              <w:jc w:val="center"/>
              <w:rPr>
                <w:rFonts w:cs="Arial"/>
                <w:color w:val="000000" w:themeColor="text1"/>
                <w:szCs w:val="16"/>
              </w:rPr>
            </w:pPr>
            <w:r w:rsidRPr="005C29F8">
              <w:rPr>
                <w:rFonts w:cs="Arial"/>
                <w:color w:val="000000" w:themeColor="text1"/>
                <w:szCs w:val="16"/>
              </w:rPr>
              <w:t>16.98%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5C29F8" w:rsidRDefault="002B7490" w:rsidP="00A018D4">
            <w:pPr>
              <w:jc w:val="center"/>
              <w:rPr>
                <w:rFonts w:cs="Arial"/>
                <w:color w:val="000000" w:themeColor="text1"/>
                <w:szCs w:val="16"/>
              </w:rPr>
            </w:pPr>
            <w:r w:rsidRPr="005C29F8">
              <w:rPr>
                <w:rFonts w:cs="Arial"/>
                <w:color w:val="000000" w:themeColor="text1"/>
                <w:szCs w:val="16"/>
              </w:rPr>
              <w:t>10.17%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5C29F8" w:rsidRDefault="002B7490" w:rsidP="00A018D4">
            <w:pPr>
              <w:jc w:val="center"/>
              <w:rPr>
                <w:rFonts w:cs="Arial"/>
                <w:color w:val="000000" w:themeColor="text1"/>
                <w:szCs w:val="16"/>
              </w:rPr>
            </w:pPr>
            <w:r w:rsidRPr="005C29F8">
              <w:rPr>
                <w:rFonts w:cs="Arial"/>
                <w:color w:val="000000" w:themeColor="text1"/>
                <w:szCs w:val="16"/>
              </w:rPr>
              <w:t>12.24%</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5C29F8" w:rsidRDefault="002B7490" w:rsidP="00A018D4">
            <w:pPr>
              <w:jc w:val="center"/>
              <w:rPr>
                <w:rFonts w:cs="Arial"/>
                <w:color w:val="000000" w:themeColor="text1"/>
                <w:szCs w:val="16"/>
              </w:rPr>
            </w:pPr>
            <w:r w:rsidRPr="005C29F8">
              <w:rPr>
                <w:rFonts w:cs="Arial"/>
                <w:color w:val="000000" w:themeColor="text1"/>
                <w:szCs w:val="16"/>
              </w:rPr>
              <w:t>16.13%</w:t>
            </w:r>
          </w:p>
        </w:tc>
      </w:tr>
      <w:tr w:rsidR="005C29F8" w:rsidRPr="005C29F8" w14:paraId="626D1DE5"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5C29F8" w:rsidRDefault="002B7490" w:rsidP="00A018D4">
            <w:pPr>
              <w:jc w:val="center"/>
              <w:rPr>
                <w:rFonts w:cs="Arial"/>
                <w:color w:val="000000" w:themeColor="text1"/>
                <w:szCs w:val="16"/>
              </w:rPr>
            </w:pPr>
            <w:r w:rsidRPr="005C29F8">
              <w:rPr>
                <w:rFonts w:cs="Arial"/>
                <w:color w:val="000000" w:themeColor="text1"/>
                <w:szCs w:val="16"/>
              </w:rPr>
              <w:t>52.00%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5C29F8" w:rsidRDefault="002B7490" w:rsidP="00A018D4">
            <w:pPr>
              <w:jc w:val="center"/>
              <w:rPr>
                <w:rFonts w:cs="Arial"/>
                <w:color w:val="000000" w:themeColor="text1"/>
                <w:szCs w:val="16"/>
              </w:rPr>
            </w:pPr>
            <w:r w:rsidRPr="005C29F8">
              <w:rPr>
                <w:rFonts w:cs="Arial"/>
                <w:color w:val="000000" w:themeColor="text1"/>
                <w:szCs w:val="16"/>
              </w:rPr>
              <w:t>55.00%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5C29F8" w:rsidRDefault="002B7490" w:rsidP="00A018D4">
            <w:pPr>
              <w:jc w:val="center"/>
              <w:rPr>
                <w:rFonts w:cs="Arial"/>
                <w:color w:val="000000" w:themeColor="text1"/>
                <w:szCs w:val="16"/>
              </w:rPr>
            </w:pPr>
            <w:r w:rsidRPr="005C29F8">
              <w:rPr>
                <w:rFonts w:cs="Arial"/>
                <w:color w:val="000000" w:themeColor="text1"/>
                <w:szCs w:val="16"/>
              </w:rPr>
              <w:t>58.00%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5C29F8" w:rsidRDefault="002B7490" w:rsidP="00A018D4">
            <w:pPr>
              <w:jc w:val="center"/>
              <w:rPr>
                <w:rFonts w:cs="Arial"/>
                <w:color w:val="000000" w:themeColor="text1"/>
                <w:szCs w:val="16"/>
              </w:rPr>
            </w:pPr>
            <w:r w:rsidRPr="005C29F8">
              <w:rPr>
                <w:rFonts w:cs="Arial"/>
                <w:color w:val="000000" w:themeColor="text1"/>
                <w:szCs w:val="16"/>
              </w:rPr>
              <w:t>61.00%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5C29F8" w:rsidRDefault="002B7490" w:rsidP="00A018D4">
            <w:pPr>
              <w:jc w:val="center"/>
              <w:rPr>
                <w:rFonts w:cs="Arial"/>
                <w:color w:val="000000" w:themeColor="text1"/>
                <w:szCs w:val="16"/>
              </w:rPr>
            </w:pPr>
            <w:r w:rsidRPr="005C29F8">
              <w:rPr>
                <w:rFonts w:cs="Arial"/>
                <w:color w:val="000000" w:themeColor="text1"/>
                <w:szCs w:val="16"/>
              </w:rPr>
              <w:t>63.00%</w:t>
            </w:r>
          </w:p>
        </w:tc>
      </w:tr>
      <w:tr w:rsidR="005C29F8" w:rsidRPr="005C29F8" w14:paraId="04BD4647" w14:textId="77777777" w:rsidTr="00AB0D6A">
        <w:trPr>
          <w:trHeight w:val="85"/>
        </w:trPr>
        <w:tc>
          <w:tcPr>
            <w:tcW w:w="190" w:type="pct"/>
            <w:tcBorders>
              <w:left w:val="single" w:sz="4" w:space="0" w:color="auto"/>
              <w:right w:val="single" w:sz="4" w:space="0" w:color="auto"/>
            </w:tcBorders>
            <w:shd w:val="clear" w:color="auto" w:fill="auto"/>
          </w:tcPr>
          <w:p w14:paraId="0F20B888" w14:textId="46217DEF"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5C29F8" w:rsidRDefault="002B7490" w:rsidP="00A018D4">
            <w:pPr>
              <w:jc w:val="center"/>
              <w:rPr>
                <w:rFonts w:cs="Arial"/>
                <w:color w:val="000000" w:themeColor="text1"/>
                <w:szCs w:val="16"/>
              </w:rPr>
            </w:pPr>
            <w:r w:rsidRPr="005C29F8">
              <w:rPr>
                <w:rFonts w:cs="Arial"/>
                <w:color w:val="000000" w:themeColor="text1"/>
                <w:szCs w:val="16"/>
              </w:rPr>
              <w:t>62.00%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5C29F8" w:rsidRDefault="002B7490" w:rsidP="00A018D4">
            <w:pPr>
              <w:jc w:val="center"/>
              <w:rPr>
                <w:rFonts w:cs="Arial"/>
                <w:color w:val="000000" w:themeColor="text1"/>
                <w:szCs w:val="16"/>
              </w:rPr>
            </w:pPr>
            <w:r w:rsidRPr="005C29F8">
              <w:rPr>
                <w:rFonts w:cs="Arial"/>
                <w:color w:val="000000" w:themeColor="text1"/>
                <w:szCs w:val="16"/>
              </w:rPr>
              <w:t>47.27%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5C29F8" w:rsidRDefault="002B7490" w:rsidP="00A018D4">
            <w:pPr>
              <w:jc w:val="center"/>
              <w:rPr>
                <w:rFonts w:cs="Arial"/>
                <w:color w:val="000000" w:themeColor="text1"/>
                <w:szCs w:val="16"/>
              </w:rPr>
            </w:pPr>
            <w:r w:rsidRPr="005C29F8">
              <w:rPr>
                <w:rFonts w:cs="Arial"/>
                <w:color w:val="000000" w:themeColor="text1"/>
                <w:szCs w:val="16"/>
              </w:rPr>
              <w:t>37.74%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5C29F8" w:rsidRDefault="002B7490" w:rsidP="00A018D4">
            <w:pPr>
              <w:jc w:val="center"/>
              <w:rPr>
                <w:rFonts w:cs="Arial"/>
                <w:color w:val="000000" w:themeColor="text1"/>
                <w:szCs w:val="16"/>
              </w:rPr>
            </w:pPr>
            <w:r w:rsidRPr="005C29F8">
              <w:rPr>
                <w:rFonts w:cs="Arial"/>
                <w:color w:val="000000" w:themeColor="text1"/>
                <w:szCs w:val="16"/>
              </w:rPr>
              <w:t>61.02%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5C29F8" w:rsidRDefault="002B7490" w:rsidP="00A018D4">
            <w:pPr>
              <w:jc w:val="center"/>
              <w:rPr>
                <w:rFonts w:cs="Arial"/>
                <w:color w:val="000000" w:themeColor="text1"/>
                <w:szCs w:val="16"/>
              </w:rPr>
            </w:pPr>
            <w:r w:rsidRPr="005C29F8">
              <w:rPr>
                <w:rFonts w:cs="Arial"/>
                <w:color w:val="000000" w:themeColor="text1"/>
                <w:szCs w:val="16"/>
              </w:rPr>
              <w:t>48.98%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5C29F8" w:rsidRDefault="002B7490" w:rsidP="00A018D4">
            <w:pPr>
              <w:jc w:val="center"/>
              <w:rPr>
                <w:rFonts w:cs="Arial"/>
                <w:color w:val="000000" w:themeColor="text1"/>
                <w:szCs w:val="16"/>
              </w:rPr>
            </w:pPr>
            <w:r w:rsidRPr="005C29F8">
              <w:rPr>
                <w:rFonts w:cs="Arial"/>
                <w:color w:val="000000" w:themeColor="text1"/>
                <w:szCs w:val="16"/>
              </w:rPr>
              <w:t>72.58%</w:t>
            </w:r>
          </w:p>
        </w:tc>
      </w:tr>
      <w:tr w:rsidR="005C29F8" w:rsidRPr="005C29F8" w14:paraId="3B4797BA" w14:textId="77777777" w:rsidTr="00AB0D6A">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5C29F8" w:rsidRDefault="005F442C">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5C29F8" w:rsidRDefault="002B7490" w:rsidP="00A018D4">
            <w:pPr>
              <w:jc w:val="center"/>
              <w:rPr>
                <w:rFonts w:cs="Arial"/>
                <w:color w:val="000000" w:themeColor="text1"/>
                <w:szCs w:val="16"/>
              </w:rPr>
            </w:pPr>
            <w:r w:rsidRPr="005C29F8">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5C29F8" w:rsidRDefault="002B7490" w:rsidP="00A018D4">
            <w:pPr>
              <w:jc w:val="center"/>
              <w:rPr>
                <w:rFonts w:cs="Arial"/>
                <w:color w:val="000000" w:themeColor="text1"/>
                <w:szCs w:val="16"/>
              </w:rPr>
            </w:pPr>
            <w:r w:rsidRPr="005C29F8">
              <w:rPr>
                <w:rFonts w:cs="Arial"/>
                <w:color w:val="000000" w:themeColor="text1"/>
                <w:szCs w:val="16"/>
              </w:rPr>
              <w:t>69.00%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5C29F8" w:rsidRDefault="002B7490" w:rsidP="00A018D4">
            <w:pPr>
              <w:jc w:val="center"/>
              <w:rPr>
                <w:rFonts w:cs="Arial"/>
                <w:color w:val="000000" w:themeColor="text1"/>
                <w:szCs w:val="16"/>
              </w:rPr>
            </w:pPr>
            <w:r w:rsidRPr="005C29F8">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5C29F8" w:rsidRDefault="002B7490" w:rsidP="00A018D4">
            <w:pPr>
              <w:jc w:val="center"/>
              <w:rPr>
                <w:rFonts w:cs="Arial"/>
                <w:color w:val="000000" w:themeColor="text1"/>
                <w:szCs w:val="16"/>
              </w:rPr>
            </w:pPr>
            <w:r w:rsidRPr="005C29F8">
              <w:rPr>
                <w:rFonts w:cs="Arial"/>
                <w:color w:val="000000" w:themeColor="text1"/>
                <w:szCs w:val="16"/>
              </w:rPr>
              <w:t>81.00%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5C29F8" w:rsidRDefault="002B7490" w:rsidP="00A018D4">
            <w:pPr>
              <w:jc w:val="center"/>
              <w:rPr>
                <w:rFonts w:cs="Arial"/>
                <w:color w:val="000000" w:themeColor="text1"/>
                <w:szCs w:val="16"/>
              </w:rPr>
            </w:pPr>
            <w:r w:rsidRPr="005C29F8">
              <w:rPr>
                <w:rFonts w:cs="Arial"/>
                <w:color w:val="000000" w:themeColor="text1"/>
                <w:szCs w:val="16"/>
              </w:rPr>
              <w:t>87.00%</w:t>
            </w:r>
          </w:p>
        </w:tc>
      </w:tr>
      <w:tr w:rsidR="005C29F8" w:rsidRPr="005C29F8" w14:paraId="6F394366" w14:textId="77777777" w:rsidTr="00AB0D6A">
        <w:trPr>
          <w:trHeight w:val="85"/>
        </w:trPr>
        <w:tc>
          <w:tcPr>
            <w:tcW w:w="190" w:type="pct"/>
            <w:tcBorders>
              <w:left w:val="single" w:sz="4" w:space="0" w:color="auto"/>
              <w:right w:val="single" w:sz="4" w:space="0" w:color="auto"/>
            </w:tcBorders>
            <w:shd w:val="clear" w:color="auto" w:fill="auto"/>
          </w:tcPr>
          <w:p w14:paraId="44948B1E" w14:textId="67BC5CB9" w:rsidR="005F442C" w:rsidRPr="005C29F8" w:rsidRDefault="00676431" w:rsidP="00A018D4">
            <w:pPr>
              <w:spacing w:line="276" w:lineRule="auto"/>
              <w:jc w:val="center"/>
              <w:rPr>
                <w:rFonts w:cs="Arial"/>
                <w:color w:val="000000" w:themeColor="text1"/>
                <w:szCs w:val="16"/>
              </w:rPr>
            </w:pPr>
            <w:r w:rsidRPr="005C29F8">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5C29F8" w:rsidRDefault="002B7490" w:rsidP="00A018D4">
            <w:pPr>
              <w:jc w:val="center"/>
              <w:rPr>
                <w:rFonts w:cs="Arial"/>
                <w:color w:val="000000" w:themeColor="text1"/>
                <w:szCs w:val="16"/>
              </w:rPr>
            </w:pPr>
            <w:r w:rsidRPr="005C29F8">
              <w:rPr>
                <w:rFonts w:cs="Arial"/>
                <w:color w:val="000000" w:themeColor="text1"/>
                <w:szCs w:val="16"/>
              </w:rPr>
              <w:t>86.00%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5C29F8" w:rsidRDefault="005F442C" w:rsidP="00A018D4">
            <w:pPr>
              <w:spacing w:line="276" w:lineRule="auto"/>
              <w:rPr>
                <w:rFonts w:cs="Arial"/>
                <w:color w:val="000000" w:themeColor="text1"/>
                <w:szCs w:val="16"/>
              </w:rPr>
            </w:pPr>
            <w:r w:rsidRPr="005C29F8">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5C29F8" w:rsidRDefault="002B7490" w:rsidP="00A018D4">
            <w:pPr>
              <w:jc w:val="center"/>
              <w:rPr>
                <w:rFonts w:cs="Arial"/>
                <w:color w:val="000000" w:themeColor="text1"/>
                <w:szCs w:val="16"/>
              </w:rPr>
            </w:pPr>
            <w:r w:rsidRPr="005C29F8">
              <w:rPr>
                <w:rFonts w:cs="Arial"/>
                <w:color w:val="000000" w:themeColor="text1"/>
                <w:szCs w:val="16"/>
              </w:rPr>
              <w:t>50.91%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5C29F8" w:rsidRDefault="002B7490" w:rsidP="00A018D4">
            <w:pPr>
              <w:jc w:val="center"/>
              <w:rPr>
                <w:rFonts w:cs="Arial"/>
                <w:color w:val="000000" w:themeColor="text1"/>
                <w:szCs w:val="16"/>
              </w:rPr>
            </w:pPr>
            <w:r w:rsidRPr="005C29F8">
              <w:rPr>
                <w:rFonts w:cs="Arial"/>
                <w:color w:val="000000" w:themeColor="text1"/>
                <w:szCs w:val="16"/>
              </w:rPr>
              <w:t>43.40%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5C29F8" w:rsidRDefault="002B7490" w:rsidP="00A018D4">
            <w:pPr>
              <w:jc w:val="center"/>
              <w:rPr>
                <w:rFonts w:cs="Arial"/>
                <w:color w:val="000000" w:themeColor="text1"/>
                <w:szCs w:val="16"/>
              </w:rPr>
            </w:pPr>
            <w:r w:rsidRPr="005C29F8">
              <w:rPr>
                <w:rFonts w:cs="Arial"/>
                <w:color w:val="000000" w:themeColor="text1"/>
                <w:szCs w:val="16"/>
              </w:rPr>
              <w:t>64.41%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5C29F8" w:rsidRDefault="002B7490" w:rsidP="00A018D4">
            <w:pPr>
              <w:jc w:val="center"/>
              <w:rPr>
                <w:rFonts w:cs="Arial"/>
                <w:color w:val="000000" w:themeColor="text1"/>
                <w:szCs w:val="16"/>
              </w:rPr>
            </w:pPr>
            <w:r w:rsidRPr="005C29F8">
              <w:rPr>
                <w:rFonts w:cs="Arial"/>
                <w:color w:val="000000" w:themeColor="text1"/>
                <w:szCs w:val="16"/>
              </w:rPr>
              <w:t>61.22%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5C29F8" w:rsidRDefault="002B7490" w:rsidP="00A018D4">
            <w:pPr>
              <w:jc w:val="center"/>
              <w:rPr>
                <w:rFonts w:cs="Arial"/>
                <w:color w:val="000000" w:themeColor="text1"/>
                <w:szCs w:val="16"/>
              </w:rPr>
            </w:pPr>
            <w:r w:rsidRPr="005C29F8">
              <w:rPr>
                <w:rFonts w:cs="Arial"/>
                <w:color w:val="000000" w:themeColor="text1"/>
                <w:szCs w:val="16"/>
              </w:rPr>
              <w:t>75.81%</w:t>
            </w:r>
          </w:p>
        </w:tc>
      </w:tr>
    </w:tbl>
    <w:p w14:paraId="7084612B" w14:textId="77777777" w:rsidR="00E448E9" w:rsidRPr="005C29F8" w:rsidRDefault="00E448E9" w:rsidP="004369B2">
      <w:pPr>
        <w:rPr>
          <w:color w:val="000000" w:themeColor="text1"/>
        </w:rPr>
      </w:pPr>
    </w:p>
    <w:p w14:paraId="02DB82E4" w14:textId="2DEF87EE" w:rsidR="005F442C" w:rsidRPr="005C29F8" w:rsidRDefault="005F442C" w:rsidP="004369B2">
      <w:pPr>
        <w:rPr>
          <w:color w:val="000000" w:themeColor="text1"/>
        </w:rPr>
      </w:pPr>
      <w:r w:rsidRPr="005C29F8">
        <w:rPr>
          <w:b/>
          <w:color w:val="000000" w:themeColor="text1"/>
        </w:rPr>
        <w:t>FFY 2019 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1075"/>
        <w:gridCol w:w="2186"/>
      </w:tblGrid>
      <w:tr w:rsidR="00441578" w:rsidRPr="005C29F8" w14:paraId="0D5EED67" w14:textId="56E6AAB3" w:rsidTr="0033429D">
        <w:trPr>
          <w:trHeight w:val="350"/>
        </w:trPr>
        <w:tc>
          <w:tcPr>
            <w:tcW w:w="1648" w:type="pct"/>
            <w:tcBorders>
              <w:bottom w:val="single" w:sz="4" w:space="0" w:color="auto"/>
            </w:tcBorders>
            <w:shd w:val="clear" w:color="auto" w:fill="auto"/>
          </w:tcPr>
          <w:p w14:paraId="3A39086B" w14:textId="77777777" w:rsidR="00441578" w:rsidRPr="005C29F8" w:rsidRDefault="00441578" w:rsidP="004369B2">
            <w:pPr>
              <w:jc w:val="center"/>
              <w:rPr>
                <w:b/>
                <w:color w:val="000000" w:themeColor="text1"/>
              </w:rPr>
            </w:pPr>
            <w:r w:rsidRPr="005C29F8">
              <w:rPr>
                <w:b/>
                <w:color w:val="000000" w:themeColor="text1"/>
              </w:rPr>
              <w:t>FFY</w:t>
            </w:r>
          </w:p>
        </w:tc>
        <w:tc>
          <w:tcPr>
            <w:tcW w:w="3352" w:type="pct"/>
            <w:shd w:val="clear" w:color="auto" w:fill="auto"/>
          </w:tcPr>
          <w:p w14:paraId="3904D56E" w14:textId="5A40B787" w:rsidR="00441578" w:rsidRPr="005C29F8" w:rsidRDefault="00441578" w:rsidP="004369B2">
            <w:pPr>
              <w:jc w:val="center"/>
              <w:rPr>
                <w:b/>
                <w:color w:val="000000" w:themeColor="text1"/>
              </w:rPr>
            </w:pPr>
            <w:r w:rsidRPr="005C29F8">
              <w:rPr>
                <w:b/>
                <w:color w:val="000000" w:themeColor="text1"/>
              </w:rPr>
              <w:t>2019</w:t>
            </w:r>
          </w:p>
        </w:tc>
      </w:tr>
      <w:tr w:rsidR="00441578" w:rsidRPr="005C29F8" w14:paraId="7E2B073B" w14:textId="3D1CA9FC" w:rsidTr="0033429D">
        <w:trPr>
          <w:trHeight w:val="357"/>
        </w:trPr>
        <w:tc>
          <w:tcPr>
            <w:tcW w:w="1648" w:type="pct"/>
            <w:shd w:val="clear" w:color="auto" w:fill="auto"/>
          </w:tcPr>
          <w:p w14:paraId="0DC64663" w14:textId="2175F0A9" w:rsidR="00441578" w:rsidRPr="005C29F8" w:rsidRDefault="00441578" w:rsidP="001126C3">
            <w:pPr>
              <w:rPr>
                <w:rFonts w:cs="Arial"/>
                <w:color w:val="000000" w:themeColor="text1"/>
                <w:szCs w:val="16"/>
              </w:rPr>
            </w:pPr>
            <w:r w:rsidRPr="005C29F8">
              <w:rPr>
                <w:rFonts w:cs="Arial"/>
                <w:color w:val="000000" w:themeColor="text1"/>
                <w:szCs w:val="16"/>
              </w:rPr>
              <w:t>Target A &gt;=</w:t>
            </w:r>
          </w:p>
        </w:tc>
        <w:tc>
          <w:tcPr>
            <w:tcW w:w="3352" w:type="pct"/>
            <w:shd w:val="clear" w:color="auto" w:fill="auto"/>
            <w:vAlign w:val="center"/>
          </w:tcPr>
          <w:p w14:paraId="0A86FFC3" w14:textId="4AE9585E" w:rsidR="00441578" w:rsidRPr="005C29F8" w:rsidRDefault="00441578" w:rsidP="00A018D4">
            <w:pPr>
              <w:jc w:val="center"/>
              <w:rPr>
                <w:rFonts w:cs="Arial"/>
                <w:color w:val="000000" w:themeColor="text1"/>
                <w:szCs w:val="16"/>
              </w:rPr>
            </w:pPr>
            <w:r w:rsidRPr="005C29F8">
              <w:rPr>
                <w:rFonts w:cs="Arial"/>
                <w:color w:val="000000" w:themeColor="text1"/>
                <w:szCs w:val="16"/>
              </w:rPr>
              <w:t>20.00%</w:t>
            </w:r>
          </w:p>
        </w:tc>
      </w:tr>
      <w:tr w:rsidR="00441578" w:rsidRPr="005C29F8" w14:paraId="0314BAE3" w14:textId="3C7111DC" w:rsidTr="0033429D">
        <w:trPr>
          <w:trHeight w:val="357"/>
        </w:trPr>
        <w:tc>
          <w:tcPr>
            <w:tcW w:w="1648" w:type="pct"/>
            <w:shd w:val="clear" w:color="auto" w:fill="auto"/>
          </w:tcPr>
          <w:p w14:paraId="53C1536D" w14:textId="615A342B" w:rsidR="00441578" w:rsidRPr="005C29F8" w:rsidRDefault="00441578" w:rsidP="001126C3">
            <w:pPr>
              <w:rPr>
                <w:rFonts w:cs="Arial"/>
                <w:color w:val="000000" w:themeColor="text1"/>
                <w:szCs w:val="16"/>
              </w:rPr>
            </w:pPr>
            <w:r w:rsidRPr="005C29F8">
              <w:rPr>
                <w:rFonts w:cs="Arial"/>
                <w:color w:val="000000" w:themeColor="text1"/>
                <w:szCs w:val="16"/>
              </w:rPr>
              <w:t>Target B &gt;=</w:t>
            </w:r>
          </w:p>
        </w:tc>
        <w:tc>
          <w:tcPr>
            <w:tcW w:w="3352" w:type="pct"/>
            <w:shd w:val="clear" w:color="auto" w:fill="auto"/>
            <w:vAlign w:val="center"/>
          </w:tcPr>
          <w:p w14:paraId="3AAA5324" w14:textId="5539646A" w:rsidR="00441578" w:rsidRPr="005C29F8" w:rsidRDefault="00441578" w:rsidP="00A018D4">
            <w:pPr>
              <w:jc w:val="center"/>
              <w:rPr>
                <w:rFonts w:cs="Arial"/>
                <w:color w:val="000000" w:themeColor="text1"/>
                <w:szCs w:val="16"/>
              </w:rPr>
            </w:pPr>
            <w:r w:rsidRPr="005C29F8">
              <w:rPr>
                <w:rFonts w:cs="Arial"/>
                <w:color w:val="000000" w:themeColor="text1"/>
                <w:szCs w:val="16"/>
              </w:rPr>
              <w:t>63.00%</w:t>
            </w:r>
          </w:p>
        </w:tc>
      </w:tr>
      <w:tr w:rsidR="00441578" w:rsidRPr="005C29F8" w14:paraId="571B685C" w14:textId="647BD845" w:rsidTr="0033429D">
        <w:trPr>
          <w:trHeight w:val="357"/>
        </w:trPr>
        <w:tc>
          <w:tcPr>
            <w:tcW w:w="1648" w:type="pct"/>
            <w:shd w:val="clear" w:color="auto" w:fill="auto"/>
          </w:tcPr>
          <w:p w14:paraId="4D525255" w14:textId="5D1105EA" w:rsidR="00441578" w:rsidRPr="005C29F8" w:rsidRDefault="00441578" w:rsidP="001126C3">
            <w:pPr>
              <w:rPr>
                <w:rFonts w:cs="Arial"/>
                <w:color w:val="000000" w:themeColor="text1"/>
                <w:szCs w:val="16"/>
              </w:rPr>
            </w:pPr>
            <w:r w:rsidRPr="005C29F8">
              <w:rPr>
                <w:rFonts w:cs="Arial"/>
                <w:color w:val="000000" w:themeColor="text1"/>
                <w:szCs w:val="16"/>
              </w:rPr>
              <w:t>Target C &gt;=</w:t>
            </w:r>
          </w:p>
        </w:tc>
        <w:tc>
          <w:tcPr>
            <w:tcW w:w="3352" w:type="pct"/>
            <w:shd w:val="clear" w:color="auto" w:fill="auto"/>
            <w:vAlign w:val="center"/>
          </w:tcPr>
          <w:p w14:paraId="6A2D65BD" w14:textId="1F6D3E1F" w:rsidR="00441578" w:rsidRPr="005C29F8" w:rsidRDefault="00441578" w:rsidP="00A018D4">
            <w:pPr>
              <w:jc w:val="center"/>
              <w:rPr>
                <w:rFonts w:cs="Arial"/>
                <w:color w:val="000000" w:themeColor="text1"/>
                <w:szCs w:val="16"/>
              </w:rPr>
            </w:pPr>
            <w:r w:rsidRPr="005C29F8">
              <w:rPr>
                <w:rFonts w:cs="Arial"/>
                <w:color w:val="000000" w:themeColor="text1"/>
                <w:szCs w:val="16"/>
              </w:rPr>
              <w:t>87.00%</w:t>
            </w:r>
          </w:p>
        </w:tc>
      </w:tr>
    </w:tbl>
    <w:p w14:paraId="007E6F50" w14:textId="125782E4" w:rsidR="000A2C83" w:rsidRDefault="000A2C83" w:rsidP="004369B2">
      <w:pPr>
        <w:rPr>
          <w:b/>
          <w:color w:val="000000" w:themeColor="text1"/>
        </w:rPr>
      </w:pPr>
      <w:r w:rsidRPr="005C29F8">
        <w:rPr>
          <w:b/>
          <w:color w:val="000000" w:themeColor="text1"/>
        </w:rPr>
        <w:t xml:space="preserve">Targets: Description of Stakeholder Input </w:t>
      </w:r>
    </w:p>
    <w:p w14:paraId="262FFC50" w14:textId="3E779EE8" w:rsidR="000A2C83" w:rsidRPr="005C29F8" w:rsidRDefault="002B7490" w:rsidP="000A2C83">
      <w:pPr>
        <w:rPr>
          <w:rFonts w:cs="Arial"/>
          <w:color w:val="000000" w:themeColor="text1"/>
          <w:szCs w:val="16"/>
        </w:rPr>
      </w:pPr>
      <w:r w:rsidRPr="005C29F8">
        <w:rPr>
          <w:rFonts w:cs="Arial"/>
          <w:color w:val="000000" w:themeColor="text1"/>
          <w:szCs w:val="16"/>
        </w:rPr>
        <w:t xml:space="preserve">In FFY 2013, the CNMI stakeholders determined targets for Results Indicators through FFY 2018. In 2019, the Special Education State Advisory Panel (SESAP), provided input on additional targets for Results Indicators through FFY 2019. This FFY 2019 APR includes current performance data on 14 of the16 Indicator measures: Indicators 1, 2, 3, 4, 5, 6, 7, 8, 11, 12, 13, 14, 15, and 16 and additional targets for Results Indicator through FFY 2019. The remaining two indicators, 9 and 10, do not apply to the CNMI. </w:t>
      </w:r>
      <w:r w:rsidRPr="005C29F8">
        <w:rPr>
          <w:rFonts w:cs="Arial"/>
          <w:color w:val="000000" w:themeColor="text1"/>
          <w:szCs w:val="16"/>
        </w:rPr>
        <w:br/>
      </w:r>
      <w:r w:rsidRPr="005C29F8">
        <w:rPr>
          <w:rFonts w:cs="Arial"/>
          <w:color w:val="000000" w:themeColor="text1"/>
          <w:szCs w:val="16"/>
        </w:rPr>
        <w:br/>
        <w:t>CNMI stakeholders discussed that the FFY 2019 APR represented the last reporting year of the current SPP cycle. Stakeholders agreed that CNMI should not make any revisions to the FFY 2019 results targets.  Therefore, for each applicable SPP Indicator measure, CNMI reports FFY 2019 progress data to determine if CNMI met its FFY 2019 targets, an explanation of slippage if CNMI did not meet its target, and a response to any issue identified for the Indicator in the 2020 OSEP SPP/APR Determination letter for CNMI’s FFY 2018 SPP/APR. Indicator 17, the State Systemic Improvement Plan (SSIP) Phase III Year 5 will be submitted as required no later than April 1, 2021.</w:t>
      </w:r>
    </w:p>
    <w:p w14:paraId="4522ADD4" w14:textId="77777777" w:rsidR="00E448E9" w:rsidRPr="005C29F8" w:rsidRDefault="00E448E9" w:rsidP="004369B2">
      <w:pPr>
        <w:rPr>
          <w:color w:val="000000" w:themeColor="text1"/>
        </w:rPr>
      </w:pPr>
      <w:bookmarkStart w:id="62" w:name="_Toc392159337"/>
    </w:p>
    <w:p w14:paraId="4202DC3A" w14:textId="3291E421" w:rsidR="00A03EFA" w:rsidRPr="005C29F8" w:rsidRDefault="00EC46E4" w:rsidP="004369B2">
      <w:pPr>
        <w:rPr>
          <w:color w:val="000000" w:themeColor="text1"/>
        </w:rPr>
      </w:pPr>
      <w:r w:rsidRPr="005C29F8">
        <w:rPr>
          <w:b/>
          <w:color w:val="000000" w:themeColor="text1"/>
        </w:rPr>
        <w:t>FFY 2019 SPP/APR Data</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9055"/>
        <w:gridCol w:w="1735"/>
      </w:tblGrid>
      <w:tr w:rsidR="005C29F8" w:rsidRPr="005C29F8" w14:paraId="4BEBCF45" w14:textId="77777777" w:rsidTr="004369B2">
        <w:tc>
          <w:tcPr>
            <w:tcW w:w="4196" w:type="pct"/>
            <w:vAlign w:val="center"/>
          </w:tcPr>
          <w:p w14:paraId="362898CB" w14:textId="77777777" w:rsidR="00634AD8" w:rsidRPr="005C29F8" w:rsidRDefault="00634AD8" w:rsidP="00B06A84">
            <w:pPr>
              <w:keepNext/>
              <w:rPr>
                <w:rFonts w:cs="Arial"/>
                <w:color w:val="000000" w:themeColor="text1"/>
                <w:szCs w:val="16"/>
              </w:rPr>
            </w:pPr>
            <w:r w:rsidRPr="005C29F8">
              <w:rPr>
                <w:rFonts w:cs="Arial"/>
                <w:color w:val="000000" w:themeColor="text1"/>
                <w:szCs w:val="16"/>
              </w:rPr>
              <w:t>Number of respondent youth who are no longer in secondary school and had IEPs in effect at the time they left school</w:t>
            </w:r>
          </w:p>
        </w:tc>
        <w:tc>
          <w:tcPr>
            <w:tcW w:w="804" w:type="pct"/>
            <w:vAlign w:val="center"/>
          </w:tcPr>
          <w:p w14:paraId="4E7A7BCA" w14:textId="4D8CFE95" w:rsidR="00634AD8" w:rsidRPr="005C29F8" w:rsidRDefault="002B7490" w:rsidP="00A018D4">
            <w:pPr>
              <w:jc w:val="center"/>
              <w:rPr>
                <w:rFonts w:cs="Arial"/>
                <w:color w:val="000000" w:themeColor="text1"/>
                <w:szCs w:val="16"/>
              </w:rPr>
            </w:pPr>
            <w:r w:rsidRPr="005C29F8">
              <w:rPr>
                <w:rFonts w:cs="Arial"/>
                <w:color w:val="000000" w:themeColor="text1"/>
                <w:szCs w:val="16"/>
              </w:rPr>
              <w:t>58</w:t>
            </w:r>
          </w:p>
        </w:tc>
      </w:tr>
      <w:tr w:rsidR="005C29F8" w:rsidRPr="005C29F8" w14:paraId="5E0C2D8D" w14:textId="77777777" w:rsidTr="004369B2">
        <w:tc>
          <w:tcPr>
            <w:tcW w:w="4196" w:type="pct"/>
            <w:vAlign w:val="center"/>
          </w:tcPr>
          <w:p w14:paraId="307B7092" w14:textId="77777777" w:rsidR="00634AD8" w:rsidRPr="005C29F8" w:rsidRDefault="00634AD8" w:rsidP="003E65F5">
            <w:pPr>
              <w:rPr>
                <w:rFonts w:cs="Arial"/>
                <w:color w:val="000000" w:themeColor="text1"/>
                <w:szCs w:val="16"/>
              </w:rPr>
            </w:pPr>
            <w:r w:rsidRPr="005C29F8">
              <w:rPr>
                <w:rFonts w:cs="Arial"/>
                <w:color w:val="000000" w:themeColor="text1"/>
                <w:szCs w:val="16"/>
              </w:rPr>
              <w:t xml:space="preserve">1. Number of respondent youth who enrolled in higher education within one year of leaving high school </w:t>
            </w:r>
          </w:p>
        </w:tc>
        <w:tc>
          <w:tcPr>
            <w:tcW w:w="804" w:type="pct"/>
            <w:vAlign w:val="center"/>
          </w:tcPr>
          <w:p w14:paraId="0A9A571A" w14:textId="2C7C274B" w:rsidR="00634AD8" w:rsidRPr="005C29F8" w:rsidRDefault="002B7490" w:rsidP="00A018D4">
            <w:pPr>
              <w:jc w:val="center"/>
              <w:rPr>
                <w:rFonts w:cs="Arial"/>
                <w:color w:val="000000" w:themeColor="text1"/>
                <w:szCs w:val="16"/>
              </w:rPr>
            </w:pPr>
            <w:r w:rsidRPr="005C29F8">
              <w:rPr>
                <w:rFonts w:cs="Arial"/>
                <w:color w:val="000000" w:themeColor="text1"/>
                <w:szCs w:val="16"/>
              </w:rPr>
              <w:t>5</w:t>
            </w:r>
          </w:p>
        </w:tc>
      </w:tr>
      <w:tr w:rsidR="005C29F8" w:rsidRPr="005C29F8" w14:paraId="7827FDF9" w14:textId="77777777" w:rsidTr="004369B2">
        <w:tc>
          <w:tcPr>
            <w:tcW w:w="4196" w:type="pct"/>
            <w:vAlign w:val="center"/>
          </w:tcPr>
          <w:p w14:paraId="143C6167" w14:textId="77777777" w:rsidR="00C66181" w:rsidRPr="005C29F8" w:rsidRDefault="00C66181" w:rsidP="00C66181">
            <w:pPr>
              <w:rPr>
                <w:rFonts w:cs="Arial"/>
                <w:color w:val="000000" w:themeColor="text1"/>
                <w:szCs w:val="16"/>
              </w:rPr>
            </w:pPr>
            <w:r w:rsidRPr="005C29F8">
              <w:rPr>
                <w:rFonts w:cs="Arial"/>
                <w:color w:val="000000" w:themeColor="text1"/>
                <w:szCs w:val="16"/>
              </w:rPr>
              <w:t xml:space="preserve">2. Number of respondent youth who competitively employed within one year of leaving high school </w:t>
            </w:r>
          </w:p>
        </w:tc>
        <w:tc>
          <w:tcPr>
            <w:tcW w:w="804" w:type="pct"/>
            <w:vAlign w:val="center"/>
          </w:tcPr>
          <w:p w14:paraId="6B716476" w14:textId="340D4859" w:rsidR="00C66181" w:rsidRPr="005C29F8" w:rsidRDefault="002B7490" w:rsidP="00A018D4">
            <w:pPr>
              <w:jc w:val="center"/>
              <w:rPr>
                <w:rFonts w:cs="Arial"/>
                <w:color w:val="000000" w:themeColor="text1"/>
                <w:szCs w:val="16"/>
              </w:rPr>
            </w:pPr>
            <w:r w:rsidRPr="005C29F8">
              <w:rPr>
                <w:rFonts w:cs="Arial"/>
                <w:color w:val="000000" w:themeColor="text1"/>
                <w:szCs w:val="16"/>
              </w:rPr>
              <w:t>28</w:t>
            </w:r>
          </w:p>
        </w:tc>
      </w:tr>
      <w:tr w:rsidR="005C29F8" w:rsidRPr="005C29F8" w14:paraId="5F3556EC" w14:textId="77777777" w:rsidTr="004369B2">
        <w:tc>
          <w:tcPr>
            <w:tcW w:w="4196" w:type="pct"/>
            <w:vAlign w:val="center"/>
          </w:tcPr>
          <w:p w14:paraId="31472415" w14:textId="77777777" w:rsidR="00C66181" w:rsidRPr="005C29F8" w:rsidRDefault="00C66181" w:rsidP="00C66181">
            <w:pPr>
              <w:rPr>
                <w:rFonts w:cs="Arial"/>
                <w:color w:val="000000" w:themeColor="text1"/>
                <w:szCs w:val="16"/>
              </w:rPr>
            </w:pPr>
            <w:r w:rsidRPr="005C29F8">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804" w:type="pct"/>
            <w:vAlign w:val="center"/>
          </w:tcPr>
          <w:p w14:paraId="113FFF64" w14:textId="3A694BE0" w:rsidR="00C66181" w:rsidRPr="005C29F8" w:rsidRDefault="002B7490" w:rsidP="00A018D4">
            <w:pPr>
              <w:jc w:val="center"/>
              <w:rPr>
                <w:rFonts w:cs="Arial"/>
                <w:color w:val="000000" w:themeColor="text1"/>
                <w:szCs w:val="16"/>
              </w:rPr>
            </w:pPr>
            <w:r w:rsidRPr="005C29F8">
              <w:rPr>
                <w:rFonts w:cs="Arial"/>
                <w:color w:val="000000" w:themeColor="text1"/>
                <w:szCs w:val="16"/>
              </w:rPr>
              <w:t>4</w:t>
            </w:r>
          </w:p>
        </w:tc>
      </w:tr>
      <w:tr w:rsidR="00C66181" w:rsidRPr="005C29F8" w14:paraId="781804C6" w14:textId="77777777" w:rsidTr="004369B2">
        <w:tc>
          <w:tcPr>
            <w:tcW w:w="4196" w:type="pct"/>
            <w:vAlign w:val="center"/>
          </w:tcPr>
          <w:p w14:paraId="1C549366" w14:textId="77777777" w:rsidR="00C66181" w:rsidRPr="005C29F8" w:rsidRDefault="00C66181" w:rsidP="00C66181">
            <w:pPr>
              <w:rPr>
                <w:rFonts w:cs="Arial"/>
                <w:color w:val="000000" w:themeColor="text1"/>
                <w:szCs w:val="16"/>
              </w:rPr>
            </w:pPr>
            <w:r w:rsidRPr="005C29F8">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804" w:type="pct"/>
            <w:vAlign w:val="center"/>
          </w:tcPr>
          <w:p w14:paraId="73A7669A" w14:textId="69DC744F" w:rsidR="00C66181"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4C7C103F" w14:textId="77777777" w:rsidR="00634AD8" w:rsidRPr="005C29F8"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5C29F8" w14:paraId="5EEC1BAF" w14:textId="0A8A2949" w:rsidTr="0033429D">
        <w:trPr>
          <w:trHeight w:val="358"/>
          <w:tblHeader/>
        </w:trPr>
        <w:tc>
          <w:tcPr>
            <w:tcW w:w="625" w:type="pct"/>
            <w:shd w:val="clear" w:color="auto" w:fill="auto"/>
            <w:vAlign w:val="bottom"/>
          </w:tcPr>
          <w:p w14:paraId="4E882584" w14:textId="038C3477" w:rsidR="00B67038" w:rsidRPr="005C29F8" w:rsidRDefault="004E1996" w:rsidP="00B02B95">
            <w:pPr>
              <w:jc w:val="center"/>
              <w:rPr>
                <w:rFonts w:cs="Arial"/>
                <w:b/>
                <w:color w:val="000000" w:themeColor="text1"/>
                <w:szCs w:val="16"/>
              </w:rPr>
            </w:pPr>
            <w:r>
              <w:rPr>
                <w:rFonts w:cs="Arial"/>
                <w:b/>
                <w:color w:val="000000" w:themeColor="text1"/>
                <w:szCs w:val="16"/>
              </w:rPr>
              <w:t>Measure</w:t>
            </w:r>
          </w:p>
        </w:tc>
        <w:tc>
          <w:tcPr>
            <w:tcW w:w="625" w:type="pct"/>
            <w:shd w:val="clear" w:color="auto" w:fill="auto"/>
            <w:vAlign w:val="bottom"/>
          </w:tcPr>
          <w:p w14:paraId="5814109E"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w:t>
            </w:r>
          </w:p>
        </w:tc>
        <w:tc>
          <w:tcPr>
            <w:tcW w:w="625" w:type="pct"/>
            <w:shd w:val="clear" w:color="auto" w:fill="auto"/>
            <w:vAlign w:val="bottom"/>
          </w:tcPr>
          <w:p w14:paraId="14CE6B2C" w14:textId="77777777" w:rsidR="00B67038" w:rsidRPr="005C29F8" w:rsidRDefault="00B67038" w:rsidP="00B02B95">
            <w:pPr>
              <w:jc w:val="center"/>
              <w:rPr>
                <w:rFonts w:cs="Arial"/>
                <w:b/>
                <w:color w:val="000000" w:themeColor="text1"/>
                <w:szCs w:val="16"/>
              </w:rPr>
            </w:pPr>
            <w:r w:rsidRPr="005C29F8">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7F0E9157" w:rsidR="00B67038" w:rsidRPr="005C29F8" w:rsidRDefault="001111BE" w:rsidP="00B02B95">
            <w:pPr>
              <w:jc w:val="center"/>
              <w:rPr>
                <w:rFonts w:cs="Arial"/>
                <w:b/>
                <w:color w:val="000000" w:themeColor="text1"/>
                <w:szCs w:val="16"/>
              </w:rPr>
            </w:pPr>
            <w:r w:rsidRPr="005C29F8">
              <w:rPr>
                <w:rFonts w:cs="Arial"/>
                <w:b/>
                <w:color w:val="000000" w:themeColor="text1"/>
                <w:szCs w:val="16"/>
              </w:rPr>
              <w:t>FFY 2018 Data</w:t>
            </w:r>
          </w:p>
        </w:tc>
        <w:tc>
          <w:tcPr>
            <w:tcW w:w="625" w:type="pct"/>
            <w:shd w:val="clear" w:color="auto" w:fill="auto"/>
            <w:vAlign w:val="bottom"/>
          </w:tcPr>
          <w:p w14:paraId="5152926B" w14:textId="6CEABA8D"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Target</w:t>
            </w:r>
          </w:p>
        </w:tc>
        <w:tc>
          <w:tcPr>
            <w:tcW w:w="625" w:type="pct"/>
            <w:shd w:val="clear" w:color="auto" w:fill="auto"/>
            <w:vAlign w:val="bottom"/>
          </w:tcPr>
          <w:p w14:paraId="520BBB1B" w14:textId="0403AE7C" w:rsidR="00B67038" w:rsidRPr="005C29F8" w:rsidRDefault="00B67038" w:rsidP="00B02B95">
            <w:pPr>
              <w:jc w:val="center"/>
              <w:rPr>
                <w:rFonts w:cs="Arial"/>
                <w:b/>
                <w:color w:val="000000" w:themeColor="text1"/>
                <w:szCs w:val="16"/>
              </w:rPr>
            </w:pPr>
            <w:r w:rsidRPr="005C29F8">
              <w:rPr>
                <w:rFonts w:cs="Arial"/>
                <w:b/>
                <w:color w:val="000000" w:themeColor="text1"/>
                <w:szCs w:val="16"/>
              </w:rPr>
              <w:t>FFY 2019 Data</w:t>
            </w:r>
          </w:p>
        </w:tc>
        <w:tc>
          <w:tcPr>
            <w:tcW w:w="625" w:type="pct"/>
            <w:shd w:val="clear" w:color="auto" w:fill="auto"/>
            <w:vAlign w:val="bottom"/>
          </w:tcPr>
          <w:p w14:paraId="4E9CD96E" w14:textId="648B12FE" w:rsidR="00B67038" w:rsidRPr="005C29F8" w:rsidRDefault="00B67038" w:rsidP="00B02B95">
            <w:pPr>
              <w:jc w:val="center"/>
              <w:rPr>
                <w:rFonts w:cs="Arial"/>
                <w:b/>
                <w:color w:val="000000" w:themeColor="text1"/>
                <w:szCs w:val="16"/>
              </w:rPr>
            </w:pPr>
            <w:r w:rsidRPr="005C29F8">
              <w:rPr>
                <w:rFonts w:cs="Arial"/>
                <w:b/>
                <w:color w:val="000000" w:themeColor="text1"/>
                <w:szCs w:val="16"/>
              </w:rPr>
              <w:t>Status</w:t>
            </w:r>
          </w:p>
        </w:tc>
        <w:tc>
          <w:tcPr>
            <w:tcW w:w="625" w:type="pct"/>
            <w:shd w:val="clear" w:color="auto" w:fill="auto"/>
            <w:vAlign w:val="bottom"/>
          </w:tcPr>
          <w:p w14:paraId="715E8BB1" w14:textId="2FE9D03B" w:rsidR="00B67038" w:rsidRPr="005C29F8" w:rsidRDefault="00B67038" w:rsidP="00B02B95">
            <w:pPr>
              <w:jc w:val="center"/>
              <w:rPr>
                <w:rFonts w:cs="Arial"/>
                <w:b/>
                <w:color w:val="000000" w:themeColor="text1"/>
                <w:szCs w:val="16"/>
              </w:rPr>
            </w:pPr>
            <w:r w:rsidRPr="005C29F8">
              <w:rPr>
                <w:rFonts w:cs="Arial"/>
                <w:b/>
                <w:color w:val="000000" w:themeColor="text1"/>
                <w:szCs w:val="16"/>
              </w:rPr>
              <w:t>Slippage</w:t>
            </w:r>
          </w:p>
        </w:tc>
      </w:tr>
      <w:tr w:rsidR="005C29F8" w:rsidRPr="005C29F8" w14:paraId="2526E003" w14:textId="5321EBA7" w:rsidTr="0033429D">
        <w:trPr>
          <w:trHeight w:val="365"/>
        </w:trPr>
        <w:tc>
          <w:tcPr>
            <w:tcW w:w="625" w:type="pct"/>
            <w:shd w:val="clear" w:color="auto" w:fill="auto"/>
            <w:vAlign w:val="center"/>
          </w:tcPr>
          <w:p w14:paraId="4322DAA7" w14:textId="775B971A" w:rsidR="00C66181" w:rsidRPr="005C29F8" w:rsidRDefault="00C66181" w:rsidP="00C66181">
            <w:pPr>
              <w:rPr>
                <w:rFonts w:cs="Arial"/>
                <w:color w:val="000000" w:themeColor="text1"/>
                <w:szCs w:val="16"/>
              </w:rPr>
            </w:pPr>
            <w:r w:rsidRPr="005C29F8">
              <w:rPr>
                <w:rFonts w:cs="Arial"/>
                <w:color w:val="000000" w:themeColor="text1"/>
                <w:szCs w:val="16"/>
              </w:rPr>
              <w:t>A. Enrolled in higher education (1)</w:t>
            </w:r>
          </w:p>
        </w:tc>
        <w:tc>
          <w:tcPr>
            <w:tcW w:w="625" w:type="pct"/>
            <w:shd w:val="clear" w:color="auto" w:fill="auto"/>
            <w:vAlign w:val="center"/>
          </w:tcPr>
          <w:p w14:paraId="2B2B0998" w14:textId="349D0F93" w:rsidR="00C66181" w:rsidRPr="005C29F8" w:rsidRDefault="002B7490" w:rsidP="00A018D4">
            <w:pPr>
              <w:jc w:val="center"/>
              <w:rPr>
                <w:rFonts w:cs="Arial"/>
                <w:color w:val="000000" w:themeColor="text1"/>
                <w:szCs w:val="16"/>
              </w:rPr>
            </w:pPr>
            <w:r w:rsidRPr="005C29F8">
              <w:rPr>
                <w:rFonts w:cs="Arial"/>
                <w:color w:val="000000" w:themeColor="text1"/>
                <w:szCs w:val="16"/>
              </w:rPr>
              <w:t>5</w:t>
            </w:r>
          </w:p>
        </w:tc>
        <w:tc>
          <w:tcPr>
            <w:tcW w:w="625" w:type="pct"/>
            <w:shd w:val="clear" w:color="auto" w:fill="auto"/>
            <w:vAlign w:val="center"/>
          </w:tcPr>
          <w:p w14:paraId="2D1BC64A" w14:textId="15C5A024" w:rsidR="00C66181"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625" w:type="pct"/>
            <w:shd w:val="clear" w:color="auto" w:fill="auto"/>
            <w:vAlign w:val="center"/>
          </w:tcPr>
          <w:p w14:paraId="3243FB0B" w14:textId="028EEEBB" w:rsidR="00C66181" w:rsidRPr="005C29F8" w:rsidRDefault="002B7490" w:rsidP="00A018D4">
            <w:pPr>
              <w:jc w:val="center"/>
              <w:rPr>
                <w:rFonts w:cs="Arial"/>
                <w:color w:val="000000" w:themeColor="text1"/>
                <w:szCs w:val="16"/>
              </w:rPr>
            </w:pPr>
            <w:r w:rsidRPr="005C29F8">
              <w:rPr>
                <w:rFonts w:cs="Arial"/>
                <w:color w:val="000000" w:themeColor="text1"/>
                <w:szCs w:val="16"/>
              </w:rPr>
              <w:t>16.13%</w:t>
            </w:r>
          </w:p>
        </w:tc>
        <w:tc>
          <w:tcPr>
            <w:tcW w:w="625" w:type="pct"/>
            <w:shd w:val="clear" w:color="auto" w:fill="auto"/>
            <w:vAlign w:val="center"/>
          </w:tcPr>
          <w:p w14:paraId="7BCB140B" w14:textId="02D0AFDC" w:rsidR="00C66181" w:rsidRPr="005C29F8" w:rsidRDefault="002B7490" w:rsidP="00A018D4">
            <w:pPr>
              <w:jc w:val="center"/>
              <w:rPr>
                <w:rFonts w:cs="Arial"/>
                <w:color w:val="000000" w:themeColor="text1"/>
                <w:szCs w:val="16"/>
              </w:rPr>
            </w:pPr>
            <w:r w:rsidRPr="005C29F8">
              <w:rPr>
                <w:rFonts w:cs="Arial"/>
                <w:color w:val="000000" w:themeColor="text1"/>
                <w:szCs w:val="16"/>
              </w:rPr>
              <w:t>20.00%</w:t>
            </w:r>
          </w:p>
        </w:tc>
        <w:tc>
          <w:tcPr>
            <w:tcW w:w="625" w:type="pct"/>
            <w:shd w:val="clear" w:color="auto" w:fill="auto"/>
            <w:vAlign w:val="center"/>
          </w:tcPr>
          <w:p w14:paraId="0D6600A4" w14:textId="4E0FD8C8" w:rsidR="00C66181" w:rsidRPr="005C29F8" w:rsidRDefault="002B7490" w:rsidP="00A018D4">
            <w:pPr>
              <w:jc w:val="center"/>
              <w:rPr>
                <w:rFonts w:cs="Arial"/>
                <w:color w:val="000000" w:themeColor="text1"/>
                <w:szCs w:val="16"/>
              </w:rPr>
            </w:pPr>
            <w:r w:rsidRPr="005C29F8">
              <w:rPr>
                <w:rFonts w:cs="Arial"/>
                <w:color w:val="000000" w:themeColor="text1"/>
                <w:szCs w:val="16"/>
              </w:rPr>
              <w:t>8.62%</w:t>
            </w:r>
          </w:p>
        </w:tc>
        <w:tc>
          <w:tcPr>
            <w:tcW w:w="625" w:type="pct"/>
            <w:shd w:val="clear" w:color="auto" w:fill="auto"/>
            <w:vAlign w:val="center"/>
          </w:tcPr>
          <w:p w14:paraId="3C766484" w14:textId="7B272BC5"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575A444D" w14:textId="78F1C14C"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0D8194" w14:textId="3CFB279F" w:rsidTr="0033429D">
        <w:trPr>
          <w:trHeight w:val="365"/>
        </w:trPr>
        <w:tc>
          <w:tcPr>
            <w:tcW w:w="625" w:type="pct"/>
            <w:shd w:val="clear" w:color="auto" w:fill="auto"/>
            <w:vAlign w:val="center"/>
          </w:tcPr>
          <w:p w14:paraId="64A6757D" w14:textId="0FC0A9B9" w:rsidR="00C66181" w:rsidRPr="005C29F8" w:rsidRDefault="00C66181" w:rsidP="00C66181">
            <w:pPr>
              <w:rPr>
                <w:rFonts w:cs="Arial"/>
                <w:color w:val="000000" w:themeColor="text1"/>
                <w:szCs w:val="16"/>
              </w:rPr>
            </w:pPr>
            <w:r w:rsidRPr="005C29F8">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5C29F8" w:rsidRDefault="002B7490" w:rsidP="00A018D4">
            <w:pPr>
              <w:jc w:val="center"/>
              <w:rPr>
                <w:rFonts w:cs="Arial"/>
                <w:color w:val="000000" w:themeColor="text1"/>
                <w:szCs w:val="16"/>
              </w:rPr>
            </w:pPr>
            <w:r w:rsidRPr="005C29F8">
              <w:rPr>
                <w:rFonts w:cs="Arial"/>
                <w:color w:val="000000" w:themeColor="text1"/>
                <w:szCs w:val="16"/>
              </w:rPr>
              <w:t>33</w:t>
            </w:r>
          </w:p>
        </w:tc>
        <w:tc>
          <w:tcPr>
            <w:tcW w:w="625" w:type="pct"/>
            <w:shd w:val="clear" w:color="auto" w:fill="auto"/>
            <w:vAlign w:val="center"/>
          </w:tcPr>
          <w:p w14:paraId="5DE56E38" w14:textId="525AF49A" w:rsidR="00C66181"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625" w:type="pct"/>
            <w:shd w:val="clear" w:color="auto" w:fill="auto"/>
            <w:vAlign w:val="center"/>
          </w:tcPr>
          <w:p w14:paraId="7FF1FC54" w14:textId="2A5DA1E3" w:rsidR="00C66181" w:rsidRPr="005C29F8" w:rsidRDefault="002B7490" w:rsidP="00A018D4">
            <w:pPr>
              <w:jc w:val="center"/>
              <w:rPr>
                <w:rFonts w:cs="Arial"/>
                <w:color w:val="000000" w:themeColor="text1"/>
                <w:szCs w:val="16"/>
              </w:rPr>
            </w:pPr>
            <w:r w:rsidRPr="005C29F8">
              <w:rPr>
                <w:rFonts w:cs="Arial"/>
                <w:color w:val="000000" w:themeColor="text1"/>
                <w:szCs w:val="16"/>
              </w:rPr>
              <w:t>72.58%</w:t>
            </w:r>
          </w:p>
        </w:tc>
        <w:tc>
          <w:tcPr>
            <w:tcW w:w="625" w:type="pct"/>
            <w:shd w:val="clear" w:color="auto" w:fill="auto"/>
            <w:vAlign w:val="center"/>
          </w:tcPr>
          <w:p w14:paraId="296C6AD3" w14:textId="560D60D3" w:rsidR="00C66181" w:rsidRPr="005C29F8" w:rsidRDefault="002B7490" w:rsidP="00A018D4">
            <w:pPr>
              <w:jc w:val="center"/>
              <w:rPr>
                <w:rFonts w:cs="Arial"/>
                <w:color w:val="000000" w:themeColor="text1"/>
                <w:szCs w:val="16"/>
              </w:rPr>
            </w:pPr>
            <w:r w:rsidRPr="005C29F8">
              <w:rPr>
                <w:rFonts w:cs="Arial"/>
                <w:color w:val="000000" w:themeColor="text1"/>
                <w:szCs w:val="16"/>
              </w:rPr>
              <w:t>63.00%</w:t>
            </w:r>
          </w:p>
        </w:tc>
        <w:tc>
          <w:tcPr>
            <w:tcW w:w="625" w:type="pct"/>
            <w:shd w:val="clear" w:color="auto" w:fill="auto"/>
            <w:vAlign w:val="center"/>
          </w:tcPr>
          <w:p w14:paraId="54BDC44C" w14:textId="0AE0B920" w:rsidR="00C66181" w:rsidRPr="005C29F8" w:rsidRDefault="002B7490" w:rsidP="00A018D4">
            <w:pPr>
              <w:jc w:val="center"/>
              <w:rPr>
                <w:rFonts w:cs="Arial"/>
                <w:color w:val="000000" w:themeColor="text1"/>
                <w:szCs w:val="16"/>
              </w:rPr>
            </w:pPr>
            <w:r w:rsidRPr="005C29F8">
              <w:rPr>
                <w:rFonts w:cs="Arial"/>
                <w:color w:val="000000" w:themeColor="text1"/>
                <w:szCs w:val="16"/>
              </w:rPr>
              <w:t>56.90%</w:t>
            </w:r>
          </w:p>
        </w:tc>
        <w:tc>
          <w:tcPr>
            <w:tcW w:w="625" w:type="pct"/>
            <w:shd w:val="clear" w:color="auto" w:fill="auto"/>
            <w:vAlign w:val="center"/>
          </w:tcPr>
          <w:p w14:paraId="48B49570" w14:textId="038E3826"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0A2BDCF3" w14:textId="3B0044C6"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r w:rsidR="005C29F8" w:rsidRPr="005C29F8" w14:paraId="493DA09A" w14:textId="4FC8161E" w:rsidTr="0033429D">
        <w:trPr>
          <w:trHeight w:val="365"/>
        </w:trPr>
        <w:tc>
          <w:tcPr>
            <w:tcW w:w="625" w:type="pct"/>
            <w:shd w:val="clear" w:color="auto" w:fill="auto"/>
            <w:vAlign w:val="center"/>
          </w:tcPr>
          <w:p w14:paraId="3D517963" w14:textId="6D3BD99F" w:rsidR="00C66181" w:rsidRPr="005C29F8" w:rsidRDefault="00C66181" w:rsidP="00C66181">
            <w:pPr>
              <w:rPr>
                <w:rFonts w:cs="Arial"/>
                <w:color w:val="000000" w:themeColor="text1"/>
                <w:szCs w:val="16"/>
              </w:rPr>
            </w:pPr>
            <w:r w:rsidRPr="005C29F8">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5C29F8" w:rsidRDefault="002B7490" w:rsidP="00A018D4">
            <w:pPr>
              <w:jc w:val="center"/>
              <w:rPr>
                <w:rFonts w:cs="Arial"/>
                <w:color w:val="000000" w:themeColor="text1"/>
                <w:szCs w:val="16"/>
              </w:rPr>
            </w:pPr>
            <w:r w:rsidRPr="005C29F8">
              <w:rPr>
                <w:rFonts w:cs="Arial"/>
                <w:color w:val="000000" w:themeColor="text1"/>
                <w:szCs w:val="16"/>
              </w:rPr>
              <w:t>37</w:t>
            </w:r>
          </w:p>
        </w:tc>
        <w:tc>
          <w:tcPr>
            <w:tcW w:w="625" w:type="pct"/>
            <w:shd w:val="clear" w:color="auto" w:fill="auto"/>
            <w:vAlign w:val="center"/>
          </w:tcPr>
          <w:p w14:paraId="1FAFC4F9" w14:textId="70DE7F33" w:rsidR="00C66181" w:rsidRPr="005C29F8" w:rsidRDefault="002B7490" w:rsidP="00A018D4">
            <w:pPr>
              <w:jc w:val="center"/>
              <w:rPr>
                <w:rFonts w:cs="Arial"/>
                <w:color w:val="000000" w:themeColor="text1"/>
                <w:szCs w:val="16"/>
              </w:rPr>
            </w:pPr>
            <w:r w:rsidRPr="005C29F8">
              <w:rPr>
                <w:rFonts w:cs="Arial"/>
                <w:color w:val="000000" w:themeColor="text1"/>
                <w:szCs w:val="16"/>
              </w:rPr>
              <w:t>58</w:t>
            </w:r>
          </w:p>
        </w:tc>
        <w:tc>
          <w:tcPr>
            <w:tcW w:w="625" w:type="pct"/>
            <w:shd w:val="clear" w:color="auto" w:fill="auto"/>
            <w:vAlign w:val="center"/>
          </w:tcPr>
          <w:p w14:paraId="5FB73F1B" w14:textId="26275AAA" w:rsidR="00C66181" w:rsidRPr="005C29F8" w:rsidRDefault="002B7490" w:rsidP="00A018D4">
            <w:pPr>
              <w:jc w:val="center"/>
              <w:rPr>
                <w:rFonts w:cs="Arial"/>
                <w:color w:val="000000" w:themeColor="text1"/>
                <w:szCs w:val="16"/>
              </w:rPr>
            </w:pPr>
            <w:r w:rsidRPr="005C29F8">
              <w:rPr>
                <w:rFonts w:cs="Arial"/>
                <w:color w:val="000000" w:themeColor="text1"/>
                <w:szCs w:val="16"/>
              </w:rPr>
              <w:t>75.81%</w:t>
            </w:r>
          </w:p>
        </w:tc>
        <w:tc>
          <w:tcPr>
            <w:tcW w:w="625" w:type="pct"/>
            <w:shd w:val="clear" w:color="auto" w:fill="auto"/>
            <w:vAlign w:val="center"/>
          </w:tcPr>
          <w:p w14:paraId="3A75A593" w14:textId="74B21849" w:rsidR="00C66181" w:rsidRPr="005C29F8" w:rsidRDefault="002B7490" w:rsidP="00A018D4">
            <w:pPr>
              <w:jc w:val="center"/>
              <w:rPr>
                <w:rFonts w:cs="Arial"/>
                <w:color w:val="000000" w:themeColor="text1"/>
                <w:szCs w:val="16"/>
              </w:rPr>
            </w:pPr>
            <w:r w:rsidRPr="005C29F8">
              <w:rPr>
                <w:rFonts w:cs="Arial"/>
                <w:color w:val="000000" w:themeColor="text1"/>
                <w:szCs w:val="16"/>
              </w:rPr>
              <w:t>87.00%</w:t>
            </w:r>
          </w:p>
        </w:tc>
        <w:tc>
          <w:tcPr>
            <w:tcW w:w="625" w:type="pct"/>
            <w:shd w:val="clear" w:color="auto" w:fill="auto"/>
            <w:vAlign w:val="center"/>
          </w:tcPr>
          <w:p w14:paraId="6D78DA3F" w14:textId="61DB3CB1" w:rsidR="00C66181" w:rsidRPr="005C29F8" w:rsidRDefault="002B7490" w:rsidP="00A018D4">
            <w:pPr>
              <w:jc w:val="center"/>
              <w:rPr>
                <w:rFonts w:cs="Arial"/>
                <w:color w:val="000000" w:themeColor="text1"/>
                <w:szCs w:val="16"/>
              </w:rPr>
            </w:pPr>
            <w:r w:rsidRPr="005C29F8">
              <w:rPr>
                <w:rFonts w:cs="Arial"/>
                <w:color w:val="000000" w:themeColor="text1"/>
                <w:szCs w:val="16"/>
              </w:rPr>
              <w:t>63.79%</w:t>
            </w:r>
          </w:p>
        </w:tc>
        <w:tc>
          <w:tcPr>
            <w:tcW w:w="625" w:type="pct"/>
            <w:shd w:val="clear" w:color="auto" w:fill="auto"/>
            <w:vAlign w:val="center"/>
          </w:tcPr>
          <w:p w14:paraId="6E5BDC78" w14:textId="48EDE622" w:rsidR="00C66181" w:rsidRPr="005C29F8" w:rsidRDefault="002B7490" w:rsidP="00A018D4">
            <w:pPr>
              <w:jc w:val="center"/>
              <w:rPr>
                <w:rFonts w:cs="Arial"/>
                <w:color w:val="000000" w:themeColor="text1"/>
                <w:szCs w:val="16"/>
              </w:rPr>
            </w:pPr>
            <w:r w:rsidRPr="005C29F8">
              <w:rPr>
                <w:rFonts w:cs="Arial"/>
                <w:color w:val="000000" w:themeColor="text1"/>
                <w:szCs w:val="16"/>
              </w:rPr>
              <w:t>Did Not Meet Target</w:t>
            </w:r>
          </w:p>
        </w:tc>
        <w:tc>
          <w:tcPr>
            <w:tcW w:w="625" w:type="pct"/>
            <w:shd w:val="clear" w:color="auto" w:fill="auto"/>
            <w:vAlign w:val="center"/>
          </w:tcPr>
          <w:p w14:paraId="4A054D72" w14:textId="19B24E43" w:rsidR="00C66181" w:rsidRPr="005C29F8" w:rsidRDefault="002B7490" w:rsidP="00A018D4">
            <w:pPr>
              <w:jc w:val="center"/>
              <w:rPr>
                <w:rFonts w:cs="Arial"/>
                <w:color w:val="000000" w:themeColor="text1"/>
                <w:szCs w:val="16"/>
              </w:rPr>
            </w:pPr>
            <w:r w:rsidRPr="005C29F8">
              <w:rPr>
                <w:rFonts w:cs="Arial"/>
                <w:color w:val="000000" w:themeColor="text1"/>
                <w:szCs w:val="16"/>
              </w:rPr>
              <w:t>Slippage</w:t>
            </w:r>
          </w:p>
        </w:tc>
      </w:tr>
    </w:tbl>
    <w:p w14:paraId="4A5381A2" w14:textId="3787227C" w:rsidR="001773E7"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5C29F8" w14:paraId="049EEA4C" w14:textId="77777777" w:rsidTr="003138F9">
        <w:trPr>
          <w:tblHeader/>
        </w:trPr>
        <w:tc>
          <w:tcPr>
            <w:tcW w:w="715" w:type="dxa"/>
            <w:vAlign w:val="bottom"/>
          </w:tcPr>
          <w:p w14:paraId="2E1368A0" w14:textId="77777777" w:rsidR="001773E7" w:rsidRPr="005C29F8" w:rsidRDefault="001773E7" w:rsidP="004369B2">
            <w:pPr>
              <w:jc w:val="center"/>
              <w:rPr>
                <w:color w:val="000000" w:themeColor="text1"/>
              </w:rPr>
            </w:pPr>
            <w:r w:rsidRPr="005C29F8">
              <w:rPr>
                <w:b/>
                <w:color w:val="000000" w:themeColor="text1"/>
              </w:rPr>
              <w:t>Part</w:t>
            </w:r>
          </w:p>
        </w:tc>
        <w:tc>
          <w:tcPr>
            <w:tcW w:w="10080" w:type="dxa"/>
            <w:shd w:val="clear" w:color="auto" w:fill="auto"/>
          </w:tcPr>
          <w:p w14:paraId="39A18603" w14:textId="77777777" w:rsidR="001773E7" w:rsidRPr="005C29F8" w:rsidRDefault="001773E7" w:rsidP="004369B2">
            <w:pPr>
              <w:jc w:val="center"/>
              <w:rPr>
                <w:color w:val="000000" w:themeColor="text1"/>
              </w:rPr>
            </w:pPr>
            <w:r w:rsidRPr="005C29F8">
              <w:rPr>
                <w:b/>
                <w:color w:val="000000" w:themeColor="text1"/>
              </w:rPr>
              <w:t>Reasons for slippage, if applicable</w:t>
            </w:r>
          </w:p>
        </w:tc>
      </w:tr>
      <w:tr w:rsidR="005C29F8" w:rsidRPr="005C29F8" w14:paraId="3F4E853C" w14:textId="77777777" w:rsidTr="009E40E1">
        <w:tc>
          <w:tcPr>
            <w:tcW w:w="715" w:type="dxa"/>
            <w:vAlign w:val="center"/>
          </w:tcPr>
          <w:p w14:paraId="5F8F2AD7" w14:textId="77777777" w:rsidR="001773E7" w:rsidRPr="005C29F8" w:rsidRDefault="001773E7" w:rsidP="004369B2">
            <w:pPr>
              <w:jc w:val="center"/>
              <w:rPr>
                <w:b/>
                <w:color w:val="000000" w:themeColor="text1"/>
              </w:rPr>
            </w:pPr>
            <w:r w:rsidRPr="005C29F8">
              <w:rPr>
                <w:b/>
                <w:color w:val="000000" w:themeColor="text1"/>
              </w:rPr>
              <w:t>A</w:t>
            </w:r>
          </w:p>
        </w:tc>
        <w:tc>
          <w:tcPr>
            <w:tcW w:w="10080" w:type="dxa"/>
            <w:shd w:val="clear" w:color="auto" w:fill="auto"/>
          </w:tcPr>
          <w:p w14:paraId="126B7404" w14:textId="7F4A2633" w:rsidR="001773E7" w:rsidRPr="005C29F8" w:rsidRDefault="001773E7" w:rsidP="004369B2">
            <w:pPr>
              <w:rPr>
                <w:color w:val="000000" w:themeColor="text1"/>
              </w:rPr>
            </w:pPr>
            <w:r w:rsidRPr="005C29F8">
              <w:rPr>
                <w:rFonts w:cs="Arial"/>
                <w:color w:val="000000" w:themeColor="text1"/>
                <w:szCs w:val="16"/>
              </w:rPr>
              <w:t>All Indicator 14 measures – A, B, and C – represented slippage from the previous reporting period. Possible reasons for</w:t>
            </w:r>
            <w:r w:rsidRPr="005C29F8">
              <w:rPr>
                <w:rFonts w:cs="Arial"/>
                <w:color w:val="000000" w:themeColor="text1"/>
                <w:szCs w:val="16"/>
              </w:rPr>
              <w:br/>
              <w:t>slippage include:</w:t>
            </w:r>
            <w:r w:rsidRPr="005C29F8">
              <w:rPr>
                <w:rFonts w:cs="Arial"/>
                <w:color w:val="000000" w:themeColor="text1"/>
                <w:szCs w:val="16"/>
              </w:rPr>
              <w:br/>
              <w:t xml:space="preserve">• Limited employment opportunities in the CNMI due to economic issues since Super Typhoon </w:t>
            </w:r>
            <w:proofErr w:type="spellStart"/>
            <w:r w:rsidRPr="005C29F8">
              <w:rPr>
                <w:rFonts w:cs="Arial"/>
                <w:color w:val="000000" w:themeColor="text1"/>
                <w:szCs w:val="16"/>
              </w:rPr>
              <w:t>Yutu</w:t>
            </w:r>
            <w:proofErr w:type="spellEnd"/>
            <w:r w:rsidRPr="005C29F8">
              <w:rPr>
                <w:rFonts w:cs="Arial"/>
                <w:color w:val="000000" w:themeColor="text1"/>
                <w:szCs w:val="16"/>
              </w:rPr>
              <w:t>.</w:t>
            </w:r>
            <w:r w:rsidRPr="005C29F8">
              <w:rPr>
                <w:rFonts w:cs="Arial"/>
                <w:color w:val="000000" w:themeColor="text1"/>
                <w:szCs w:val="16"/>
              </w:rPr>
              <w:br/>
              <w:t>• Disability required ongoing medical support.</w:t>
            </w:r>
            <w:r w:rsidRPr="005C29F8">
              <w:rPr>
                <w:rFonts w:cs="Arial"/>
                <w:color w:val="000000" w:themeColor="text1"/>
                <w:szCs w:val="16"/>
              </w:rPr>
              <w:br/>
              <w:t>• Taking care of his/her newborn or caring for family members.</w:t>
            </w:r>
            <w:r w:rsidRPr="005C29F8">
              <w:rPr>
                <w:rFonts w:cs="Arial"/>
                <w:color w:val="000000" w:themeColor="text1"/>
                <w:szCs w:val="16"/>
              </w:rPr>
              <w:br/>
              <w:t>• Moved off-island and continue to look for a job.</w:t>
            </w:r>
          </w:p>
        </w:tc>
      </w:tr>
      <w:tr w:rsidR="005C29F8" w:rsidRPr="005C29F8" w14:paraId="14E24734" w14:textId="77777777" w:rsidTr="009E40E1">
        <w:tc>
          <w:tcPr>
            <w:tcW w:w="715" w:type="dxa"/>
            <w:vAlign w:val="center"/>
          </w:tcPr>
          <w:p w14:paraId="425A2916" w14:textId="77777777" w:rsidR="001773E7" w:rsidRPr="005C29F8" w:rsidRDefault="001773E7" w:rsidP="004369B2">
            <w:pPr>
              <w:jc w:val="center"/>
              <w:rPr>
                <w:b/>
                <w:color w:val="000000" w:themeColor="text1"/>
              </w:rPr>
            </w:pPr>
            <w:r w:rsidRPr="005C29F8">
              <w:rPr>
                <w:b/>
                <w:color w:val="000000" w:themeColor="text1"/>
              </w:rPr>
              <w:t>B</w:t>
            </w:r>
          </w:p>
        </w:tc>
        <w:tc>
          <w:tcPr>
            <w:tcW w:w="10080" w:type="dxa"/>
            <w:shd w:val="clear" w:color="auto" w:fill="auto"/>
          </w:tcPr>
          <w:p w14:paraId="17E7061D" w14:textId="3241D10F" w:rsidR="001773E7" w:rsidRPr="005C29F8" w:rsidRDefault="001773E7" w:rsidP="009E40E1">
            <w:pPr>
              <w:rPr>
                <w:rFonts w:cs="Arial"/>
                <w:color w:val="000000" w:themeColor="text1"/>
                <w:szCs w:val="16"/>
              </w:rPr>
            </w:pPr>
            <w:r w:rsidRPr="005C29F8">
              <w:rPr>
                <w:rFonts w:cs="Arial"/>
                <w:color w:val="000000" w:themeColor="text1"/>
                <w:szCs w:val="16"/>
              </w:rPr>
              <w:t>All Indicator 14 measures – A, B, and C – represented slippage from the previous reporting period. Possible reasons for</w:t>
            </w:r>
            <w:r w:rsidRPr="005C29F8">
              <w:rPr>
                <w:rFonts w:cs="Arial"/>
                <w:color w:val="000000" w:themeColor="text1"/>
                <w:szCs w:val="16"/>
              </w:rPr>
              <w:br/>
              <w:t>slippage include:</w:t>
            </w:r>
            <w:r w:rsidRPr="005C29F8">
              <w:rPr>
                <w:rFonts w:cs="Arial"/>
                <w:color w:val="000000" w:themeColor="text1"/>
                <w:szCs w:val="16"/>
              </w:rPr>
              <w:br/>
              <w:t xml:space="preserve">• Limited employment opportunities in the CNMI due to economic issues since Super Typhoon </w:t>
            </w:r>
            <w:proofErr w:type="spellStart"/>
            <w:r w:rsidRPr="005C29F8">
              <w:rPr>
                <w:rFonts w:cs="Arial"/>
                <w:color w:val="000000" w:themeColor="text1"/>
                <w:szCs w:val="16"/>
              </w:rPr>
              <w:t>Yutu</w:t>
            </w:r>
            <w:proofErr w:type="spellEnd"/>
            <w:r w:rsidRPr="005C29F8">
              <w:rPr>
                <w:rFonts w:cs="Arial"/>
                <w:color w:val="000000" w:themeColor="text1"/>
                <w:szCs w:val="16"/>
              </w:rPr>
              <w:t>.</w:t>
            </w:r>
            <w:r w:rsidRPr="005C29F8">
              <w:rPr>
                <w:rFonts w:cs="Arial"/>
                <w:color w:val="000000" w:themeColor="text1"/>
                <w:szCs w:val="16"/>
              </w:rPr>
              <w:br/>
              <w:t>• Disability required ongoing medical support.</w:t>
            </w:r>
            <w:r w:rsidRPr="005C29F8">
              <w:rPr>
                <w:rFonts w:cs="Arial"/>
                <w:color w:val="000000" w:themeColor="text1"/>
                <w:szCs w:val="16"/>
              </w:rPr>
              <w:br/>
              <w:t>• Taking care of his/her newborn or caring for family members.</w:t>
            </w:r>
            <w:r w:rsidRPr="005C29F8">
              <w:rPr>
                <w:rFonts w:cs="Arial"/>
                <w:color w:val="000000" w:themeColor="text1"/>
                <w:szCs w:val="16"/>
              </w:rPr>
              <w:br/>
              <w:t>• Moved off-island and continue to look for a job.</w:t>
            </w:r>
          </w:p>
        </w:tc>
      </w:tr>
      <w:tr w:rsidR="005C29F8" w:rsidRPr="005C29F8" w14:paraId="34DAD959" w14:textId="77777777" w:rsidTr="009E40E1">
        <w:tc>
          <w:tcPr>
            <w:tcW w:w="715" w:type="dxa"/>
            <w:vAlign w:val="center"/>
          </w:tcPr>
          <w:p w14:paraId="47D24000" w14:textId="77777777" w:rsidR="001773E7" w:rsidRPr="005C29F8" w:rsidRDefault="001773E7" w:rsidP="004369B2">
            <w:pPr>
              <w:jc w:val="center"/>
              <w:rPr>
                <w:b/>
                <w:color w:val="000000" w:themeColor="text1"/>
              </w:rPr>
            </w:pPr>
            <w:r w:rsidRPr="005C29F8">
              <w:rPr>
                <w:b/>
                <w:color w:val="000000" w:themeColor="text1"/>
              </w:rPr>
              <w:t>C</w:t>
            </w:r>
          </w:p>
        </w:tc>
        <w:tc>
          <w:tcPr>
            <w:tcW w:w="10080" w:type="dxa"/>
            <w:shd w:val="clear" w:color="auto" w:fill="auto"/>
          </w:tcPr>
          <w:p w14:paraId="67EE1CFC" w14:textId="3BF189F6" w:rsidR="001773E7" w:rsidRPr="005C29F8" w:rsidRDefault="001773E7" w:rsidP="009E40E1">
            <w:pPr>
              <w:rPr>
                <w:rFonts w:cs="Arial"/>
                <w:color w:val="000000" w:themeColor="text1"/>
                <w:szCs w:val="16"/>
              </w:rPr>
            </w:pPr>
            <w:r w:rsidRPr="005C29F8">
              <w:rPr>
                <w:rFonts w:cs="Arial"/>
                <w:color w:val="000000" w:themeColor="text1"/>
                <w:szCs w:val="16"/>
              </w:rPr>
              <w:t>All Indicator 14 measures – A, B, and C – represented slippage from the previous reporting period. Possible reasons for</w:t>
            </w:r>
            <w:r w:rsidRPr="005C29F8">
              <w:rPr>
                <w:rFonts w:cs="Arial"/>
                <w:color w:val="000000" w:themeColor="text1"/>
                <w:szCs w:val="16"/>
              </w:rPr>
              <w:br/>
              <w:t>slippage include:</w:t>
            </w:r>
            <w:r w:rsidRPr="005C29F8">
              <w:rPr>
                <w:rFonts w:cs="Arial"/>
                <w:color w:val="000000" w:themeColor="text1"/>
                <w:szCs w:val="16"/>
              </w:rPr>
              <w:br/>
              <w:t xml:space="preserve">• Limited employment opportunities in the CNMI due to economic issues since Super Typhoon </w:t>
            </w:r>
            <w:proofErr w:type="spellStart"/>
            <w:r w:rsidRPr="005C29F8">
              <w:rPr>
                <w:rFonts w:cs="Arial"/>
                <w:color w:val="000000" w:themeColor="text1"/>
                <w:szCs w:val="16"/>
              </w:rPr>
              <w:t>Yutu</w:t>
            </w:r>
            <w:proofErr w:type="spellEnd"/>
            <w:r w:rsidRPr="005C29F8">
              <w:rPr>
                <w:rFonts w:cs="Arial"/>
                <w:color w:val="000000" w:themeColor="text1"/>
                <w:szCs w:val="16"/>
              </w:rPr>
              <w:t>.</w:t>
            </w:r>
            <w:r w:rsidRPr="005C29F8">
              <w:rPr>
                <w:rFonts w:cs="Arial"/>
                <w:color w:val="000000" w:themeColor="text1"/>
                <w:szCs w:val="16"/>
              </w:rPr>
              <w:br/>
              <w:t>• Disability required ongoing medical support.</w:t>
            </w:r>
            <w:r w:rsidRPr="005C29F8">
              <w:rPr>
                <w:rFonts w:cs="Arial"/>
                <w:color w:val="000000" w:themeColor="text1"/>
                <w:szCs w:val="16"/>
              </w:rPr>
              <w:br/>
              <w:t>• Taking care of his/her newborn or caring for family members.</w:t>
            </w:r>
            <w:r w:rsidRPr="005C29F8">
              <w:rPr>
                <w:rFonts w:cs="Arial"/>
                <w:color w:val="000000" w:themeColor="text1"/>
                <w:szCs w:val="16"/>
              </w:rPr>
              <w:br/>
              <w:t>• Moved off-island and continue to look for a job.</w:t>
            </w:r>
          </w:p>
        </w:tc>
      </w:tr>
    </w:tbl>
    <w:p w14:paraId="51D07FD2" w14:textId="77777777" w:rsidR="005D6713" w:rsidRPr="005D6713" w:rsidRDefault="005D6713" w:rsidP="005D6713">
      <w:pPr>
        <w:rPr>
          <w:rFonts w:cs="Arial"/>
          <w:b/>
          <w:color w:val="000000" w:themeColor="text1"/>
          <w:szCs w:val="16"/>
        </w:rPr>
      </w:pPr>
    </w:p>
    <w:p w14:paraId="2B9D1101" w14:textId="12285E81" w:rsidR="00C95094" w:rsidRPr="005C29F8" w:rsidRDefault="0077712B" w:rsidP="00C66181">
      <w:pPr>
        <w:rPr>
          <w:rFonts w:cs="Arial"/>
          <w:b/>
          <w:color w:val="000000" w:themeColor="text1"/>
          <w:szCs w:val="16"/>
        </w:rPr>
      </w:pPr>
      <w:r w:rsidRPr="005C29F8">
        <w:rPr>
          <w:rFonts w:cs="Arial"/>
          <w:b/>
          <w:color w:val="000000" w:themeColor="text1"/>
          <w:szCs w:val="16"/>
        </w:rPr>
        <w:t xml:space="preserve">Please select the reporting option your State is using: </w:t>
      </w:r>
    </w:p>
    <w:p w14:paraId="5C46FD26" w14:textId="5673980D" w:rsidR="000070D5" w:rsidRPr="005C29F8" w:rsidRDefault="002B7490" w:rsidP="00C66181">
      <w:pPr>
        <w:rPr>
          <w:rFonts w:cs="Arial"/>
          <w:color w:val="000000" w:themeColor="text1"/>
          <w:szCs w:val="16"/>
        </w:rPr>
      </w:pPr>
      <w:r w:rsidRPr="005C29F8">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tbl>
      <w:tblPr>
        <w:tblStyle w:val="TableGrid"/>
        <w:tblW w:w="0" w:type="auto"/>
        <w:tblLook w:val="04A0" w:firstRow="1" w:lastRow="0" w:firstColumn="1" w:lastColumn="0" w:noHBand="0" w:noVBand="1"/>
        <w:tblCaption w:val="B14SAMPLEUSED"/>
      </w:tblPr>
      <w:tblGrid>
        <w:gridCol w:w="8306"/>
        <w:gridCol w:w="2484"/>
      </w:tblGrid>
      <w:tr w:rsidR="005C29F8" w:rsidRPr="005C29F8"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33429D" w:rsidRDefault="00CC2002" w:rsidP="008E31C4">
            <w:pPr>
              <w:rPr>
                <w:rFonts w:cs="Arial"/>
                <w:b/>
                <w:bCs/>
                <w:color w:val="000000" w:themeColor="text1"/>
                <w:szCs w:val="16"/>
              </w:rPr>
            </w:pPr>
            <w:r w:rsidRPr="0033429D">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5C29F8" w:rsidRDefault="00763780"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408903DE" w14:textId="1FE95128" w:rsidTr="0033429D">
        <w:tc>
          <w:tcPr>
            <w:tcW w:w="8310" w:type="dxa"/>
            <w:shd w:val="clear" w:color="auto" w:fill="auto"/>
          </w:tcPr>
          <w:p w14:paraId="0472BB53" w14:textId="55673E5F" w:rsidR="00763780" w:rsidRPr="005C29F8" w:rsidRDefault="00763780" w:rsidP="008E31C4">
            <w:pPr>
              <w:rPr>
                <w:rFonts w:cs="Arial"/>
                <w:color w:val="000000" w:themeColor="text1"/>
                <w:szCs w:val="16"/>
              </w:rPr>
            </w:pPr>
            <w:r w:rsidRPr="005C29F8">
              <w:rPr>
                <w:rFonts w:cs="Arial"/>
                <w:color w:val="000000" w:themeColor="text1"/>
                <w:szCs w:val="16"/>
              </w:rPr>
              <w:t xml:space="preserve">Was sampling used? </w:t>
            </w:r>
          </w:p>
        </w:tc>
        <w:tc>
          <w:tcPr>
            <w:tcW w:w="2485" w:type="dxa"/>
            <w:shd w:val="clear" w:color="auto" w:fill="auto"/>
          </w:tcPr>
          <w:p w14:paraId="0BA01DE6" w14:textId="013EE38E" w:rsidR="00763780"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2678D062" w14:textId="7796AF41" w:rsidR="00293C7E" w:rsidRPr="005C29F8" w:rsidRDefault="00293C7E" w:rsidP="008E31C4">
      <w:pPr>
        <w:rPr>
          <w:rFonts w:cs="Arial"/>
          <w:b/>
          <w:color w:val="000000" w:themeColor="text1"/>
          <w:szCs w:val="16"/>
        </w:rPr>
      </w:pPr>
      <w:r w:rsidRPr="005C29F8">
        <w:rPr>
          <w:rFonts w:cs="Arial"/>
          <w:b/>
          <w:color w:val="000000" w:themeColor="text1"/>
          <w:szCs w:val="16"/>
        </w:rPr>
        <w:t>Describe the sampling methodology outlining how the design will yield valid and reliable estimates.</w:t>
      </w:r>
    </w:p>
    <w:p w14:paraId="03DF054A" w14:textId="7E109F53" w:rsidR="00293C7E" w:rsidRDefault="00293C7E" w:rsidP="008E31C4">
      <w:pPr>
        <w:rPr>
          <w:rFonts w:cs="Arial"/>
          <w:color w:val="000000" w:themeColor="text1"/>
          <w:szCs w:val="16"/>
        </w:rPr>
      </w:pPr>
    </w:p>
    <w:tbl>
      <w:tblPr>
        <w:tblStyle w:val="TableGrid"/>
        <w:tblW w:w="5000" w:type="pct"/>
        <w:tblLook w:val="04A0" w:firstRow="1" w:lastRow="0" w:firstColumn="1" w:lastColumn="0" w:noHBand="0" w:noVBand="1"/>
        <w:tblCaption w:val="B14SURVEYUSED"/>
      </w:tblPr>
      <w:tblGrid>
        <w:gridCol w:w="8306"/>
        <w:gridCol w:w="2484"/>
      </w:tblGrid>
      <w:tr w:rsidR="005C29F8" w:rsidRPr="005C29F8"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33429D" w:rsidRDefault="00CC2002" w:rsidP="008E31C4">
            <w:pPr>
              <w:rPr>
                <w:rFonts w:cs="Arial"/>
                <w:b/>
                <w:bCs/>
                <w:color w:val="000000" w:themeColor="text1"/>
                <w:szCs w:val="16"/>
              </w:rPr>
            </w:pPr>
            <w:r w:rsidRPr="0033429D">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5C29F8" w:rsidRDefault="00BC4655"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6901B015" w14:textId="2CE4C417" w:rsidTr="0033429D">
        <w:tc>
          <w:tcPr>
            <w:tcW w:w="3849" w:type="pct"/>
            <w:shd w:val="clear" w:color="auto" w:fill="auto"/>
          </w:tcPr>
          <w:p w14:paraId="0856121E" w14:textId="5B1AD843" w:rsidR="00BC4655" w:rsidRPr="005C29F8" w:rsidRDefault="00BC4655" w:rsidP="008E31C4">
            <w:pPr>
              <w:rPr>
                <w:rFonts w:cs="Arial"/>
                <w:color w:val="000000" w:themeColor="text1"/>
                <w:szCs w:val="16"/>
              </w:rPr>
            </w:pPr>
            <w:r w:rsidRPr="005C29F8">
              <w:rPr>
                <w:rFonts w:cs="Arial"/>
                <w:color w:val="000000" w:themeColor="text1"/>
                <w:szCs w:val="16"/>
              </w:rPr>
              <w:t xml:space="preserve">Was a survey used? </w:t>
            </w:r>
          </w:p>
        </w:tc>
        <w:tc>
          <w:tcPr>
            <w:tcW w:w="1151" w:type="pct"/>
            <w:shd w:val="clear" w:color="auto" w:fill="auto"/>
          </w:tcPr>
          <w:p w14:paraId="47AE85B8" w14:textId="2FE77A74" w:rsidR="00BC4655" w:rsidRPr="005C29F8" w:rsidRDefault="002B7490" w:rsidP="00A018D4">
            <w:pPr>
              <w:jc w:val="center"/>
              <w:rPr>
                <w:rFonts w:cs="Arial"/>
                <w:color w:val="000000" w:themeColor="text1"/>
                <w:szCs w:val="16"/>
              </w:rPr>
            </w:pPr>
            <w:r w:rsidRPr="005C29F8">
              <w:rPr>
                <w:rFonts w:cs="Arial"/>
                <w:color w:val="000000" w:themeColor="text1"/>
                <w:szCs w:val="16"/>
              </w:rPr>
              <w:t>YES</w:t>
            </w:r>
          </w:p>
        </w:tc>
      </w:tr>
      <w:tr w:rsidR="005C29F8" w:rsidRPr="005C29F8" w14:paraId="649D8839" w14:textId="3AAB3A92" w:rsidTr="0033429D">
        <w:tc>
          <w:tcPr>
            <w:tcW w:w="3849" w:type="pct"/>
            <w:shd w:val="clear" w:color="auto" w:fill="auto"/>
          </w:tcPr>
          <w:p w14:paraId="56C87E2E" w14:textId="1890EBD8" w:rsidR="00BC4655" w:rsidRPr="005C29F8" w:rsidRDefault="003805D3" w:rsidP="008E31C4">
            <w:pPr>
              <w:rPr>
                <w:rFonts w:cs="Arial"/>
                <w:color w:val="000000" w:themeColor="text1"/>
                <w:szCs w:val="16"/>
              </w:rPr>
            </w:pPr>
            <w:r w:rsidRPr="005C29F8">
              <w:rPr>
                <w:rFonts w:cs="Arial"/>
                <w:color w:val="000000" w:themeColor="text1"/>
                <w:szCs w:val="16"/>
              </w:rPr>
              <w:lastRenderedPageBreak/>
              <w:t>If yes, is it a new or revised survey?</w:t>
            </w:r>
          </w:p>
        </w:tc>
        <w:tc>
          <w:tcPr>
            <w:tcW w:w="1151" w:type="pct"/>
            <w:shd w:val="clear" w:color="auto" w:fill="auto"/>
          </w:tcPr>
          <w:p w14:paraId="53803AF8" w14:textId="54EB33AD" w:rsidR="00BC4655" w:rsidRPr="005C29F8" w:rsidRDefault="002B7490" w:rsidP="00A018D4">
            <w:pPr>
              <w:jc w:val="center"/>
              <w:rPr>
                <w:rFonts w:cs="Arial"/>
                <w:color w:val="000000" w:themeColor="text1"/>
                <w:szCs w:val="16"/>
              </w:rPr>
            </w:pPr>
            <w:r w:rsidRPr="005C29F8">
              <w:rPr>
                <w:rFonts w:cs="Arial"/>
                <w:color w:val="000000" w:themeColor="text1"/>
                <w:szCs w:val="16"/>
              </w:rPr>
              <w:t>NO</w:t>
            </w:r>
          </w:p>
        </w:tc>
      </w:tr>
    </w:tbl>
    <w:p w14:paraId="5D360F1B" w14:textId="19A4208F" w:rsidR="00C66181" w:rsidRPr="005C29F8" w:rsidRDefault="003A4027" w:rsidP="00206890">
      <w:pPr>
        <w:rPr>
          <w:rFonts w:cs="Arial"/>
          <w:b/>
          <w:color w:val="000000" w:themeColor="text1"/>
          <w:szCs w:val="16"/>
        </w:rPr>
      </w:pPr>
      <w:r w:rsidRPr="005C29F8">
        <w:rPr>
          <w:rFonts w:cs="Arial"/>
          <w:b/>
          <w:color w:val="000000" w:themeColor="text1"/>
          <w:szCs w:val="16"/>
        </w:rPr>
        <w:t>Include the State’s analyses of the extent to which the response data are representative of the demographics of youth who are no longer in secondary school and had IEPs in effect at the time they left school.</w:t>
      </w:r>
    </w:p>
    <w:p w14:paraId="08E2115C" w14:textId="06B45FCF" w:rsidR="00293C7E" w:rsidRPr="005C29F8" w:rsidRDefault="002B7490" w:rsidP="008E31C4">
      <w:pPr>
        <w:rPr>
          <w:rFonts w:cs="Arial"/>
          <w:color w:val="000000" w:themeColor="text1"/>
          <w:szCs w:val="16"/>
        </w:rPr>
      </w:pPr>
      <w:r w:rsidRPr="005C29F8">
        <w:rPr>
          <w:rFonts w:cs="Arial"/>
          <w:color w:val="000000" w:themeColor="text1"/>
          <w:szCs w:val="16"/>
        </w:rPr>
        <w:t>CNMI’s analysis of Indicator 14 response rate representation included a review of the 65 leavers: 59 who graduated with a high school diploma, and 6 who dropped out of high school. Fifty-Eight (58) of the 65 leavers responded to the post-school outcomes survey for an overall response rate of 89.23%. The 58 respondents represented the following:</w:t>
      </w:r>
      <w:r w:rsidRPr="005C29F8">
        <w:rPr>
          <w:rFonts w:cs="Arial"/>
          <w:color w:val="000000" w:themeColor="text1"/>
          <w:szCs w:val="16"/>
        </w:rPr>
        <w:br/>
      </w:r>
      <w:r w:rsidRPr="005C29F8">
        <w:rPr>
          <w:rFonts w:cs="Arial"/>
          <w:color w:val="000000" w:themeColor="text1"/>
          <w:szCs w:val="16"/>
        </w:rPr>
        <w:br/>
        <w:t>-Exit Categories: 93.22% (55/59) who graduated with a high school diploma completed the survey and 50% (3/6) who dropped out completed the survey. Overall, leavers who graduated with a high school diploma represented 90.77% (59/65) of all leavers, a similar percentage to the respondents who graduated with a high school diploma at 94.83% (55/58).</w:t>
      </w:r>
      <w:r w:rsidRPr="005C29F8">
        <w:rPr>
          <w:rFonts w:cs="Arial"/>
          <w:color w:val="000000" w:themeColor="text1"/>
          <w:szCs w:val="16"/>
        </w:rPr>
        <w:br/>
      </w:r>
      <w:r w:rsidRPr="005C29F8">
        <w:rPr>
          <w:rFonts w:cs="Arial"/>
          <w:color w:val="000000" w:themeColor="text1"/>
          <w:szCs w:val="16"/>
        </w:rPr>
        <w:br/>
        <w:t>-Ethnicity: Based on the IDEA ethnicity categories of the leavers, the respondents represented 85.37% (35/41) Native Hawaiian or Pacific Islander, 90% (9/10) Asians, and 100% (14/14) two or more races. Overall, the majority of leavers was represented in the Native Hawaiian or Pacific Islander category at 70.69% (41/65), which was consistent with the majority of respondents identified as Native Hawaiian or Pacific Islander.</w:t>
      </w:r>
      <w:r w:rsidRPr="005C29F8">
        <w:rPr>
          <w:rFonts w:cs="Arial"/>
          <w:color w:val="000000" w:themeColor="text1"/>
          <w:szCs w:val="16"/>
        </w:rPr>
        <w:br/>
        <w:t xml:space="preserve"> </w:t>
      </w:r>
      <w:r w:rsidRPr="005C29F8">
        <w:rPr>
          <w:rFonts w:cs="Arial"/>
          <w:color w:val="000000" w:themeColor="text1"/>
          <w:szCs w:val="16"/>
        </w:rPr>
        <w:br/>
        <w:t>-Gender: The respondents represented 58.62% (34/58) identified as male and 41.38% (24/58) identified as female. The overall male gender representation of the leavers was 60% (39/65), similar to the percentage of respondents who were identified as male.</w:t>
      </w:r>
      <w:r w:rsidRPr="005C29F8">
        <w:rPr>
          <w:rFonts w:cs="Arial"/>
          <w:color w:val="000000" w:themeColor="text1"/>
          <w:szCs w:val="16"/>
        </w:rPr>
        <w:br/>
      </w:r>
      <w:r w:rsidRPr="005C29F8">
        <w:rPr>
          <w:rFonts w:cs="Arial"/>
          <w:color w:val="000000" w:themeColor="text1"/>
          <w:szCs w:val="16"/>
        </w:rPr>
        <w:br/>
        <w:t>-Disability: The majority of leavers were identified as having a Specific Learning Disability (SLD) at 56.92% (37/65). The respondents therefore represented the majority SLD disability category at 55.17% (32/58); a similar percentage to the overall leaver SLD disability representation. Further, there were eight other disability categories represented as leavers: HI, ID, MD, OHI, ED, SLI, DB and AUT, representing 43.08% (28/65) of the leavers. All eight “other” disability categories were represented as respondents at 44.83% (26/58), which represented 26 of the 28 leavers with an “other” disability category.</w:t>
      </w:r>
    </w:p>
    <w:tbl>
      <w:tblPr>
        <w:tblStyle w:val="TableGrid"/>
        <w:tblW w:w="10800" w:type="dxa"/>
        <w:tblLook w:val="04A0" w:firstRow="1" w:lastRow="0" w:firstColumn="1" w:lastColumn="0" w:noHBand="0" w:noVBand="1"/>
        <w:tblCaption w:val="B14REPDEMO"/>
      </w:tblPr>
      <w:tblGrid>
        <w:gridCol w:w="8538"/>
        <w:gridCol w:w="2262"/>
      </w:tblGrid>
      <w:tr w:rsidR="005C29F8" w:rsidRPr="005C29F8" w14:paraId="252C1807" w14:textId="77777777" w:rsidTr="0033429D">
        <w:trPr>
          <w:tblHeader/>
        </w:trPr>
        <w:tc>
          <w:tcPr>
            <w:tcW w:w="8538" w:type="dxa"/>
            <w:tcBorders>
              <w:top w:val="single" w:sz="4" w:space="0" w:color="auto"/>
              <w:left w:val="single" w:sz="4" w:space="0" w:color="auto"/>
            </w:tcBorders>
          </w:tcPr>
          <w:p w14:paraId="481AC8A6" w14:textId="71EAFD3A" w:rsidR="001A3BEB" w:rsidRPr="0033429D" w:rsidRDefault="00CC2002" w:rsidP="008E31C4">
            <w:pPr>
              <w:rPr>
                <w:rFonts w:cs="Arial"/>
                <w:b/>
                <w:bCs/>
                <w:color w:val="000000" w:themeColor="text1"/>
                <w:szCs w:val="16"/>
              </w:rPr>
            </w:pPr>
            <w:bookmarkStart w:id="63" w:name="_Toc392159338"/>
            <w:r w:rsidRPr="0033429D">
              <w:rPr>
                <w:rFonts w:cs="Arial"/>
                <w:b/>
                <w:bCs/>
                <w:color w:val="000000" w:themeColor="text1"/>
                <w:szCs w:val="16"/>
              </w:rPr>
              <w:t>Question</w:t>
            </w:r>
          </w:p>
        </w:tc>
        <w:tc>
          <w:tcPr>
            <w:tcW w:w="2262" w:type="dxa"/>
            <w:tcBorders>
              <w:top w:val="single" w:sz="4" w:space="0" w:color="auto"/>
            </w:tcBorders>
          </w:tcPr>
          <w:p w14:paraId="469053AF" w14:textId="71D06708" w:rsidR="001A3BEB" w:rsidRPr="005C29F8" w:rsidRDefault="001A3BEB" w:rsidP="001011BB">
            <w:pPr>
              <w:jc w:val="center"/>
              <w:rPr>
                <w:rFonts w:cs="Arial"/>
                <w:b/>
                <w:color w:val="000000" w:themeColor="text1"/>
                <w:szCs w:val="16"/>
              </w:rPr>
            </w:pPr>
            <w:r w:rsidRPr="005C29F8">
              <w:rPr>
                <w:rFonts w:cs="Arial"/>
                <w:b/>
                <w:color w:val="000000" w:themeColor="text1"/>
                <w:szCs w:val="16"/>
              </w:rPr>
              <w:t>Yes / No</w:t>
            </w:r>
          </w:p>
        </w:tc>
      </w:tr>
      <w:tr w:rsidR="005C29F8" w:rsidRPr="005C29F8" w14:paraId="0A13B2BA" w14:textId="2B06C37F" w:rsidTr="005D6713">
        <w:tc>
          <w:tcPr>
            <w:tcW w:w="8538" w:type="dxa"/>
          </w:tcPr>
          <w:p w14:paraId="744B5BF5" w14:textId="2224FC23" w:rsidR="001A3BEB" w:rsidRPr="005C29F8" w:rsidRDefault="001A3BEB" w:rsidP="008E31C4">
            <w:pPr>
              <w:rPr>
                <w:rFonts w:cs="Arial"/>
                <w:color w:val="000000" w:themeColor="text1"/>
                <w:szCs w:val="16"/>
              </w:rPr>
            </w:pPr>
            <w:r w:rsidRPr="005C29F8">
              <w:rPr>
                <w:rFonts w:cs="Arial"/>
                <w:color w:val="000000" w:themeColor="text1"/>
                <w:szCs w:val="16"/>
              </w:rPr>
              <w:t xml:space="preserve">Are the response data representative of the demographics of youth who are no longer in school and had IEPs in effect at the time they left school? </w:t>
            </w:r>
          </w:p>
        </w:tc>
        <w:tc>
          <w:tcPr>
            <w:tcW w:w="2262" w:type="dxa"/>
          </w:tcPr>
          <w:p w14:paraId="06F81C76" w14:textId="7FE99976" w:rsidR="001A3BEB" w:rsidRPr="005C29F8" w:rsidRDefault="002B7490" w:rsidP="00A018D4">
            <w:pPr>
              <w:jc w:val="center"/>
              <w:rPr>
                <w:rFonts w:cs="Arial"/>
                <w:color w:val="000000" w:themeColor="text1"/>
                <w:szCs w:val="16"/>
              </w:rPr>
            </w:pPr>
            <w:r w:rsidRPr="005C29F8">
              <w:rPr>
                <w:rFonts w:cs="Arial"/>
                <w:color w:val="000000" w:themeColor="text1"/>
                <w:szCs w:val="16"/>
              </w:rPr>
              <w:t>YES</w:t>
            </w:r>
          </w:p>
        </w:tc>
      </w:tr>
    </w:tbl>
    <w:p w14:paraId="62361D73" w14:textId="77777777" w:rsidR="00644AC8" w:rsidRPr="005C29F8" w:rsidRDefault="00644AC8" w:rsidP="00644AC8">
      <w:pPr>
        <w:rPr>
          <w:rFonts w:cs="Arial"/>
          <w:b/>
          <w:color w:val="000000" w:themeColor="text1"/>
          <w:szCs w:val="16"/>
        </w:rPr>
      </w:pPr>
      <w:bookmarkStart w:id="64" w:name="_Toc382082390"/>
      <w:bookmarkStart w:id="65" w:name="_Toc392159339"/>
      <w:bookmarkEnd w:id="63"/>
      <w:r w:rsidRPr="005C29F8">
        <w:rPr>
          <w:rFonts w:cs="Arial"/>
          <w:b/>
          <w:color w:val="000000" w:themeColor="text1"/>
          <w:szCs w:val="16"/>
        </w:rPr>
        <w:t>Provide additional information about this indicator (optional)</w:t>
      </w:r>
    </w:p>
    <w:p w14:paraId="30BD41D2" w14:textId="40D58B63" w:rsidR="00293C7E" w:rsidRPr="005C29F8" w:rsidRDefault="00293C7E" w:rsidP="007D435F">
      <w:pPr>
        <w:rPr>
          <w:rFonts w:cs="Arial"/>
          <w:color w:val="000000" w:themeColor="text1"/>
          <w:szCs w:val="16"/>
        </w:rPr>
      </w:pPr>
    </w:p>
    <w:p w14:paraId="7B9DDAF2" w14:textId="6AA9F8CA" w:rsidR="000A2C83" w:rsidRPr="0033429D" w:rsidRDefault="00172058" w:rsidP="00123D76">
      <w:pPr>
        <w:pStyle w:val="Heading2"/>
      </w:pPr>
      <w:r w:rsidRPr="0033429D">
        <w:t>14</w:t>
      </w:r>
      <w:r w:rsidR="001D508D" w:rsidRPr="0033429D">
        <w:t xml:space="preserve"> </w:t>
      </w:r>
      <w:r w:rsidRPr="0033429D">
        <w:t xml:space="preserve">- </w:t>
      </w:r>
      <w:r w:rsidR="000A2C83" w:rsidRPr="0033429D">
        <w:t>Prior FFY Required Actions</w:t>
      </w:r>
    </w:p>
    <w:p w14:paraId="3812AD37" w14:textId="58CBF83D" w:rsidR="009F69E7" w:rsidRPr="005C29F8" w:rsidRDefault="002B7490" w:rsidP="000A2C83">
      <w:pPr>
        <w:rPr>
          <w:rFonts w:cs="Arial"/>
          <w:color w:val="000000" w:themeColor="text1"/>
          <w:szCs w:val="16"/>
        </w:rPr>
      </w:pPr>
      <w:r w:rsidRPr="005C29F8">
        <w:rPr>
          <w:rFonts w:cs="Arial"/>
          <w:color w:val="000000" w:themeColor="text1"/>
          <w:szCs w:val="16"/>
        </w:rPr>
        <w:t>None</w:t>
      </w:r>
    </w:p>
    <w:p w14:paraId="5408D9B6" w14:textId="3CB80FFF" w:rsidR="000A2C83" w:rsidRPr="005C29F8" w:rsidRDefault="000A2C83" w:rsidP="000A2C83">
      <w:pPr>
        <w:rPr>
          <w:rFonts w:cs="Arial"/>
          <w:color w:val="000000" w:themeColor="text1"/>
          <w:szCs w:val="16"/>
        </w:rPr>
      </w:pPr>
      <w:r w:rsidRPr="005C29F8">
        <w:rPr>
          <w:rFonts w:cs="Arial"/>
          <w:color w:val="000000" w:themeColor="text1"/>
          <w:szCs w:val="16"/>
        </w:rPr>
        <w:t xml:space="preserve"> </w:t>
      </w:r>
    </w:p>
    <w:p w14:paraId="59CF3C2B" w14:textId="15BA3B7F" w:rsidR="00644AC8" w:rsidRPr="0033429D" w:rsidRDefault="00172058" w:rsidP="00123D76">
      <w:pPr>
        <w:pStyle w:val="Heading2"/>
      </w:pPr>
      <w:r w:rsidRPr="0033429D">
        <w:t>14 - OSEP Response</w:t>
      </w:r>
    </w:p>
    <w:p w14:paraId="29D70E23" w14:textId="165DA616" w:rsidR="00293C7E" w:rsidRPr="005C29F8" w:rsidRDefault="00293C7E" w:rsidP="001F692C">
      <w:pPr>
        <w:rPr>
          <w:rFonts w:cs="Arial"/>
          <w:color w:val="000000" w:themeColor="text1"/>
          <w:szCs w:val="16"/>
        </w:rPr>
      </w:pPr>
    </w:p>
    <w:p w14:paraId="18F151E0" w14:textId="24893002" w:rsidR="00644AC8" w:rsidRPr="0033429D" w:rsidRDefault="00172058" w:rsidP="00123D76">
      <w:pPr>
        <w:pStyle w:val="Heading2"/>
      </w:pPr>
      <w:r w:rsidRPr="0033429D">
        <w:t>14 - Required Actions</w:t>
      </w:r>
    </w:p>
    <w:p w14:paraId="623F356B" w14:textId="668EB2DD" w:rsidR="00293C7E" w:rsidRPr="005C29F8" w:rsidRDefault="00293C7E" w:rsidP="001F692C">
      <w:pPr>
        <w:rPr>
          <w:rFonts w:cs="Arial"/>
          <w:color w:val="000000" w:themeColor="text1"/>
          <w:szCs w:val="16"/>
        </w:rPr>
      </w:pPr>
    </w:p>
    <w:p w14:paraId="1ADD288B" w14:textId="77777777" w:rsidR="00102FA3" w:rsidRPr="005C29F8" w:rsidRDefault="00102FA3">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7E15DEAF" w14:textId="72984127" w:rsidR="00B3462E" w:rsidRPr="005C29F8" w:rsidRDefault="00B3462E" w:rsidP="000444E2">
      <w:pPr>
        <w:pStyle w:val="Heading1"/>
        <w:rPr>
          <w:color w:val="000000" w:themeColor="text1"/>
          <w:sz w:val="22"/>
        </w:rPr>
      </w:pPr>
      <w:r w:rsidRPr="005C29F8">
        <w:rPr>
          <w:color w:val="000000" w:themeColor="text1"/>
          <w:sz w:val="22"/>
        </w:rPr>
        <w:lastRenderedPageBreak/>
        <w:t>Indicator 15: Resolution Sessions</w:t>
      </w:r>
      <w:bookmarkEnd w:id="64"/>
      <w:bookmarkEnd w:id="65"/>
    </w:p>
    <w:p w14:paraId="7EA31497" w14:textId="77777777" w:rsidR="005B0B58" w:rsidRPr="005C29F8" w:rsidRDefault="005B0B58" w:rsidP="00A018D4">
      <w:pPr>
        <w:rPr>
          <w:color w:val="000000" w:themeColor="text1"/>
          <w:szCs w:val="20"/>
        </w:rPr>
      </w:pPr>
      <w:bookmarkStart w:id="66" w:name="_Toc381786822"/>
      <w:bookmarkStart w:id="67" w:name="_Toc382731911"/>
      <w:bookmarkStart w:id="68" w:name="_Toc382731912"/>
      <w:bookmarkStart w:id="69" w:name="_Toc392159340"/>
      <w:bookmarkEnd w:id="66"/>
      <w:bookmarkEnd w:id="67"/>
      <w:r w:rsidRPr="005C29F8">
        <w:rPr>
          <w:b/>
          <w:color w:val="000000" w:themeColor="text1"/>
          <w:sz w:val="20"/>
          <w:szCs w:val="20"/>
        </w:rPr>
        <w:t>Instructions and Measurement</w:t>
      </w:r>
    </w:p>
    <w:p w14:paraId="280CD956" w14:textId="60A4C66A" w:rsidR="009B6586" w:rsidRPr="005C29F8" w:rsidRDefault="009B6586" w:rsidP="00206890">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676E98EE" w14:textId="77777777" w:rsidR="00692B95" w:rsidRPr="005C29F8" w:rsidRDefault="009B6586" w:rsidP="00206890">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5C29F8" w:rsidRDefault="009B6586" w:rsidP="00206890">
      <w:pPr>
        <w:rPr>
          <w:rFonts w:cs="Arial"/>
          <w:color w:val="000000" w:themeColor="text1"/>
          <w:szCs w:val="16"/>
        </w:rPr>
      </w:pPr>
      <w:r w:rsidRPr="005C29F8">
        <w:rPr>
          <w:rFonts w:cs="Arial"/>
          <w:color w:val="000000" w:themeColor="text1"/>
          <w:szCs w:val="16"/>
        </w:rPr>
        <w:t xml:space="preserve"> (20 U.S.C. 1416(a)(3)(B))</w:t>
      </w:r>
    </w:p>
    <w:p w14:paraId="40DC2407" w14:textId="77777777" w:rsidR="00B14746" w:rsidRPr="005C29F8" w:rsidRDefault="00B14746" w:rsidP="004369B2">
      <w:pPr>
        <w:rPr>
          <w:color w:val="000000" w:themeColor="text1"/>
        </w:rPr>
      </w:pPr>
      <w:r w:rsidRPr="005C29F8">
        <w:rPr>
          <w:b/>
          <w:color w:val="000000" w:themeColor="text1"/>
        </w:rPr>
        <w:t>Data Source</w:t>
      </w:r>
    </w:p>
    <w:p w14:paraId="585EF86F" w14:textId="2E239104" w:rsidR="00B14746" w:rsidRPr="005C29F8" w:rsidRDefault="00B14746" w:rsidP="00206890">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4E6D96A3" w14:textId="77777777" w:rsidR="00B14746" w:rsidRPr="005C29F8" w:rsidRDefault="00B14746" w:rsidP="004369B2">
      <w:pPr>
        <w:rPr>
          <w:color w:val="000000" w:themeColor="text1"/>
        </w:rPr>
      </w:pPr>
      <w:r w:rsidRPr="005C29F8">
        <w:rPr>
          <w:b/>
          <w:color w:val="000000" w:themeColor="text1"/>
        </w:rPr>
        <w:t>Measurement</w:t>
      </w:r>
    </w:p>
    <w:p w14:paraId="64AA8A3E" w14:textId="743F9348" w:rsidR="00B14746" w:rsidRPr="005C29F8" w:rsidRDefault="00B14746" w:rsidP="00206890">
      <w:pPr>
        <w:rPr>
          <w:rFonts w:cs="Arial"/>
          <w:color w:val="000000" w:themeColor="text1"/>
          <w:szCs w:val="16"/>
        </w:rPr>
      </w:pPr>
      <w:r w:rsidRPr="005C29F8">
        <w:rPr>
          <w:rFonts w:cs="Arial"/>
          <w:color w:val="000000" w:themeColor="text1"/>
          <w:szCs w:val="16"/>
        </w:rPr>
        <w:t>Percent = (3.1(a) divided by 3.1) times 100.</w:t>
      </w:r>
    </w:p>
    <w:p w14:paraId="7D86471C" w14:textId="77777777" w:rsidR="00B14746" w:rsidRPr="005C29F8" w:rsidRDefault="00B14746" w:rsidP="004369B2">
      <w:pPr>
        <w:rPr>
          <w:color w:val="000000" w:themeColor="text1"/>
        </w:rPr>
      </w:pPr>
      <w:r w:rsidRPr="005C29F8">
        <w:rPr>
          <w:b/>
          <w:color w:val="000000" w:themeColor="text1"/>
        </w:rPr>
        <w:t>Instructions</w:t>
      </w:r>
    </w:p>
    <w:p w14:paraId="7F1341EF" w14:textId="77777777" w:rsidR="00B14746" w:rsidRPr="005C29F8" w:rsidRDefault="00B14746" w:rsidP="00286BDF">
      <w:pPr>
        <w:rPr>
          <w:rFonts w:cs="Arial"/>
          <w:color w:val="000000" w:themeColor="text1"/>
          <w:szCs w:val="16"/>
        </w:rPr>
      </w:pPr>
      <w:r w:rsidRPr="005C29F8">
        <w:rPr>
          <w:rFonts w:cs="Arial"/>
          <w:color w:val="000000" w:themeColor="text1"/>
          <w:szCs w:val="16"/>
        </w:rPr>
        <w:t>Sampling is not allowed.</w:t>
      </w:r>
    </w:p>
    <w:p w14:paraId="20D56B7B" w14:textId="77777777" w:rsidR="00B14746" w:rsidRPr="005C29F8" w:rsidRDefault="00B14746"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368918B0" w14:textId="77777777" w:rsidR="00B14746" w:rsidRPr="005C29F8" w:rsidRDefault="00B14746"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4484EAF5" w14:textId="77777777" w:rsidR="00B14746" w:rsidRPr="005C29F8" w:rsidRDefault="00B14746" w:rsidP="00286BDF">
      <w:pPr>
        <w:rPr>
          <w:rFonts w:cs="Arial"/>
          <w:color w:val="000000" w:themeColor="text1"/>
          <w:szCs w:val="16"/>
        </w:rPr>
      </w:pPr>
      <w:r w:rsidRPr="005C29F8">
        <w:rPr>
          <w:rFonts w:cs="Arial"/>
          <w:color w:val="000000" w:themeColor="text1"/>
          <w:szCs w:val="16"/>
        </w:rPr>
        <w:t>States may express their targets in a range (e.g., 75-85%).</w:t>
      </w:r>
    </w:p>
    <w:p w14:paraId="3A369CBC" w14:textId="77777777" w:rsidR="00B14746" w:rsidRPr="005C29F8" w:rsidRDefault="00B14746"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5C27A911" w14:textId="0F93F55A" w:rsidR="00B14746" w:rsidRPr="005C29F8" w:rsidRDefault="00B14746" w:rsidP="00286BDF">
      <w:pPr>
        <w:rPr>
          <w:rFonts w:cs="Arial"/>
          <w:color w:val="000000" w:themeColor="text1"/>
          <w:szCs w:val="16"/>
        </w:rPr>
      </w:pPr>
      <w:r w:rsidRPr="005C29F8">
        <w:rPr>
          <w:rFonts w:cs="Arial"/>
          <w:color w:val="000000" w:themeColor="text1"/>
          <w:szCs w:val="16"/>
        </w:rPr>
        <w:t>States are not required to report data at the LEA level.</w:t>
      </w:r>
    </w:p>
    <w:p w14:paraId="64F7E7AF" w14:textId="3E039165" w:rsidR="00575F02" w:rsidRPr="0033429D" w:rsidRDefault="00DF2D3A" w:rsidP="00123D76">
      <w:pPr>
        <w:pStyle w:val="Heading2"/>
      </w:pPr>
      <w:r w:rsidRPr="0033429D">
        <w:t>15</w:t>
      </w:r>
      <w:r w:rsidR="001D508D" w:rsidRPr="0033429D">
        <w:t xml:space="preserve"> </w:t>
      </w:r>
      <w:r w:rsidRPr="0033429D">
        <w:t xml:space="preserve">- </w:t>
      </w:r>
      <w:r w:rsidR="00575F02" w:rsidRPr="0033429D">
        <w:t>Indicator Data</w:t>
      </w:r>
    </w:p>
    <w:p w14:paraId="787F4BF1" w14:textId="4407EA15" w:rsidR="004A33CD" w:rsidRPr="005C29F8" w:rsidRDefault="00E31E29" w:rsidP="004A33CD">
      <w:pPr>
        <w:rPr>
          <w:rFonts w:cs="Arial"/>
          <w:color w:val="000000" w:themeColor="text1"/>
          <w:szCs w:val="16"/>
        </w:rPr>
      </w:pPr>
      <w:r w:rsidRPr="005C29F8">
        <w:rPr>
          <w:rFonts w:cs="Arial"/>
          <w:color w:val="000000" w:themeColor="text1"/>
          <w:szCs w:val="16"/>
        </w:rPr>
        <w:t>Select yes to use target ranges</w:t>
      </w:r>
    </w:p>
    <w:p w14:paraId="28345E9C" w14:textId="1A461958" w:rsidR="004A33CD" w:rsidRPr="005C29F8" w:rsidRDefault="004A33CD" w:rsidP="004369B2">
      <w:pPr>
        <w:rPr>
          <w:color w:val="000000" w:themeColor="text1"/>
        </w:rPr>
      </w:pPr>
      <w:r w:rsidRPr="005C29F8">
        <w:rPr>
          <w:rFonts w:cs="Arial"/>
          <w:color w:val="000000" w:themeColor="text1"/>
          <w:szCs w:val="16"/>
        </w:rPr>
        <w:t>Target Range not used</w:t>
      </w:r>
    </w:p>
    <w:bookmarkEnd w:id="68"/>
    <w:bookmarkEnd w:id="69"/>
    <w:p w14:paraId="2C183615" w14:textId="77777777" w:rsidR="00CE0C68" w:rsidRPr="005C29F8" w:rsidRDefault="00CE0C68" w:rsidP="004369B2">
      <w:pPr>
        <w:rPr>
          <w:color w:val="000000" w:themeColor="text1"/>
        </w:rPr>
      </w:pPr>
    </w:p>
    <w:p w14:paraId="23EC0320" w14:textId="2C5AA27C" w:rsidR="00372DF8" w:rsidRPr="005C29F8" w:rsidRDefault="00372DF8"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5C29F8" w14:paraId="6639EAF6" w14:textId="77777777" w:rsidTr="00AB0D6A">
        <w:trPr>
          <w:trHeight w:val="372"/>
          <w:tblHeader/>
        </w:trPr>
        <w:tc>
          <w:tcPr>
            <w:tcW w:w="1207" w:type="pct"/>
            <w:shd w:val="clear" w:color="auto" w:fill="auto"/>
          </w:tcPr>
          <w:p w14:paraId="3040A217"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Source</w:t>
            </w:r>
          </w:p>
        </w:tc>
        <w:tc>
          <w:tcPr>
            <w:tcW w:w="1251" w:type="pct"/>
            <w:shd w:val="clear" w:color="auto" w:fill="auto"/>
          </w:tcPr>
          <w:p w14:paraId="3A97206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Date</w:t>
            </w:r>
          </w:p>
        </w:tc>
        <w:tc>
          <w:tcPr>
            <w:tcW w:w="1655" w:type="pct"/>
            <w:shd w:val="clear" w:color="auto" w:fill="auto"/>
          </w:tcPr>
          <w:p w14:paraId="52C3C7CB"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Description</w:t>
            </w:r>
          </w:p>
        </w:tc>
        <w:tc>
          <w:tcPr>
            <w:tcW w:w="887" w:type="pct"/>
            <w:shd w:val="clear" w:color="auto" w:fill="auto"/>
          </w:tcPr>
          <w:p w14:paraId="3BD49A8D" w14:textId="77777777" w:rsidR="00372DF8" w:rsidRPr="005C29F8" w:rsidRDefault="00372DF8"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50C4DB70" w14:textId="77777777" w:rsidTr="00AB0D6A">
        <w:trPr>
          <w:trHeight w:val="380"/>
        </w:trPr>
        <w:tc>
          <w:tcPr>
            <w:tcW w:w="1207" w:type="pct"/>
            <w:shd w:val="clear" w:color="auto" w:fill="auto"/>
          </w:tcPr>
          <w:p w14:paraId="56F7D41B" w14:textId="55A36B40"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C90E97F" w14:textId="7956489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5E5A973C" w14:textId="77777777" w:rsidR="001126C3" w:rsidRPr="005C29F8" w:rsidRDefault="001126C3" w:rsidP="001126C3">
            <w:pPr>
              <w:rPr>
                <w:rFonts w:cs="Arial"/>
                <w:color w:val="000000" w:themeColor="text1"/>
                <w:szCs w:val="16"/>
              </w:rPr>
            </w:pPr>
            <w:r w:rsidRPr="005C29F8">
              <w:rPr>
                <w:rFonts w:cs="Arial"/>
                <w:color w:val="000000" w:themeColor="text1"/>
                <w:szCs w:val="16"/>
              </w:rPr>
              <w:t>3.1 Number of resolution sessions</w:t>
            </w:r>
          </w:p>
        </w:tc>
        <w:tc>
          <w:tcPr>
            <w:tcW w:w="887" w:type="pct"/>
            <w:shd w:val="clear" w:color="auto" w:fill="auto"/>
          </w:tcPr>
          <w:p w14:paraId="5468BA6D" w14:textId="1A6A859B"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2E50DA19" w14:textId="77777777" w:rsidTr="00AB0D6A">
        <w:trPr>
          <w:trHeight w:val="380"/>
        </w:trPr>
        <w:tc>
          <w:tcPr>
            <w:tcW w:w="1207" w:type="pct"/>
            <w:shd w:val="clear" w:color="auto" w:fill="auto"/>
          </w:tcPr>
          <w:p w14:paraId="2B232A7C" w14:textId="7E2BE0F5"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C: Due Process Complaints</w:t>
            </w:r>
          </w:p>
        </w:tc>
        <w:tc>
          <w:tcPr>
            <w:tcW w:w="1251" w:type="pct"/>
            <w:shd w:val="clear" w:color="auto" w:fill="auto"/>
          </w:tcPr>
          <w:p w14:paraId="7F21A5DE" w14:textId="74620D03"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55" w:type="pct"/>
            <w:shd w:val="clear" w:color="auto" w:fill="auto"/>
          </w:tcPr>
          <w:p w14:paraId="48E53926" w14:textId="77777777" w:rsidR="001126C3" w:rsidRPr="005C29F8" w:rsidRDefault="001126C3" w:rsidP="001126C3">
            <w:pPr>
              <w:rPr>
                <w:rFonts w:cs="Arial"/>
                <w:color w:val="000000" w:themeColor="text1"/>
                <w:szCs w:val="16"/>
              </w:rPr>
            </w:pPr>
            <w:r w:rsidRPr="005C29F8">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162CEFB3" w14:textId="55A4ED3A" w:rsidR="004A33CD" w:rsidRPr="005C29F8" w:rsidRDefault="00E31E29">
      <w:pPr>
        <w:rPr>
          <w:b/>
          <w:color w:val="000000" w:themeColor="text1"/>
        </w:rPr>
      </w:pPr>
      <w:bookmarkStart w:id="70" w:name="_Toc382731913"/>
      <w:bookmarkStart w:id="71" w:name="_Toc392159341"/>
      <w:r w:rsidRPr="005C29F8">
        <w:rPr>
          <w:b/>
          <w:color w:val="000000" w:themeColor="text1"/>
        </w:rPr>
        <w:t>Select yes if the data reported in this indicator are not the same as the State’s data reported under section 618 of the IDEA.</w:t>
      </w:r>
    </w:p>
    <w:p w14:paraId="619A5AA7" w14:textId="55E9BEAB" w:rsidR="004A33CD" w:rsidRDefault="004A33CD">
      <w:pPr>
        <w:rPr>
          <w:color w:val="000000" w:themeColor="text1"/>
        </w:rPr>
      </w:pPr>
      <w:r w:rsidRPr="005C29F8">
        <w:rPr>
          <w:color w:val="000000" w:themeColor="text1"/>
        </w:rPr>
        <w:t>NO</w:t>
      </w:r>
    </w:p>
    <w:p w14:paraId="25CD6A7B" w14:textId="77777777" w:rsidR="000657A8" w:rsidRPr="005C29F8" w:rsidRDefault="000657A8" w:rsidP="004369B2">
      <w:pPr>
        <w:rPr>
          <w:color w:val="000000" w:themeColor="text1"/>
        </w:rPr>
      </w:pPr>
    </w:p>
    <w:p w14:paraId="2AFA559A" w14:textId="46CC9076" w:rsidR="000A2C83" w:rsidRDefault="000A2C83" w:rsidP="004369B2">
      <w:pPr>
        <w:rPr>
          <w:b/>
          <w:color w:val="000000" w:themeColor="text1"/>
        </w:rPr>
      </w:pPr>
      <w:r w:rsidRPr="005C29F8">
        <w:rPr>
          <w:b/>
          <w:color w:val="000000" w:themeColor="text1"/>
        </w:rPr>
        <w:t xml:space="preserve">Targets: Description of Stakeholder Input </w:t>
      </w:r>
    </w:p>
    <w:p w14:paraId="43B1695A" w14:textId="2970A905" w:rsidR="000A2C83" w:rsidRPr="005C29F8" w:rsidRDefault="002B7490" w:rsidP="000A2C83">
      <w:pPr>
        <w:rPr>
          <w:rFonts w:cs="Arial"/>
          <w:color w:val="000000" w:themeColor="text1"/>
          <w:szCs w:val="16"/>
        </w:rPr>
      </w:pPr>
      <w:r w:rsidRPr="005C29F8">
        <w:rPr>
          <w:rFonts w:cs="Arial"/>
          <w:color w:val="000000" w:themeColor="text1"/>
          <w:szCs w:val="16"/>
        </w:rPr>
        <w:t xml:space="preserve">The CNMI reported that there were no resolution sessions held in FFY 2019. Per OSEP's instruction, the CNMI is not required to provide targets until any fiscal year in which ten or more resolution sessions were held. </w:t>
      </w:r>
    </w:p>
    <w:bookmarkEnd w:id="70"/>
    <w:bookmarkEnd w:id="71"/>
    <w:p w14:paraId="3A708A87" w14:textId="77777777" w:rsidR="00CE0C68" w:rsidRPr="005C29F8" w:rsidRDefault="00CE0C68" w:rsidP="00127006">
      <w:pPr>
        <w:pStyle w:val="Bold"/>
        <w:rPr>
          <w:color w:val="000000" w:themeColor="text1"/>
        </w:rPr>
      </w:pPr>
    </w:p>
    <w:p w14:paraId="4E8407A2" w14:textId="6977F9EE" w:rsidR="00EC46E4" w:rsidRDefault="00EC46E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14:paraId="4BC2AEC0" w14:textId="77777777" w:rsidTr="00123D76">
        <w:trPr>
          <w:trHeight w:val="311"/>
          <w:tblHeader/>
        </w:trPr>
        <w:tc>
          <w:tcPr>
            <w:tcW w:w="1797" w:type="dxa"/>
          </w:tcPr>
          <w:p w14:paraId="5C965FC2" w14:textId="77777777" w:rsidR="00956DFE" w:rsidRDefault="00956DFE" w:rsidP="00123D76">
            <w:pPr>
              <w:jc w:val="center"/>
              <w:rPr>
                <w:b/>
                <w:color w:val="000000" w:themeColor="text1"/>
              </w:rPr>
            </w:pPr>
            <w:r w:rsidRPr="005C29F8">
              <w:rPr>
                <w:rFonts w:cs="Arial"/>
                <w:b/>
                <w:color w:val="000000" w:themeColor="text1"/>
                <w:szCs w:val="16"/>
              </w:rPr>
              <w:t>Baseline Year</w:t>
            </w:r>
          </w:p>
        </w:tc>
        <w:tc>
          <w:tcPr>
            <w:tcW w:w="1798" w:type="dxa"/>
          </w:tcPr>
          <w:p w14:paraId="0FE47E01" w14:textId="77777777" w:rsidR="00956DFE" w:rsidRDefault="00956DFE" w:rsidP="00123D76">
            <w:pPr>
              <w:jc w:val="center"/>
              <w:rPr>
                <w:b/>
                <w:color w:val="000000" w:themeColor="text1"/>
              </w:rPr>
            </w:pPr>
            <w:r>
              <w:rPr>
                <w:b/>
                <w:color w:val="000000" w:themeColor="text1"/>
              </w:rPr>
              <w:t>Baseline Data</w:t>
            </w:r>
          </w:p>
        </w:tc>
      </w:tr>
      <w:tr w:rsidR="00956DFE" w14:paraId="4061AB26" w14:textId="77777777" w:rsidTr="00123D76">
        <w:trPr>
          <w:trHeight w:val="311"/>
        </w:trPr>
        <w:tc>
          <w:tcPr>
            <w:tcW w:w="1797" w:type="dxa"/>
            <w:vAlign w:val="center"/>
          </w:tcPr>
          <w:p w14:paraId="06B6D30C" w14:textId="2AF9B55C" w:rsidR="00956DFE" w:rsidRPr="00227D4B" w:rsidRDefault="00956DFE" w:rsidP="00123D76">
            <w:pPr>
              <w:jc w:val="center"/>
              <w:rPr>
                <w:bCs/>
                <w:color w:val="000000" w:themeColor="text1"/>
              </w:rPr>
            </w:pPr>
            <w:r w:rsidRPr="00227D4B">
              <w:rPr>
                <w:bCs/>
                <w:color w:val="000000" w:themeColor="text1"/>
              </w:rPr>
              <w:t>2005</w:t>
            </w:r>
          </w:p>
        </w:tc>
        <w:tc>
          <w:tcPr>
            <w:tcW w:w="1798" w:type="dxa"/>
            <w:vAlign w:val="center"/>
          </w:tcPr>
          <w:p w14:paraId="2ECB17ED" w14:textId="53ECEEAF" w:rsidR="00956DFE" w:rsidRPr="00227D4B" w:rsidRDefault="00956DFE" w:rsidP="00123D76">
            <w:pPr>
              <w:jc w:val="center"/>
              <w:rPr>
                <w:bCs/>
                <w:color w:val="000000" w:themeColor="text1"/>
              </w:rPr>
            </w:pPr>
          </w:p>
        </w:tc>
      </w:tr>
    </w:tbl>
    <w:p w14:paraId="3ABC15A0" w14:textId="77777777" w:rsidR="00956DFE" w:rsidRPr="005C29F8"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5C29F8" w14:paraId="4E412341" w14:textId="77777777" w:rsidTr="0033429D">
        <w:trPr>
          <w:trHeight w:val="350"/>
        </w:trPr>
        <w:tc>
          <w:tcPr>
            <w:tcW w:w="833" w:type="pct"/>
            <w:tcBorders>
              <w:bottom w:val="single" w:sz="4" w:space="0" w:color="auto"/>
            </w:tcBorders>
            <w:shd w:val="clear" w:color="auto" w:fill="auto"/>
          </w:tcPr>
          <w:p w14:paraId="3BCF53D4" w14:textId="77777777" w:rsidR="00206890" w:rsidRPr="005C29F8" w:rsidRDefault="00206890"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1BCFC70E" w14:textId="1BB5B5A8" w:rsidR="00206890"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833" w:type="pct"/>
            <w:shd w:val="clear" w:color="auto" w:fill="auto"/>
          </w:tcPr>
          <w:p w14:paraId="0D14322A" w14:textId="6BD4D2D0" w:rsidR="00206890"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5AD53313" w14:textId="5FC8C632" w:rsidR="00206890"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833" w:type="pct"/>
            <w:shd w:val="clear" w:color="auto" w:fill="auto"/>
          </w:tcPr>
          <w:p w14:paraId="4015341F" w14:textId="703AE838" w:rsidR="00206890"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34" w:type="pct"/>
            <w:shd w:val="clear" w:color="auto" w:fill="auto"/>
          </w:tcPr>
          <w:p w14:paraId="087D6966" w14:textId="6C948B8E" w:rsidR="00206890"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C55BF13" w14:textId="77777777" w:rsidTr="0033429D">
        <w:trPr>
          <w:trHeight w:val="357"/>
        </w:trPr>
        <w:tc>
          <w:tcPr>
            <w:tcW w:w="833" w:type="pct"/>
            <w:shd w:val="clear" w:color="auto" w:fill="auto"/>
          </w:tcPr>
          <w:p w14:paraId="33F24D1B" w14:textId="209B7194" w:rsidR="00206890" w:rsidRPr="005C29F8" w:rsidRDefault="00206890"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7184CC23" w14:textId="0660F716" w:rsidR="00206890" w:rsidRPr="005C29F8"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5C29F8"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5C29F8"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5C29F8" w:rsidRDefault="00206890" w:rsidP="00A018D4">
            <w:pPr>
              <w:jc w:val="center"/>
              <w:rPr>
                <w:rFonts w:cs="Arial"/>
                <w:color w:val="000000" w:themeColor="text1"/>
                <w:szCs w:val="16"/>
              </w:rPr>
            </w:pPr>
          </w:p>
        </w:tc>
      </w:tr>
      <w:tr w:rsidR="005C29F8" w:rsidRPr="005C29F8" w14:paraId="10C8B4B5" w14:textId="77777777" w:rsidTr="0033429D">
        <w:trPr>
          <w:trHeight w:val="85"/>
        </w:trPr>
        <w:tc>
          <w:tcPr>
            <w:tcW w:w="833" w:type="pct"/>
            <w:shd w:val="clear" w:color="auto" w:fill="auto"/>
          </w:tcPr>
          <w:p w14:paraId="708FF78B" w14:textId="77777777" w:rsidR="00206890" w:rsidRPr="005C29F8" w:rsidRDefault="00206890"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E187FD0" w14:textId="3237A264" w:rsidR="00206890" w:rsidRPr="005C29F8"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3C74B678" w14:textId="22746FF8" w:rsidR="00206890" w:rsidRPr="005C29F8" w:rsidRDefault="00206890" w:rsidP="00A018D4">
            <w:pPr>
              <w:jc w:val="center"/>
              <w:rPr>
                <w:rFonts w:cs="Arial"/>
                <w:color w:val="000000" w:themeColor="text1"/>
                <w:szCs w:val="16"/>
              </w:rPr>
            </w:pPr>
          </w:p>
        </w:tc>
        <w:tc>
          <w:tcPr>
            <w:tcW w:w="833" w:type="pct"/>
            <w:tcBorders>
              <w:bottom w:val="single" w:sz="4" w:space="0" w:color="auto"/>
            </w:tcBorders>
            <w:shd w:val="clear" w:color="auto" w:fill="auto"/>
            <w:vAlign w:val="center"/>
          </w:tcPr>
          <w:p w14:paraId="6488E126" w14:textId="74B63322" w:rsidR="00206890" w:rsidRPr="005C29F8"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5C29F8" w:rsidRDefault="00206890" w:rsidP="00A018D4">
            <w:pPr>
              <w:jc w:val="center"/>
              <w:rPr>
                <w:rFonts w:cs="Arial"/>
                <w:color w:val="000000" w:themeColor="text1"/>
                <w:szCs w:val="16"/>
              </w:rPr>
            </w:pPr>
          </w:p>
        </w:tc>
      </w:tr>
    </w:tbl>
    <w:p w14:paraId="49D45707" w14:textId="4136C190" w:rsidR="00CE0C68" w:rsidRPr="005C29F8" w:rsidRDefault="00CE0C68">
      <w:pPr>
        <w:rPr>
          <w:color w:val="000000" w:themeColor="text1"/>
        </w:rPr>
      </w:pPr>
    </w:p>
    <w:p w14:paraId="0B3CADC6" w14:textId="0A7F1EFC" w:rsidR="00372DF8" w:rsidRPr="005C29F8" w:rsidRDefault="00372DF8"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85"/>
        <w:gridCol w:w="2161"/>
      </w:tblGrid>
      <w:tr w:rsidR="00441578" w:rsidRPr="005C29F8" w14:paraId="5B5B06C7" w14:textId="0DBC092A" w:rsidTr="0033429D">
        <w:trPr>
          <w:trHeight w:val="350"/>
        </w:trPr>
        <w:tc>
          <w:tcPr>
            <w:tcW w:w="1565" w:type="pct"/>
            <w:tcBorders>
              <w:bottom w:val="single" w:sz="4" w:space="0" w:color="auto"/>
            </w:tcBorders>
            <w:shd w:val="clear" w:color="auto" w:fill="auto"/>
          </w:tcPr>
          <w:p w14:paraId="31E34DD6"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82DDA76" w14:textId="193A6DE4" w:rsidR="00441578" w:rsidRPr="005C29F8" w:rsidRDefault="00441578" w:rsidP="004369B2">
            <w:pPr>
              <w:jc w:val="center"/>
              <w:rPr>
                <w:b/>
                <w:color w:val="000000" w:themeColor="text1"/>
              </w:rPr>
            </w:pPr>
            <w:r w:rsidRPr="005C29F8">
              <w:rPr>
                <w:b/>
                <w:color w:val="000000" w:themeColor="text1"/>
              </w:rPr>
              <w:t>2019</w:t>
            </w:r>
          </w:p>
        </w:tc>
      </w:tr>
      <w:tr w:rsidR="00441578" w:rsidRPr="005C29F8" w14:paraId="2E97FCFB" w14:textId="1653063A" w:rsidTr="00441578">
        <w:trPr>
          <w:trHeight w:val="357"/>
        </w:trPr>
        <w:tc>
          <w:tcPr>
            <w:tcW w:w="1565" w:type="pct"/>
            <w:shd w:val="clear" w:color="auto" w:fill="auto"/>
          </w:tcPr>
          <w:p w14:paraId="4E1FED50" w14:textId="35E6081C" w:rsidR="00441578" w:rsidRPr="005C29F8" w:rsidRDefault="00441578" w:rsidP="008E31C4">
            <w:pP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39DFFAEB" w14:textId="54D1D7D6" w:rsidR="00441578" w:rsidRPr="005C29F8" w:rsidRDefault="00441578" w:rsidP="00A018D4">
            <w:pPr>
              <w:jc w:val="center"/>
              <w:rPr>
                <w:rFonts w:cs="Arial"/>
                <w:color w:val="000000" w:themeColor="text1"/>
                <w:szCs w:val="16"/>
              </w:rPr>
            </w:pPr>
          </w:p>
        </w:tc>
      </w:tr>
    </w:tbl>
    <w:p w14:paraId="25B7ED55" w14:textId="77777777" w:rsidR="00CE0C68" w:rsidRPr="005C29F8" w:rsidRDefault="00CE0C68" w:rsidP="004369B2">
      <w:pPr>
        <w:rPr>
          <w:color w:val="000000" w:themeColor="text1"/>
        </w:rPr>
      </w:pPr>
    </w:p>
    <w:p w14:paraId="639445A0" w14:textId="37C13B98" w:rsidR="00634AD8" w:rsidRPr="005C29F8" w:rsidRDefault="00EC46E4">
      <w:pPr>
        <w:rPr>
          <w:b/>
          <w:color w:val="000000" w:themeColor="text1"/>
        </w:rPr>
      </w:pPr>
      <w:r w:rsidRPr="005C29F8">
        <w:rPr>
          <w:b/>
          <w:color w:val="000000" w:themeColor="text1"/>
        </w:rPr>
        <w:t>FFY 2019 SPP/APR Data</w:t>
      </w:r>
    </w:p>
    <w:p w14:paraId="59EF63A0" w14:textId="77777777" w:rsidR="00127006" w:rsidRPr="005C29F8"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5C29F8" w14:paraId="7CE022CD" w14:textId="689D2875" w:rsidTr="00877012">
        <w:trPr>
          <w:trHeight w:val="354"/>
          <w:tblHeader/>
        </w:trPr>
        <w:tc>
          <w:tcPr>
            <w:tcW w:w="757" w:type="pct"/>
            <w:shd w:val="clear" w:color="auto" w:fill="auto"/>
            <w:vAlign w:val="bottom"/>
          </w:tcPr>
          <w:p w14:paraId="4A4004E2"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lastRenderedPageBreak/>
              <w:t>3.1(a) Number resolutions sessions resolved through settlement agreements</w:t>
            </w:r>
          </w:p>
        </w:tc>
        <w:tc>
          <w:tcPr>
            <w:tcW w:w="753" w:type="pct"/>
            <w:shd w:val="clear" w:color="auto" w:fill="auto"/>
            <w:vAlign w:val="bottom"/>
          </w:tcPr>
          <w:p w14:paraId="15083250" w14:textId="77777777" w:rsidR="00B14746" w:rsidRPr="005C29F8" w:rsidRDefault="00B14746" w:rsidP="00681BA6">
            <w:pPr>
              <w:jc w:val="center"/>
              <w:rPr>
                <w:rFonts w:cs="Arial"/>
                <w:b/>
                <w:color w:val="000000" w:themeColor="text1"/>
                <w:szCs w:val="16"/>
              </w:rPr>
            </w:pPr>
            <w:r w:rsidRPr="005C29F8">
              <w:rPr>
                <w:rFonts w:cs="Arial"/>
                <w:b/>
                <w:color w:val="000000" w:themeColor="text1"/>
                <w:szCs w:val="16"/>
              </w:rPr>
              <w:t>3.1 Number of resolutions sessions</w:t>
            </w:r>
          </w:p>
        </w:tc>
        <w:tc>
          <w:tcPr>
            <w:tcW w:w="589" w:type="pct"/>
            <w:shd w:val="clear" w:color="auto" w:fill="auto"/>
            <w:vAlign w:val="bottom"/>
          </w:tcPr>
          <w:p w14:paraId="61FCEFFA" w14:textId="0B180EF0" w:rsidR="00B14746" w:rsidRPr="005C29F8" w:rsidRDefault="001111BE" w:rsidP="00681BA6">
            <w:pPr>
              <w:jc w:val="center"/>
              <w:rPr>
                <w:rFonts w:cs="Arial"/>
                <w:b/>
                <w:color w:val="000000" w:themeColor="text1"/>
                <w:szCs w:val="16"/>
              </w:rPr>
            </w:pPr>
            <w:r w:rsidRPr="005C29F8">
              <w:rPr>
                <w:rFonts w:cs="Arial"/>
                <w:b/>
                <w:color w:val="000000" w:themeColor="text1"/>
                <w:szCs w:val="16"/>
              </w:rPr>
              <w:t>FFY 2018 Data</w:t>
            </w:r>
          </w:p>
        </w:tc>
        <w:tc>
          <w:tcPr>
            <w:tcW w:w="884" w:type="pct"/>
            <w:shd w:val="clear" w:color="auto" w:fill="auto"/>
            <w:vAlign w:val="bottom"/>
          </w:tcPr>
          <w:p w14:paraId="5285C3DA" w14:textId="3501C310"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Target</w:t>
            </w:r>
          </w:p>
        </w:tc>
        <w:tc>
          <w:tcPr>
            <w:tcW w:w="692" w:type="pct"/>
            <w:shd w:val="clear" w:color="auto" w:fill="auto"/>
            <w:vAlign w:val="bottom"/>
          </w:tcPr>
          <w:p w14:paraId="767EE33A" w14:textId="1FA5074B" w:rsidR="00B14746" w:rsidRPr="005C29F8" w:rsidRDefault="00B14746" w:rsidP="00681BA6">
            <w:pPr>
              <w:jc w:val="center"/>
              <w:rPr>
                <w:rFonts w:cs="Arial"/>
                <w:b/>
                <w:color w:val="000000" w:themeColor="text1"/>
                <w:szCs w:val="16"/>
              </w:rPr>
            </w:pPr>
            <w:r w:rsidRPr="005C29F8">
              <w:rPr>
                <w:rFonts w:cs="Arial"/>
                <w:b/>
                <w:color w:val="000000" w:themeColor="text1"/>
                <w:szCs w:val="16"/>
              </w:rPr>
              <w:t>FFY 2019 Data</w:t>
            </w:r>
          </w:p>
        </w:tc>
        <w:tc>
          <w:tcPr>
            <w:tcW w:w="673" w:type="pct"/>
            <w:shd w:val="clear" w:color="auto" w:fill="auto"/>
            <w:vAlign w:val="bottom"/>
          </w:tcPr>
          <w:p w14:paraId="3FC7FD1C" w14:textId="7EA4D921" w:rsidR="00B14746" w:rsidRPr="005C29F8" w:rsidRDefault="00B14746" w:rsidP="00681BA6">
            <w:pPr>
              <w:jc w:val="center"/>
              <w:rPr>
                <w:rFonts w:cs="Arial"/>
                <w:b/>
                <w:color w:val="000000" w:themeColor="text1"/>
                <w:szCs w:val="16"/>
              </w:rPr>
            </w:pPr>
            <w:r w:rsidRPr="005C29F8">
              <w:rPr>
                <w:rFonts w:cs="Arial"/>
                <w:b/>
                <w:color w:val="000000" w:themeColor="text1"/>
                <w:szCs w:val="16"/>
              </w:rPr>
              <w:t>Status</w:t>
            </w:r>
          </w:p>
        </w:tc>
        <w:tc>
          <w:tcPr>
            <w:tcW w:w="652" w:type="pct"/>
            <w:shd w:val="clear" w:color="auto" w:fill="auto"/>
            <w:vAlign w:val="bottom"/>
          </w:tcPr>
          <w:p w14:paraId="7025F3A2" w14:textId="466A0744" w:rsidR="00B14746" w:rsidRPr="005C29F8" w:rsidRDefault="00B14746" w:rsidP="00681BA6">
            <w:pPr>
              <w:jc w:val="center"/>
              <w:rPr>
                <w:rFonts w:cs="Arial"/>
                <w:b/>
                <w:color w:val="000000" w:themeColor="text1"/>
                <w:szCs w:val="16"/>
              </w:rPr>
            </w:pPr>
            <w:r w:rsidRPr="005C29F8">
              <w:rPr>
                <w:rFonts w:cs="Arial"/>
                <w:b/>
                <w:color w:val="000000" w:themeColor="text1"/>
                <w:szCs w:val="16"/>
              </w:rPr>
              <w:t>Slippage</w:t>
            </w:r>
          </w:p>
        </w:tc>
      </w:tr>
      <w:tr w:rsidR="005C29F8" w:rsidRPr="005C29F8" w14:paraId="104AFA36" w14:textId="7B00739A" w:rsidTr="00877012">
        <w:trPr>
          <w:trHeight w:val="361"/>
        </w:trPr>
        <w:tc>
          <w:tcPr>
            <w:tcW w:w="757" w:type="pct"/>
            <w:shd w:val="clear" w:color="auto" w:fill="auto"/>
            <w:vAlign w:val="center"/>
          </w:tcPr>
          <w:p w14:paraId="3DA400B1" w14:textId="063A879F"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753" w:type="pct"/>
            <w:shd w:val="clear" w:color="auto" w:fill="auto"/>
          </w:tcPr>
          <w:p w14:paraId="57BB67A2" w14:textId="2B997355" w:rsidR="00372DF8" w:rsidRPr="005C29F8" w:rsidRDefault="002B7490" w:rsidP="00A018D4">
            <w:pPr>
              <w:jc w:val="center"/>
              <w:rPr>
                <w:rFonts w:cs="Arial"/>
                <w:color w:val="000000" w:themeColor="text1"/>
                <w:szCs w:val="16"/>
              </w:rPr>
            </w:pPr>
            <w:r w:rsidRPr="005C29F8">
              <w:rPr>
                <w:rFonts w:cs="Arial"/>
                <w:color w:val="000000" w:themeColor="text1"/>
                <w:szCs w:val="16"/>
              </w:rPr>
              <w:t>0</w:t>
            </w:r>
          </w:p>
        </w:tc>
        <w:tc>
          <w:tcPr>
            <w:tcW w:w="589" w:type="pct"/>
            <w:shd w:val="clear" w:color="auto" w:fill="auto"/>
          </w:tcPr>
          <w:p w14:paraId="759C2AEB" w14:textId="7C5FF94E" w:rsidR="00372DF8" w:rsidRPr="005C29F8" w:rsidRDefault="00372DF8" w:rsidP="00A018D4">
            <w:pPr>
              <w:jc w:val="center"/>
              <w:rPr>
                <w:rFonts w:cs="Arial"/>
                <w:color w:val="000000" w:themeColor="text1"/>
                <w:szCs w:val="16"/>
              </w:rPr>
            </w:pPr>
          </w:p>
        </w:tc>
        <w:tc>
          <w:tcPr>
            <w:tcW w:w="884" w:type="pct"/>
            <w:shd w:val="clear" w:color="auto" w:fill="auto"/>
          </w:tcPr>
          <w:p w14:paraId="446CA14A" w14:textId="2AFBAFDB" w:rsidR="00372DF8" w:rsidRPr="005C29F8"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5C29F8" w:rsidRDefault="00372DF8" w:rsidP="00A018D4">
            <w:pPr>
              <w:jc w:val="center"/>
              <w:rPr>
                <w:rFonts w:cs="Arial"/>
                <w:color w:val="000000" w:themeColor="text1"/>
                <w:szCs w:val="16"/>
              </w:rPr>
            </w:pPr>
          </w:p>
        </w:tc>
        <w:tc>
          <w:tcPr>
            <w:tcW w:w="673" w:type="pct"/>
            <w:shd w:val="clear" w:color="auto" w:fill="auto"/>
          </w:tcPr>
          <w:p w14:paraId="73DE10E2" w14:textId="0659DF1D"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c>
          <w:tcPr>
            <w:tcW w:w="652" w:type="pct"/>
            <w:shd w:val="clear" w:color="auto" w:fill="auto"/>
          </w:tcPr>
          <w:p w14:paraId="5B5FCE8F" w14:textId="2E877FC8" w:rsidR="00372DF8" w:rsidRPr="005C29F8" w:rsidRDefault="002B7490" w:rsidP="00A018D4">
            <w:pPr>
              <w:jc w:val="center"/>
              <w:rPr>
                <w:rFonts w:cs="Arial"/>
                <w:color w:val="000000" w:themeColor="text1"/>
                <w:szCs w:val="16"/>
              </w:rPr>
            </w:pPr>
            <w:r w:rsidRPr="005C29F8">
              <w:rPr>
                <w:rFonts w:cs="Arial"/>
                <w:color w:val="000000" w:themeColor="text1"/>
                <w:szCs w:val="16"/>
              </w:rPr>
              <w:t>N/A</w:t>
            </w:r>
          </w:p>
        </w:tc>
      </w:tr>
    </w:tbl>
    <w:p w14:paraId="41C1290A" w14:textId="0F368A1B"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225AF7B0" w14:textId="0953EFAC" w:rsidR="00293C7E" w:rsidRPr="005C29F8" w:rsidRDefault="00293C7E" w:rsidP="007D435F">
      <w:pPr>
        <w:rPr>
          <w:rFonts w:cs="Arial"/>
          <w:color w:val="000000" w:themeColor="text1"/>
          <w:szCs w:val="16"/>
        </w:rPr>
      </w:pPr>
    </w:p>
    <w:p w14:paraId="69486921" w14:textId="29EDB346" w:rsidR="00293C7E" w:rsidRPr="0033429D" w:rsidRDefault="00DF2D3A" w:rsidP="00123D76">
      <w:pPr>
        <w:pStyle w:val="Heading2"/>
      </w:pPr>
      <w:r w:rsidRPr="0033429D">
        <w:t>15</w:t>
      </w:r>
      <w:r w:rsidR="001D508D" w:rsidRPr="0033429D">
        <w:t xml:space="preserve"> </w:t>
      </w:r>
      <w:r w:rsidRPr="0033429D">
        <w:t xml:space="preserve">- </w:t>
      </w:r>
      <w:r w:rsidR="00293C7E" w:rsidRPr="0033429D">
        <w:t>Prior FFY Required Actions</w:t>
      </w:r>
    </w:p>
    <w:p w14:paraId="19F5FEB1" w14:textId="2905DE18" w:rsidR="00293C7E" w:rsidRPr="005C29F8" w:rsidRDefault="002B7490" w:rsidP="00293C7E">
      <w:pPr>
        <w:rPr>
          <w:rFonts w:cs="Arial"/>
          <w:color w:val="000000" w:themeColor="text1"/>
          <w:szCs w:val="16"/>
        </w:rPr>
      </w:pPr>
      <w:r w:rsidRPr="005C29F8">
        <w:rPr>
          <w:rFonts w:cs="Arial"/>
          <w:color w:val="000000" w:themeColor="text1"/>
          <w:szCs w:val="16"/>
        </w:rPr>
        <w:t>None</w:t>
      </w:r>
    </w:p>
    <w:p w14:paraId="6506D351" w14:textId="1F034745" w:rsidR="00913A33" w:rsidRPr="0033429D" w:rsidRDefault="00DF2D3A" w:rsidP="00123D76">
      <w:pPr>
        <w:pStyle w:val="Heading2"/>
      </w:pPr>
      <w:r w:rsidRPr="0033429D">
        <w:t>15 - OSEP Response</w:t>
      </w:r>
    </w:p>
    <w:p w14:paraId="639FEA08" w14:textId="30C19155" w:rsidR="00293C7E" w:rsidRPr="005C29F8" w:rsidRDefault="002B7490" w:rsidP="001F692C">
      <w:pPr>
        <w:rPr>
          <w:rFonts w:cs="Arial"/>
          <w:color w:val="000000" w:themeColor="text1"/>
          <w:szCs w:val="16"/>
        </w:rPr>
      </w:pPr>
      <w:r w:rsidRPr="005C29F8">
        <w:rPr>
          <w:rFonts w:cs="Arial"/>
          <w:color w:val="000000" w:themeColor="text1"/>
          <w:szCs w:val="16"/>
        </w:rPr>
        <w:t xml:space="preserve">The Commonwealth of the Northern Mariana Islands reported fewer than ten resolution sessions held in FFY 2019. The Commonwealth of the Northern Mariana Islands is not required to provide targets until any fiscal year in which ten or more resolution sessions were held. </w:t>
      </w:r>
    </w:p>
    <w:p w14:paraId="7634025D" w14:textId="5BD1D671" w:rsidR="00913A33" w:rsidRPr="0033429D" w:rsidRDefault="00DF2D3A" w:rsidP="00123D76">
      <w:pPr>
        <w:pStyle w:val="Heading2"/>
      </w:pPr>
      <w:r w:rsidRPr="0033429D">
        <w:t>15 - Required Actions</w:t>
      </w:r>
    </w:p>
    <w:p w14:paraId="06C735B1" w14:textId="277EA689" w:rsidR="00293C7E" w:rsidRPr="005C29F8" w:rsidRDefault="00293C7E" w:rsidP="001F692C">
      <w:pPr>
        <w:rPr>
          <w:rFonts w:cs="Arial"/>
          <w:color w:val="000000" w:themeColor="text1"/>
          <w:szCs w:val="16"/>
        </w:rPr>
      </w:pPr>
    </w:p>
    <w:p w14:paraId="259DEDCC" w14:textId="77777777" w:rsidR="000C60E1" w:rsidRPr="005C29F8" w:rsidRDefault="000C60E1">
      <w:pPr>
        <w:spacing w:before="0" w:after="200" w:line="276" w:lineRule="auto"/>
        <w:rPr>
          <w:rFonts w:eastAsiaTheme="majorEastAsia" w:cs="Arial"/>
          <w:b/>
          <w:bCs/>
          <w:color w:val="000000" w:themeColor="text1"/>
          <w:szCs w:val="16"/>
        </w:rPr>
      </w:pPr>
      <w:r w:rsidRPr="005C29F8">
        <w:rPr>
          <w:rFonts w:cs="Arial"/>
          <w:color w:val="000000" w:themeColor="text1"/>
          <w:szCs w:val="16"/>
        </w:rPr>
        <w:br w:type="page"/>
      </w:r>
    </w:p>
    <w:p w14:paraId="53B0D4FE" w14:textId="34B4FBB0" w:rsidR="007F0CEC" w:rsidRPr="005C29F8" w:rsidRDefault="007F0CEC" w:rsidP="000444E2">
      <w:pPr>
        <w:pStyle w:val="Heading1"/>
        <w:rPr>
          <w:color w:val="000000" w:themeColor="text1"/>
          <w:sz w:val="22"/>
        </w:rPr>
      </w:pPr>
      <w:r w:rsidRPr="005C29F8">
        <w:rPr>
          <w:color w:val="000000" w:themeColor="text1"/>
          <w:sz w:val="22"/>
        </w:rPr>
        <w:lastRenderedPageBreak/>
        <w:t>Indicator 16: Mediation</w:t>
      </w:r>
    </w:p>
    <w:p w14:paraId="589E185D" w14:textId="77777777" w:rsidR="00BF232E" w:rsidRPr="005C29F8" w:rsidRDefault="00BF232E" w:rsidP="00A018D4">
      <w:pPr>
        <w:rPr>
          <w:color w:val="000000" w:themeColor="text1"/>
          <w:szCs w:val="20"/>
        </w:rPr>
      </w:pPr>
      <w:bookmarkStart w:id="72" w:name="_Toc382731916"/>
      <w:bookmarkStart w:id="73" w:name="_Toc392159344"/>
      <w:r w:rsidRPr="005C29F8">
        <w:rPr>
          <w:b/>
          <w:color w:val="000000" w:themeColor="text1"/>
          <w:sz w:val="20"/>
          <w:szCs w:val="20"/>
        </w:rPr>
        <w:t>Instructions and Measurement</w:t>
      </w:r>
    </w:p>
    <w:p w14:paraId="41E7E4F9" w14:textId="500BC36F" w:rsidR="009B6586" w:rsidRPr="005C29F8" w:rsidRDefault="009B6586" w:rsidP="008E31C4">
      <w:pPr>
        <w:rPr>
          <w:rFonts w:cs="Arial"/>
          <w:color w:val="000000" w:themeColor="text1"/>
          <w:szCs w:val="16"/>
        </w:rPr>
      </w:pPr>
      <w:r w:rsidRPr="005C29F8">
        <w:rPr>
          <w:rFonts w:cs="Arial"/>
          <w:b/>
          <w:color w:val="000000" w:themeColor="text1"/>
          <w:szCs w:val="16"/>
        </w:rPr>
        <w:t>Monitoring Priority</w:t>
      </w:r>
      <w:r w:rsidRPr="005C29F8">
        <w:rPr>
          <w:rFonts w:cs="Arial"/>
          <w:color w:val="000000" w:themeColor="text1"/>
          <w:szCs w:val="16"/>
        </w:rPr>
        <w:t>: Effective General Supervision Part B / General Supervision</w:t>
      </w:r>
    </w:p>
    <w:p w14:paraId="573A26D5" w14:textId="77777777" w:rsidR="00692B95" w:rsidRPr="005C29F8" w:rsidRDefault="009B6586" w:rsidP="008E31C4">
      <w:pPr>
        <w:rPr>
          <w:rFonts w:cs="Arial"/>
          <w:color w:val="000000" w:themeColor="text1"/>
          <w:szCs w:val="16"/>
        </w:rPr>
      </w:pPr>
      <w:r w:rsidRPr="005C29F8">
        <w:rPr>
          <w:rFonts w:cs="Arial"/>
          <w:b/>
          <w:color w:val="000000" w:themeColor="text1"/>
          <w:szCs w:val="16"/>
        </w:rPr>
        <w:t>Results indicator:</w:t>
      </w:r>
      <w:r w:rsidRPr="005C29F8">
        <w:rPr>
          <w:rFonts w:cs="Arial"/>
          <w:color w:val="000000" w:themeColor="text1"/>
          <w:szCs w:val="16"/>
        </w:rPr>
        <w:t xml:space="preserve"> Percent of mediations held that resulted in mediation agreements.</w:t>
      </w:r>
      <w:r w:rsidR="00131842" w:rsidRPr="005C29F8">
        <w:rPr>
          <w:rFonts w:cs="Arial"/>
          <w:color w:val="000000" w:themeColor="text1"/>
          <w:szCs w:val="16"/>
        </w:rPr>
        <w:t xml:space="preserve"> </w:t>
      </w:r>
    </w:p>
    <w:p w14:paraId="7847EFFB" w14:textId="03A11F4B" w:rsidR="009B6586" w:rsidRPr="005C29F8" w:rsidRDefault="009B6586" w:rsidP="008E31C4">
      <w:pPr>
        <w:rPr>
          <w:rFonts w:cs="Arial"/>
          <w:color w:val="000000" w:themeColor="text1"/>
          <w:szCs w:val="16"/>
        </w:rPr>
      </w:pPr>
      <w:r w:rsidRPr="005C29F8">
        <w:rPr>
          <w:rFonts w:cs="Arial"/>
          <w:color w:val="000000" w:themeColor="text1"/>
          <w:szCs w:val="16"/>
        </w:rPr>
        <w:t>(20 U.S.C. 1416(a)(3(B))</w:t>
      </w:r>
    </w:p>
    <w:p w14:paraId="0F859DBB" w14:textId="77777777" w:rsidR="00692B95" w:rsidRPr="005C29F8" w:rsidRDefault="00692B95" w:rsidP="004369B2">
      <w:pPr>
        <w:rPr>
          <w:color w:val="000000" w:themeColor="text1"/>
        </w:rPr>
      </w:pPr>
      <w:r w:rsidRPr="005C29F8">
        <w:rPr>
          <w:b/>
          <w:color w:val="000000" w:themeColor="text1"/>
        </w:rPr>
        <w:t>Data Source</w:t>
      </w:r>
    </w:p>
    <w:p w14:paraId="1400D43F" w14:textId="253D0B1A" w:rsidR="00692B95" w:rsidRPr="005C29F8" w:rsidRDefault="00692B95" w:rsidP="008E31C4">
      <w:pPr>
        <w:rPr>
          <w:rFonts w:cs="Arial"/>
          <w:color w:val="000000" w:themeColor="text1"/>
          <w:szCs w:val="16"/>
        </w:rPr>
      </w:pPr>
      <w:r w:rsidRPr="005C29F8">
        <w:rPr>
          <w:rFonts w:cs="Arial"/>
          <w:color w:val="000000" w:themeColor="text1"/>
          <w:szCs w:val="16"/>
        </w:rPr>
        <w:t xml:space="preserve">Data collected under section 618 of the IDEA (IDEA Part B Dispute Resolution Survey in the </w:t>
      </w:r>
      <w:proofErr w:type="spellStart"/>
      <w:r w:rsidRPr="005C29F8">
        <w:rPr>
          <w:rFonts w:cs="Arial"/>
          <w:color w:val="000000" w:themeColor="text1"/>
          <w:szCs w:val="16"/>
        </w:rPr>
        <w:t>EDFacts</w:t>
      </w:r>
      <w:proofErr w:type="spellEnd"/>
      <w:r w:rsidRPr="005C29F8">
        <w:rPr>
          <w:rFonts w:cs="Arial"/>
          <w:color w:val="000000" w:themeColor="text1"/>
          <w:szCs w:val="16"/>
        </w:rPr>
        <w:t xml:space="preserve"> Metadata and Process System (E</w:t>
      </w:r>
      <w:r w:rsidR="00E65E32" w:rsidRPr="005C29F8">
        <w:rPr>
          <w:rFonts w:cs="Arial"/>
          <w:i/>
          <w:color w:val="000000" w:themeColor="text1"/>
          <w:szCs w:val="16"/>
        </w:rPr>
        <w:t>MAPS</w:t>
      </w:r>
      <w:r w:rsidRPr="005C29F8">
        <w:rPr>
          <w:rFonts w:cs="Arial"/>
          <w:color w:val="000000" w:themeColor="text1"/>
          <w:szCs w:val="16"/>
        </w:rPr>
        <w:t>)).</w:t>
      </w:r>
    </w:p>
    <w:p w14:paraId="7EDB2909" w14:textId="77777777" w:rsidR="00692B95" w:rsidRPr="005C29F8" w:rsidRDefault="00692B95" w:rsidP="004369B2">
      <w:pPr>
        <w:rPr>
          <w:color w:val="000000" w:themeColor="text1"/>
        </w:rPr>
      </w:pPr>
      <w:r w:rsidRPr="005C29F8">
        <w:rPr>
          <w:b/>
          <w:color w:val="000000" w:themeColor="text1"/>
        </w:rPr>
        <w:t>Measurement</w:t>
      </w:r>
    </w:p>
    <w:p w14:paraId="38C2284B" w14:textId="1E75D304" w:rsidR="00692B95" w:rsidRPr="005C29F8" w:rsidRDefault="00692B95" w:rsidP="008E31C4">
      <w:pPr>
        <w:rPr>
          <w:rFonts w:cs="Arial"/>
          <w:color w:val="000000" w:themeColor="text1"/>
          <w:szCs w:val="16"/>
        </w:rPr>
      </w:pPr>
      <w:r w:rsidRPr="005C29F8">
        <w:rPr>
          <w:rFonts w:cs="Arial"/>
          <w:color w:val="000000" w:themeColor="text1"/>
          <w:szCs w:val="16"/>
        </w:rPr>
        <w:t>Percent = (2.1(a)(</w:t>
      </w:r>
      <w:proofErr w:type="spellStart"/>
      <w:r w:rsidRPr="005C29F8">
        <w:rPr>
          <w:rFonts w:cs="Arial"/>
          <w:color w:val="000000" w:themeColor="text1"/>
          <w:szCs w:val="16"/>
        </w:rPr>
        <w:t>i</w:t>
      </w:r>
      <w:proofErr w:type="spellEnd"/>
      <w:r w:rsidRPr="005C29F8">
        <w:rPr>
          <w:rFonts w:cs="Arial"/>
          <w:color w:val="000000" w:themeColor="text1"/>
          <w:szCs w:val="16"/>
        </w:rPr>
        <w:t>) + 2.1(b)(</w:t>
      </w:r>
      <w:proofErr w:type="spellStart"/>
      <w:r w:rsidRPr="005C29F8">
        <w:rPr>
          <w:rFonts w:cs="Arial"/>
          <w:color w:val="000000" w:themeColor="text1"/>
          <w:szCs w:val="16"/>
        </w:rPr>
        <w:t>i</w:t>
      </w:r>
      <w:proofErr w:type="spellEnd"/>
      <w:r w:rsidRPr="005C29F8">
        <w:rPr>
          <w:rFonts w:cs="Arial"/>
          <w:color w:val="000000" w:themeColor="text1"/>
          <w:szCs w:val="16"/>
        </w:rPr>
        <w:t>)) divided by 2.1) times 100.</w:t>
      </w:r>
    </w:p>
    <w:p w14:paraId="0B909FFD" w14:textId="77777777" w:rsidR="00692B95" w:rsidRPr="005C29F8" w:rsidRDefault="00692B95" w:rsidP="004369B2">
      <w:pPr>
        <w:rPr>
          <w:color w:val="000000" w:themeColor="text1"/>
        </w:rPr>
      </w:pPr>
      <w:r w:rsidRPr="005C29F8">
        <w:rPr>
          <w:b/>
          <w:color w:val="000000" w:themeColor="text1"/>
        </w:rPr>
        <w:t>Instructions</w:t>
      </w:r>
    </w:p>
    <w:p w14:paraId="46565F1D" w14:textId="77777777" w:rsidR="00692B95" w:rsidRPr="005C29F8" w:rsidRDefault="00692B95" w:rsidP="00286BDF">
      <w:pPr>
        <w:rPr>
          <w:rFonts w:cs="Arial"/>
          <w:color w:val="000000" w:themeColor="text1"/>
          <w:szCs w:val="16"/>
        </w:rPr>
      </w:pPr>
      <w:r w:rsidRPr="005C29F8">
        <w:rPr>
          <w:rFonts w:cs="Arial"/>
          <w:color w:val="000000" w:themeColor="text1"/>
          <w:szCs w:val="16"/>
        </w:rPr>
        <w:t>Sampling is not allowed.</w:t>
      </w:r>
    </w:p>
    <w:p w14:paraId="7A8BA9D5" w14:textId="77777777" w:rsidR="00692B95" w:rsidRPr="005C29F8" w:rsidRDefault="00692B95" w:rsidP="00286BDF">
      <w:pPr>
        <w:rPr>
          <w:rFonts w:cs="Arial"/>
          <w:color w:val="000000" w:themeColor="text1"/>
          <w:szCs w:val="16"/>
        </w:rPr>
      </w:pPr>
      <w:r w:rsidRPr="005C29F8">
        <w:rPr>
          <w:rFonts w:cs="Arial"/>
          <w:color w:val="000000" w:themeColor="text1"/>
          <w:szCs w:val="16"/>
        </w:rPr>
        <w:t>Describe the results of the calculations and compare the results to the target.</w:t>
      </w:r>
    </w:p>
    <w:p w14:paraId="5AFF4976" w14:textId="77777777" w:rsidR="00692B95" w:rsidRPr="005C29F8" w:rsidRDefault="00692B95" w:rsidP="00286BDF">
      <w:pPr>
        <w:rPr>
          <w:rFonts w:cs="Arial"/>
          <w:color w:val="000000" w:themeColor="text1"/>
          <w:szCs w:val="16"/>
        </w:rPr>
      </w:pPr>
      <w:r w:rsidRPr="005C29F8">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targets and improvement activities, and report on them in the corresponding SPP/APR.</w:t>
      </w:r>
    </w:p>
    <w:p w14:paraId="0EB22217" w14:textId="77777777" w:rsidR="00692B95" w:rsidRPr="005C29F8" w:rsidRDefault="00692B95" w:rsidP="00286BDF">
      <w:pPr>
        <w:rPr>
          <w:rFonts w:cs="Arial"/>
          <w:color w:val="000000" w:themeColor="text1"/>
          <w:szCs w:val="16"/>
        </w:rPr>
      </w:pPr>
      <w:r w:rsidRPr="005C29F8">
        <w:rPr>
          <w:rFonts w:cs="Arial"/>
          <w:color w:val="000000" w:themeColor="text1"/>
          <w:szCs w:val="16"/>
        </w:rPr>
        <w:t>States may express their targets in a range (e.g., 75-85%).</w:t>
      </w:r>
    </w:p>
    <w:p w14:paraId="62D2873F" w14:textId="77777777" w:rsidR="00692B95" w:rsidRPr="005C29F8" w:rsidRDefault="00692B95" w:rsidP="00286BDF">
      <w:pPr>
        <w:rPr>
          <w:rFonts w:cs="Arial"/>
          <w:color w:val="000000" w:themeColor="text1"/>
          <w:szCs w:val="16"/>
        </w:rPr>
      </w:pPr>
      <w:r w:rsidRPr="005C29F8">
        <w:rPr>
          <w:rFonts w:cs="Arial"/>
          <w:color w:val="000000" w:themeColor="text1"/>
          <w:szCs w:val="16"/>
        </w:rPr>
        <w:t>If the data reported in this indicator are not the same as the State’s data under IDEA section 618, explain.</w:t>
      </w:r>
    </w:p>
    <w:p w14:paraId="419B733F" w14:textId="44198020" w:rsidR="00692B95" w:rsidRPr="005C29F8" w:rsidRDefault="00692B95" w:rsidP="00286BDF">
      <w:pPr>
        <w:rPr>
          <w:rFonts w:cs="Arial"/>
          <w:color w:val="000000" w:themeColor="text1"/>
          <w:szCs w:val="16"/>
        </w:rPr>
      </w:pPr>
      <w:r w:rsidRPr="005C29F8">
        <w:rPr>
          <w:rFonts w:cs="Arial"/>
          <w:color w:val="000000" w:themeColor="text1"/>
          <w:szCs w:val="16"/>
        </w:rPr>
        <w:t>States are not required to report data at the LEA level.</w:t>
      </w:r>
    </w:p>
    <w:p w14:paraId="32179671" w14:textId="1C1C859E" w:rsidR="00B37C74" w:rsidRPr="0033429D" w:rsidRDefault="001C46DC" w:rsidP="00123D76">
      <w:pPr>
        <w:pStyle w:val="Heading2"/>
      </w:pPr>
      <w:r w:rsidRPr="0033429D">
        <w:t>16</w:t>
      </w:r>
      <w:r w:rsidR="001D508D" w:rsidRPr="0033429D">
        <w:t xml:space="preserve"> </w:t>
      </w:r>
      <w:r w:rsidRPr="0033429D">
        <w:t xml:space="preserve">- </w:t>
      </w:r>
      <w:r w:rsidR="00BF232E" w:rsidRPr="0033429D">
        <w:t>Indicator Data</w:t>
      </w:r>
    </w:p>
    <w:p w14:paraId="6A39385A" w14:textId="49DFE75B" w:rsidR="00F31AD8" w:rsidRPr="005C29F8" w:rsidRDefault="007D219D" w:rsidP="00F31AD8">
      <w:pPr>
        <w:rPr>
          <w:rFonts w:cs="Arial"/>
          <w:b/>
          <w:color w:val="000000" w:themeColor="text1"/>
          <w:szCs w:val="16"/>
        </w:rPr>
      </w:pPr>
      <w:r w:rsidRPr="005C29F8">
        <w:rPr>
          <w:rFonts w:cs="Arial"/>
          <w:b/>
          <w:color w:val="000000" w:themeColor="text1"/>
          <w:szCs w:val="16"/>
        </w:rPr>
        <w:t>Select yes to use target ranges</w:t>
      </w:r>
    </w:p>
    <w:p w14:paraId="6CBE99A1" w14:textId="4EA49071" w:rsidR="00F31AD8" w:rsidRPr="005C29F8" w:rsidRDefault="00F31AD8" w:rsidP="004369B2">
      <w:pPr>
        <w:rPr>
          <w:color w:val="000000" w:themeColor="text1"/>
        </w:rPr>
      </w:pPr>
      <w:r w:rsidRPr="005C29F8">
        <w:rPr>
          <w:rFonts w:cs="Arial"/>
          <w:color w:val="000000" w:themeColor="text1"/>
          <w:szCs w:val="16"/>
        </w:rPr>
        <w:t>Target Range not used</w:t>
      </w:r>
    </w:p>
    <w:bookmarkEnd w:id="72"/>
    <w:bookmarkEnd w:id="73"/>
    <w:p w14:paraId="3951D0E9" w14:textId="77777777" w:rsidR="00DA3157" w:rsidRPr="005C29F8" w:rsidRDefault="00DA3157" w:rsidP="004369B2">
      <w:pPr>
        <w:rPr>
          <w:color w:val="000000" w:themeColor="text1"/>
        </w:rPr>
      </w:pPr>
    </w:p>
    <w:p w14:paraId="118840D3" w14:textId="0C4E77AD" w:rsidR="008E31C4" w:rsidRPr="005C29F8" w:rsidRDefault="008E31C4" w:rsidP="004369B2">
      <w:pPr>
        <w:rPr>
          <w:color w:val="000000" w:themeColor="text1"/>
        </w:rPr>
      </w:pPr>
      <w:r w:rsidRPr="005C29F8">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5C29F8" w14:paraId="61A5E3A0" w14:textId="77777777" w:rsidTr="0064117D">
        <w:trPr>
          <w:trHeight w:val="372"/>
          <w:tblHeader/>
        </w:trPr>
        <w:tc>
          <w:tcPr>
            <w:tcW w:w="1249" w:type="pct"/>
            <w:shd w:val="clear" w:color="auto" w:fill="auto"/>
          </w:tcPr>
          <w:p w14:paraId="332BA503"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Source</w:t>
            </w:r>
          </w:p>
        </w:tc>
        <w:tc>
          <w:tcPr>
            <w:tcW w:w="1293" w:type="pct"/>
            <w:shd w:val="clear" w:color="auto" w:fill="auto"/>
          </w:tcPr>
          <w:p w14:paraId="2C662D12"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Date</w:t>
            </w:r>
          </w:p>
        </w:tc>
        <w:tc>
          <w:tcPr>
            <w:tcW w:w="1632" w:type="pct"/>
            <w:shd w:val="clear" w:color="auto" w:fill="auto"/>
          </w:tcPr>
          <w:p w14:paraId="66DBE23B"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Description</w:t>
            </w:r>
          </w:p>
        </w:tc>
        <w:tc>
          <w:tcPr>
            <w:tcW w:w="826" w:type="pct"/>
            <w:shd w:val="clear" w:color="auto" w:fill="auto"/>
          </w:tcPr>
          <w:p w14:paraId="1C82D158" w14:textId="77777777" w:rsidR="008E31C4" w:rsidRPr="005C29F8" w:rsidRDefault="008E31C4" w:rsidP="008E31C4">
            <w:pPr>
              <w:spacing w:after="0"/>
              <w:jc w:val="center"/>
              <w:rPr>
                <w:rFonts w:cs="Arial"/>
                <w:b/>
                <w:color w:val="000000" w:themeColor="text1"/>
                <w:szCs w:val="16"/>
              </w:rPr>
            </w:pPr>
            <w:r w:rsidRPr="005C29F8">
              <w:rPr>
                <w:rFonts w:cs="Arial"/>
                <w:b/>
                <w:color w:val="000000" w:themeColor="text1"/>
                <w:szCs w:val="16"/>
              </w:rPr>
              <w:t>Data</w:t>
            </w:r>
          </w:p>
        </w:tc>
      </w:tr>
      <w:tr w:rsidR="005C29F8" w:rsidRPr="005C29F8" w14:paraId="0EB08E99" w14:textId="77777777" w:rsidTr="0064117D">
        <w:trPr>
          <w:trHeight w:val="380"/>
        </w:trPr>
        <w:tc>
          <w:tcPr>
            <w:tcW w:w="1249" w:type="pct"/>
            <w:shd w:val="clear" w:color="auto" w:fill="auto"/>
          </w:tcPr>
          <w:p w14:paraId="341A55FB" w14:textId="389190B6" w:rsidR="001126C3" w:rsidRPr="005C29F8" w:rsidRDefault="002B7490"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71614464" w14:textId="4369755A"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3B8991BC" w14:textId="35D24A7C" w:rsidR="001126C3" w:rsidRPr="005C29F8" w:rsidRDefault="001126C3" w:rsidP="001126C3">
            <w:pPr>
              <w:rPr>
                <w:rFonts w:cs="Arial"/>
                <w:color w:val="000000" w:themeColor="text1"/>
                <w:szCs w:val="16"/>
              </w:rPr>
            </w:pPr>
            <w:r w:rsidRPr="005C29F8">
              <w:rPr>
                <w:rFonts w:cs="Arial"/>
                <w:color w:val="000000" w:themeColor="text1"/>
                <w:szCs w:val="16"/>
              </w:rPr>
              <w:t>2.1 Mediations held</w:t>
            </w:r>
          </w:p>
        </w:tc>
        <w:tc>
          <w:tcPr>
            <w:tcW w:w="826" w:type="pct"/>
            <w:shd w:val="clear" w:color="auto" w:fill="auto"/>
          </w:tcPr>
          <w:p w14:paraId="27A8B83C" w14:textId="708549A5"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438B012B" w14:textId="77777777" w:rsidTr="0064117D">
        <w:trPr>
          <w:trHeight w:val="380"/>
        </w:trPr>
        <w:tc>
          <w:tcPr>
            <w:tcW w:w="1249" w:type="pct"/>
            <w:shd w:val="clear" w:color="auto" w:fill="auto"/>
          </w:tcPr>
          <w:p w14:paraId="265B2AEC" w14:textId="3FC7D25D"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128A6113" w14:textId="6FDE1D5D"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61BAD85D" w14:textId="300FEE8B" w:rsidR="001126C3" w:rsidRPr="005C29F8" w:rsidRDefault="001126C3" w:rsidP="001126C3">
            <w:pPr>
              <w:rPr>
                <w:rFonts w:cs="Arial"/>
                <w:color w:val="000000" w:themeColor="text1"/>
                <w:szCs w:val="16"/>
              </w:rPr>
            </w:pPr>
            <w:r w:rsidRPr="005C29F8">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r w:rsidR="005C29F8" w:rsidRPr="005C29F8" w14:paraId="53310D0D" w14:textId="77777777" w:rsidTr="0064117D">
        <w:trPr>
          <w:trHeight w:val="380"/>
        </w:trPr>
        <w:tc>
          <w:tcPr>
            <w:tcW w:w="1249" w:type="pct"/>
            <w:shd w:val="clear" w:color="auto" w:fill="auto"/>
          </w:tcPr>
          <w:p w14:paraId="295563AC" w14:textId="371961FC" w:rsidR="001126C3" w:rsidRPr="005C29F8" w:rsidRDefault="008174C3" w:rsidP="001126C3">
            <w:pPr>
              <w:jc w:val="center"/>
              <w:rPr>
                <w:rFonts w:cs="Arial"/>
                <w:color w:val="000000" w:themeColor="text1"/>
                <w:szCs w:val="16"/>
              </w:rPr>
            </w:pPr>
            <w:r w:rsidRPr="005C29F8">
              <w:rPr>
                <w:rFonts w:cs="Arial"/>
                <w:color w:val="000000" w:themeColor="text1"/>
                <w:szCs w:val="16"/>
              </w:rPr>
              <w:t>SY 2019-20 EMAPS IDEA Part B Dispute Resolution Survey; Section B: Mediation Requests</w:t>
            </w:r>
          </w:p>
        </w:tc>
        <w:tc>
          <w:tcPr>
            <w:tcW w:w="1293" w:type="pct"/>
            <w:shd w:val="clear" w:color="auto" w:fill="auto"/>
          </w:tcPr>
          <w:p w14:paraId="4BDD8D48" w14:textId="63D0DB48" w:rsidR="001126C3" w:rsidRPr="005C29F8" w:rsidRDefault="008174C3" w:rsidP="001126C3">
            <w:pPr>
              <w:jc w:val="center"/>
              <w:rPr>
                <w:rFonts w:cs="Arial"/>
                <w:color w:val="000000" w:themeColor="text1"/>
                <w:szCs w:val="16"/>
              </w:rPr>
            </w:pPr>
            <w:r w:rsidRPr="005C29F8">
              <w:rPr>
                <w:rFonts w:cs="Arial"/>
                <w:color w:val="000000" w:themeColor="text1"/>
                <w:szCs w:val="16"/>
              </w:rPr>
              <w:t>11/04/2020</w:t>
            </w:r>
          </w:p>
        </w:tc>
        <w:tc>
          <w:tcPr>
            <w:tcW w:w="1632" w:type="pct"/>
            <w:shd w:val="clear" w:color="auto" w:fill="auto"/>
          </w:tcPr>
          <w:p w14:paraId="0D81EE28" w14:textId="0901AFA3" w:rsidR="001126C3" w:rsidRPr="005C29F8" w:rsidRDefault="001126C3" w:rsidP="001126C3">
            <w:pPr>
              <w:rPr>
                <w:rFonts w:cs="Arial"/>
                <w:color w:val="000000" w:themeColor="text1"/>
                <w:szCs w:val="16"/>
              </w:rPr>
            </w:pPr>
            <w:r w:rsidRPr="005C29F8">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5C29F8" w:rsidRDefault="002B7490" w:rsidP="00A018D4">
            <w:pPr>
              <w:jc w:val="center"/>
              <w:rPr>
                <w:rFonts w:cs="Arial"/>
                <w:color w:val="000000" w:themeColor="text1"/>
                <w:szCs w:val="16"/>
              </w:rPr>
            </w:pPr>
            <w:r w:rsidRPr="005C29F8">
              <w:rPr>
                <w:rFonts w:cs="Arial"/>
                <w:color w:val="000000" w:themeColor="text1"/>
                <w:szCs w:val="16"/>
              </w:rPr>
              <w:t>0</w:t>
            </w:r>
          </w:p>
        </w:tc>
      </w:tr>
    </w:tbl>
    <w:p w14:paraId="2C4CE14C" w14:textId="5AC27D72" w:rsidR="00E8514E" w:rsidRPr="005C29F8" w:rsidRDefault="007D219D">
      <w:pPr>
        <w:rPr>
          <w:b/>
          <w:color w:val="000000" w:themeColor="text1"/>
        </w:rPr>
      </w:pPr>
      <w:r w:rsidRPr="005C29F8">
        <w:rPr>
          <w:b/>
          <w:color w:val="000000" w:themeColor="text1"/>
        </w:rPr>
        <w:t>Select yes if the data reported in this indicator are not the same as the State’s data reported under section 618 of the IDEA.</w:t>
      </w:r>
    </w:p>
    <w:p w14:paraId="69D1C140" w14:textId="4BF355D3" w:rsidR="00E8514E" w:rsidRDefault="00E8514E">
      <w:pPr>
        <w:rPr>
          <w:color w:val="000000" w:themeColor="text1"/>
        </w:rPr>
      </w:pPr>
      <w:r w:rsidRPr="005C29F8">
        <w:rPr>
          <w:color w:val="000000" w:themeColor="text1"/>
        </w:rPr>
        <w:t>NO</w:t>
      </w:r>
    </w:p>
    <w:p w14:paraId="1451EE58" w14:textId="77777777" w:rsidR="00945274" w:rsidRPr="005C29F8" w:rsidRDefault="00945274" w:rsidP="004369B2">
      <w:pPr>
        <w:rPr>
          <w:color w:val="000000" w:themeColor="text1"/>
        </w:rPr>
      </w:pPr>
    </w:p>
    <w:p w14:paraId="58C79350" w14:textId="310C06FF" w:rsidR="000A2C83" w:rsidRDefault="000A2C83" w:rsidP="004369B2">
      <w:pPr>
        <w:rPr>
          <w:b/>
          <w:color w:val="000000" w:themeColor="text1"/>
        </w:rPr>
      </w:pPr>
      <w:r w:rsidRPr="005C29F8">
        <w:rPr>
          <w:b/>
          <w:color w:val="000000" w:themeColor="text1"/>
        </w:rPr>
        <w:t xml:space="preserve">Targets: Description of Stakeholder Input </w:t>
      </w:r>
    </w:p>
    <w:p w14:paraId="5F0F979C" w14:textId="2A86F023" w:rsidR="000A2C83" w:rsidRPr="005C29F8" w:rsidRDefault="002B7490" w:rsidP="000A2C83">
      <w:pPr>
        <w:rPr>
          <w:rFonts w:cs="Arial"/>
          <w:color w:val="000000" w:themeColor="text1"/>
          <w:szCs w:val="16"/>
        </w:rPr>
      </w:pPr>
      <w:r w:rsidRPr="005C29F8">
        <w:rPr>
          <w:rFonts w:cs="Arial"/>
          <w:color w:val="000000" w:themeColor="text1"/>
          <w:szCs w:val="16"/>
        </w:rPr>
        <w:t>The CNMI reported that there were no mediations held in FFY 2019. Per OSEP's instruction, the CNMI is not required to provide targets until any fiscal year in which ten or more mediations were held.</w:t>
      </w:r>
    </w:p>
    <w:p w14:paraId="2C7ACE11" w14:textId="77777777" w:rsidR="00E8514E" w:rsidRPr="005C29F8" w:rsidRDefault="00E8514E" w:rsidP="000A2C83">
      <w:pPr>
        <w:rPr>
          <w:rFonts w:cs="Arial"/>
          <w:color w:val="000000" w:themeColor="text1"/>
          <w:szCs w:val="16"/>
        </w:rPr>
      </w:pPr>
    </w:p>
    <w:p w14:paraId="48B9C9FE" w14:textId="3C4BDA67" w:rsidR="008E31C4" w:rsidRDefault="008E31C4" w:rsidP="004369B2">
      <w:pPr>
        <w:rPr>
          <w:b/>
          <w:color w:val="000000" w:themeColor="text1"/>
        </w:rPr>
      </w:pPr>
      <w:r w:rsidRPr="005C29F8">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14:paraId="57AEABC0" w14:textId="77777777" w:rsidTr="00123D76">
        <w:trPr>
          <w:trHeight w:val="311"/>
          <w:tblHeader/>
        </w:trPr>
        <w:tc>
          <w:tcPr>
            <w:tcW w:w="1797" w:type="dxa"/>
          </w:tcPr>
          <w:p w14:paraId="38CE882B" w14:textId="77777777" w:rsidR="00D75351" w:rsidRDefault="00D75351" w:rsidP="00123D76">
            <w:pPr>
              <w:jc w:val="center"/>
              <w:rPr>
                <w:b/>
                <w:color w:val="000000" w:themeColor="text1"/>
              </w:rPr>
            </w:pPr>
            <w:r w:rsidRPr="005C29F8">
              <w:rPr>
                <w:rFonts w:cs="Arial"/>
                <w:b/>
                <w:color w:val="000000" w:themeColor="text1"/>
                <w:szCs w:val="16"/>
              </w:rPr>
              <w:t>Baseline Year</w:t>
            </w:r>
          </w:p>
        </w:tc>
        <w:tc>
          <w:tcPr>
            <w:tcW w:w="1798" w:type="dxa"/>
          </w:tcPr>
          <w:p w14:paraId="664A9E7A" w14:textId="77777777" w:rsidR="00D75351" w:rsidRDefault="00D75351" w:rsidP="00123D76">
            <w:pPr>
              <w:jc w:val="center"/>
              <w:rPr>
                <w:b/>
                <w:color w:val="000000" w:themeColor="text1"/>
              </w:rPr>
            </w:pPr>
            <w:r>
              <w:rPr>
                <w:b/>
                <w:color w:val="000000" w:themeColor="text1"/>
              </w:rPr>
              <w:t>Baseline Data</w:t>
            </w:r>
          </w:p>
        </w:tc>
      </w:tr>
      <w:tr w:rsidR="00D75351" w14:paraId="2B59BCB7" w14:textId="77777777" w:rsidTr="00123D76">
        <w:trPr>
          <w:trHeight w:val="311"/>
        </w:trPr>
        <w:tc>
          <w:tcPr>
            <w:tcW w:w="1797" w:type="dxa"/>
            <w:vAlign w:val="center"/>
          </w:tcPr>
          <w:p w14:paraId="62FFC123" w14:textId="008A4386" w:rsidR="00D75351" w:rsidRPr="00227D4B" w:rsidRDefault="00D75351" w:rsidP="00123D76">
            <w:pPr>
              <w:jc w:val="center"/>
              <w:rPr>
                <w:bCs/>
                <w:color w:val="000000" w:themeColor="text1"/>
              </w:rPr>
            </w:pPr>
            <w:r w:rsidRPr="00227D4B">
              <w:rPr>
                <w:bCs/>
                <w:color w:val="000000" w:themeColor="text1"/>
              </w:rPr>
              <w:t>2005</w:t>
            </w:r>
          </w:p>
        </w:tc>
        <w:tc>
          <w:tcPr>
            <w:tcW w:w="1798" w:type="dxa"/>
            <w:vAlign w:val="center"/>
          </w:tcPr>
          <w:p w14:paraId="08A13422" w14:textId="52DBDA3E" w:rsidR="00D75351" w:rsidRPr="00227D4B" w:rsidRDefault="00D75351" w:rsidP="00123D76">
            <w:pPr>
              <w:jc w:val="center"/>
              <w:rPr>
                <w:bCs/>
                <w:color w:val="000000" w:themeColor="text1"/>
              </w:rPr>
            </w:pPr>
          </w:p>
        </w:tc>
      </w:tr>
    </w:tbl>
    <w:p w14:paraId="450682C0" w14:textId="77777777" w:rsidR="00D75351" w:rsidRPr="005C29F8"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5C29F8" w14:paraId="3061AAFC" w14:textId="77777777" w:rsidTr="0033429D">
        <w:trPr>
          <w:trHeight w:val="350"/>
        </w:trPr>
        <w:tc>
          <w:tcPr>
            <w:tcW w:w="748" w:type="pct"/>
            <w:tcBorders>
              <w:bottom w:val="single" w:sz="4" w:space="0" w:color="auto"/>
            </w:tcBorders>
            <w:shd w:val="clear" w:color="auto" w:fill="auto"/>
          </w:tcPr>
          <w:p w14:paraId="6D321354" w14:textId="77777777" w:rsidR="008E31C4" w:rsidRPr="005C29F8" w:rsidRDefault="008E31C4" w:rsidP="004369B2">
            <w:pPr>
              <w:jc w:val="center"/>
              <w:rPr>
                <w:rFonts w:cs="Arial"/>
                <w:b/>
                <w:color w:val="000000" w:themeColor="text1"/>
                <w:szCs w:val="16"/>
              </w:rPr>
            </w:pPr>
            <w:r w:rsidRPr="005C29F8">
              <w:rPr>
                <w:rFonts w:cs="Arial"/>
                <w:b/>
                <w:color w:val="000000" w:themeColor="text1"/>
                <w:szCs w:val="16"/>
              </w:rPr>
              <w:t>FFY</w:t>
            </w:r>
          </w:p>
        </w:tc>
        <w:tc>
          <w:tcPr>
            <w:tcW w:w="833" w:type="pct"/>
            <w:shd w:val="clear" w:color="auto" w:fill="auto"/>
          </w:tcPr>
          <w:p w14:paraId="351C61C5" w14:textId="1A27A18C" w:rsidR="008E31C4" w:rsidRPr="005C29F8" w:rsidRDefault="002B7490" w:rsidP="008E31C4">
            <w:pPr>
              <w:jc w:val="center"/>
              <w:rPr>
                <w:rFonts w:cs="Arial"/>
                <w:b/>
                <w:color w:val="000000" w:themeColor="text1"/>
                <w:szCs w:val="16"/>
              </w:rPr>
            </w:pPr>
            <w:r w:rsidRPr="005C29F8">
              <w:rPr>
                <w:rFonts w:cs="Arial"/>
                <w:b/>
                <w:color w:val="000000" w:themeColor="text1"/>
                <w:szCs w:val="16"/>
              </w:rPr>
              <w:t>2014</w:t>
            </w:r>
          </w:p>
        </w:tc>
        <w:tc>
          <w:tcPr>
            <w:tcW w:w="918" w:type="pct"/>
            <w:shd w:val="clear" w:color="auto" w:fill="auto"/>
          </w:tcPr>
          <w:p w14:paraId="1CDF9DE8" w14:textId="0FE9038E" w:rsidR="008E31C4" w:rsidRPr="005C29F8" w:rsidRDefault="002B7490" w:rsidP="008E31C4">
            <w:pPr>
              <w:jc w:val="center"/>
              <w:rPr>
                <w:rFonts w:cs="Arial"/>
                <w:b/>
                <w:color w:val="000000" w:themeColor="text1"/>
                <w:szCs w:val="16"/>
              </w:rPr>
            </w:pPr>
            <w:r w:rsidRPr="005C29F8">
              <w:rPr>
                <w:rFonts w:cs="Arial"/>
                <w:b/>
                <w:color w:val="000000" w:themeColor="text1"/>
                <w:szCs w:val="16"/>
              </w:rPr>
              <w:t>2015</w:t>
            </w:r>
          </w:p>
        </w:tc>
        <w:tc>
          <w:tcPr>
            <w:tcW w:w="833" w:type="pct"/>
            <w:shd w:val="clear" w:color="auto" w:fill="auto"/>
          </w:tcPr>
          <w:p w14:paraId="49B990DE" w14:textId="2B6E5021" w:rsidR="008E31C4" w:rsidRPr="005C29F8" w:rsidRDefault="002B7490" w:rsidP="008E31C4">
            <w:pPr>
              <w:jc w:val="center"/>
              <w:rPr>
                <w:rFonts w:cs="Arial"/>
                <w:b/>
                <w:color w:val="000000" w:themeColor="text1"/>
                <w:szCs w:val="16"/>
              </w:rPr>
            </w:pPr>
            <w:r w:rsidRPr="005C29F8">
              <w:rPr>
                <w:rFonts w:cs="Arial"/>
                <w:b/>
                <w:color w:val="000000" w:themeColor="text1"/>
                <w:szCs w:val="16"/>
              </w:rPr>
              <w:t>2016</w:t>
            </w:r>
          </w:p>
        </w:tc>
        <w:tc>
          <w:tcPr>
            <w:tcW w:w="792" w:type="pct"/>
            <w:shd w:val="clear" w:color="auto" w:fill="auto"/>
          </w:tcPr>
          <w:p w14:paraId="6EF76857" w14:textId="0F124C26" w:rsidR="008E31C4" w:rsidRPr="005C29F8" w:rsidRDefault="002B7490" w:rsidP="008E31C4">
            <w:pPr>
              <w:jc w:val="center"/>
              <w:rPr>
                <w:rFonts w:cs="Arial"/>
                <w:b/>
                <w:color w:val="000000" w:themeColor="text1"/>
                <w:szCs w:val="16"/>
              </w:rPr>
            </w:pPr>
            <w:r w:rsidRPr="005C29F8">
              <w:rPr>
                <w:rFonts w:cs="Arial"/>
                <w:b/>
                <w:color w:val="000000" w:themeColor="text1"/>
                <w:szCs w:val="16"/>
              </w:rPr>
              <w:t>2017</w:t>
            </w:r>
          </w:p>
        </w:tc>
        <w:tc>
          <w:tcPr>
            <w:tcW w:w="875" w:type="pct"/>
            <w:shd w:val="clear" w:color="auto" w:fill="auto"/>
          </w:tcPr>
          <w:p w14:paraId="246ACDB0" w14:textId="7F251A7E" w:rsidR="008E31C4" w:rsidRPr="005C29F8" w:rsidRDefault="002B7490" w:rsidP="008E31C4">
            <w:pPr>
              <w:jc w:val="center"/>
              <w:rPr>
                <w:rFonts w:cs="Arial"/>
                <w:b/>
                <w:color w:val="000000" w:themeColor="text1"/>
                <w:szCs w:val="16"/>
              </w:rPr>
            </w:pPr>
            <w:r w:rsidRPr="005C29F8">
              <w:rPr>
                <w:rFonts w:cs="Arial"/>
                <w:b/>
                <w:color w:val="000000" w:themeColor="text1"/>
                <w:szCs w:val="16"/>
              </w:rPr>
              <w:t>2018</w:t>
            </w:r>
          </w:p>
        </w:tc>
      </w:tr>
      <w:tr w:rsidR="005C29F8" w:rsidRPr="005C29F8" w14:paraId="2A876A9F" w14:textId="77777777" w:rsidTr="0064117D">
        <w:trPr>
          <w:trHeight w:val="357"/>
        </w:trPr>
        <w:tc>
          <w:tcPr>
            <w:tcW w:w="748" w:type="pct"/>
            <w:shd w:val="clear" w:color="auto" w:fill="auto"/>
          </w:tcPr>
          <w:p w14:paraId="2DE95B6B" w14:textId="04DB6250" w:rsidR="008E31C4" w:rsidRPr="005C29F8" w:rsidRDefault="008E31C4" w:rsidP="008E31C4">
            <w:pPr>
              <w:rPr>
                <w:rFonts w:cs="Arial"/>
                <w:color w:val="000000" w:themeColor="text1"/>
                <w:szCs w:val="16"/>
              </w:rPr>
            </w:pPr>
            <w:r w:rsidRPr="005C29F8">
              <w:rPr>
                <w:rFonts w:cs="Arial"/>
                <w:color w:val="000000" w:themeColor="text1"/>
                <w:szCs w:val="16"/>
              </w:rPr>
              <w:t>Target &gt;=</w:t>
            </w:r>
          </w:p>
        </w:tc>
        <w:tc>
          <w:tcPr>
            <w:tcW w:w="833" w:type="pct"/>
            <w:shd w:val="clear" w:color="auto" w:fill="auto"/>
          </w:tcPr>
          <w:p w14:paraId="6C64D17D" w14:textId="6F575CE5" w:rsidR="008E31C4" w:rsidRPr="005C29F8" w:rsidRDefault="008E31C4">
            <w:pPr>
              <w:jc w:val="center"/>
              <w:rPr>
                <w:rFonts w:cs="Arial"/>
                <w:color w:val="000000" w:themeColor="text1"/>
                <w:szCs w:val="16"/>
              </w:rPr>
            </w:pPr>
          </w:p>
        </w:tc>
        <w:tc>
          <w:tcPr>
            <w:tcW w:w="918" w:type="pct"/>
            <w:shd w:val="clear" w:color="auto" w:fill="auto"/>
          </w:tcPr>
          <w:p w14:paraId="72C59C65" w14:textId="44E721D8" w:rsidR="008E31C4" w:rsidRPr="005C29F8"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5C29F8"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5C29F8"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5C29F8" w:rsidRDefault="008E31C4">
            <w:pPr>
              <w:jc w:val="center"/>
              <w:rPr>
                <w:rFonts w:cs="Arial"/>
                <w:color w:val="000000" w:themeColor="text1"/>
                <w:szCs w:val="16"/>
              </w:rPr>
            </w:pPr>
          </w:p>
        </w:tc>
      </w:tr>
      <w:tr w:rsidR="005C29F8" w:rsidRPr="005C29F8" w14:paraId="34F84ECE" w14:textId="77777777" w:rsidTr="0064117D">
        <w:trPr>
          <w:trHeight w:val="85"/>
        </w:trPr>
        <w:tc>
          <w:tcPr>
            <w:tcW w:w="748" w:type="pct"/>
            <w:shd w:val="clear" w:color="auto" w:fill="auto"/>
          </w:tcPr>
          <w:p w14:paraId="281210CF" w14:textId="77777777" w:rsidR="008E31C4" w:rsidRPr="005C29F8" w:rsidRDefault="008E31C4" w:rsidP="008E31C4">
            <w:pPr>
              <w:rPr>
                <w:rFonts w:cs="Arial"/>
                <w:color w:val="000000" w:themeColor="text1"/>
                <w:szCs w:val="16"/>
              </w:rPr>
            </w:pPr>
            <w:r w:rsidRPr="005C29F8">
              <w:rPr>
                <w:rFonts w:cs="Arial"/>
                <w:color w:val="000000" w:themeColor="text1"/>
                <w:szCs w:val="16"/>
              </w:rPr>
              <w:t>Data</w:t>
            </w:r>
          </w:p>
        </w:tc>
        <w:tc>
          <w:tcPr>
            <w:tcW w:w="833" w:type="pct"/>
            <w:shd w:val="clear" w:color="auto" w:fill="auto"/>
          </w:tcPr>
          <w:p w14:paraId="581B8DC5" w14:textId="4F71DCFC" w:rsidR="008E31C4" w:rsidRPr="005C29F8" w:rsidRDefault="008E31C4">
            <w:pPr>
              <w:jc w:val="center"/>
              <w:rPr>
                <w:rFonts w:cs="Arial"/>
                <w:color w:val="000000" w:themeColor="text1"/>
                <w:szCs w:val="16"/>
              </w:rPr>
            </w:pPr>
          </w:p>
        </w:tc>
        <w:tc>
          <w:tcPr>
            <w:tcW w:w="918" w:type="pct"/>
            <w:shd w:val="clear" w:color="auto" w:fill="auto"/>
          </w:tcPr>
          <w:p w14:paraId="341A9DBA" w14:textId="51769052" w:rsidR="008E31C4" w:rsidRPr="005C29F8" w:rsidRDefault="008E31C4">
            <w:pPr>
              <w:jc w:val="center"/>
              <w:rPr>
                <w:rFonts w:cs="Arial"/>
                <w:color w:val="000000" w:themeColor="text1"/>
                <w:szCs w:val="16"/>
              </w:rPr>
            </w:pPr>
          </w:p>
        </w:tc>
        <w:tc>
          <w:tcPr>
            <w:tcW w:w="833" w:type="pct"/>
            <w:tcBorders>
              <w:bottom w:val="single" w:sz="4" w:space="0" w:color="auto"/>
            </w:tcBorders>
            <w:shd w:val="clear" w:color="auto" w:fill="auto"/>
            <w:vAlign w:val="center"/>
          </w:tcPr>
          <w:p w14:paraId="7C21B645" w14:textId="348DEE4D" w:rsidR="008E31C4" w:rsidRPr="005C29F8" w:rsidRDefault="008E31C4">
            <w:pPr>
              <w:jc w:val="center"/>
              <w:rPr>
                <w:rFonts w:cs="Arial"/>
                <w:color w:val="000000" w:themeColor="text1"/>
                <w:szCs w:val="16"/>
              </w:rPr>
            </w:pPr>
          </w:p>
        </w:tc>
        <w:tc>
          <w:tcPr>
            <w:tcW w:w="792" w:type="pct"/>
            <w:tcBorders>
              <w:bottom w:val="single" w:sz="4" w:space="0" w:color="auto"/>
            </w:tcBorders>
            <w:shd w:val="clear" w:color="auto" w:fill="auto"/>
            <w:vAlign w:val="center"/>
          </w:tcPr>
          <w:p w14:paraId="345A5CC5" w14:textId="67CE713B" w:rsidR="008E31C4" w:rsidRPr="005C29F8" w:rsidRDefault="008E31C4">
            <w:pPr>
              <w:jc w:val="center"/>
              <w:rPr>
                <w:rFonts w:cs="Arial"/>
                <w:color w:val="000000" w:themeColor="text1"/>
                <w:szCs w:val="16"/>
              </w:rPr>
            </w:pPr>
          </w:p>
        </w:tc>
        <w:tc>
          <w:tcPr>
            <w:tcW w:w="875" w:type="pct"/>
            <w:tcBorders>
              <w:bottom w:val="single" w:sz="4" w:space="0" w:color="auto"/>
            </w:tcBorders>
            <w:shd w:val="clear" w:color="auto" w:fill="auto"/>
            <w:vAlign w:val="center"/>
          </w:tcPr>
          <w:p w14:paraId="09A5B408" w14:textId="4B0EB3D1" w:rsidR="008E31C4" w:rsidRPr="005C29F8" w:rsidRDefault="008E31C4">
            <w:pPr>
              <w:jc w:val="center"/>
              <w:rPr>
                <w:rFonts w:cs="Arial"/>
                <w:color w:val="000000" w:themeColor="text1"/>
                <w:szCs w:val="16"/>
              </w:rPr>
            </w:pPr>
          </w:p>
        </w:tc>
      </w:tr>
    </w:tbl>
    <w:p w14:paraId="2B5B5701" w14:textId="2BB5836C" w:rsidR="00DA3157" w:rsidRPr="005C29F8" w:rsidRDefault="00DA3157">
      <w:pPr>
        <w:rPr>
          <w:color w:val="000000" w:themeColor="text1"/>
        </w:rPr>
      </w:pPr>
    </w:p>
    <w:p w14:paraId="0F09B55F" w14:textId="55F1767C" w:rsidR="008E31C4" w:rsidRPr="005C29F8" w:rsidRDefault="008E31C4" w:rsidP="004369B2">
      <w:pPr>
        <w:rPr>
          <w:color w:val="000000" w:themeColor="text1"/>
        </w:rPr>
      </w:pPr>
      <w:r w:rsidRPr="005C29F8">
        <w:rPr>
          <w:b/>
          <w:color w:val="000000" w:themeColor="text1"/>
        </w:rPr>
        <w:t>Targets</w:t>
      </w:r>
    </w:p>
    <w:tbl>
      <w:tblPr>
        <w:tblW w:w="14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985"/>
        <w:gridCol w:w="2161"/>
      </w:tblGrid>
      <w:tr w:rsidR="00441578" w:rsidRPr="005C29F8" w14:paraId="7D6724D3" w14:textId="0716D5A8" w:rsidTr="0033429D">
        <w:trPr>
          <w:trHeight w:val="350"/>
        </w:trPr>
        <w:tc>
          <w:tcPr>
            <w:tcW w:w="1565" w:type="pct"/>
            <w:tcBorders>
              <w:bottom w:val="single" w:sz="4" w:space="0" w:color="auto"/>
            </w:tcBorders>
            <w:shd w:val="clear" w:color="auto" w:fill="auto"/>
          </w:tcPr>
          <w:p w14:paraId="027FBB7B" w14:textId="77777777" w:rsidR="00441578" w:rsidRPr="005C29F8" w:rsidRDefault="00441578" w:rsidP="004369B2">
            <w:pPr>
              <w:jc w:val="center"/>
              <w:rPr>
                <w:b/>
                <w:color w:val="000000" w:themeColor="text1"/>
              </w:rPr>
            </w:pPr>
            <w:r w:rsidRPr="005C29F8">
              <w:rPr>
                <w:b/>
                <w:color w:val="000000" w:themeColor="text1"/>
              </w:rPr>
              <w:t>FFY</w:t>
            </w:r>
          </w:p>
        </w:tc>
        <w:tc>
          <w:tcPr>
            <w:tcW w:w="3435" w:type="pct"/>
            <w:shd w:val="clear" w:color="auto" w:fill="auto"/>
          </w:tcPr>
          <w:p w14:paraId="79481979" w14:textId="1C95D22E" w:rsidR="00441578" w:rsidRPr="005C29F8" w:rsidRDefault="00441578" w:rsidP="004369B2">
            <w:pPr>
              <w:jc w:val="center"/>
              <w:rPr>
                <w:b/>
                <w:color w:val="000000" w:themeColor="text1"/>
              </w:rPr>
            </w:pPr>
            <w:r w:rsidRPr="005C29F8">
              <w:rPr>
                <w:b/>
                <w:color w:val="000000" w:themeColor="text1"/>
              </w:rPr>
              <w:t>2019</w:t>
            </w:r>
          </w:p>
        </w:tc>
      </w:tr>
      <w:tr w:rsidR="00441578" w:rsidRPr="005C29F8" w14:paraId="3CA53C0F" w14:textId="6BC46741" w:rsidTr="00441578">
        <w:trPr>
          <w:trHeight w:val="357"/>
        </w:trPr>
        <w:tc>
          <w:tcPr>
            <w:tcW w:w="1565" w:type="pct"/>
            <w:shd w:val="clear" w:color="auto" w:fill="auto"/>
          </w:tcPr>
          <w:p w14:paraId="78FC9CAC" w14:textId="6980A1CA" w:rsidR="00441578" w:rsidRPr="005C29F8" w:rsidRDefault="00441578" w:rsidP="004369B2">
            <w:pPr>
              <w:jc w:val="center"/>
              <w:rPr>
                <w:rFonts w:cs="Arial"/>
                <w:color w:val="000000" w:themeColor="text1"/>
                <w:szCs w:val="16"/>
              </w:rPr>
            </w:pPr>
            <w:r w:rsidRPr="005C29F8">
              <w:rPr>
                <w:rFonts w:cs="Arial"/>
                <w:color w:val="000000" w:themeColor="text1"/>
                <w:szCs w:val="16"/>
              </w:rPr>
              <w:t>Target &gt;=</w:t>
            </w:r>
          </w:p>
        </w:tc>
        <w:tc>
          <w:tcPr>
            <w:tcW w:w="3435" w:type="pct"/>
            <w:shd w:val="clear" w:color="auto" w:fill="auto"/>
            <w:vAlign w:val="center"/>
          </w:tcPr>
          <w:p w14:paraId="0E137397" w14:textId="06CBC1FD" w:rsidR="00441578" w:rsidRPr="005C29F8" w:rsidRDefault="00441578" w:rsidP="004369B2">
            <w:pPr>
              <w:jc w:val="center"/>
              <w:rPr>
                <w:rFonts w:cs="Arial"/>
                <w:color w:val="000000" w:themeColor="text1"/>
                <w:szCs w:val="16"/>
              </w:rPr>
            </w:pPr>
          </w:p>
        </w:tc>
      </w:tr>
    </w:tbl>
    <w:p w14:paraId="3BC65958" w14:textId="77777777" w:rsidR="00DA3157" w:rsidRPr="005C29F8" w:rsidRDefault="00DA3157" w:rsidP="004369B2">
      <w:pPr>
        <w:rPr>
          <w:color w:val="000000" w:themeColor="text1"/>
        </w:rPr>
      </w:pPr>
    </w:p>
    <w:p w14:paraId="29FDEA16" w14:textId="7B682F06" w:rsidR="008E31C4" w:rsidRPr="005C29F8" w:rsidRDefault="008E31C4">
      <w:pPr>
        <w:rPr>
          <w:b/>
          <w:color w:val="000000" w:themeColor="text1"/>
        </w:rPr>
      </w:pPr>
      <w:r w:rsidRPr="005C29F8">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5C29F8" w14:paraId="30B18EC1" w14:textId="77777777" w:rsidTr="0033429D">
        <w:trPr>
          <w:trHeight w:val="354"/>
          <w:tblHeader/>
        </w:trPr>
        <w:tc>
          <w:tcPr>
            <w:tcW w:w="666" w:type="pct"/>
            <w:shd w:val="clear" w:color="auto" w:fill="auto"/>
          </w:tcPr>
          <w:p w14:paraId="2285C16D" w14:textId="593BA89E" w:rsidR="00ED71A6" w:rsidRPr="005C29F8" w:rsidRDefault="00ED71A6" w:rsidP="00ED71A6">
            <w:pPr>
              <w:jc w:val="center"/>
              <w:rPr>
                <w:rFonts w:cs="Arial"/>
                <w:b/>
                <w:color w:val="000000" w:themeColor="text1"/>
                <w:szCs w:val="16"/>
              </w:rPr>
            </w:pPr>
            <w:r w:rsidRPr="005C29F8">
              <w:rPr>
                <w:rFonts w:cs="Arial"/>
                <w:b/>
                <w:color w:val="000000" w:themeColor="text1"/>
                <w:szCs w:val="16"/>
              </w:rPr>
              <w:lastRenderedPageBreak/>
              <w:t>2.1.a.i Mediation agreements related to due process complaints</w:t>
            </w:r>
          </w:p>
        </w:tc>
        <w:tc>
          <w:tcPr>
            <w:tcW w:w="666" w:type="pct"/>
            <w:shd w:val="clear" w:color="auto" w:fill="auto"/>
            <w:vAlign w:val="bottom"/>
          </w:tcPr>
          <w:p w14:paraId="0D0A1148" w14:textId="5AB9157D" w:rsidR="00ED71A6" w:rsidRPr="005C29F8" w:rsidRDefault="00ED71A6" w:rsidP="00ED71A6">
            <w:pPr>
              <w:jc w:val="center"/>
              <w:rPr>
                <w:rFonts w:cs="Arial"/>
                <w:b/>
                <w:color w:val="000000" w:themeColor="text1"/>
                <w:szCs w:val="16"/>
              </w:rPr>
            </w:pPr>
            <w:r w:rsidRPr="005C29F8">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5C29F8" w:rsidRDefault="00ED71A6" w:rsidP="00ED71A6">
            <w:pPr>
              <w:jc w:val="center"/>
              <w:rPr>
                <w:rFonts w:cs="Arial"/>
                <w:b/>
                <w:color w:val="000000" w:themeColor="text1"/>
                <w:szCs w:val="16"/>
              </w:rPr>
            </w:pPr>
            <w:r w:rsidRPr="005C29F8">
              <w:rPr>
                <w:rFonts w:cs="Arial"/>
                <w:b/>
                <w:color w:val="000000" w:themeColor="text1"/>
                <w:szCs w:val="16"/>
              </w:rPr>
              <w:t>2.1 Number of mediations held</w:t>
            </w:r>
          </w:p>
        </w:tc>
        <w:tc>
          <w:tcPr>
            <w:tcW w:w="513" w:type="pct"/>
            <w:shd w:val="clear" w:color="auto" w:fill="auto"/>
            <w:vAlign w:val="bottom"/>
          </w:tcPr>
          <w:p w14:paraId="4A569306" w14:textId="66E0E766" w:rsidR="00ED71A6" w:rsidRPr="005C29F8" w:rsidRDefault="001111BE" w:rsidP="00ED71A6">
            <w:pPr>
              <w:jc w:val="center"/>
              <w:rPr>
                <w:rFonts w:cs="Arial"/>
                <w:b/>
                <w:color w:val="000000" w:themeColor="text1"/>
                <w:szCs w:val="16"/>
              </w:rPr>
            </w:pPr>
            <w:r w:rsidRPr="005C29F8">
              <w:rPr>
                <w:rFonts w:cs="Arial"/>
                <w:b/>
                <w:color w:val="000000" w:themeColor="text1"/>
                <w:szCs w:val="16"/>
              </w:rPr>
              <w:t>FFY 2018 Data</w:t>
            </w:r>
          </w:p>
        </w:tc>
        <w:tc>
          <w:tcPr>
            <w:tcW w:w="760" w:type="pct"/>
            <w:shd w:val="clear" w:color="auto" w:fill="auto"/>
            <w:vAlign w:val="bottom"/>
          </w:tcPr>
          <w:p w14:paraId="76531DBA" w14:textId="5D1A20ED"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Target</w:t>
            </w:r>
          </w:p>
        </w:tc>
        <w:tc>
          <w:tcPr>
            <w:tcW w:w="598" w:type="pct"/>
            <w:shd w:val="clear" w:color="auto" w:fill="auto"/>
            <w:vAlign w:val="bottom"/>
          </w:tcPr>
          <w:p w14:paraId="6DA84C86" w14:textId="4E6DFB04" w:rsidR="00ED71A6" w:rsidRPr="005C29F8" w:rsidRDefault="00ED71A6" w:rsidP="00ED71A6">
            <w:pPr>
              <w:jc w:val="center"/>
              <w:rPr>
                <w:rFonts w:cs="Arial"/>
                <w:b/>
                <w:color w:val="000000" w:themeColor="text1"/>
                <w:szCs w:val="16"/>
              </w:rPr>
            </w:pPr>
            <w:r w:rsidRPr="005C29F8">
              <w:rPr>
                <w:rFonts w:cs="Arial"/>
                <w:b/>
                <w:color w:val="000000" w:themeColor="text1"/>
                <w:szCs w:val="16"/>
              </w:rPr>
              <w:t>FFY 2019 Data</w:t>
            </w:r>
          </w:p>
        </w:tc>
        <w:tc>
          <w:tcPr>
            <w:tcW w:w="582" w:type="pct"/>
            <w:shd w:val="clear" w:color="auto" w:fill="auto"/>
            <w:vAlign w:val="bottom"/>
          </w:tcPr>
          <w:p w14:paraId="6C8C9681"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Status</w:t>
            </w:r>
          </w:p>
        </w:tc>
        <w:tc>
          <w:tcPr>
            <w:tcW w:w="564" w:type="pct"/>
            <w:shd w:val="clear" w:color="auto" w:fill="auto"/>
            <w:vAlign w:val="bottom"/>
          </w:tcPr>
          <w:p w14:paraId="6876CD5E" w14:textId="77777777" w:rsidR="00ED71A6" w:rsidRPr="005C29F8" w:rsidRDefault="00ED71A6" w:rsidP="00ED71A6">
            <w:pPr>
              <w:jc w:val="center"/>
              <w:rPr>
                <w:rFonts w:cs="Arial"/>
                <w:b/>
                <w:color w:val="000000" w:themeColor="text1"/>
                <w:szCs w:val="16"/>
              </w:rPr>
            </w:pPr>
            <w:r w:rsidRPr="005C29F8">
              <w:rPr>
                <w:rFonts w:cs="Arial"/>
                <w:b/>
                <w:color w:val="000000" w:themeColor="text1"/>
                <w:szCs w:val="16"/>
              </w:rPr>
              <w:t>Slippage</w:t>
            </w:r>
          </w:p>
        </w:tc>
      </w:tr>
      <w:tr w:rsidR="005C29F8" w:rsidRPr="005C29F8" w14:paraId="580CADA4" w14:textId="77777777" w:rsidTr="00326814">
        <w:trPr>
          <w:trHeight w:val="361"/>
        </w:trPr>
        <w:tc>
          <w:tcPr>
            <w:tcW w:w="666" w:type="pct"/>
            <w:shd w:val="clear" w:color="auto" w:fill="auto"/>
          </w:tcPr>
          <w:p w14:paraId="229DBD16" w14:textId="3985AF14"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66" w:type="pct"/>
            <w:shd w:val="clear" w:color="auto" w:fill="auto"/>
          </w:tcPr>
          <w:p w14:paraId="26BE4267" w14:textId="64153881"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651" w:type="pct"/>
            <w:shd w:val="clear" w:color="auto" w:fill="auto"/>
            <w:vAlign w:val="center"/>
          </w:tcPr>
          <w:p w14:paraId="6C063D69" w14:textId="6595E94B" w:rsidR="00ED71A6" w:rsidRPr="005C29F8" w:rsidRDefault="002B7490" w:rsidP="004369B2">
            <w:pPr>
              <w:jc w:val="center"/>
              <w:rPr>
                <w:rFonts w:cs="Arial"/>
                <w:color w:val="000000" w:themeColor="text1"/>
                <w:szCs w:val="16"/>
              </w:rPr>
            </w:pPr>
            <w:r w:rsidRPr="005C29F8">
              <w:rPr>
                <w:rFonts w:cs="Arial"/>
                <w:color w:val="000000" w:themeColor="text1"/>
                <w:szCs w:val="16"/>
              </w:rPr>
              <w:t>0</w:t>
            </w:r>
          </w:p>
        </w:tc>
        <w:tc>
          <w:tcPr>
            <w:tcW w:w="513" w:type="pct"/>
            <w:shd w:val="clear" w:color="auto" w:fill="auto"/>
          </w:tcPr>
          <w:p w14:paraId="466ED6BC" w14:textId="5349E9C8" w:rsidR="00ED71A6" w:rsidRPr="005C29F8"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5C29F8" w:rsidRDefault="00ED71A6" w:rsidP="004369B2">
            <w:pPr>
              <w:jc w:val="center"/>
              <w:rPr>
                <w:rFonts w:cs="Arial"/>
                <w:color w:val="000000" w:themeColor="text1"/>
                <w:szCs w:val="16"/>
              </w:rPr>
            </w:pPr>
          </w:p>
        </w:tc>
        <w:tc>
          <w:tcPr>
            <w:tcW w:w="598" w:type="pct"/>
            <w:shd w:val="clear" w:color="auto" w:fill="auto"/>
          </w:tcPr>
          <w:p w14:paraId="5CFDAC12" w14:textId="030BF46B" w:rsidR="00ED71A6" w:rsidRPr="005C29F8" w:rsidRDefault="00ED71A6" w:rsidP="004369B2">
            <w:pPr>
              <w:jc w:val="center"/>
              <w:rPr>
                <w:rFonts w:cs="Arial"/>
                <w:color w:val="000000" w:themeColor="text1"/>
                <w:szCs w:val="16"/>
              </w:rPr>
            </w:pPr>
          </w:p>
        </w:tc>
        <w:tc>
          <w:tcPr>
            <w:tcW w:w="582" w:type="pct"/>
            <w:shd w:val="clear" w:color="auto" w:fill="auto"/>
          </w:tcPr>
          <w:p w14:paraId="0ABF26CD" w14:textId="7C384528"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c>
          <w:tcPr>
            <w:tcW w:w="564" w:type="pct"/>
            <w:shd w:val="clear" w:color="auto" w:fill="auto"/>
          </w:tcPr>
          <w:p w14:paraId="62404E67" w14:textId="522FE20B" w:rsidR="00ED71A6" w:rsidRPr="005C29F8" w:rsidRDefault="002B7490" w:rsidP="004369B2">
            <w:pPr>
              <w:jc w:val="center"/>
              <w:rPr>
                <w:rFonts w:cs="Arial"/>
                <w:color w:val="000000" w:themeColor="text1"/>
                <w:szCs w:val="16"/>
              </w:rPr>
            </w:pPr>
            <w:r w:rsidRPr="005C29F8">
              <w:rPr>
                <w:rFonts w:cs="Arial"/>
                <w:color w:val="000000" w:themeColor="text1"/>
                <w:szCs w:val="16"/>
              </w:rPr>
              <w:t>N/A</w:t>
            </w:r>
          </w:p>
        </w:tc>
      </w:tr>
    </w:tbl>
    <w:p w14:paraId="03422290" w14:textId="77777777" w:rsidR="00BB79DA" w:rsidRPr="005C29F8" w:rsidRDefault="00BB79DA">
      <w:pPr>
        <w:rPr>
          <w:color w:val="000000" w:themeColor="text1"/>
        </w:rPr>
      </w:pPr>
    </w:p>
    <w:p w14:paraId="7653BA1E" w14:textId="77777777" w:rsidR="00913A33" w:rsidRPr="005C29F8" w:rsidRDefault="00913A33" w:rsidP="00913A33">
      <w:pPr>
        <w:rPr>
          <w:rFonts w:cs="Arial"/>
          <w:b/>
          <w:color w:val="000000" w:themeColor="text1"/>
          <w:szCs w:val="16"/>
        </w:rPr>
      </w:pPr>
      <w:r w:rsidRPr="005C29F8">
        <w:rPr>
          <w:rFonts w:cs="Arial"/>
          <w:b/>
          <w:color w:val="000000" w:themeColor="text1"/>
          <w:szCs w:val="16"/>
        </w:rPr>
        <w:t>Provide additional information about this indicator (optional)</w:t>
      </w:r>
    </w:p>
    <w:p w14:paraId="609BD927" w14:textId="47FAE461" w:rsidR="00293C7E" w:rsidRPr="005C29F8" w:rsidRDefault="00293C7E" w:rsidP="007D435F">
      <w:pPr>
        <w:rPr>
          <w:rFonts w:cs="Arial"/>
          <w:color w:val="000000" w:themeColor="text1"/>
          <w:szCs w:val="16"/>
        </w:rPr>
      </w:pPr>
    </w:p>
    <w:p w14:paraId="01544738" w14:textId="0D3ECCB4" w:rsidR="00293C7E" w:rsidRPr="0033429D" w:rsidRDefault="001C46DC" w:rsidP="00123D76">
      <w:pPr>
        <w:pStyle w:val="Heading2"/>
      </w:pPr>
      <w:r w:rsidRPr="0033429D">
        <w:t>16</w:t>
      </w:r>
      <w:r w:rsidR="001D508D" w:rsidRPr="0033429D">
        <w:t xml:space="preserve"> </w:t>
      </w:r>
      <w:r w:rsidRPr="0033429D">
        <w:t xml:space="preserve">- </w:t>
      </w:r>
      <w:r w:rsidR="00293C7E" w:rsidRPr="0033429D">
        <w:t>Prior FFY Required Actions</w:t>
      </w:r>
    </w:p>
    <w:p w14:paraId="7049B053" w14:textId="64040937" w:rsidR="009F69E7" w:rsidRPr="005C29F8" w:rsidRDefault="002B7490" w:rsidP="00293C7E">
      <w:pPr>
        <w:rPr>
          <w:rFonts w:cs="Arial"/>
          <w:color w:val="000000" w:themeColor="text1"/>
          <w:szCs w:val="16"/>
        </w:rPr>
      </w:pPr>
      <w:r w:rsidRPr="005C29F8">
        <w:rPr>
          <w:rFonts w:cs="Arial"/>
          <w:color w:val="000000" w:themeColor="text1"/>
          <w:szCs w:val="16"/>
        </w:rPr>
        <w:t>None</w:t>
      </w:r>
    </w:p>
    <w:p w14:paraId="169C5129" w14:textId="3D3FC1C0" w:rsidR="00913A33" w:rsidRPr="0033429D" w:rsidRDefault="001C46DC" w:rsidP="00123D76">
      <w:pPr>
        <w:pStyle w:val="Heading2"/>
      </w:pPr>
      <w:r w:rsidRPr="0033429D">
        <w:t>16 - OSEP Response</w:t>
      </w:r>
    </w:p>
    <w:p w14:paraId="5F7A0890" w14:textId="4F76A7D5" w:rsidR="00293C7E" w:rsidRPr="005C29F8" w:rsidRDefault="002B7490" w:rsidP="001F692C">
      <w:pPr>
        <w:rPr>
          <w:rFonts w:cs="Arial"/>
          <w:color w:val="000000" w:themeColor="text1"/>
          <w:szCs w:val="16"/>
        </w:rPr>
      </w:pPr>
      <w:r w:rsidRPr="005C29F8">
        <w:rPr>
          <w:rFonts w:cs="Arial"/>
          <w:color w:val="000000" w:themeColor="text1"/>
          <w:szCs w:val="16"/>
        </w:rPr>
        <w:t xml:space="preserve">The Commonwealth of the Northern Mariana Islands reported fewer than ten mediations held in FFY 2019. The Commonwealth of the Northern Mariana Islands is not required to provide targets until any fiscal year in which ten or more mediations were held. </w:t>
      </w:r>
    </w:p>
    <w:p w14:paraId="55A8CDDB" w14:textId="5CFD4909" w:rsidR="00913A33" w:rsidRDefault="001C46DC" w:rsidP="00123D76">
      <w:pPr>
        <w:pStyle w:val="Heading2"/>
      </w:pPr>
      <w:r w:rsidRPr="0033429D">
        <w:t>16 - Required Actions</w:t>
      </w:r>
    </w:p>
    <w:p w14:paraId="7BE7C36B" w14:textId="0540E852" w:rsidR="008C2E19" w:rsidRDefault="008C2E19" w:rsidP="008C2E19"/>
    <w:p w14:paraId="1C00B077" w14:textId="77777777" w:rsidR="001C77BF" w:rsidRDefault="001C77BF">
      <w:pPr>
        <w:spacing w:before="0" w:after="200" w:line="276" w:lineRule="auto"/>
        <w:rPr>
          <w:rFonts w:eastAsiaTheme="majorEastAsia" w:cstheme="majorBidi"/>
          <w:b/>
          <w:bCs/>
          <w:sz w:val="20"/>
          <w:szCs w:val="28"/>
        </w:rPr>
      </w:pPr>
      <w:r>
        <w:br w:type="page"/>
      </w:r>
    </w:p>
    <w:p w14:paraId="261D3C6D" w14:textId="2791B605" w:rsidR="008C2E19" w:rsidRDefault="008C2E19" w:rsidP="008C2E19">
      <w:pPr>
        <w:pStyle w:val="Heading1"/>
      </w:pPr>
      <w:r w:rsidRPr="0045044F">
        <w:lastRenderedPageBreak/>
        <w:t>Indicator 17: State Systemic Improvement Plan</w:t>
      </w:r>
    </w:p>
    <w:p w14:paraId="454AFCAA" w14:textId="19168CEA" w:rsidR="008C2E19" w:rsidRPr="008C2E19" w:rsidRDefault="009A609D" w:rsidP="0019695D">
      <w:r>
        <w:object w:dxaOrig="1541" w:dyaOrig="998" w14:anchorId="64C9AA28">
          <v:shape id="_x0000_i1032" type="#_x0000_t75" alt="mp-ssipIIIYr5-2021b_508" style="width:77.25pt;height:50.25pt" o:ole="">
            <v:imagedata r:id="rId12" o:title=""/>
          </v:shape>
          <o:OLEObject Type="Embed" ProgID="Acrobat.Document.DC" ShapeID="_x0000_i1032" DrawAspect="Icon" ObjectID="_1689087889" r:id="rId13"/>
        </w:object>
      </w:r>
    </w:p>
    <w:p w14:paraId="72813E4E" w14:textId="532E1944" w:rsidR="00293C7E" w:rsidRPr="005C29F8" w:rsidRDefault="00293C7E" w:rsidP="001F692C">
      <w:pPr>
        <w:rPr>
          <w:rFonts w:cs="Arial"/>
          <w:color w:val="000000" w:themeColor="text1"/>
          <w:szCs w:val="16"/>
        </w:rPr>
      </w:pPr>
    </w:p>
    <w:p w14:paraId="79966887" w14:textId="491E7B52" w:rsidR="00755AF7" w:rsidRPr="005C29F8" w:rsidRDefault="00755AF7">
      <w:pPr>
        <w:spacing w:before="0" w:after="200" w:line="276" w:lineRule="auto"/>
        <w:rPr>
          <w:rFonts w:cs="Arial"/>
          <w:color w:val="000000" w:themeColor="text1"/>
          <w:szCs w:val="16"/>
        </w:rPr>
      </w:pPr>
    </w:p>
    <w:p w14:paraId="54E94584" w14:textId="77777777" w:rsidR="00066BAA" w:rsidRPr="005C29F8" w:rsidRDefault="00066BAA">
      <w:pPr>
        <w:spacing w:before="0" w:after="200" w:line="276" w:lineRule="auto"/>
        <w:rPr>
          <w:rFonts w:eastAsiaTheme="majorEastAsia" w:cstheme="majorBidi"/>
          <w:b/>
          <w:bCs/>
          <w:color w:val="000000" w:themeColor="text1"/>
          <w:sz w:val="20"/>
          <w:szCs w:val="28"/>
        </w:rPr>
      </w:pPr>
      <w:r w:rsidRPr="005C29F8">
        <w:rPr>
          <w:color w:val="000000" w:themeColor="text1"/>
        </w:rPr>
        <w:br w:type="page"/>
      </w:r>
    </w:p>
    <w:p w14:paraId="47A15380" w14:textId="2BFE46A7" w:rsidR="00251CC0" w:rsidRPr="005C29F8" w:rsidRDefault="00755AF7" w:rsidP="00D01281">
      <w:pPr>
        <w:pStyle w:val="Heading1"/>
        <w:rPr>
          <w:color w:val="000000" w:themeColor="text1"/>
        </w:rPr>
      </w:pPr>
      <w:r w:rsidRPr="005C29F8">
        <w:rPr>
          <w:color w:val="000000" w:themeColor="text1"/>
        </w:rPr>
        <w:lastRenderedPageBreak/>
        <w:t>Certification</w:t>
      </w:r>
    </w:p>
    <w:p w14:paraId="49BAFEB2" w14:textId="460D7FCE" w:rsidR="00EC1064" w:rsidRPr="005C29F8" w:rsidRDefault="00EC1064" w:rsidP="00A018D4">
      <w:pPr>
        <w:rPr>
          <w:color w:val="000000" w:themeColor="text1"/>
          <w:szCs w:val="20"/>
        </w:rPr>
      </w:pPr>
      <w:r w:rsidRPr="005C29F8">
        <w:rPr>
          <w:b/>
          <w:color w:val="000000" w:themeColor="text1"/>
          <w:sz w:val="20"/>
          <w:szCs w:val="20"/>
        </w:rPr>
        <w:t>Instructions</w:t>
      </w:r>
    </w:p>
    <w:p w14:paraId="1D3FABB8" w14:textId="49984077" w:rsidR="00EC1064" w:rsidRPr="005C29F8" w:rsidRDefault="00C723F9" w:rsidP="00EC1064">
      <w:pPr>
        <w:autoSpaceDE w:val="0"/>
        <w:autoSpaceDN w:val="0"/>
        <w:adjustRightInd w:val="0"/>
        <w:rPr>
          <w:rFonts w:cs="Arial"/>
          <w:b/>
          <w:bCs/>
          <w:color w:val="000000" w:themeColor="text1"/>
          <w:szCs w:val="16"/>
        </w:rPr>
      </w:pPr>
      <w:r w:rsidRPr="005C29F8">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5C29F8" w:rsidRDefault="00EC1064" w:rsidP="00EE0028">
      <w:pPr>
        <w:pStyle w:val="NoSpacing"/>
        <w:rPr>
          <w:rFonts w:ascii="Arial" w:hAnsi="Arial" w:cs="Arial"/>
          <w:b/>
          <w:bCs/>
          <w:color w:val="000000" w:themeColor="text1"/>
          <w:sz w:val="16"/>
          <w:szCs w:val="16"/>
        </w:rPr>
      </w:pPr>
      <w:r w:rsidRPr="005C29F8">
        <w:rPr>
          <w:rFonts w:ascii="Arial" w:hAnsi="Arial" w:cs="Arial"/>
          <w:b/>
          <w:bCs/>
          <w:color w:val="000000" w:themeColor="text1"/>
          <w:sz w:val="16"/>
          <w:szCs w:val="16"/>
        </w:rPr>
        <w:t>Certify</w:t>
      </w:r>
    </w:p>
    <w:p w14:paraId="55390454" w14:textId="09D075B1"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Select the certifier’s role:</w:t>
      </w:r>
    </w:p>
    <w:p w14:paraId="0767E5C8" w14:textId="70B1D176" w:rsidR="00262BC0" w:rsidRPr="005C29F8" w:rsidRDefault="002B7490" w:rsidP="00262BC0">
      <w:pPr>
        <w:autoSpaceDE w:val="0"/>
        <w:autoSpaceDN w:val="0"/>
        <w:adjustRightInd w:val="0"/>
        <w:rPr>
          <w:rFonts w:cs="Arial"/>
          <w:bCs/>
          <w:color w:val="000000" w:themeColor="text1"/>
          <w:szCs w:val="16"/>
        </w:rPr>
      </w:pPr>
      <w:r w:rsidRPr="005C29F8">
        <w:rPr>
          <w:rFonts w:cs="Arial"/>
          <w:bCs/>
          <w:color w:val="000000" w:themeColor="text1"/>
          <w:szCs w:val="16"/>
        </w:rPr>
        <w:t>Chief State School Officer</w:t>
      </w:r>
    </w:p>
    <w:p w14:paraId="0D4B9819" w14:textId="38C2D4E8" w:rsidR="00262BC0" w:rsidRPr="005C29F8" w:rsidRDefault="00262BC0" w:rsidP="00262BC0">
      <w:pPr>
        <w:autoSpaceDE w:val="0"/>
        <w:autoSpaceDN w:val="0"/>
        <w:adjustRightInd w:val="0"/>
        <w:rPr>
          <w:rFonts w:cs="Arial"/>
          <w:b/>
          <w:bCs/>
          <w:color w:val="000000" w:themeColor="text1"/>
          <w:szCs w:val="16"/>
        </w:rPr>
      </w:pPr>
      <w:r w:rsidRPr="005C29F8">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5C29F8" w:rsidRDefault="00755AF7" w:rsidP="00755AF7">
      <w:pPr>
        <w:autoSpaceDE w:val="0"/>
        <w:autoSpaceDN w:val="0"/>
        <w:adjustRightInd w:val="0"/>
        <w:rPr>
          <w:rFonts w:cs="Arial"/>
          <w:b/>
          <w:bCs/>
          <w:color w:val="000000" w:themeColor="text1"/>
          <w:szCs w:val="16"/>
        </w:rPr>
      </w:pPr>
      <w:bookmarkStart w:id="74" w:name="_Hlk20318241"/>
      <w:r w:rsidRPr="005C29F8">
        <w:rPr>
          <w:rFonts w:cs="Arial"/>
          <w:b/>
          <w:bCs/>
          <w:color w:val="000000" w:themeColor="text1"/>
          <w:szCs w:val="16"/>
        </w:rPr>
        <w:t xml:space="preserve">Name: </w:t>
      </w:r>
    </w:p>
    <w:p w14:paraId="4AE58D3C" w14:textId="25F9FA75"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 xml:space="preserve">Alfred B. Ada, </w:t>
      </w:r>
      <w:proofErr w:type="spellStart"/>
      <w:proofErr w:type="gramStart"/>
      <w:r w:rsidRPr="005C29F8">
        <w:rPr>
          <w:rFonts w:cs="Arial"/>
          <w:color w:val="000000" w:themeColor="text1"/>
          <w:szCs w:val="16"/>
        </w:rPr>
        <w:t>Ed.D</w:t>
      </w:r>
      <w:proofErr w:type="spellEnd"/>
      <w:proofErr w:type="gramEnd"/>
    </w:p>
    <w:p w14:paraId="6368082B" w14:textId="28AD55BD" w:rsidR="00755AF7" w:rsidRPr="005C29F8" w:rsidRDefault="00EF4A6B"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Title: </w:t>
      </w:r>
    </w:p>
    <w:p w14:paraId="290E3D81" w14:textId="5C618752"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Commissioner of Education</w:t>
      </w:r>
    </w:p>
    <w:p w14:paraId="67DC6813" w14:textId="6EF07192" w:rsidR="00755AF7" w:rsidRPr="005C29F8" w:rsidRDefault="00925E33" w:rsidP="00755AF7">
      <w:pPr>
        <w:autoSpaceDE w:val="0"/>
        <w:autoSpaceDN w:val="0"/>
        <w:adjustRightInd w:val="0"/>
        <w:rPr>
          <w:rFonts w:cs="Arial"/>
          <w:b/>
          <w:bCs/>
          <w:color w:val="000000" w:themeColor="text1"/>
          <w:szCs w:val="16"/>
        </w:rPr>
      </w:pPr>
      <w:r w:rsidRPr="005C29F8">
        <w:rPr>
          <w:rFonts w:cs="Arial"/>
          <w:b/>
          <w:bCs/>
          <w:color w:val="000000" w:themeColor="text1"/>
          <w:szCs w:val="16"/>
        </w:rPr>
        <w:t xml:space="preserve">Email: </w:t>
      </w:r>
    </w:p>
    <w:p w14:paraId="0D9187A2" w14:textId="72ED05AF" w:rsidR="00755AF7" w:rsidRPr="005C29F8" w:rsidRDefault="002B7490" w:rsidP="00755AF7">
      <w:pPr>
        <w:autoSpaceDE w:val="0"/>
        <w:autoSpaceDN w:val="0"/>
        <w:adjustRightInd w:val="0"/>
        <w:rPr>
          <w:rFonts w:cs="Arial"/>
          <w:color w:val="000000" w:themeColor="text1"/>
          <w:szCs w:val="16"/>
        </w:rPr>
      </w:pPr>
      <w:r w:rsidRPr="005C29F8">
        <w:rPr>
          <w:rFonts w:cs="Arial"/>
          <w:color w:val="000000" w:themeColor="text1"/>
          <w:szCs w:val="16"/>
        </w:rPr>
        <w:t>pss.coe@cnmipss.org</w:t>
      </w:r>
    </w:p>
    <w:p w14:paraId="230D0674" w14:textId="3A323DD4" w:rsidR="00755AF7" w:rsidRPr="005C29F8" w:rsidRDefault="00EF4A6B" w:rsidP="00755AF7">
      <w:pPr>
        <w:autoSpaceDE w:val="0"/>
        <w:autoSpaceDN w:val="0"/>
        <w:adjustRightInd w:val="0"/>
        <w:rPr>
          <w:rFonts w:cs="Arial"/>
          <w:b/>
          <w:color w:val="000000" w:themeColor="text1"/>
          <w:szCs w:val="16"/>
        </w:rPr>
      </w:pPr>
      <w:r w:rsidRPr="005C29F8">
        <w:rPr>
          <w:rFonts w:cs="Arial"/>
          <w:b/>
          <w:color w:val="000000" w:themeColor="text1"/>
          <w:szCs w:val="16"/>
        </w:rPr>
        <w:t>Phone:</w:t>
      </w:r>
    </w:p>
    <w:p w14:paraId="5A421E1A" w14:textId="3C4EA133" w:rsidR="00DD2023" w:rsidRPr="005C29F8" w:rsidRDefault="002B7490" w:rsidP="00DD2023">
      <w:pPr>
        <w:autoSpaceDE w:val="0"/>
        <w:autoSpaceDN w:val="0"/>
        <w:adjustRightInd w:val="0"/>
        <w:rPr>
          <w:rFonts w:cs="Arial"/>
          <w:color w:val="000000" w:themeColor="text1"/>
          <w:szCs w:val="16"/>
        </w:rPr>
      </w:pPr>
      <w:r w:rsidRPr="005C29F8">
        <w:rPr>
          <w:rFonts w:cs="Arial"/>
          <w:color w:val="000000" w:themeColor="text1"/>
          <w:szCs w:val="16"/>
        </w:rPr>
        <w:t>670287-8444</w:t>
      </w:r>
    </w:p>
    <w:bookmarkEnd w:id="74"/>
    <w:p w14:paraId="17E495D6" w14:textId="2B4E1FA8" w:rsidR="000657F0" w:rsidRPr="005C29F8" w:rsidRDefault="00C773DB" w:rsidP="000657F0">
      <w:pPr>
        <w:autoSpaceDE w:val="0"/>
        <w:autoSpaceDN w:val="0"/>
        <w:adjustRightInd w:val="0"/>
        <w:rPr>
          <w:rFonts w:cs="Arial"/>
          <w:b/>
          <w:color w:val="000000" w:themeColor="text1"/>
          <w:szCs w:val="16"/>
        </w:rPr>
      </w:pPr>
      <w:r w:rsidRPr="005C29F8">
        <w:rPr>
          <w:rFonts w:cs="Arial"/>
          <w:b/>
          <w:color w:val="000000" w:themeColor="text1"/>
          <w:szCs w:val="16"/>
        </w:rPr>
        <w:t>Submitted on:</w:t>
      </w:r>
    </w:p>
    <w:p w14:paraId="3754F1D5" w14:textId="4B3E4991" w:rsidR="000657F0" w:rsidRPr="005C29F8" w:rsidRDefault="006879FA" w:rsidP="000657F0">
      <w:pPr>
        <w:autoSpaceDE w:val="0"/>
        <w:autoSpaceDN w:val="0"/>
        <w:adjustRightInd w:val="0"/>
        <w:rPr>
          <w:rFonts w:cs="Arial"/>
          <w:color w:val="000000" w:themeColor="text1"/>
          <w:szCs w:val="16"/>
        </w:rPr>
      </w:pPr>
      <w:r w:rsidRPr="006879FA">
        <w:rPr>
          <w:rFonts w:cs="Arial"/>
          <w:color w:val="000000" w:themeColor="text1"/>
          <w:szCs w:val="16"/>
        </w:rPr>
        <w:t>04/28/21 12:36:44 AM</w:t>
      </w:r>
    </w:p>
    <w:p w14:paraId="596B3C30" w14:textId="4649CCE2" w:rsidR="00755AF7" w:rsidRDefault="00755AF7" w:rsidP="00EE4B59">
      <w:pPr>
        <w:rPr>
          <w:rFonts w:cs="Arial"/>
          <w:color w:val="000000" w:themeColor="text1"/>
          <w:szCs w:val="16"/>
        </w:rPr>
      </w:pPr>
    </w:p>
    <w:p w14:paraId="1845DA50" w14:textId="4AD4EB3B" w:rsidR="008C2E19" w:rsidRDefault="008C2E19" w:rsidP="00EE4B59">
      <w:pPr>
        <w:rPr>
          <w:rFonts w:cs="Arial"/>
          <w:color w:val="000000" w:themeColor="text1"/>
          <w:szCs w:val="16"/>
        </w:rPr>
      </w:pPr>
    </w:p>
    <w:p w14:paraId="14A7ADF1" w14:textId="77777777" w:rsidR="00A7200F" w:rsidRDefault="00A7200F">
      <w:pPr>
        <w:spacing w:before="0" w:after="200" w:line="276" w:lineRule="auto"/>
        <w:rPr>
          <w:rFonts w:eastAsiaTheme="majorEastAsia" w:cstheme="majorBidi"/>
          <w:b/>
          <w:bCs/>
          <w:sz w:val="20"/>
          <w:szCs w:val="28"/>
        </w:rPr>
      </w:pPr>
      <w:r>
        <w:br w:type="page"/>
      </w:r>
    </w:p>
    <w:p w14:paraId="65510ACD" w14:textId="20270997" w:rsidR="008C2E19" w:rsidRPr="002E10CD" w:rsidRDefault="008C2E19" w:rsidP="002E10CD">
      <w:pPr>
        <w:pStyle w:val="Heading1"/>
      </w:pPr>
      <w:r w:rsidRPr="002E10CD">
        <w:lastRenderedPageBreak/>
        <w:t>ED Attachments</w:t>
      </w:r>
    </w:p>
    <w:p w14:paraId="4E2F01B1" w14:textId="7C60C860" w:rsidR="008C2E19" w:rsidRDefault="008C2E19" w:rsidP="008C2E19"/>
    <w:p w14:paraId="27F40C5A" w14:textId="208AE8F4" w:rsidR="008C2E19" w:rsidRPr="008C2E19" w:rsidRDefault="009A609D" w:rsidP="00A7200F">
      <w:r>
        <w:object w:dxaOrig="1508" w:dyaOrig="983" w14:anchorId="01363500">
          <v:shape id="_x0000_i1027" type="#_x0000_t75" alt="MP-2021DataRubricPartB (1)" style="width:75.75pt;height:48.75pt" o:ole="">
            <v:imagedata r:id="rId14" o:title=""/>
          </v:shape>
          <o:OLEObject Type="Embed" ProgID="Excel.Sheet.12" ShapeID="_x0000_i1027" DrawAspect="Icon" ObjectID="_1689087890" r:id="rId15"/>
        </w:object>
      </w:r>
      <w:r w:rsidR="00A7200F">
        <w:tab/>
      </w:r>
      <w:r>
        <w:object w:dxaOrig="1376" w:dyaOrig="893" w14:anchorId="5FAAE47A">
          <v:shape id="_x0000_i1035" type="#_x0000_t75" alt="mp-resultsmatrix-2021bent" style="width:69pt;height:44.25pt" o:ole="">
            <v:imagedata r:id="rId16" o:title=""/>
          </v:shape>
          <o:OLEObject Type="Embed" ProgID="Acrobat.Document.DC" ShapeID="_x0000_i1035" DrawAspect="Icon" ObjectID="_1689087891" r:id="rId17"/>
        </w:object>
      </w:r>
      <w:r>
        <w:tab/>
      </w:r>
      <w:r w:rsidR="00A7200F">
        <w:tab/>
      </w:r>
      <w:r w:rsidR="0019695D">
        <w:object w:dxaOrig="1508" w:dyaOrig="983" w14:anchorId="05C1FE60">
          <v:shape id="_x0000_i1029" type="#_x0000_t75" alt="MP-B-Dispute-Resolution-2019-20" style="width:75.75pt;height:48.75pt" o:ole="">
            <v:imagedata r:id="rId18" o:title=""/>
          </v:shape>
          <o:OLEObject Type="Embed" ProgID="Acrobat.Document.DC" ShapeID="_x0000_i1029" DrawAspect="Icon" ObjectID="_1689087892" r:id="rId19"/>
        </w:object>
      </w:r>
    </w:p>
    <w:sectPr w:rsidR="008C2E19" w:rsidRPr="008C2E19" w:rsidSect="00651E83">
      <w:footerReference w:type="default" r:id="rId20"/>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63A55" w14:textId="77777777" w:rsidR="00F6374C" w:rsidRDefault="00F6374C" w:rsidP="000802F7">
      <w:pPr>
        <w:spacing w:before="0" w:after="0"/>
      </w:pPr>
      <w:r>
        <w:separator/>
      </w:r>
    </w:p>
  </w:endnote>
  <w:endnote w:type="continuationSeparator" w:id="0">
    <w:p w14:paraId="328A5AFC" w14:textId="77777777" w:rsidR="00F6374C" w:rsidRDefault="00F6374C" w:rsidP="000802F7">
      <w:pPr>
        <w:spacing w:before="0" w:after="0"/>
      </w:pPr>
      <w:r>
        <w:continuationSeparator/>
      </w:r>
    </w:p>
  </w:endnote>
  <w:endnote w:type="continuationNotice" w:id="1">
    <w:p w14:paraId="77FF24B9" w14:textId="77777777" w:rsidR="00F6374C" w:rsidRDefault="00F637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33429D" w:rsidRDefault="0033429D"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35CF" w14:textId="77777777" w:rsidR="00F6374C" w:rsidRDefault="00F6374C" w:rsidP="000802F7">
      <w:pPr>
        <w:spacing w:before="0" w:after="0"/>
      </w:pPr>
      <w:r>
        <w:separator/>
      </w:r>
    </w:p>
  </w:footnote>
  <w:footnote w:type="continuationSeparator" w:id="0">
    <w:p w14:paraId="39F20A14" w14:textId="77777777" w:rsidR="00F6374C" w:rsidRDefault="00F6374C" w:rsidP="000802F7">
      <w:pPr>
        <w:spacing w:before="0" w:after="0"/>
      </w:pPr>
      <w:r>
        <w:continuationSeparator/>
      </w:r>
    </w:p>
  </w:footnote>
  <w:footnote w:type="continuationNotice" w:id="1">
    <w:p w14:paraId="714C22C7" w14:textId="77777777" w:rsidR="00F6374C" w:rsidRDefault="00F6374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6" type="#_x0000_t75" style="width:20.2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1"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8"/>
  </w:num>
  <w:num w:numId="4">
    <w:abstractNumId w:val="22"/>
  </w:num>
  <w:num w:numId="5">
    <w:abstractNumId w:val="0"/>
  </w:num>
  <w:num w:numId="6">
    <w:abstractNumId w:val="14"/>
  </w:num>
  <w:num w:numId="7">
    <w:abstractNumId w:val="6"/>
  </w:num>
  <w:num w:numId="8">
    <w:abstractNumId w:val="8"/>
  </w:num>
  <w:num w:numId="9">
    <w:abstractNumId w:val="10"/>
  </w:num>
  <w:num w:numId="10">
    <w:abstractNumId w:val="12"/>
  </w:num>
  <w:num w:numId="11">
    <w:abstractNumId w:val="15"/>
  </w:num>
  <w:num w:numId="12">
    <w:abstractNumId w:val="17"/>
  </w:num>
  <w:num w:numId="13">
    <w:abstractNumId w:val="7"/>
  </w:num>
  <w:num w:numId="14">
    <w:abstractNumId w:val="13"/>
  </w:num>
  <w:num w:numId="15">
    <w:abstractNumId w:val="11"/>
  </w:num>
  <w:num w:numId="16">
    <w:abstractNumId w:val="19"/>
  </w:num>
  <w:num w:numId="17">
    <w:abstractNumId w:val="2"/>
  </w:num>
  <w:num w:numId="18">
    <w:abstractNumId w:val="5"/>
  </w:num>
  <w:num w:numId="19">
    <w:abstractNumId w:val="1"/>
  </w:num>
  <w:num w:numId="20">
    <w:abstractNumId w:val="16"/>
  </w:num>
  <w:num w:numId="21">
    <w:abstractNumId w:val="21"/>
  </w:num>
  <w:num w:numId="22">
    <w:abstractNumId w:val="4"/>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962"/>
    <w:rsid w:val="00002B25"/>
    <w:rsid w:val="00002D92"/>
    <w:rsid w:val="000032E5"/>
    <w:rsid w:val="000036C1"/>
    <w:rsid w:val="00003894"/>
    <w:rsid w:val="00004700"/>
    <w:rsid w:val="00004880"/>
    <w:rsid w:val="00004E61"/>
    <w:rsid w:val="0000663B"/>
    <w:rsid w:val="00006A25"/>
    <w:rsid w:val="000070D5"/>
    <w:rsid w:val="00010158"/>
    <w:rsid w:val="000105C5"/>
    <w:rsid w:val="00011443"/>
    <w:rsid w:val="00011778"/>
    <w:rsid w:val="00011B86"/>
    <w:rsid w:val="000124F7"/>
    <w:rsid w:val="0001550D"/>
    <w:rsid w:val="00015D55"/>
    <w:rsid w:val="0001707D"/>
    <w:rsid w:val="00017940"/>
    <w:rsid w:val="000209D6"/>
    <w:rsid w:val="0002147B"/>
    <w:rsid w:val="00021AE9"/>
    <w:rsid w:val="000221B3"/>
    <w:rsid w:val="000223EC"/>
    <w:rsid w:val="00023642"/>
    <w:rsid w:val="00023E62"/>
    <w:rsid w:val="000248C8"/>
    <w:rsid w:val="00024979"/>
    <w:rsid w:val="000251C4"/>
    <w:rsid w:val="000256D1"/>
    <w:rsid w:val="00025AFF"/>
    <w:rsid w:val="00025D8D"/>
    <w:rsid w:val="00027886"/>
    <w:rsid w:val="0003014D"/>
    <w:rsid w:val="000301BA"/>
    <w:rsid w:val="00030B45"/>
    <w:rsid w:val="00031560"/>
    <w:rsid w:val="00031A91"/>
    <w:rsid w:val="00031C3A"/>
    <w:rsid w:val="00031E3A"/>
    <w:rsid w:val="00032548"/>
    <w:rsid w:val="00032930"/>
    <w:rsid w:val="00032AC4"/>
    <w:rsid w:val="00032DB1"/>
    <w:rsid w:val="00033474"/>
    <w:rsid w:val="000336AC"/>
    <w:rsid w:val="00033723"/>
    <w:rsid w:val="00034A81"/>
    <w:rsid w:val="000360A5"/>
    <w:rsid w:val="00036AA4"/>
    <w:rsid w:val="000417B4"/>
    <w:rsid w:val="00041E27"/>
    <w:rsid w:val="00041FD3"/>
    <w:rsid w:val="0004359A"/>
    <w:rsid w:val="000437FD"/>
    <w:rsid w:val="00043AAB"/>
    <w:rsid w:val="00043AC9"/>
    <w:rsid w:val="000444E2"/>
    <w:rsid w:val="00044883"/>
    <w:rsid w:val="00044B5C"/>
    <w:rsid w:val="00046969"/>
    <w:rsid w:val="00046BF9"/>
    <w:rsid w:val="000477FF"/>
    <w:rsid w:val="00047CB5"/>
    <w:rsid w:val="00052E15"/>
    <w:rsid w:val="00053391"/>
    <w:rsid w:val="000533D7"/>
    <w:rsid w:val="00053795"/>
    <w:rsid w:val="00053DFE"/>
    <w:rsid w:val="000545D2"/>
    <w:rsid w:val="00054985"/>
    <w:rsid w:val="00054A60"/>
    <w:rsid w:val="00054C7A"/>
    <w:rsid w:val="00054FA8"/>
    <w:rsid w:val="00055BD1"/>
    <w:rsid w:val="00055C7A"/>
    <w:rsid w:val="00055FC7"/>
    <w:rsid w:val="00056350"/>
    <w:rsid w:val="00056758"/>
    <w:rsid w:val="00056F03"/>
    <w:rsid w:val="00060ADC"/>
    <w:rsid w:val="000618B4"/>
    <w:rsid w:val="00061AB2"/>
    <w:rsid w:val="00061F73"/>
    <w:rsid w:val="000622A8"/>
    <w:rsid w:val="0006235D"/>
    <w:rsid w:val="000625F8"/>
    <w:rsid w:val="00062BB2"/>
    <w:rsid w:val="00062E68"/>
    <w:rsid w:val="00063136"/>
    <w:rsid w:val="00063CB9"/>
    <w:rsid w:val="000646AE"/>
    <w:rsid w:val="00064809"/>
    <w:rsid w:val="00064AB6"/>
    <w:rsid w:val="000657A8"/>
    <w:rsid w:val="000657F0"/>
    <w:rsid w:val="000668E0"/>
    <w:rsid w:val="00066BAA"/>
    <w:rsid w:val="00066F3E"/>
    <w:rsid w:val="00067654"/>
    <w:rsid w:val="00067C04"/>
    <w:rsid w:val="00070D9E"/>
    <w:rsid w:val="00072B99"/>
    <w:rsid w:val="00072BBA"/>
    <w:rsid w:val="00072FEE"/>
    <w:rsid w:val="00073047"/>
    <w:rsid w:val="00074237"/>
    <w:rsid w:val="000743D6"/>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D89"/>
    <w:rsid w:val="000867D7"/>
    <w:rsid w:val="0008752B"/>
    <w:rsid w:val="000901D6"/>
    <w:rsid w:val="000903A7"/>
    <w:rsid w:val="00090C2F"/>
    <w:rsid w:val="000915A3"/>
    <w:rsid w:val="00091A40"/>
    <w:rsid w:val="000923A7"/>
    <w:rsid w:val="00092636"/>
    <w:rsid w:val="00092E0A"/>
    <w:rsid w:val="00096442"/>
    <w:rsid w:val="0009671F"/>
    <w:rsid w:val="0009692C"/>
    <w:rsid w:val="00096A50"/>
    <w:rsid w:val="00097249"/>
    <w:rsid w:val="000977EB"/>
    <w:rsid w:val="000A0593"/>
    <w:rsid w:val="000A1594"/>
    <w:rsid w:val="000A18ED"/>
    <w:rsid w:val="000A2C83"/>
    <w:rsid w:val="000A2E95"/>
    <w:rsid w:val="000A32F4"/>
    <w:rsid w:val="000A4757"/>
    <w:rsid w:val="000A49CD"/>
    <w:rsid w:val="000A4CDC"/>
    <w:rsid w:val="000A4FD8"/>
    <w:rsid w:val="000A5A2E"/>
    <w:rsid w:val="000A6CA4"/>
    <w:rsid w:val="000A7001"/>
    <w:rsid w:val="000A7A15"/>
    <w:rsid w:val="000A7D7D"/>
    <w:rsid w:val="000B050E"/>
    <w:rsid w:val="000B10B1"/>
    <w:rsid w:val="000B1F9C"/>
    <w:rsid w:val="000B2C26"/>
    <w:rsid w:val="000B2DCB"/>
    <w:rsid w:val="000B3A11"/>
    <w:rsid w:val="000B3D92"/>
    <w:rsid w:val="000B4AA4"/>
    <w:rsid w:val="000B547A"/>
    <w:rsid w:val="000B56BA"/>
    <w:rsid w:val="000B5823"/>
    <w:rsid w:val="000B7132"/>
    <w:rsid w:val="000B7462"/>
    <w:rsid w:val="000C0900"/>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4537"/>
    <w:rsid w:val="000D4C8D"/>
    <w:rsid w:val="000D6C5B"/>
    <w:rsid w:val="000D6EC4"/>
    <w:rsid w:val="000D746C"/>
    <w:rsid w:val="000E0C95"/>
    <w:rsid w:val="000E0EBC"/>
    <w:rsid w:val="000E1C83"/>
    <w:rsid w:val="000E1FC6"/>
    <w:rsid w:val="000E206D"/>
    <w:rsid w:val="000E2A52"/>
    <w:rsid w:val="000E30A8"/>
    <w:rsid w:val="000E33D0"/>
    <w:rsid w:val="000E3445"/>
    <w:rsid w:val="000E4061"/>
    <w:rsid w:val="000E4B9A"/>
    <w:rsid w:val="000E56FA"/>
    <w:rsid w:val="000E62E5"/>
    <w:rsid w:val="000E6823"/>
    <w:rsid w:val="000E6948"/>
    <w:rsid w:val="000E7E94"/>
    <w:rsid w:val="000F0525"/>
    <w:rsid w:val="000F0806"/>
    <w:rsid w:val="000F0D59"/>
    <w:rsid w:val="000F1792"/>
    <w:rsid w:val="000F256B"/>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26C3"/>
    <w:rsid w:val="00112F4D"/>
    <w:rsid w:val="00113CE9"/>
    <w:rsid w:val="001142DE"/>
    <w:rsid w:val="001156D2"/>
    <w:rsid w:val="00115CDA"/>
    <w:rsid w:val="00116D0B"/>
    <w:rsid w:val="00117490"/>
    <w:rsid w:val="00117588"/>
    <w:rsid w:val="00117696"/>
    <w:rsid w:val="00117952"/>
    <w:rsid w:val="00120808"/>
    <w:rsid w:val="00121709"/>
    <w:rsid w:val="00122103"/>
    <w:rsid w:val="0012230D"/>
    <w:rsid w:val="001225CB"/>
    <w:rsid w:val="00123D76"/>
    <w:rsid w:val="00123FF7"/>
    <w:rsid w:val="00124025"/>
    <w:rsid w:val="00124E6A"/>
    <w:rsid w:val="00124ED5"/>
    <w:rsid w:val="001266CE"/>
    <w:rsid w:val="001267A3"/>
    <w:rsid w:val="00126B45"/>
    <w:rsid w:val="00126ED9"/>
    <w:rsid w:val="00126FF9"/>
    <w:rsid w:val="00127006"/>
    <w:rsid w:val="001270B8"/>
    <w:rsid w:val="001273C6"/>
    <w:rsid w:val="00127B4A"/>
    <w:rsid w:val="00127FEE"/>
    <w:rsid w:val="00130AE9"/>
    <w:rsid w:val="00131842"/>
    <w:rsid w:val="00131F82"/>
    <w:rsid w:val="00132EE9"/>
    <w:rsid w:val="001336AE"/>
    <w:rsid w:val="0013465F"/>
    <w:rsid w:val="00134F30"/>
    <w:rsid w:val="00135576"/>
    <w:rsid w:val="00135F0C"/>
    <w:rsid w:val="00136BE2"/>
    <w:rsid w:val="0014043C"/>
    <w:rsid w:val="00140A8A"/>
    <w:rsid w:val="00141A33"/>
    <w:rsid w:val="00141E29"/>
    <w:rsid w:val="00142056"/>
    <w:rsid w:val="00142117"/>
    <w:rsid w:val="001428A0"/>
    <w:rsid w:val="001430AA"/>
    <w:rsid w:val="0014399E"/>
    <w:rsid w:val="001445CE"/>
    <w:rsid w:val="001450D9"/>
    <w:rsid w:val="00146BB0"/>
    <w:rsid w:val="00146FBA"/>
    <w:rsid w:val="001474EC"/>
    <w:rsid w:val="00150B3B"/>
    <w:rsid w:val="00151F97"/>
    <w:rsid w:val="0015313D"/>
    <w:rsid w:val="00153F2D"/>
    <w:rsid w:val="001542AE"/>
    <w:rsid w:val="00156264"/>
    <w:rsid w:val="00156865"/>
    <w:rsid w:val="0015691B"/>
    <w:rsid w:val="00156F30"/>
    <w:rsid w:val="001604F3"/>
    <w:rsid w:val="00160856"/>
    <w:rsid w:val="00160D96"/>
    <w:rsid w:val="001612CB"/>
    <w:rsid w:val="00161D1D"/>
    <w:rsid w:val="00162F4A"/>
    <w:rsid w:val="001633A0"/>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C41"/>
    <w:rsid w:val="00172F58"/>
    <w:rsid w:val="0017335B"/>
    <w:rsid w:val="00173DFE"/>
    <w:rsid w:val="001744F9"/>
    <w:rsid w:val="00174662"/>
    <w:rsid w:val="00174B9B"/>
    <w:rsid w:val="001750A0"/>
    <w:rsid w:val="001756FB"/>
    <w:rsid w:val="00175D9B"/>
    <w:rsid w:val="001773E7"/>
    <w:rsid w:val="00177EC7"/>
    <w:rsid w:val="001806EA"/>
    <w:rsid w:val="001829C9"/>
    <w:rsid w:val="00182B26"/>
    <w:rsid w:val="001831D2"/>
    <w:rsid w:val="001835EE"/>
    <w:rsid w:val="00183E9B"/>
    <w:rsid w:val="001843C6"/>
    <w:rsid w:val="00186964"/>
    <w:rsid w:val="001875AF"/>
    <w:rsid w:val="00190104"/>
    <w:rsid w:val="00191350"/>
    <w:rsid w:val="0019260C"/>
    <w:rsid w:val="00194AD8"/>
    <w:rsid w:val="001955AC"/>
    <w:rsid w:val="001965F5"/>
    <w:rsid w:val="0019695D"/>
    <w:rsid w:val="00196B54"/>
    <w:rsid w:val="00196BEB"/>
    <w:rsid w:val="001A0637"/>
    <w:rsid w:val="001A1ABA"/>
    <w:rsid w:val="001A342F"/>
    <w:rsid w:val="001A3539"/>
    <w:rsid w:val="001A3BEB"/>
    <w:rsid w:val="001A582D"/>
    <w:rsid w:val="001A60EE"/>
    <w:rsid w:val="001A6B81"/>
    <w:rsid w:val="001A6E55"/>
    <w:rsid w:val="001B07D3"/>
    <w:rsid w:val="001B12D3"/>
    <w:rsid w:val="001B16F4"/>
    <w:rsid w:val="001B1B38"/>
    <w:rsid w:val="001B2FFF"/>
    <w:rsid w:val="001B3D85"/>
    <w:rsid w:val="001B45DD"/>
    <w:rsid w:val="001B4AF7"/>
    <w:rsid w:val="001B5174"/>
    <w:rsid w:val="001B5210"/>
    <w:rsid w:val="001B5817"/>
    <w:rsid w:val="001B5AFB"/>
    <w:rsid w:val="001B7C2C"/>
    <w:rsid w:val="001C00E2"/>
    <w:rsid w:val="001C05DB"/>
    <w:rsid w:val="001C0D43"/>
    <w:rsid w:val="001C23B6"/>
    <w:rsid w:val="001C2BF0"/>
    <w:rsid w:val="001C2E4E"/>
    <w:rsid w:val="001C3129"/>
    <w:rsid w:val="001C34E6"/>
    <w:rsid w:val="001C46DC"/>
    <w:rsid w:val="001C4828"/>
    <w:rsid w:val="001C6C30"/>
    <w:rsid w:val="001C77BF"/>
    <w:rsid w:val="001C79FF"/>
    <w:rsid w:val="001C7E55"/>
    <w:rsid w:val="001D000B"/>
    <w:rsid w:val="001D009F"/>
    <w:rsid w:val="001D0860"/>
    <w:rsid w:val="001D16F7"/>
    <w:rsid w:val="001D1A20"/>
    <w:rsid w:val="001D1B71"/>
    <w:rsid w:val="001D21D9"/>
    <w:rsid w:val="001D2E9B"/>
    <w:rsid w:val="001D3D0A"/>
    <w:rsid w:val="001D496D"/>
    <w:rsid w:val="001D508D"/>
    <w:rsid w:val="001D51D9"/>
    <w:rsid w:val="001D55EC"/>
    <w:rsid w:val="001D5BAF"/>
    <w:rsid w:val="001D5F4A"/>
    <w:rsid w:val="001D677D"/>
    <w:rsid w:val="001D6A0A"/>
    <w:rsid w:val="001D6B3B"/>
    <w:rsid w:val="001D6BA5"/>
    <w:rsid w:val="001D7011"/>
    <w:rsid w:val="001D71B6"/>
    <w:rsid w:val="001E0824"/>
    <w:rsid w:val="001E141D"/>
    <w:rsid w:val="001E1828"/>
    <w:rsid w:val="001E2193"/>
    <w:rsid w:val="001E2418"/>
    <w:rsid w:val="001E2AFB"/>
    <w:rsid w:val="001E2E5A"/>
    <w:rsid w:val="001E430B"/>
    <w:rsid w:val="001E5B13"/>
    <w:rsid w:val="001E5CEA"/>
    <w:rsid w:val="001E733F"/>
    <w:rsid w:val="001E7916"/>
    <w:rsid w:val="001E7CA0"/>
    <w:rsid w:val="001F07A9"/>
    <w:rsid w:val="001F0BFD"/>
    <w:rsid w:val="001F1168"/>
    <w:rsid w:val="001F1275"/>
    <w:rsid w:val="001F1F11"/>
    <w:rsid w:val="001F2870"/>
    <w:rsid w:val="001F2DC7"/>
    <w:rsid w:val="001F32F8"/>
    <w:rsid w:val="001F361D"/>
    <w:rsid w:val="001F3A65"/>
    <w:rsid w:val="001F4991"/>
    <w:rsid w:val="001F4C9D"/>
    <w:rsid w:val="001F5453"/>
    <w:rsid w:val="001F57DF"/>
    <w:rsid w:val="001F64DB"/>
    <w:rsid w:val="001F692C"/>
    <w:rsid w:val="001F6A28"/>
    <w:rsid w:val="001F6BAA"/>
    <w:rsid w:val="001F7049"/>
    <w:rsid w:val="001F7C95"/>
    <w:rsid w:val="002002C8"/>
    <w:rsid w:val="00200745"/>
    <w:rsid w:val="00200DF4"/>
    <w:rsid w:val="0020141B"/>
    <w:rsid w:val="00201889"/>
    <w:rsid w:val="00202A6D"/>
    <w:rsid w:val="0020456D"/>
    <w:rsid w:val="002049CF"/>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30E4A"/>
    <w:rsid w:val="00230EE6"/>
    <w:rsid w:val="002318F8"/>
    <w:rsid w:val="002330FF"/>
    <w:rsid w:val="00233191"/>
    <w:rsid w:val="00233230"/>
    <w:rsid w:val="0023569F"/>
    <w:rsid w:val="002374DE"/>
    <w:rsid w:val="0024014D"/>
    <w:rsid w:val="00241102"/>
    <w:rsid w:val="00241BD0"/>
    <w:rsid w:val="00241E12"/>
    <w:rsid w:val="002423F2"/>
    <w:rsid w:val="00242B5A"/>
    <w:rsid w:val="00242F63"/>
    <w:rsid w:val="0024349D"/>
    <w:rsid w:val="0024351A"/>
    <w:rsid w:val="00243C7D"/>
    <w:rsid w:val="002441FF"/>
    <w:rsid w:val="002451DC"/>
    <w:rsid w:val="00245261"/>
    <w:rsid w:val="00245835"/>
    <w:rsid w:val="002458C0"/>
    <w:rsid w:val="00245D5D"/>
    <w:rsid w:val="00246915"/>
    <w:rsid w:val="002477AC"/>
    <w:rsid w:val="00247959"/>
    <w:rsid w:val="002507BC"/>
    <w:rsid w:val="00250A97"/>
    <w:rsid w:val="00250BEA"/>
    <w:rsid w:val="00250E0A"/>
    <w:rsid w:val="00251098"/>
    <w:rsid w:val="00251242"/>
    <w:rsid w:val="002518F2"/>
    <w:rsid w:val="00251CC0"/>
    <w:rsid w:val="002522EB"/>
    <w:rsid w:val="00253252"/>
    <w:rsid w:val="0025343C"/>
    <w:rsid w:val="002536C1"/>
    <w:rsid w:val="00255E0E"/>
    <w:rsid w:val="0025687D"/>
    <w:rsid w:val="00256998"/>
    <w:rsid w:val="002602A9"/>
    <w:rsid w:val="00260D94"/>
    <w:rsid w:val="00260DBA"/>
    <w:rsid w:val="002621F6"/>
    <w:rsid w:val="00262BC0"/>
    <w:rsid w:val="002639F2"/>
    <w:rsid w:val="00264AC4"/>
    <w:rsid w:val="00264D70"/>
    <w:rsid w:val="002651D2"/>
    <w:rsid w:val="00265DF6"/>
    <w:rsid w:val="002666D1"/>
    <w:rsid w:val="002667EA"/>
    <w:rsid w:val="00267199"/>
    <w:rsid w:val="0026766C"/>
    <w:rsid w:val="002676A2"/>
    <w:rsid w:val="00271E37"/>
    <w:rsid w:val="00273A95"/>
    <w:rsid w:val="002742D7"/>
    <w:rsid w:val="0027466E"/>
    <w:rsid w:val="002764FB"/>
    <w:rsid w:val="002768DB"/>
    <w:rsid w:val="002772F4"/>
    <w:rsid w:val="00277C0C"/>
    <w:rsid w:val="00280C06"/>
    <w:rsid w:val="0028126A"/>
    <w:rsid w:val="002813C2"/>
    <w:rsid w:val="002816F8"/>
    <w:rsid w:val="0028232F"/>
    <w:rsid w:val="002824BD"/>
    <w:rsid w:val="00283A6E"/>
    <w:rsid w:val="00283E11"/>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1EAC"/>
    <w:rsid w:val="002A2503"/>
    <w:rsid w:val="002A2A1B"/>
    <w:rsid w:val="002A4DA7"/>
    <w:rsid w:val="002A4FB3"/>
    <w:rsid w:val="002A568B"/>
    <w:rsid w:val="002A5ACF"/>
    <w:rsid w:val="002A5C3B"/>
    <w:rsid w:val="002A5E4E"/>
    <w:rsid w:val="002A6E26"/>
    <w:rsid w:val="002A70AC"/>
    <w:rsid w:val="002B10E9"/>
    <w:rsid w:val="002B14DF"/>
    <w:rsid w:val="002B15AD"/>
    <w:rsid w:val="002B4010"/>
    <w:rsid w:val="002B481B"/>
    <w:rsid w:val="002B4BE3"/>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5259"/>
    <w:rsid w:val="002C60D5"/>
    <w:rsid w:val="002C68A2"/>
    <w:rsid w:val="002C6B70"/>
    <w:rsid w:val="002C705B"/>
    <w:rsid w:val="002C72EA"/>
    <w:rsid w:val="002D0871"/>
    <w:rsid w:val="002D0922"/>
    <w:rsid w:val="002D145D"/>
    <w:rsid w:val="002D15D3"/>
    <w:rsid w:val="002D1C51"/>
    <w:rsid w:val="002D30ED"/>
    <w:rsid w:val="002D3265"/>
    <w:rsid w:val="002D35C2"/>
    <w:rsid w:val="002D41F0"/>
    <w:rsid w:val="002D492B"/>
    <w:rsid w:val="002D4D55"/>
    <w:rsid w:val="002D57DA"/>
    <w:rsid w:val="002D597B"/>
    <w:rsid w:val="002D6889"/>
    <w:rsid w:val="002D6F4D"/>
    <w:rsid w:val="002D71EA"/>
    <w:rsid w:val="002D75C7"/>
    <w:rsid w:val="002D7A24"/>
    <w:rsid w:val="002D7AD6"/>
    <w:rsid w:val="002D7B2A"/>
    <w:rsid w:val="002E00D1"/>
    <w:rsid w:val="002E02A9"/>
    <w:rsid w:val="002E0BFD"/>
    <w:rsid w:val="002E10CD"/>
    <w:rsid w:val="002E111A"/>
    <w:rsid w:val="002E1710"/>
    <w:rsid w:val="002E1751"/>
    <w:rsid w:val="002E346C"/>
    <w:rsid w:val="002E4104"/>
    <w:rsid w:val="002E456C"/>
    <w:rsid w:val="002E4D4F"/>
    <w:rsid w:val="002E5136"/>
    <w:rsid w:val="002E52B9"/>
    <w:rsid w:val="002E66C4"/>
    <w:rsid w:val="002E7868"/>
    <w:rsid w:val="002F0129"/>
    <w:rsid w:val="002F088C"/>
    <w:rsid w:val="002F09C5"/>
    <w:rsid w:val="002F0F0A"/>
    <w:rsid w:val="002F0F0E"/>
    <w:rsid w:val="002F2379"/>
    <w:rsid w:val="002F44F9"/>
    <w:rsid w:val="002F5568"/>
    <w:rsid w:val="002F5F54"/>
    <w:rsid w:val="002F6CA7"/>
    <w:rsid w:val="002F7D07"/>
    <w:rsid w:val="00300258"/>
    <w:rsid w:val="003008E2"/>
    <w:rsid w:val="00300CF4"/>
    <w:rsid w:val="00302CA6"/>
    <w:rsid w:val="00302CD0"/>
    <w:rsid w:val="003031B5"/>
    <w:rsid w:val="0030359D"/>
    <w:rsid w:val="003053C8"/>
    <w:rsid w:val="00305458"/>
    <w:rsid w:val="00306032"/>
    <w:rsid w:val="0030619F"/>
    <w:rsid w:val="0030668A"/>
    <w:rsid w:val="003066D7"/>
    <w:rsid w:val="00306A86"/>
    <w:rsid w:val="00306CEA"/>
    <w:rsid w:val="00306E3B"/>
    <w:rsid w:val="003077CF"/>
    <w:rsid w:val="00310483"/>
    <w:rsid w:val="00310D4A"/>
    <w:rsid w:val="003111B9"/>
    <w:rsid w:val="003112BE"/>
    <w:rsid w:val="00311355"/>
    <w:rsid w:val="00312C1A"/>
    <w:rsid w:val="0031316A"/>
    <w:rsid w:val="003132AE"/>
    <w:rsid w:val="003133B4"/>
    <w:rsid w:val="003136FD"/>
    <w:rsid w:val="003138F9"/>
    <w:rsid w:val="00315173"/>
    <w:rsid w:val="00315747"/>
    <w:rsid w:val="00317888"/>
    <w:rsid w:val="00317C9F"/>
    <w:rsid w:val="00317D36"/>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2054"/>
    <w:rsid w:val="003321D1"/>
    <w:rsid w:val="00332397"/>
    <w:rsid w:val="0033239B"/>
    <w:rsid w:val="00332E23"/>
    <w:rsid w:val="00333FD4"/>
    <w:rsid w:val="0033429D"/>
    <w:rsid w:val="00334953"/>
    <w:rsid w:val="00334EF8"/>
    <w:rsid w:val="00335139"/>
    <w:rsid w:val="003356F1"/>
    <w:rsid w:val="00340115"/>
    <w:rsid w:val="0034074E"/>
    <w:rsid w:val="00341650"/>
    <w:rsid w:val="00342627"/>
    <w:rsid w:val="0034266C"/>
    <w:rsid w:val="00343E21"/>
    <w:rsid w:val="00344A5B"/>
    <w:rsid w:val="00344AE0"/>
    <w:rsid w:val="003452DA"/>
    <w:rsid w:val="0034558C"/>
    <w:rsid w:val="00345912"/>
    <w:rsid w:val="00345B60"/>
    <w:rsid w:val="00345EDF"/>
    <w:rsid w:val="003464CD"/>
    <w:rsid w:val="00346807"/>
    <w:rsid w:val="00346D66"/>
    <w:rsid w:val="00346E9D"/>
    <w:rsid w:val="00347516"/>
    <w:rsid w:val="00347F04"/>
    <w:rsid w:val="0035126E"/>
    <w:rsid w:val="00351CE7"/>
    <w:rsid w:val="00351FA8"/>
    <w:rsid w:val="00352769"/>
    <w:rsid w:val="00352E68"/>
    <w:rsid w:val="003532E2"/>
    <w:rsid w:val="003542D6"/>
    <w:rsid w:val="00354CA9"/>
    <w:rsid w:val="003569A0"/>
    <w:rsid w:val="00360CD9"/>
    <w:rsid w:val="0036124B"/>
    <w:rsid w:val="003622F1"/>
    <w:rsid w:val="00362834"/>
    <w:rsid w:val="003628FE"/>
    <w:rsid w:val="00363327"/>
    <w:rsid w:val="00363FF5"/>
    <w:rsid w:val="0036658D"/>
    <w:rsid w:val="00366764"/>
    <w:rsid w:val="00370A28"/>
    <w:rsid w:val="00371D57"/>
    <w:rsid w:val="0037212A"/>
    <w:rsid w:val="003721DA"/>
    <w:rsid w:val="00372D83"/>
    <w:rsid w:val="00372DF8"/>
    <w:rsid w:val="0037347F"/>
    <w:rsid w:val="00373CF8"/>
    <w:rsid w:val="0037431B"/>
    <w:rsid w:val="00374399"/>
    <w:rsid w:val="0037560A"/>
    <w:rsid w:val="00376262"/>
    <w:rsid w:val="003763A1"/>
    <w:rsid w:val="003768E2"/>
    <w:rsid w:val="0037760E"/>
    <w:rsid w:val="0038054C"/>
    <w:rsid w:val="003805D3"/>
    <w:rsid w:val="003809AF"/>
    <w:rsid w:val="00380B36"/>
    <w:rsid w:val="003817A7"/>
    <w:rsid w:val="003817C0"/>
    <w:rsid w:val="0038191F"/>
    <w:rsid w:val="003819CC"/>
    <w:rsid w:val="00381B0C"/>
    <w:rsid w:val="0038290A"/>
    <w:rsid w:val="00382F22"/>
    <w:rsid w:val="003830A8"/>
    <w:rsid w:val="00384541"/>
    <w:rsid w:val="003856C4"/>
    <w:rsid w:val="003864B1"/>
    <w:rsid w:val="00386623"/>
    <w:rsid w:val="003902D5"/>
    <w:rsid w:val="00390CF9"/>
    <w:rsid w:val="00391C58"/>
    <w:rsid w:val="00391C9B"/>
    <w:rsid w:val="00392D78"/>
    <w:rsid w:val="00393264"/>
    <w:rsid w:val="003953C1"/>
    <w:rsid w:val="00395F8F"/>
    <w:rsid w:val="003968A6"/>
    <w:rsid w:val="0039793B"/>
    <w:rsid w:val="003A07F8"/>
    <w:rsid w:val="003A1055"/>
    <w:rsid w:val="003A10AE"/>
    <w:rsid w:val="003A2176"/>
    <w:rsid w:val="003A2612"/>
    <w:rsid w:val="003A32A9"/>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862"/>
    <w:rsid w:val="003A6BD9"/>
    <w:rsid w:val="003A6D3A"/>
    <w:rsid w:val="003A7D48"/>
    <w:rsid w:val="003B0BF4"/>
    <w:rsid w:val="003B1111"/>
    <w:rsid w:val="003B1933"/>
    <w:rsid w:val="003B30B3"/>
    <w:rsid w:val="003B3666"/>
    <w:rsid w:val="003B41C7"/>
    <w:rsid w:val="003B496A"/>
    <w:rsid w:val="003B5FA0"/>
    <w:rsid w:val="003B6047"/>
    <w:rsid w:val="003B64C0"/>
    <w:rsid w:val="003B693F"/>
    <w:rsid w:val="003B6DEA"/>
    <w:rsid w:val="003B6ECC"/>
    <w:rsid w:val="003B7250"/>
    <w:rsid w:val="003B7835"/>
    <w:rsid w:val="003B79B9"/>
    <w:rsid w:val="003B7A6C"/>
    <w:rsid w:val="003B7E92"/>
    <w:rsid w:val="003C01AC"/>
    <w:rsid w:val="003C04A9"/>
    <w:rsid w:val="003C0D77"/>
    <w:rsid w:val="003C0FEC"/>
    <w:rsid w:val="003C10E1"/>
    <w:rsid w:val="003C1852"/>
    <w:rsid w:val="003C1943"/>
    <w:rsid w:val="003C2214"/>
    <w:rsid w:val="003C2B5C"/>
    <w:rsid w:val="003C308E"/>
    <w:rsid w:val="003C4506"/>
    <w:rsid w:val="003C4DB4"/>
    <w:rsid w:val="003C4E4D"/>
    <w:rsid w:val="003C5308"/>
    <w:rsid w:val="003C6438"/>
    <w:rsid w:val="003C6D1D"/>
    <w:rsid w:val="003C6E27"/>
    <w:rsid w:val="003C6F87"/>
    <w:rsid w:val="003C7251"/>
    <w:rsid w:val="003C776C"/>
    <w:rsid w:val="003D02CD"/>
    <w:rsid w:val="003D332D"/>
    <w:rsid w:val="003D3787"/>
    <w:rsid w:val="003D436D"/>
    <w:rsid w:val="003D4EC0"/>
    <w:rsid w:val="003D506A"/>
    <w:rsid w:val="003D5FD3"/>
    <w:rsid w:val="003D61B5"/>
    <w:rsid w:val="003D7F56"/>
    <w:rsid w:val="003E11AE"/>
    <w:rsid w:val="003E1D8E"/>
    <w:rsid w:val="003E28EB"/>
    <w:rsid w:val="003E3939"/>
    <w:rsid w:val="003E3B30"/>
    <w:rsid w:val="003E44E5"/>
    <w:rsid w:val="003E45D7"/>
    <w:rsid w:val="003E4D6F"/>
    <w:rsid w:val="003E53BB"/>
    <w:rsid w:val="003E54EB"/>
    <w:rsid w:val="003E5A6B"/>
    <w:rsid w:val="003E65F5"/>
    <w:rsid w:val="003E69BA"/>
    <w:rsid w:val="003E7287"/>
    <w:rsid w:val="003E7437"/>
    <w:rsid w:val="003E7EE9"/>
    <w:rsid w:val="003E7FC1"/>
    <w:rsid w:val="003F0F5F"/>
    <w:rsid w:val="003F1034"/>
    <w:rsid w:val="003F1EF0"/>
    <w:rsid w:val="003F3EA5"/>
    <w:rsid w:val="003F4461"/>
    <w:rsid w:val="003F4A0E"/>
    <w:rsid w:val="003F4D08"/>
    <w:rsid w:val="003F589D"/>
    <w:rsid w:val="003F58AF"/>
    <w:rsid w:val="003F63C0"/>
    <w:rsid w:val="003F6728"/>
    <w:rsid w:val="003F6F4E"/>
    <w:rsid w:val="00400C56"/>
    <w:rsid w:val="00400F0F"/>
    <w:rsid w:val="004010B8"/>
    <w:rsid w:val="0040136C"/>
    <w:rsid w:val="00401663"/>
    <w:rsid w:val="00401924"/>
    <w:rsid w:val="0040197F"/>
    <w:rsid w:val="00401C77"/>
    <w:rsid w:val="00401CBF"/>
    <w:rsid w:val="004021BD"/>
    <w:rsid w:val="00402838"/>
    <w:rsid w:val="00402E87"/>
    <w:rsid w:val="0040325C"/>
    <w:rsid w:val="00403A29"/>
    <w:rsid w:val="004043E9"/>
    <w:rsid w:val="00404967"/>
    <w:rsid w:val="00404D7E"/>
    <w:rsid w:val="00405D30"/>
    <w:rsid w:val="004067BC"/>
    <w:rsid w:val="00406814"/>
    <w:rsid w:val="00406B81"/>
    <w:rsid w:val="004070B7"/>
    <w:rsid w:val="004078AA"/>
    <w:rsid w:val="00410D98"/>
    <w:rsid w:val="00412179"/>
    <w:rsid w:val="00413366"/>
    <w:rsid w:val="0041365C"/>
    <w:rsid w:val="00413C81"/>
    <w:rsid w:val="004143CB"/>
    <w:rsid w:val="004147AC"/>
    <w:rsid w:val="00414CDE"/>
    <w:rsid w:val="00414E3B"/>
    <w:rsid w:val="00414FEA"/>
    <w:rsid w:val="0041564F"/>
    <w:rsid w:val="00415998"/>
    <w:rsid w:val="00415C11"/>
    <w:rsid w:val="0041625C"/>
    <w:rsid w:val="004165DC"/>
    <w:rsid w:val="00416B0F"/>
    <w:rsid w:val="0041712E"/>
    <w:rsid w:val="004201D8"/>
    <w:rsid w:val="00420950"/>
    <w:rsid w:val="00420F2A"/>
    <w:rsid w:val="004216A9"/>
    <w:rsid w:val="00421CA3"/>
    <w:rsid w:val="00421D14"/>
    <w:rsid w:val="00421FA5"/>
    <w:rsid w:val="00422FBD"/>
    <w:rsid w:val="00423047"/>
    <w:rsid w:val="0042434D"/>
    <w:rsid w:val="00424E9C"/>
    <w:rsid w:val="00427176"/>
    <w:rsid w:val="00427682"/>
    <w:rsid w:val="004301DA"/>
    <w:rsid w:val="00430527"/>
    <w:rsid w:val="00430C55"/>
    <w:rsid w:val="00431DA5"/>
    <w:rsid w:val="00432187"/>
    <w:rsid w:val="00433A7A"/>
    <w:rsid w:val="00433E14"/>
    <w:rsid w:val="00433F76"/>
    <w:rsid w:val="00434298"/>
    <w:rsid w:val="004348BB"/>
    <w:rsid w:val="00434915"/>
    <w:rsid w:val="0043553A"/>
    <w:rsid w:val="00435568"/>
    <w:rsid w:val="0043678A"/>
    <w:rsid w:val="004369B2"/>
    <w:rsid w:val="00437204"/>
    <w:rsid w:val="00437C25"/>
    <w:rsid w:val="00440EFA"/>
    <w:rsid w:val="004410A6"/>
    <w:rsid w:val="00441578"/>
    <w:rsid w:val="00441FB4"/>
    <w:rsid w:val="004422B4"/>
    <w:rsid w:val="004427EB"/>
    <w:rsid w:val="00442906"/>
    <w:rsid w:val="00442B92"/>
    <w:rsid w:val="00442D9C"/>
    <w:rsid w:val="00444A9D"/>
    <w:rsid w:val="00445B98"/>
    <w:rsid w:val="004462E1"/>
    <w:rsid w:val="00446423"/>
    <w:rsid w:val="00446689"/>
    <w:rsid w:val="00450059"/>
    <w:rsid w:val="004502CD"/>
    <w:rsid w:val="004505AF"/>
    <w:rsid w:val="00450DE8"/>
    <w:rsid w:val="004515C2"/>
    <w:rsid w:val="004518AF"/>
    <w:rsid w:val="004529BD"/>
    <w:rsid w:val="00453FF2"/>
    <w:rsid w:val="004540D9"/>
    <w:rsid w:val="004542FA"/>
    <w:rsid w:val="00455806"/>
    <w:rsid w:val="00455889"/>
    <w:rsid w:val="00455A8E"/>
    <w:rsid w:val="00456A1A"/>
    <w:rsid w:val="004577C1"/>
    <w:rsid w:val="00457F04"/>
    <w:rsid w:val="00460298"/>
    <w:rsid w:val="004611C1"/>
    <w:rsid w:val="0046146E"/>
    <w:rsid w:val="00461B4B"/>
    <w:rsid w:val="00461CA6"/>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FF"/>
    <w:rsid w:val="0047086A"/>
    <w:rsid w:val="00470EEA"/>
    <w:rsid w:val="004713D1"/>
    <w:rsid w:val="00472013"/>
    <w:rsid w:val="00472138"/>
    <w:rsid w:val="004721B2"/>
    <w:rsid w:val="004725E6"/>
    <w:rsid w:val="0047379E"/>
    <w:rsid w:val="00474848"/>
    <w:rsid w:val="00475E2D"/>
    <w:rsid w:val="0047630E"/>
    <w:rsid w:val="00476460"/>
    <w:rsid w:val="004765BA"/>
    <w:rsid w:val="00476EA2"/>
    <w:rsid w:val="0048004B"/>
    <w:rsid w:val="00480944"/>
    <w:rsid w:val="00480C58"/>
    <w:rsid w:val="0048106A"/>
    <w:rsid w:val="00481476"/>
    <w:rsid w:val="00481536"/>
    <w:rsid w:val="0048173D"/>
    <w:rsid w:val="004827B2"/>
    <w:rsid w:val="00482A0C"/>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F39"/>
    <w:rsid w:val="00490F6A"/>
    <w:rsid w:val="0049134B"/>
    <w:rsid w:val="00491ED9"/>
    <w:rsid w:val="00492994"/>
    <w:rsid w:val="004939D7"/>
    <w:rsid w:val="004944F8"/>
    <w:rsid w:val="00494CD6"/>
    <w:rsid w:val="004955D2"/>
    <w:rsid w:val="00496FEA"/>
    <w:rsid w:val="0049743B"/>
    <w:rsid w:val="00497579"/>
    <w:rsid w:val="00497C4D"/>
    <w:rsid w:val="00497DE4"/>
    <w:rsid w:val="004A13F5"/>
    <w:rsid w:val="004A15B3"/>
    <w:rsid w:val="004A1709"/>
    <w:rsid w:val="004A3038"/>
    <w:rsid w:val="004A336A"/>
    <w:rsid w:val="004A33CD"/>
    <w:rsid w:val="004A38B9"/>
    <w:rsid w:val="004A4803"/>
    <w:rsid w:val="004A4E9A"/>
    <w:rsid w:val="004A74D2"/>
    <w:rsid w:val="004B0B07"/>
    <w:rsid w:val="004B0B1D"/>
    <w:rsid w:val="004B197E"/>
    <w:rsid w:val="004B292A"/>
    <w:rsid w:val="004B2A77"/>
    <w:rsid w:val="004B2C2D"/>
    <w:rsid w:val="004B3B4A"/>
    <w:rsid w:val="004B3E74"/>
    <w:rsid w:val="004B3FD9"/>
    <w:rsid w:val="004B6512"/>
    <w:rsid w:val="004B69B2"/>
    <w:rsid w:val="004B728F"/>
    <w:rsid w:val="004B75EC"/>
    <w:rsid w:val="004B782D"/>
    <w:rsid w:val="004B7A7A"/>
    <w:rsid w:val="004B7D0D"/>
    <w:rsid w:val="004C070C"/>
    <w:rsid w:val="004C1866"/>
    <w:rsid w:val="004C2776"/>
    <w:rsid w:val="004C2C08"/>
    <w:rsid w:val="004C33EB"/>
    <w:rsid w:val="004C3FF1"/>
    <w:rsid w:val="004C45C6"/>
    <w:rsid w:val="004C462E"/>
    <w:rsid w:val="004C47BE"/>
    <w:rsid w:val="004C56BB"/>
    <w:rsid w:val="004C6B21"/>
    <w:rsid w:val="004C6D9C"/>
    <w:rsid w:val="004C6EDC"/>
    <w:rsid w:val="004C6F4C"/>
    <w:rsid w:val="004C74B7"/>
    <w:rsid w:val="004C7EF3"/>
    <w:rsid w:val="004D0044"/>
    <w:rsid w:val="004D0C88"/>
    <w:rsid w:val="004D0D91"/>
    <w:rsid w:val="004D12C4"/>
    <w:rsid w:val="004D13EA"/>
    <w:rsid w:val="004D1EAB"/>
    <w:rsid w:val="004D257E"/>
    <w:rsid w:val="004D25AB"/>
    <w:rsid w:val="004D2E91"/>
    <w:rsid w:val="004D364A"/>
    <w:rsid w:val="004D402E"/>
    <w:rsid w:val="004D4249"/>
    <w:rsid w:val="004D494B"/>
    <w:rsid w:val="004D5775"/>
    <w:rsid w:val="004D595F"/>
    <w:rsid w:val="004D61A8"/>
    <w:rsid w:val="004D7133"/>
    <w:rsid w:val="004D7C38"/>
    <w:rsid w:val="004D7FBF"/>
    <w:rsid w:val="004E0578"/>
    <w:rsid w:val="004E0F0B"/>
    <w:rsid w:val="004E1324"/>
    <w:rsid w:val="004E1360"/>
    <w:rsid w:val="004E1471"/>
    <w:rsid w:val="004E1996"/>
    <w:rsid w:val="004E1F6F"/>
    <w:rsid w:val="004E2151"/>
    <w:rsid w:val="004E2885"/>
    <w:rsid w:val="004E39F9"/>
    <w:rsid w:val="004E4050"/>
    <w:rsid w:val="004E420B"/>
    <w:rsid w:val="004E4B8A"/>
    <w:rsid w:val="004E5B01"/>
    <w:rsid w:val="004E67B3"/>
    <w:rsid w:val="004E7413"/>
    <w:rsid w:val="004F01F7"/>
    <w:rsid w:val="004F03C3"/>
    <w:rsid w:val="004F0C02"/>
    <w:rsid w:val="004F0C1C"/>
    <w:rsid w:val="004F1386"/>
    <w:rsid w:val="004F1449"/>
    <w:rsid w:val="004F2245"/>
    <w:rsid w:val="004F237D"/>
    <w:rsid w:val="004F2EB8"/>
    <w:rsid w:val="004F348D"/>
    <w:rsid w:val="004F3B41"/>
    <w:rsid w:val="004F50E1"/>
    <w:rsid w:val="004F53DE"/>
    <w:rsid w:val="004F5ED8"/>
    <w:rsid w:val="004F64DD"/>
    <w:rsid w:val="004F665A"/>
    <w:rsid w:val="004F7463"/>
    <w:rsid w:val="004F7699"/>
    <w:rsid w:val="00500171"/>
    <w:rsid w:val="005003A6"/>
    <w:rsid w:val="005004AB"/>
    <w:rsid w:val="005018AB"/>
    <w:rsid w:val="00501910"/>
    <w:rsid w:val="005019C1"/>
    <w:rsid w:val="005024FD"/>
    <w:rsid w:val="00502D8B"/>
    <w:rsid w:val="005033CE"/>
    <w:rsid w:val="00503F0A"/>
    <w:rsid w:val="00504107"/>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396A"/>
    <w:rsid w:val="00513985"/>
    <w:rsid w:val="00514367"/>
    <w:rsid w:val="0051535C"/>
    <w:rsid w:val="005155CD"/>
    <w:rsid w:val="00515E61"/>
    <w:rsid w:val="00517594"/>
    <w:rsid w:val="00517622"/>
    <w:rsid w:val="005179CD"/>
    <w:rsid w:val="0052033B"/>
    <w:rsid w:val="00520631"/>
    <w:rsid w:val="0052083F"/>
    <w:rsid w:val="005213C4"/>
    <w:rsid w:val="00521EAE"/>
    <w:rsid w:val="005224A0"/>
    <w:rsid w:val="00522995"/>
    <w:rsid w:val="00523375"/>
    <w:rsid w:val="005235BF"/>
    <w:rsid w:val="00523B67"/>
    <w:rsid w:val="00523D06"/>
    <w:rsid w:val="00523F73"/>
    <w:rsid w:val="00525505"/>
    <w:rsid w:val="00525A27"/>
    <w:rsid w:val="00525B5D"/>
    <w:rsid w:val="0052615D"/>
    <w:rsid w:val="00526DC0"/>
    <w:rsid w:val="00530769"/>
    <w:rsid w:val="00530F27"/>
    <w:rsid w:val="005319BD"/>
    <w:rsid w:val="00531E54"/>
    <w:rsid w:val="00531ED7"/>
    <w:rsid w:val="005322B8"/>
    <w:rsid w:val="005322E8"/>
    <w:rsid w:val="0053266B"/>
    <w:rsid w:val="00532F94"/>
    <w:rsid w:val="005331BB"/>
    <w:rsid w:val="005334E9"/>
    <w:rsid w:val="00533B0C"/>
    <w:rsid w:val="005340E9"/>
    <w:rsid w:val="005342DE"/>
    <w:rsid w:val="00534663"/>
    <w:rsid w:val="00534829"/>
    <w:rsid w:val="00534F0F"/>
    <w:rsid w:val="00535855"/>
    <w:rsid w:val="00536266"/>
    <w:rsid w:val="00536947"/>
    <w:rsid w:val="00536F59"/>
    <w:rsid w:val="00537D53"/>
    <w:rsid w:val="005401F3"/>
    <w:rsid w:val="00540D34"/>
    <w:rsid w:val="0054138E"/>
    <w:rsid w:val="00541F19"/>
    <w:rsid w:val="005426B7"/>
    <w:rsid w:val="005430ED"/>
    <w:rsid w:val="005446B0"/>
    <w:rsid w:val="005448AE"/>
    <w:rsid w:val="005459A8"/>
    <w:rsid w:val="00545FA0"/>
    <w:rsid w:val="00546143"/>
    <w:rsid w:val="005473C2"/>
    <w:rsid w:val="00547A80"/>
    <w:rsid w:val="005506F0"/>
    <w:rsid w:val="0055088F"/>
    <w:rsid w:val="00550D9A"/>
    <w:rsid w:val="005510B1"/>
    <w:rsid w:val="00551459"/>
    <w:rsid w:val="00551785"/>
    <w:rsid w:val="00552927"/>
    <w:rsid w:val="00552C72"/>
    <w:rsid w:val="00553544"/>
    <w:rsid w:val="0055371A"/>
    <w:rsid w:val="00553ADE"/>
    <w:rsid w:val="00553B49"/>
    <w:rsid w:val="005542B2"/>
    <w:rsid w:val="00554311"/>
    <w:rsid w:val="00555729"/>
    <w:rsid w:val="005566A3"/>
    <w:rsid w:val="00556E45"/>
    <w:rsid w:val="005573B3"/>
    <w:rsid w:val="005573BB"/>
    <w:rsid w:val="00557804"/>
    <w:rsid w:val="00557A50"/>
    <w:rsid w:val="00557D06"/>
    <w:rsid w:val="0056196B"/>
    <w:rsid w:val="005622AB"/>
    <w:rsid w:val="0056363D"/>
    <w:rsid w:val="005643BD"/>
    <w:rsid w:val="00564BFF"/>
    <w:rsid w:val="00564D95"/>
    <w:rsid w:val="0056509A"/>
    <w:rsid w:val="005658C5"/>
    <w:rsid w:val="00565970"/>
    <w:rsid w:val="0056613A"/>
    <w:rsid w:val="0056654D"/>
    <w:rsid w:val="005677D4"/>
    <w:rsid w:val="00571344"/>
    <w:rsid w:val="00571A0D"/>
    <w:rsid w:val="00571EAB"/>
    <w:rsid w:val="0057259D"/>
    <w:rsid w:val="00573021"/>
    <w:rsid w:val="005735FC"/>
    <w:rsid w:val="00573F6C"/>
    <w:rsid w:val="00574623"/>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85"/>
    <w:rsid w:val="00584668"/>
    <w:rsid w:val="00585959"/>
    <w:rsid w:val="00585BC2"/>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A08D0"/>
    <w:rsid w:val="005A1138"/>
    <w:rsid w:val="005A18E0"/>
    <w:rsid w:val="005A19DB"/>
    <w:rsid w:val="005A2F23"/>
    <w:rsid w:val="005A2FC0"/>
    <w:rsid w:val="005A338D"/>
    <w:rsid w:val="005A36A2"/>
    <w:rsid w:val="005A3C12"/>
    <w:rsid w:val="005A4830"/>
    <w:rsid w:val="005A4E0A"/>
    <w:rsid w:val="005A4FB1"/>
    <w:rsid w:val="005A79B9"/>
    <w:rsid w:val="005A7BC0"/>
    <w:rsid w:val="005A7D62"/>
    <w:rsid w:val="005B0A78"/>
    <w:rsid w:val="005B0B58"/>
    <w:rsid w:val="005B188F"/>
    <w:rsid w:val="005B4004"/>
    <w:rsid w:val="005B5169"/>
    <w:rsid w:val="005B53EB"/>
    <w:rsid w:val="005B5CC2"/>
    <w:rsid w:val="005B63EF"/>
    <w:rsid w:val="005B66AD"/>
    <w:rsid w:val="005B6725"/>
    <w:rsid w:val="005B79CA"/>
    <w:rsid w:val="005B7DDF"/>
    <w:rsid w:val="005C280E"/>
    <w:rsid w:val="005C29F8"/>
    <w:rsid w:val="005C2BA4"/>
    <w:rsid w:val="005C362A"/>
    <w:rsid w:val="005C3BB5"/>
    <w:rsid w:val="005C3DF6"/>
    <w:rsid w:val="005C4311"/>
    <w:rsid w:val="005C50DB"/>
    <w:rsid w:val="005C6000"/>
    <w:rsid w:val="005C6BF5"/>
    <w:rsid w:val="005C6DCB"/>
    <w:rsid w:val="005C7E7C"/>
    <w:rsid w:val="005D0690"/>
    <w:rsid w:val="005D18BE"/>
    <w:rsid w:val="005D2BAC"/>
    <w:rsid w:val="005D2BDF"/>
    <w:rsid w:val="005D2DDB"/>
    <w:rsid w:val="005D3F8B"/>
    <w:rsid w:val="005D4362"/>
    <w:rsid w:val="005D5131"/>
    <w:rsid w:val="005D5508"/>
    <w:rsid w:val="005D604C"/>
    <w:rsid w:val="005D6713"/>
    <w:rsid w:val="005D6D24"/>
    <w:rsid w:val="005D7714"/>
    <w:rsid w:val="005E00AD"/>
    <w:rsid w:val="005E0303"/>
    <w:rsid w:val="005E1087"/>
    <w:rsid w:val="005E2440"/>
    <w:rsid w:val="005E5083"/>
    <w:rsid w:val="005E59DB"/>
    <w:rsid w:val="005E6AE6"/>
    <w:rsid w:val="005E70DD"/>
    <w:rsid w:val="005E7410"/>
    <w:rsid w:val="005E751A"/>
    <w:rsid w:val="005F00C3"/>
    <w:rsid w:val="005F0D3B"/>
    <w:rsid w:val="005F1C33"/>
    <w:rsid w:val="005F28F5"/>
    <w:rsid w:val="005F3399"/>
    <w:rsid w:val="005F408F"/>
    <w:rsid w:val="005F442C"/>
    <w:rsid w:val="005F5010"/>
    <w:rsid w:val="005F5514"/>
    <w:rsid w:val="005F55A1"/>
    <w:rsid w:val="005F5EDD"/>
    <w:rsid w:val="005F6116"/>
    <w:rsid w:val="005F61B8"/>
    <w:rsid w:val="005F7457"/>
    <w:rsid w:val="00600C5D"/>
    <w:rsid w:val="00600E15"/>
    <w:rsid w:val="006016F5"/>
    <w:rsid w:val="0060363C"/>
    <w:rsid w:val="00603B42"/>
    <w:rsid w:val="00605029"/>
    <w:rsid w:val="006051E8"/>
    <w:rsid w:val="0060541C"/>
    <w:rsid w:val="00605930"/>
    <w:rsid w:val="00605B96"/>
    <w:rsid w:val="00606346"/>
    <w:rsid w:val="00606705"/>
    <w:rsid w:val="006073AD"/>
    <w:rsid w:val="006078CF"/>
    <w:rsid w:val="006104B2"/>
    <w:rsid w:val="006122DB"/>
    <w:rsid w:val="00612978"/>
    <w:rsid w:val="00612B24"/>
    <w:rsid w:val="006133A3"/>
    <w:rsid w:val="00613CEA"/>
    <w:rsid w:val="00613D6A"/>
    <w:rsid w:val="006148DA"/>
    <w:rsid w:val="00614B2B"/>
    <w:rsid w:val="00614E43"/>
    <w:rsid w:val="00615BD0"/>
    <w:rsid w:val="006164AF"/>
    <w:rsid w:val="006164C9"/>
    <w:rsid w:val="00616510"/>
    <w:rsid w:val="00616AB4"/>
    <w:rsid w:val="00616AF8"/>
    <w:rsid w:val="00616BA4"/>
    <w:rsid w:val="00616E19"/>
    <w:rsid w:val="00617714"/>
    <w:rsid w:val="00617B8B"/>
    <w:rsid w:val="00617F81"/>
    <w:rsid w:val="00620267"/>
    <w:rsid w:val="006210B5"/>
    <w:rsid w:val="006217DF"/>
    <w:rsid w:val="00621E9E"/>
    <w:rsid w:val="006221A4"/>
    <w:rsid w:val="00622F65"/>
    <w:rsid w:val="00623954"/>
    <w:rsid w:val="00625011"/>
    <w:rsid w:val="00625DA1"/>
    <w:rsid w:val="006267C0"/>
    <w:rsid w:val="006279F2"/>
    <w:rsid w:val="00630925"/>
    <w:rsid w:val="00630A49"/>
    <w:rsid w:val="00630DF5"/>
    <w:rsid w:val="006315A8"/>
    <w:rsid w:val="006318FB"/>
    <w:rsid w:val="00631963"/>
    <w:rsid w:val="00631A85"/>
    <w:rsid w:val="0063215B"/>
    <w:rsid w:val="006335E9"/>
    <w:rsid w:val="0063426D"/>
    <w:rsid w:val="006342FA"/>
    <w:rsid w:val="0063434A"/>
    <w:rsid w:val="00634AD8"/>
    <w:rsid w:val="006357C5"/>
    <w:rsid w:val="006359CF"/>
    <w:rsid w:val="00636061"/>
    <w:rsid w:val="00636B0E"/>
    <w:rsid w:val="006376ED"/>
    <w:rsid w:val="00637BE2"/>
    <w:rsid w:val="00637C47"/>
    <w:rsid w:val="00640F04"/>
    <w:rsid w:val="00641149"/>
    <w:rsid w:val="0064117D"/>
    <w:rsid w:val="006414D9"/>
    <w:rsid w:val="00641AC8"/>
    <w:rsid w:val="006424B2"/>
    <w:rsid w:val="00642FF1"/>
    <w:rsid w:val="00642FFD"/>
    <w:rsid w:val="0064369A"/>
    <w:rsid w:val="00644A3A"/>
    <w:rsid w:val="00644AC8"/>
    <w:rsid w:val="0064501C"/>
    <w:rsid w:val="00646642"/>
    <w:rsid w:val="00646E42"/>
    <w:rsid w:val="006470C4"/>
    <w:rsid w:val="0064716E"/>
    <w:rsid w:val="006478FC"/>
    <w:rsid w:val="006479A2"/>
    <w:rsid w:val="00647F29"/>
    <w:rsid w:val="00650385"/>
    <w:rsid w:val="00650873"/>
    <w:rsid w:val="00650E5B"/>
    <w:rsid w:val="00651E83"/>
    <w:rsid w:val="00652135"/>
    <w:rsid w:val="006536FF"/>
    <w:rsid w:val="00653B49"/>
    <w:rsid w:val="00653D42"/>
    <w:rsid w:val="0065474E"/>
    <w:rsid w:val="00654A4B"/>
    <w:rsid w:val="0065503C"/>
    <w:rsid w:val="006550C3"/>
    <w:rsid w:val="006555C2"/>
    <w:rsid w:val="00655C91"/>
    <w:rsid w:val="00655F47"/>
    <w:rsid w:val="0065643A"/>
    <w:rsid w:val="00657135"/>
    <w:rsid w:val="006603CA"/>
    <w:rsid w:val="006618C8"/>
    <w:rsid w:val="006620F3"/>
    <w:rsid w:val="00662806"/>
    <w:rsid w:val="00664D35"/>
    <w:rsid w:val="00665097"/>
    <w:rsid w:val="00665E2F"/>
    <w:rsid w:val="00666042"/>
    <w:rsid w:val="00667B66"/>
    <w:rsid w:val="00670C09"/>
    <w:rsid w:val="00671E7A"/>
    <w:rsid w:val="006728F7"/>
    <w:rsid w:val="00672CF2"/>
    <w:rsid w:val="00672EE9"/>
    <w:rsid w:val="006736C1"/>
    <w:rsid w:val="00674187"/>
    <w:rsid w:val="006746B1"/>
    <w:rsid w:val="00674A5C"/>
    <w:rsid w:val="00676225"/>
    <w:rsid w:val="00676431"/>
    <w:rsid w:val="006765F7"/>
    <w:rsid w:val="0067663D"/>
    <w:rsid w:val="006766B1"/>
    <w:rsid w:val="00676950"/>
    <w:rsid w:val="00677BB1"/>
    <w:rsid w:val="00677C8C"/>
    <w:rsid w:val="006800AF"/>
    <w:rsid w:val="00680330"/>
    <w:rsid w:val="00680720"/>
    <w:rsid w:val="00681631"/>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ABA"/>
    <w:rsid w:val="0069207F"/>
    <w:rsid w:val="00692B95"/>
    <w:rsid w:val="006936D7"/>
    <w:rsid w:val="00693A7B"/>
    <w:rsid w:val="00694372"/>
    <w:rsid w:val="00694A39"/>
    <w:rsid w:val="00696E62"/>
    <w:rsid w:val="006972BA"/>
    <w:rsid w:val="006973EB"/>
    <w:rsid w:val="00697434"/>
    <w:rsid w:val="006A01BD"/>
    <w:rsid w:val="006A02EA"/>
    <w:rsid w:val="006A08B4"/>
    <w:rsid w:val="006A11BE"/>
    <w:rsid w:val="006A36C0"/>
    <w:rsid w:val="006A3AA9"/>
    <w:rsid w:val="006A417F"/>
    <w:rsid w:val="006A4596"/>
    <w:rsid w:val="006A5203"/>
    <w:rsid w:val="006A5881"/>
    <w:rsid w:val="006A7CCA"/>
    <w:rsid w:val="006B0D68"/>
    <w:rsid w:val="006B0F30"/>
    <w:rsid w:val="006B0FD9"/>
    <w:rsid w:val="006B10DC"/>
    <w:rsid w:val="006B14AD"/>
    <w:rsid w:val="006B1FFB"/>
    <w:rsid w:val="006B23FB"/>
    <w:rsid w:val="006B33AE"/>
    <w:rsid w:val="006B4436"/>
    <w:rsid w:val="006B48EA"/>
    <w:rsid w:val="006B4CA9"/>
    <w:rsid w:val="006B4D98"/>
    <w:rsid w:val="006B7031"/>
    <w:rsid w:val="006B75A3"/>
    <w:rsid w:val="006C0729"/>
    <w:rsid w:val="006C0CA1"/>
    <w:rsid w:val="006C25C4"/>
    <w:rsid w:val="006C2704"/>
    <w:rsid w:val="006C28CF"/>
    <w:rsid w:val="006C3322"/>
    <w:rsid w:val="006C3A3D"/>
    <w:rsid w:val="006C3B7E"/>
    <w:rsid w:val="006C4BB8"/>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F8F"/>
    <w:rsid w:val="006D5982"/>
    <w:rsid w:val="006D5A8B"/>
    <w:rsid w:val="006D5C56"/>
    <w:rsid w:val="006D5E8D"/>
    <w:rsid w:val="006D685F"/>
    <w:rsid w:val="006D7047"/>
    <w:rsid w:val="006D741F"/>
    <w:rsid w:val="006D77A0"/>
    <w:rsid w:val="006D7D0C"/>
    <w:rsid w:val="006D7F77"/>
    <w:rsid w:val="006E1738"/>
    <w:rsid w:val="006E1A87"/>
    <w:rsid w:val="006E2D94"/>
    <w:rsid w:val="006E3226"/>
    <w:rsid w:val="006E3F55"/>
    <w:rsid w:val="006E4B85"/>
    <w:rsid w:val="006E52F6"/>
    <w:rsid w:val="006E5AE4"/>
    <w:rsid w:val="006E60EA"/>
    <w:rsid w:val="006F0FFF"/>
    <w:rsid w:val="006F2250"/>
    <w:rsid w:val="006F2592"/>
    <w:rsid w:val="006F2A7D"/>
    <w:rsid w:val="006F3531"/>
    <w:rsid w:val="006F391E"/>
    <w:rsid w:val="006F3C93"/>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AF3"/>
    <w:rsid w:val="00707D22"/>
    <w:rsid w:val="0071007C"/>
    <w:rsid w:val="007104B6"/>
    <w:rsid w:val="00710CAA"/>
    <w:rsid w:val="00711473"/>
    <w:rsid w:val="007122B2"/>
    <w:rsid w:val="007134D3"/>
    <w:rsid w:val="0071385D"/>
    <w:rsid w:val="00713B92"/>
    <w:rsid w:val="007146BE"/>
    <w:rsid w:val="00715CA8"/>
    <w:rsid w:val="00715E1E"/>
    <w:rsid w:val="007164C1"/>
    <w:rsid w:val="00716EB9"/>
    <w:rsid w:val="00717580"/>
    <w:rsid w:val="00717710"/>
    <w:rsid w:val="007200FD"/>
    <w:rsid w:val="0072060C"/>
    <w:rsid w:val="00720AC8"/>
    <w:rsid w:val="007227E3"/>
    <w:rsid w:val="007239EC"/>
    <w:rsid w:val="00723A08"/>
    <w:rsid w:val="00724EC4"/>
    <w:rsid w:val="00724F2E"/>
    <w:rsid w:val="00725433"/>
    <w:rsid w:val="007257BA"/>
    <w:rsid w:val="00725955"/>
    <w:rsid w:val="00725A32"/>
    <w:rsid w:val="007262AD"/>
    <w:rsid w:val="007270F5"/>
    <w:rsid w:val="00727644"/>
    <w:rsid w:val="00727E58"/>
    <w:rsid w:val="007303FE"/>
    <w:rsid w:val="0073090D"/>
    <w:rsid w:val="007312B2"/>
    <w:rsid w:val="0073226E"/>
    <w:rsid w:val="007327EA"/>
    <w:rsid w:val="00733048"/>
    <w:rsid w:val="007341C1"/>
    <w:rsid w:val="00734221"/>
    <w:rsid w:val="0073456C"/>
    <w:rsid w:val="007350F7"/>
    <w:rsid w:val="007362A1"/>
    <w:rsid w:val="00736620"/>
    <w:rsid w:val="00736AE6"/>
    <w:rsid w:val="00736E83"/>
    <w:rsid w:val="00737087"/>
    <w:rsid w:val="007413DC"/>
    <w:rsid w:val="0074189E"/>
    <w:rsid w:val="007419A9"/>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FA3"/>
    <w:rsid w:val="00755AF7"/>
    <w:rsid w:val="00756827"/>
    <w:rsid w:val="00756ABA"/>
    <w:rsid w:val="00757054"/>
    <w:rsid w:val="00757B8A"/>
    <w:rsid w:val="00757D21"/>
    <w:rsid w:val="0076014E"/>
    <w:rsid w:val="00760C8C"/>
    <w:rsid w:val="007617A4"/>
    <w:rsid w:val="00762DE8"/>
    <w:rsid w:val="0076314D"/>
    <w:rsid w:val="00763780"/>
    <w:rsid w:val="007637D6"/>
    <w:rsid w:val="00763C24"/>
    <w:rsid w:val="00764FE1"/>
    <w:rsid w:val="00767A2B"/>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5716"/>
    <w:rsid w:val="007757B1"/>
    <w:rsid w:val="00775845"/>
    <w:rsid w:val="007767D3"/>
    <w:rsid w:val="00776DD1"/>
    <w:rsid w:val="00776F26"/>
    <w:rsid w:val="0077712B"/>
    <w:rsid w:val="00777946"/>
    <w:rsid w:val="007800BD"/>
    <w:rsid w:val="00780340"/>
    <w:rsid w:val="0078056F"/>
    <w:rsid w:val="00780CF3"/>
    <w:rsid w:val="007816D8"/>
    <w:rsid w:val="00781C0F"/>
    <w:rsid w:val="007822E4"/>
    <w:rsid w:val="007822FD"/>
    <w:rsid w:val="0078269B"/>
    <w:rsid w:val="007827D9"/>
    <w:rsid w:val="00782979"/>
    <w:rsid w:val="00782B5F"/>
    <w:rsid w:val="00782EC8"/>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931"/>
    <w:rsid w:val="00794A41"/>
    <w:rsid w:val="00795995"/>
    <w:rsid w:val="00795E9E"/>
    <w:rsid w:val="00796266"/>
    <w:rsid w:val="00796DC0"/>
    <w:rsid w:val="007A0221"/>
    <w:rsid w:val="007A1398"/>
    <w:rsid w:val="007A1B2A"/>
    <w:rsid w:val="007A2822"/>
    <w:rsid w:val="007A35E2"/>
    <w:rsid w:val="007A3964"/>
    <w:rsid w:val="007A3A34"/>
    <w:rsid w:val="007A467C"/>
    <w:rsid w:val="007A470E"/>
    <w:rsid w:val="007A5B63"/>
    <w:rsid w:val="007A5EC1"/>
    <w:rsid w:val="007A6310"/>
    <w:rsid w:val="007A6818"/>
    <w:rsid w:val="007A715D"/>
    <w:rsid w:val="007B0A26"/>
    <w:rsid w:val="007B1221"/>
    <w:rsid w:val="007B1B7E"/>
    <w:rsid w:val="007B1DB7"/>
    <w:rsid w:val="007B2B8D"/>
    <w:rsid w:val="007B35BE"/>
    <w:rsid w:val="007B46BF"/>
    <w:rsid w:val="007B5383"/>
    <w:rsid w:val="007B61E6"/>
    <w:rsid w:val="007B69ED"/>
    <w:rsid w:val="007B78ED"/>
    <w:rsid w:val="007B7ACE"/>
    <w:rsid w:val="007B7D25"/>
    <w:rsid w:val="007C0E6F"/>
    <w:rsid w:val="007C139C"/>
    <w:rsid w:val="007C1AC4"/>
    <w:rsid w:val="007C1BCF"/>
    <w:rsid w:val="007C1FC9"/>
    <w:rsid w:val="007C2607"/>
    <w:rsid w:val="007C2ABB"/>
    <w:rsid w:val="007C2BE4"/>
    <w:rsid w:val="007C3C89"/>
    <w:rsid w:val="007C3E25"/>
    <w:rsid w:val="007C4262"/>
    <w:rsid w:val="007C5CB2"/>
    <w:rsid w:val="007C66BF"/>
    <w:rsid w:val="007C67E2"/>
    <w:rsid w:val="007C7971"/>
    <w:rsid w:val="007C7DFF"/>
    <w:rsid w:val="007D01BC"/>
    <w:rsid w:val="007D1137"/>
    <w:rsid w:val="007D12EA"/>
    <w:rsid w:val="007D156B"/>
    <w:rsid w:val="007D219D"/>
    <w:rsid w:val="007D2F92"/>
    <w:rsid w:val="007D374D"/>
    <w:rsid w:val="007D3F55"/>
    <w:rsid w:val="007D4253"/>
    <w:rsid w:val="007D433F"/>
    <w:rsid w:val="007D435F"/>
    <w:rsid w:val="007D527A"/>
    <w:rsid w:val="007D5D8B"/>
    <w:rsid w:val="007D5FA6"/>
    <w:rsid w:val="007D6635"/>
    <w:rsid w:val="007D6BB1"/>
    <w:rsid w:val="007D798F"/>
    <w:rsid w:val="007D7A20"/>
    <w:rsid w:val="007E0A04"/>
    <w:rsid w:val="007E10E7"/>
    <w:rsid w:val="007E1738"/>
    <w:rsid w:val="007E1833"/>
    <w:rsid w:val="007E2779"/>
    <w:rsid w:val="007E3073"/>
    <w:rsid w:val="007E4314"/>
    <w:rsid w:val="007E4572"/>
    <w:rsid w:val="007E5038"/>
    <w:rsid w:val="007E57D2"/>
    <w:rsid w:val="007E58E3"/>
    <w:rsid w:val="007E5E5B"/>
    <w:rsid w:val="007E6810"/>
    <w:rsid w:val="007E6F97"/>
    <w:rsid w:val="007E6F9F"/>
    <w:rsid w:val="007E7764"/>
    <w:rsid w:val="007E7C36"/>
    <w:rsid w:val="007F0969"/>
    <w:rsid w:val="007F0C33"/>
    <w:rsid w:val="007F0CEC"/>
    <w:rsid w:val="007F10E6"/>
    <w:rsid w:val="007F1174"/>
    <w:rsid w:val="007F11D7"/>
    <w:rsid w:val="007F1383"/>
    <w:rsid w:val="007F164B"/>
    <w:rsid w:val="007F1DA7"/>
    <w:rsid w:val="007F1F79"/>
    <w:rsid w:val="007F24E2"/>
    <w:rsid w:val="007F2DDE"/>
    <w:rsid w:val="007F337D"/>
    <w:rsid w:val="007F3BA1"/>
    <w:rsid w:val="007F41FD"/>
    <w:rsid w:val="007F4592"/>
    <w:rsid w:val="007F5071"/>
    <w:rsid w:val="007F50EE"/>
    <w:rsid w:val="007F5604"/>
    <w:rsid w:val="007F6192"/>
    <w:rsid w:val="007F6756"/>
    <w:rsid w:val="007F6AFF"/>
    <w:rsid w:val="007F7E44"/>
    <w:rsid w:val="007F7FF8"/>
    <w:rsid w:val="00803155"/>
    <w:rsid w:val="00803FBB"/>
    <w:rsid w:val="0080439F"/>
    <w:rsid w:val="008043A8"/>
    <w:rsid w:val="00805DD3"/>
    <w:rsid w:val="00806AE6"/>
    <w:rsid w:val="00807AD3"/>
    <w:rsid w:val="008108AC"/>
    <w:rsid w:val="008115FD"/>
    <w:rsid w:val="00811A99"/>
    <w:rsid w:val="00811B13"/>
    <w:rsid w:val="0081430E"/>
    <w:rsid w:val="00814341"/>
    <w:rsid w:val="008149EF"/>
    <w:rsid w:val="008151EC"/>
    <w:rsid w:val="00816065"/>
    <w:rsid w:val="00817042"/>
    <w:rsid w:val="008174C3"/>
    <w:rsid w:val="008206CE"/>
    <w:rsid w:val="00820AD0"/>
    <w:rsid w:val="00821BA2"/>
    <w:rsid w:val="008221C1"/>
    <w:rsid w:val="008227D4"/>
    <w:rsid w:val="00823232"/>
    <w:rsid w:val="00823A32"/>
    <w:rsid w:val="00823B4C"/>
    <w:rsid w:val="0082411F"/>
    <w:rsid w:val="00825455"/>
    <w:rsid w:val="00825520"/>
    <w:rsid w:val="0082560D"/>
    <w:rsid w:val="0082574D"/>
    <w:rsid w:val="00825D03"/>
    <w:rsid w:val="00825F7C"/>
    <w:rsid w:val="00826A26"/>
    <w:rsid w:val="00826CF1"/>
    <w:rsid w:val="00826D36"/>
    <w:rsid w:val="00827192"/>
    <w:rsid w:val="00827EE7"/>
    <w:rsid w:val="00830178"/>
    <w:rsid w:val="00831025"/>
    <w:rsid w:val="00831752"/>
    <w:rsid w:val="00831B93"/>
    <w:rsid w:val="00831CDE"/>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F30"/>
    <w:rsid w:val="008375EB"/>
    <w:rsid w:val="00837E94"/>
    <w:rsid w:val="0084082F"/>
    <w:rsid w:val="00841302"/>
    <w:rsid w:val="00841CCE"/>
    <w:rsid w:val="00843E0F"/>
    <w:rsid w:val="008446B4"/>
    <w:rsid w:val="00844ADE"/>
    <w:rsid w:val="00845096"/>
    <w:rsid w:val="00845242"/>
    <w:rsid w:val="00845C0C"/>
    <w:rsid w:val="00846055"/>
    <w:rsid w:val="0084674B"/>
    <w:rsid w:val="008469C7"/>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55F3"/>
    <w:rsid w:val="00855879"/>
    <w:rsid w:val="0085627F"/>
    <w:rsid w:val="00856344"/>
    <w:rsid w:val="00856A9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649A"/>
    <w:rsid w:val="008667B9"/>
    <w:rsid w:val="00866B4D"/>
    <w:rsid w:val="00866DC4"/>
    <w:rsid w:val="008676CB"/>
    <w:rsid w:val="00870121"/>
    <w:rsid w:val="0087093B"/>
    <w:rsid w:val="00870B5A"/>
    <w:rsid w:val="00870D14"/>
    <w:rsid w:val="0087115E"/>
    <w:rsid w:val="008716CB"/>
    <w:rsid w:val="008719C4"/>
    <w:rsid w:val="0087345D"/>
    <w:rsid w:val="00873713"/>
    <w:rsid w:val="0087456C"/>
    <w:rsid w:val="00875068"/>
    <w:rsid w:val="008751D3"/>
    <w:rsid w:val="00876394"/>
    <w:rsid w:val="00876657"/>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8CC"/>
    <w:rsid w:val="00887C29"/>
    <w:rsid w:val="00890AC9"/>
    <w:rsid w:val="00893497"/>
    <w:rsid w:val="008942E7"/>
    <w:rsid w:val="00894709"/>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B048F"/>
    <w:rsid w:val="008B08DA"/>
    <w:rsid w:val="008B0C67"/>
    <w:rsid w:val="008B1088"/>
    <w:rsid w:val="008B2598"/>
    <w:rsid w:val="008B4009"/>
    <w:rsid w:val="008B4956"/>
    <w:rsid w:val="008B532F"/>
    <w:rsid w:val="008B600B"/>
    <w:rsid w:val="008B60E2"/>
    <w:rsid w:val="008B6511"/>
    <w:rsid w:val="008B7475"/>
    <w:rsid w:val="008B7787"/>
    <w:rsid w:val="008B7DF5"/>
    <w:rsid w:val="008C070D"/>
    <w:rsid w:val="008C0F61"/>
    <w:rsid w:val="008C26A6"/>
    <w:rsid w:val="008C2E19"/>
    <w:rsid w:val="008C390F"/>
    <w:rsid w:val="008C436C"/>
    <w:rsid w:val="008C49E3"/>
    <w:rsid w:val="008C4BD5"/>
    <w:rsid w:val="008C56EE"/>
    <w:rsid w:val="008C5922"/>
    <w:rsid w:val="008C5FD7"/>
    <w:rsid w:val="008C688A"/>
    <w:rsid w:val="008D0823"/>
    <w:rsid w:val="008D194B"/>
    <w:rsid w:val="008D1AC8"/>
    <w:rsid w:val="008D1F5C"/>
    <w:rsid w:val="008D2663"/>
    <w:rsid w:val="008D2829"/>
    <w:rsid w:val="008D3349"/>
    <w:rsid w:val="008D3482"/>
    <w:rsid w:val="008D3484"/>
    <w:rsid w:val="008D369E"/>
    <w:rsid w:val="008D433F"/>
    <w:rsid w:val="008D49D7"/>
    <w:rsid w:val="008D584B"/>
    <w:rsid w:val="008D5D5F"/>
    <w:rsid w:val="008D66A2"/>
    <w:rsid w:val="008D6AA4"/>
    <w:rsid w:val="008D794C"/>
    <w:rsid w:val="008E16F9"/>
    <w:rsid w:val="008E1C65"/>
    <w:rsid w:val="008E2491"/>
    <w:rsid w:val="008E2621"/>
    <w:rsid w:val="008E31C4"/>
    <w:rsid w:val="008E3ECC"/>
    <w:rsid w:val="008E64EB"/>
    <w:rsid w:val="008E69AC"/>
    <w:rsid w:val="008E6F00"/>
    <w:rsid w:val="008E7B87"/>
    <w:rsid w:val="008F0291"/>
    <w:rsid w:val="008F1F71"/>
    <w:rsid w:val="008F26D4"/>
    <w:rsid w:val="008F3F33"/>
    <w:rsid w:val="008F44BD"/>
    <w:rsid w:val="008F4C82"/>
    <w:rsid w:val="008F4E37"/>
    <w:rsid w:val="008F4F89"/>
    <w:rsid w:val="008F540C"/>
    <w:rsid w:val="008F5415"/>
    <w:rsid w:val="008F56AC"/>
    <w:rsid w:val="008F5DB7"/>
    <w:rsid w:val="008F7306"/>
    <w:rsid w:val="00900744"/>
    <w:rsid w:val="009008F2"/>
    <w:rsid w:val="00900A11"/>
    <w:rsid w:val="009012D4"/>
    <w:rsid w:val="009016E8"/>
    <w:rsid w:val="00902308"/>
    <w:rsid w:val="009026F3"/>
    <w:rsid w:val="009028CA"/>
    <w:rsid w:val="00903774"/>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A33"/>
    <w:rsid w:val="00915D46"/>
    <w:rsid w:val="00916835"/>
    <w:rsid w:val="00916E70"/>
    <w:rsid w:val="009170DE"/>
    <w:rsid w:val="009172F2"/>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BAA"/>
    <w:rsid w:val="00931A25"/>
    <w:rsid w:val="0093332A"/>
    <w:rsid w:val="009333BB"/>
    <w:rsid w:val="009340E3"/>
    <w:rsid w:val="0093456C"/>
    <w:rsid w:val="009353C7"/>
    <w:rsid w:val="0093562B"/>
    <w:rsid w:val="009356C1"/>
    <w:rsid w:val="00936C53"/>
    <w:rsid w:val="00937A74"/>
    <w:rsid w:val="009404D6"/>
    <w:rsid w:val="009408C2"/>
    <w:rsid w:val="009415EB"/>
    <w:rsid w:val="00941BB7"/>
    <w:rsid w:val="009437E9"/>
    <w:rsid w:val="00943A67"/>
    <w:rsid w:val="00943EFA"/>
    <w:rsid w:val="009447A3"/>
    <w:rsid w:val="00944C45"/>
    <w:rsid w:val="00944FB4"/>
    <w:rsid w:val="00945274"/>
    <w:rsid w:val="00945A25"/>
    <w:rsid w:val="00945B39"/>
    <w:rsid w:val="0094658B"/>
    <w:rsid w:val="0094735E"/>
    <w:rsid w:val="0094743F"/>
    <w:rsid w:val="00947C07"/>
    <w:rsid w:val="00950161"/>
    <w:rsid w:val="00951443"/>
    <w:rsid w:val="0095159B"/>
    <w:rsid w:val="00951A0A"/>
    <w:rsid w:val="00951F6F"/>
    <w:rsid w:val="00952078"/>
    <w:rsid w:val="00952244"/>
    <w:rsid w:val="00952282"/>
    <w:rsid w:val="009526B8"/>
    <w:rsid w:val="0095288C"/>
    <w:rsid w:val="0095471A"/>
    <w:rsid w:val="00954EDD"/>
    <w:rsid w:val="009550A6"/>
    <w:rsid w:val="0095537B"/>
    <w:rsid w:val="009553C6"/>
    <w:rsid w:val="00955FDB"/>
    <w:rsid w:val="009569B8"/>
    <w:rsid w:val="00956BFB"/>
    <w:rsid w:val="00956DB0"/>
    <w:rsid w:val="00956DFE"/>
    <w:rsid w:val="00956F82"/>
    <w:rsid w:val="0095745C"/>
    <w:rsid w:val="00957E03"/>
    <w:rsid w:val="00960F94"/>
    <w:rsid w:val="009611F2"/>
    <w:rsid w:val="009615EC"/>
    <w:rsid w:val="009616A9"/>
    <w:rsid w:val="00961E1B"/>
    <w:rsid w:val="0096257C"/>
    <w:rsid w:val="00963870"/>
    <w:rsid w:val="00963E16"/>
    <w:rsid w:val="00964467"/>
    <w:rsid w:val="00965B71"/>
    <w:rsid w:val="00965F4F"/>
    <w:rsid w:val="00966232"/>
    <w:rsid w:val="00966ED1"/>
    <w:rsid w:val="009676BE"/>
    <w:rsid w:val="009702B6"/>
    <w:rsid w:val="009705DF"/>
    <w:rsid w:val="0097078D"/>
    <w:rsid w:val="009709BF"/>
    <w:rsid w:val="0097168D"/>
    <w:rsid w:val="00972124"/>
    <w:rsid w:val="00972442"/>
    <w:rsid w:val="00972BC8"/>
    <w:rsid w:val="00973669"/>
    <w:rsid w:val="0097445D"/>
    <w:rsid w:val="00975876"/>
    <w:rsid w:val="00976DF1"/>
    <w:rsid w:val="00977D0D"/>
    <w:rsid w:val="0098003F"/>
    <w:rsid w:val="009821AF"/>
    <w:rsid w:val="00982A58"/>
    <w:rsid w:val="00983B46"/>
    <w:rsid w:val="00983FE2"/>
    <w:rsid w:val="00984301"/>
    <w:rsid w:val="009844B5"/>
    <w:rsid w:val="0098478C"/>
    <w:rsid w:val="00985234"/>
    <w:rsid w:val="00985987"/>
    <w:rsid w:val="00986037"/>
    <w:rsid w:val="00986244"/>
    <w:rsid w:val="00987611"/>
    <w:rsid w:val="009901EF"/>
    <w:rsid w:val="009906FC"/>
    <w:rsid w:val="0099146F"/>
    <w:rsid w:val="00992A44"/>
    <w:rsid w:val="009934CE"/>
    <w:rsid w:val="00993705"/>
    <w:rsid w:val="0099447D"/>
    <w:rsid w:val="009945C3"/>
    <w:rsid w:val="00995398"/>
    <w:rsid w:val="00995737"/>
    <w:rsid w:val="00995E40"/>
    <w:rsid w:val="00996297"/>
    <w:rsid w:val="00996DD5"/>
    <w:rsid w:val="00997807"/>
    <w:rsid w:val="00997B72"/>
    <w:rsid w:val="009A02AB"/>
    <w:rsid w:val="009A1058"/>
    <w:rsid w:val="009A15FD"/>
    <w:rsid w:val="009A16E4"/>
    <w:rsid w:val="009A221D"/>
    <w:rsid w:val="009A2965"/>
    <w:rsid w:val="009A378E"/>
    <w:rsid w:val="009A4BAC"/>
    <w:rsid w:val="009A5641"/>
    <w:rsid w:val="009A609D"/>
    <w:rsid w:val="009A62A4"/>
    <w:rsid w:val="009A6BE8"/>
    <w:rsid w:val="009A70E0"/>
    <w:rsid w:val="009A755E"/>
    <w:rsid w:val="009A7A16"/>
    <w:rsid w:val="009B02BC"/>
    <w:rsid w:val="009B0761"/>
    <w:rsid w:val="009B0853"/>
    <w:rsid w:val="009B0B39"/>
    <w:rsid w:val="009B122B"/>
    <w:rsid w:val="009B1F40"/>
    <w:rsid w:val="009B2B72"/>
    <w:rsid w:val="009B3481"/>
    <w:rsid w:val="009B37A2"/>
    <w:rsid w:val="009B4FDA"/>
    <w:rsid w:val="009B5A0F"/>
    <w:rsid w:val="009B6586"/>
    <w:rsid w:val="009B6C2A"/>
    <w:rsid w:val="009B739A"/>
    <w:rsid w:val="009B76C5"/>
    <w:rsid w:val="009C0E2A"/>
    <w:rsid w:val="009C2B83"/>
    <w:rsid w:val="009C394A"/>
    <w:rsid w:val="009C3CCF"/>
    <w:rsid w:val="009C4E7A"/>
    <w:rsid w:val="009C5632"/>
    <w:rsid w:val="009C5AE7"/>
    <w:rsid w:val="009C60CE"/>
    <w:rsid w:val="009C613A"/>
    <w:rsid w:val="009C6495"/>
    <w:rsid w:val="009C65E9"/>
    <w:rsid w:val="009C66EA"/>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97D"/>
    <w:rsid w:val="009E147E"/>
    <w:rsid w:val="009E186D"/>
    <w:rsid w:val="009E2199"/>
    <w:rsid w:val="009E28A5"/>
    <w:rsid w:val="009E3512"/>
    <w:rsid w:val="009E38AF"/>
    <w:rsid w:val="009E39EA"/>
    <w:rsid w:val="009E4023"/>
    <w:rsid w:val="009E40E1"/>
    <w:rsid w:val="009E470F"/>
    <w:rsid w:val="009E58E6"/>
    <w:rsid w:val="009E5C7A"/>
    <w:rsid w:val="009E7699"/>
    <w:rsid w:val="009F104E"/>
    <w:rsid w:val="009F3208"/>
    <w:rsid w:val="009F5EEA"/>
    <w:rsid w:val="009F6292"/>
    <w:rsid w:val="009F6331"/>
    <w:rsid w:val="009F64D5"/>
    <w:rsid w:val="009F69E7"/>
    <w:rsid w:val="009F6D6C"/>
    <w:rsid w:val="009F6E02"/>
    <w:rsid w:val="009F764E"/>
    <w:rsid w:val="009F79A2"/>
    <w:rsid w:val="00A017B3"/>
    <w:rsid w:val="00A018D4"/>
    <w:rsid w:val="00A01C3F"/>
    <w:rsid w:val="00A02020"/>
    <w:rsid w:val="00A032E1"/>
    <w:rsid w:val="00A03745"/>
    <w:rsid w:val="00A03EFA"/>
    <w:rsid w:val="00A06AB0"/>
    <w:rsid w:val="00A06EFB"/>
    <w:rsid w:val="00A07887"/>
    <w:rsid w:val="00A10323"/>
    <w:rsid w:val="00A104F8"/>
    <w:rsid w:val="00A10548"/>
    <w:rsid w:val="00A117F6"/>
    <w:rsid w:val="00A11BD4"/>
    <w:rsid w:val="00A11CDC"/>
    <w:rsid w:val="00A12592"/>
    <w:rsid w:val="00A12915"/>
    <w:rsid w:val="00A12F48"/>
    <w:rsid w:val="00A13E00"/>
    <w:rsid w:val="00A13F7C"/>
    <w:rsid w:val="00A148BB"/>
    <w:rsid w:val="00A14932"/>
    <w:rsid w:val="00A14AEA"/>
    <w:rsid w:val="00A14B5D"/>
    <w:rsid w:val="00A14DB4"/>
    <w:rsid w:val="00A15C8A"/>
    <w:rsid w:val="00A171A9"/>
    <w:rsid w:val="00A17ED1"/>
    <w:rsid w:val="00A20096"/>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711"/>
    <w:rsid w:val="00A328F2"/>
    <w:rsid w:val="00A32A5E"/>
    <w:rsid w:val="00A33464"/>
    <w:rsid w:val="00A33668"/>
    <w:rsid w:val="00A338F4"/>
    <w:rsid w:val="00A33C81"/>
    <w:rsid w:val="00A34F69"/>
    <w:rsid w:val="00A3674D"/>
    <w:rsid w:val="00A37231"/>
    <w:rsid w:val="00A37AF1"/>
    <w:rsid w:val="00A40EE2"/>
    <w:rsid w:val="00A429E0"/>
    <w:rsid w:val="00A42BA4"/>
    <w:rsid w:val="00A430B5"/>
    <w:rsid w:val="00A4449C"/>
    <w:rsid w:val="00A44506"/>
    <w:rsid w:val="00A447E0"/>
    <w:rsid w:val="00A44BD9"/>
    <w:rsid w:val="00A46274"/>
    <w:rsid w:val="00A46BF2"/>
    <w:rsid w:val="00A46DE5"/>
    <w:rsid w:val="00A47064"/>
    <w:rsid w:val="00A479A0"/>
    <w:rsid w:val="00A47C7A"/>
    <w:rsid w:val="00A5046C"/>
    <w:rsid w:val="00A51737"/>
    <w:rsid w:val="00A51FF7"/>
    <w:rsid w:val="00A526BE"/>
    <w:rsid w:val="00A52ABB"/>
    <w:rsid w:val="00A52D97"/>
    <w:rsid w:val="00A540E9"/>
    <w:rsid w:val="00A54544"/>
    <w:rsid w:val="00A55DCE"/>
    <w:rsid w:val="00A5601C"/>
    <w:rsid w:val="00A564E2"/>
    <w:rsid w:val="00A56893"/>
    <w:rsid w:val="00A56F73"/>
    <w:rsid w:val="00A5723B"/>
    <w:rsid w:val="00A57F1B"/>
    <w:rsid w:val="00A6073D"/>
    <w:rsid w:val="00A60743"/>
    <w:rsid w:val="00A60C3E"/>
    <w:rsid w:val="00A60DE4"/>
    <w:rsid w:val="00A619BE"/>
    <w:rsid w:val="00A62987"/>
    <w:rsid w:val="00A62D75"/>
    <w:rsid w:val="00A62E72"/>
    <w:rsid w:val="00A63347"/>
    <w:rsid w:val="00A63608"/>
    <w:rsid w:val="00A63636"/>
    <w:rsid w:val="00A63D66"/>
    <w:rsid w:val="00A6458D"/>
    <w:rsid w:val="00A64677"/>
    <w:rsid w:val="00A64749"/>
    <w:rsid w:val="00A651F2"/>
    <w:rsid w:val="00A658E3"/>
    <w:rsid w:val="00A65B1B"/>
    <w:rsid w:val="00A66715"/>
    <w:rsid w:val="00A66738"/>
    <w:rsid w:val="00A66ACC"/>
    <w:rsid w:val="00A6742B"/>
    <w:rsid w:val="00A70E62"/>
    <w:rsid w:val="00A7106F"/>
    <w:rsid w:val="00A71F5F"/>
    <w:rsid w:val="00A7200F"/>
    <w:rsid w:val="00A725EA"/>
    <w:rsid w:val="00A72CD9"/>
    <w:rsid w:val="00A73054"/>
    <w:rsid w:val="00A7412C"/>
    <w:rsid w:val="00A741CC"/>
    <w:rsid w:val="00A74AAC"/>
    <w:rsid w:val="00A7519F"/>
    <w:rsid w:val="00A770C1"/>
    <w:rsid w:val="00A77AB3"/>
    <w:rsid w:val="00A77DF9"/>
    <w:rsid w:val="00A80FEB"/>
    <w:rsid w:val="00A81191"/>
    <w:rsid w:val="00A813AC"/>
    <w:rsid w:val="00A813DA"/>
    <w:rsid w:val="00A8257D"/>
    <w:rsid w:val="00A8311A"/>
    <w:rsid w:val="00A8322F"/>
    <w:rsid w:val="00A83C7C"/>
    <w:rsid w:val="00A843B7"/>
    <w:rsid w:val="00A84871"/>
    <w:rsid w:val="00A84FF8"/>
    <w:rsid w:val="00A850D2"/>
    <w:rsid w:val="00A85449"/>
    <w:rsid w:val="00A86055"/>
    <w:rsid w:val="00A862C3"/>
    <w:rsid w:val="00A86385"/>
    <w:rsid w:val="00A869E9"/>
    <w:rsid w:val="00A870D1"/>
    <w:rsid w:val="00A8716C"/>
    <w:rsid w:val="00A875D2"/>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23BD"/>
    <w:rsid w:val="00AA265C"/>
    <w:rsid w:val="00AA2BB8"/>
    <w:rsid w:val="00AA3109"/>
    <w:rsid w:val="00AA3787"/>
    <w:rsid w:val="00AA3A28"/>
    <w:rsid w:val="00AA4DAF"/>
    <w:rsid w:val="00AA55EE"/>
    <w:rsid w:val="00AA66B9"/>
    <w:rsid w:val="00AA68A8"/>
    <w:rsid w:val="00AA6D22"/>
    <w:rsid w:val="00AA76F1"/>
    <w:rsid w:val="00AB001D"/>
    <w:rsid w:val="00AB08B1"/>
    <w:rsid w:val="00AB0D6A"/>
    <w:rsid w:val="00AB11D3"/>
    <w:rsid w:val="00AB200C"/>
    <w:rsid w:val="00AB20DA"/>
    <w:rsid w:val="00AB2A39"/>
    <w:rsid w:val="00AB38B4"/>
    <w:rsid w:val="00AB39FB"/>
    <w:rsid w:val="00AB3E77"/>
    <w:rsid w:val="00AB4BBB"/>
    <w:rsid w:val="00AB4C33"/>
    <w:rsid w:val="00AB4D3F"/>
    <w:rsid w:val="00AB4F35"/>
    <w:rsid w:val="00AB4FE1"/>
    <w:rsid w:val="00AB527A"/>
    <w:rsid w:val="00AB559A"/>
    <w:rsid w:val="00AB6873"/>
    <w:rsid w:val="00AB7284"/>
    <w:rsid w:val="00AB7E25"/>
    <w:rsid w:val="00AC0646"/>
    <w:rsid w:val="00AC10EE"/>
    <w:rsid w:val="00AC1418"/>
    <w:rsid w:val="00AC161E"/>
    <w:rsid w:val="00AC2111"/>
    <w:rsid w:val="00AC23D5"/>
    <w:rsid w:val="00AC4C6C"/>
    <w:rsid w:val="00AC53A7"/>
    <w:rsid w:val="00AC5AA5"/>
    <w:rsid w:val="00AC64F8"/>
    <w:rsid w:val="00AC79E3"/>
    <w:rsid w:val="00AC7BB6"/>
    <w:rsid w:val="00AC7DF9"/>
    <w:rsid w:val="00AD0017"/>
    <w:rsid w:val="00AD07C2"/>
    <w:rsid w:val="00AD0841"/>
    <w:rsid w:val="00AD16DC"/>
    <w:rsid w:val="00AD2361"/>
    <w:rsid w:val="00AD282D"/>
    <w:rsid w:val="00AD2C8C"/>
    <w:rsid w:val="00AD2F85"/>
    <w:rsid w:val="00AD3ABC"/>
    <w:rsid w:val="00AD3C71"/>
    <w:rsid w:val="00AD4883"/>
    <w:rsid w:val="00AD6891"/>
    <w:rsid w:val="00AD6DA0"/>
    <w:rsid w:val="00AD7470"/>
    <w:rsid w:val="00AE0C10"/>
    <w:rsid w:val="00AE129E"/>
    <w:rsid w:val="00AE1DB6"/>
    <w:rsid w:val="00AE232C"/>
    <w:rsid w:val="00AE25E2"/>
    <w:rsid w:val="00AE2880"/>
    <w:rsid w:val="00AE3220"/>
    <w:rsid w:val="00AE621D"/>
    <w:rsid w:val="00AE6466"/>
    <w:rsid w:val="00AE64F4"/>
    <w:rsid w:val="00AE6D30"/>
    <w:rsid w:val="00AE6D3B"/>
    <w:rsid w:val="00AE72CC"/>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AFB"/>
    <w:rsid w:val="00AF6970"/>
    <w:rsid w:val="00AF7190"/>
    <w:rsid w:val="00AF7AD6"/>
    <w:rsid w:val="00B00ED0"/>
    <w:rsid w:val="00B0123F"/>
    <w:rsid w:val="00B02670"/>
    <w:rsid w:val="00B02904"/>
    <w:rsid w:val="00B02B95"/>
    <w:rsid w:val="00B02C5F"/>
    <w:rsid w:val="00B032DE"/>
    <w:rsid w:val="00B03F1D"/>
    <w:rsid w:val="00B042E6"/>
    <w:rsid w:val="00B049D2"/>
    <w:rsid w:val="00B062C6"/>
    <w:rsid w:val="00B06A84"/>
    <w:rsid w:val="00B06C3E"/>
    <w:rsid w:val="00B07423"/>
    <w:rsid w:val="00B07427"/>
    <w:rsid w:val="00B0742B"/>
    <w:rsid w:val="00B07818"/>
    <w:rsid w:val="00B07CBA"/>
    <w:rsid w:val="00B10E2D"/>
    <w:rsid w:val="00B12152"/>
    <w:rsid w:val="00B1280F"/>
    <w:rsid w:val="00B139EE"/>
    <w:rsid w:val="00B14746"/>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A9D"/>
    <w:rsid w:val="00B26417"/>
    <w:rsid w:val="00B27947"/>
    <w:rsid w:val="00B302AC"/>
    <w:rsid w:val="00B30403"/>
    <w:rsid w:val="00B3121C"/>
    <w:rsid w:val="00B32CC7"/>
    <w:rsid w:val="00B33BA6"/>
    <w:rsid w:val="00B3462E"/>
    <w:rsid w:val="00B34CD5"/>
    <w:rsid w:val="00B34D52"/>
    <w:rsid w:val="00B34EE6"/>
    <w:rsid w:val="00B37700"/>
    <w:rsid w:val="00B37C74"/>
    <w:rsid w:val="00B37FB3"/>
    <w:rsid w:val="00B408EE"/>
    <w:rsid w:val="00B40DE1"/>
    <w:rsid w:val="00B4298B"/>
    <w:rsid w:val="00B43785"/>
    <w:rsid w:val="00B43D31"/>
    <w:rsid w:val="00B446FF"/>
    <w:rsid w:val="00B45AFC"/>
    <w:rsid w:val="00B45F00"/>
    <w:rsid w:val="00B461E1"/>
    <w:rsid w:val="00B46259"/>
    <w:rsid w:val="00B46857"/>
    <w:rsid w:val="00B476A3"/>
    <w:rsid w:val="00B47D91"/>
    <w:rsid w:val="00B50241"/>
    <w:rsid w:val="00B505CD"/>
    <w:rsid w:val="00B50C91"/>
    <w:rsid w:val="00B50F8A"/>
    <w:rsid w:val="00B51029"/>
    <w:rsid w:val="00B51C5C"/>
    <w:rsid w:val="00B51E62"/>
    <w:rsid w:val="00B5226C"/>
    <w:rsid w:val="00B5246B"/>
    <w:rsid w:val="00B5350E"/>
    <w:rsid w:val="00B5360D"/>
    <w:rsid w:val="00B54174"/>
    <w:rsid w:val="00B54491"/>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CF0"/>
    <w:rsid w:val="00B73485"/>
    <w:rsid w:val="00B74D9F"/>
    <w:rsid w:val="00B771D7"/>
    <w:rsid w:val="00B801B2"/>
    <w:rsid w:val="00B8277D"/>
    <w:rsid w:val="00B82897"/>
    <w:rsid w:val="00B82D3F"/>
    <w:rsid w:val="00B831A9"/>
    <w:rsid w:val="00B83857"/>
    <w:rsid w:val="00B847D9"/>
    <w:rsid w:val="00B85251"/>
    <w:rsid w:val="00B853CC"/>
    <w:rsid w:val="00B8653C"/>
    <w:rsid w:val="00B866EE"/>
    <w:rsid w:val="00B86E84"/>
    <w:rsid w:val="00B86E85"/>
    <w:rsid w:val="00B8751C"/>
    <w:rsid w:val="00B87F36"/>
    <w:rsid w:val="00B9048A"/>
    <w:rsid w:val="00B91C11"/>
    <w:rsid w:val="00B91D2A"/>
    <w:rsid w:val="00B930FA"/>
    <w:rsid w:val="00B94815"/>
    <w:rsid w:val="00B954DC"/>
    <w:rsid w:val="00B9739D"/>
    <w:rsid w:val="00B97669"/>
    <w:rsid w:val="00BA0429"/>
    <w:rsid w:val="00BA0A2B"/>
    <w:rsid w:val="00BA0C99"/>
    <w:rsid w:val="00BA0CEE"/>
    <w:rsid w:val="00BA1C69"/>
    <w:rsid w:val="00BA2104"/>
    <w:rsid w:val="00BA25C6"/>
    <w:rsid w:val="00BA2D86"/>
    <w:rsid w:val="00BA4780"/>
    <w:rsid w:val="00BA480A"/>
    <w:rsid w:val="00BA4863"/>
    <w:rsid w:val="00BA5482"/>
    <w:rsid w:val="00BA55AE"/>
    <w:rsid w:val="00BA56C8"/>
    <w:rsid w:val="00BA57AA"/>
    <w:rsid w:val="00BA687C"/>
    <w:rsid w:val="00BA709E"/>
    <w:rsid w:val="00BA70F9"/>
    <w:rsid w:val="00BB0038"/>
    <w:rsid w:val="00BB05C2"/>
    <w:rsid w:val="00BB06EF"/>
    <w:rsid w:val="00BB07A1"/>
    <w:rsid w:val="00BB08CD"/>
    <w:rsid w:val="00BB0D13"/>
    <w:rsid w:val="00BB32F3"/>
    <w:rsid w:val="00BB377B"/>
    <w:rsid w:val="00BB3D2D"/>
    <w:rsid w:val="00BB4BB2"/>
    <w:rsid w:val="00BB4FD7"/>
    <w:rsid w:val="00BB504D"/>
    <w:rsid w:val="00BB56EB"/>
    <w:rsid w:val="00BB57F4"/>
    <w:rsid w:val="00BB6859"/>
    <w:rsid w:val="00BB79DA"/>
    <w:rsid w:val="00BB7BC9"/>
    <w:rsid w:val="00BB7FC0"/>
    <w:rsid w:val="00BC060A"/>
    <w:rsid w:val="00BC0656"/>
    <w:rsid w:val="00BC0C42"/>
    <w:rsid w:val="00BC114A"/>
    <w:rsid w:val="00BC2850"/>
    <w:rsid w:val="00BC4159"/>
    <w:rsid w:val="00BC4655"/>
    <w:rsid w:val="00BC56ED"/>
    <w:rsid w:val="00BC5CA0"/>
    <w:rsid w:val="00BC62E7"/>
    <w:rsid w:val="00BC65B2"/>
    <w:rsid w:val="00BC6811"/>
    <w:rsid w:val="00BC682D"/>
    <w:rsid w:val="00BC6FE3"/>
    <w:rsid w:val="00BC72AD"/>
    <w:rsid w:val="00BC7C04"/>
    <w:rsid w:val="00BD0303"/>
    <w:rsid w:val="00BD0401"/>
    <w:rsid w:val="00BD181F"/>
    <w:rsid w:val="00BD18C1"/>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1439"/>
    <w:rsid w:val="00BE22A7"/>
    <w:rsid w:val="00BE2F38"/>
    <w:rsid w:val="00BE38AA"/>
    <w:rsid w:val="00BE3901"/>
    <w:rsid w:val="00BE4067"/>
    <w:rsid w:val="00BE4D0D"/>
    <w:rsid w:val="00BE4D98"/>
    <w:rsid w:val="00BE57DD"/>
    <w:rsid w:val="00BE7103"/>
    <w:rsid w:val="00BE77D8"/>
    <w:rsid w:val="00BE7D2E"/>
    <w:rsid w:val="00BF006D"/>
    <w:rsid w:val="00BF04FB"/>
    <w:rsid w:val="00BF1740"/>
    <w:rsid w:val="00BF232E"/>
    <w:rsid w:val="00BF2D9E"/>
    <w:rsid w:val="00BF313B"/>
    <w:rsid w:val="00BF3511"/>
    <w:rsid w:val="00BF45F7"/>
    <w:rsid w:val="00BF4690"/>
    <w:rsid w:val="00BF5EAB"/>
    <w:rsid w:val="00BF661F"/>
    <w:rsid w:val="00BF6CBD"/>
    <w:rsid w:val="00BF7575"/>
    <w:rsid w:val="00C0025D"/>
    <w:rsid w:val="00C01339"/>
    <w:rsid w:val="00C0191E"/>
    <w:rsid w:val="00C01C38"/>
    <w:rsid w:val="00C01DEB"/>
    <w:rsid w:val="00C01F99"/>
    <w:rsid w:val="00C02692"/>
    <w:rsid w:val="00C029A3"/>
    <w:rsid w:val="00C02FF5"/>
    <w:rsid w:val="00C03650"/>
    <w:rsid w:val="00C03CB4"/>
    <w:rsid w:val="00C041AB"/>
    <w:rsid w:val="00C05FF0"/>
    <w:rsid w:val="00C06B8F"/>
    <w:rsid w:val="00C07414"/>
    <w:rsid w:val="00C07BAA"/>
    <w:rsid w:val="00C10675"/>
    <w:rsid w:val="00C10A6D"/>
    <w:rsid w:val="00C11E87"/>
    <w:rsid w:val="00C12079"/>
    <w:rsid w:val="00C12403"/>
    <w:rsid w:val="00C12AD6"/>
    <w:rsid w:val="00C133FC"/>
    <w:rsid w:val="00C13FB5"/>
    <w:rsid w:val="00C1411B"/>
    <w:rsid w:val="00C14200"/>
    <w:rsid w:val="00C144E3"/>
    <w:rsid w:val="00C146B3"/>
    <w:rsid w:val="00C149D9"/>
    <w:rsid w:val="00C14D48"/>
    <w:rsid w:val="00C15355"/>
    <w:rsid w:val="00C163A8"/>
    <w:rsid w:val="00C17A08"/>
    <w:rsid w:val="00C17A3B"/>
    <w:rsid w:val="00C17DB1"/>
    <w:rsid w:val="00C203BC"/>
    <w:rsid w:val="00C20C52"/>
    <w:rsid w:val="00C20F76"/>
    <w:rsid w:val="00C227BD"/>
    <w:rsid w:val="00C22B92"/>
    <w:rsid w:val="00C2395D"/>
    <w:rsid w:val="00C24A43"/>
    <w:rsid w:val="00C24E83"/>
    <w:rsid w:val="00C2539C"/>
    <w:rsid w:val="00C259F9"/>
    <w:rsid w:val="00C25A87"/>
    <w:rsid w:val="00C25BF2"/>
    <w:rsid w:val="00C25D8B"/>
    <w:rsid w:val="00C273B0"/>
    <w:rsid w:val="00C278DD"/>
    <w:rsid w:val="00C27EAE"/>
    <w:rsid w:val="00C300B2"/>
    <w:rsid w:val="00C317C5"/>
    <w:rsid w:val="00C3192D"/>
    <w:rsid w:val="00C31AE4"/>
    <w:rsid w:val="00C325A5"/>
    <w:rsid w:val="00C33ED6"/>
    <w:rsid w:val="00C346FC"/>
    <w:rsid w:val="00C34B5F"/>
    <w:rsid w:val="00C34C0E"/>
    <w:rsid w:val="00C34F6D"/>
    <w:rsid w:val="00C3520A"/>
    <w:rsid w:val="00C35527"/>
    <w:rsid w:val="00C35777"/>
    <w:rsid w:val="00C36523"/>
    <w:rsid w:val="00C36C23"/>
    <w:rsid w:val="00C408F8"/>
    <w:rsid w:val="00C40B77"/>
    <w:rsid w:val="00C42020"/>
    <w:rsid w:val="00C426A6"/>
    <w:rsid w:val="00C429D7"/>
    <w:rsid w:val="00C42ACB"/>
    <w:rsid w:val="00C43AB2"/>
    <w:rsid w:val="00C43AD8"/>
    <w:rsid w:val="00C445F6"/>
    <w:rsid w:val="00C44A80"/>
    <w:rsid w:val="00C44DA9"/>
    <w:rsid w:val="00C469A5"/>
    <w:rsid w:val="00C470E8"/>
    <w:rsid w:val="00C47BD1"/>
    <w:rsid w:val="00C47E1D"/>
    <w:rsid w:val="00C50290"/>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9FF"/>
    <w:rsid w:val="00C613F4"/>
    <w:rsid w:val="00C61C2E"/>
    <w:rsid w:val="00C62E1E"/>
    <w:rsid w:val="00C63075"/>
    <w:rsid w:val="00C644F5"/>
    <w:rsid w:val="00C65D57"/>
    <w:rsid w:val="00C66181"/>
    <w:rsid w:val="00C663C3"/>
    <w:rsid w:val="00C7010E"/>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7356"/>
    <w:rsid w:val="00C773D6"/>
    <w:rsid w:val="00C773DB"/>
    <w:rsid w:val="00C7780C"/>
    <w:rsid w:val="00C80CA6"/>
    <w:rsid w:val="00C814C0"/>
    <w:rsid w:val="00C81DA9"/>
    <w:rsid w:val="00C81FBD"/>
    <w:rsid w:val="00C82076"/>
    <w:rsid w:val="00C82955"/>
    <w:rsid w:val="00C83443"/>
    <w:rsid w:val="00C836AB"/>
    <w:rsid w:val="00C83769"/>
    <w:rsid w:val="00C84957"/>
    <w:rsid w:val="00C86149"/>
    <w:rsid w:val="00C86164"/>
    <w:rsid w:val="00C87B9E"/>
    <w:rsid w:val="00C90152"/>
    <w:rsid w:val="00C910BC"/>
    <w:rsid w:val="00C91B94"/>
    <w:rsid w:val="00C9207A"/>
    <w:rsid w:val="00C92EE4"/>
    <w:rsid w:val="00C9488E"/>
    <w:rsid w:val="00C94EBD"/>
    <w:rsid w:val="00C94F56"/>
    <w:rsid w:val="00C95094"/>
    <w:rsid w:val="00C958EA"/>
    <w:rsid w:val="00C95C84"/>
    <w:rsid w:val="00C960B4"/>
    <w:rsid w:val="00C96236"/>
    <w:rsid w:val="00C96339"/>
    <w:rsid w:val="00C96D95"/>
    <w:rsid w:val="00CA0009"/>
    <w:rsid w:val="00CA0148"/>
    <w:rsid w:val="00CA1448"/>
    <w:rsid w:val="00CA14C2"/>
    <w:rsid w:val="00CA15B6"/>
    <w:rsid w:val="00CA1CD9"/>
    <w:rsid w:val="00CA1E5A"/>
    <w:rsid w:val="00CA2834"/>
    <w:rsid w:val="00CA2A29"/>
    <w:rsid w:val="00CA32B2"/>
    <w:rsid w:val="00CA3B2F"/>
    <w:rsid w:val="00CA41C7"/>
    <w:rsid w:val="00CA4E1D"/>
    <w:rsid w:val="00CA5009"/>
    <w:rsid w:val="00CA539F"/>
    <w:rsid w:val="00CA5B28"/>
    <w:rsid w:val="00CA62E8"/>
    <w:rsid w:val="00CA64BC"/>
    <w:rsid w:val="00CA6970"/>
    <w:rsid w:val="00CB0A72"/>
    <w:rsid w:val="00CB0E6B"/>
    <w:rsid w:val="00CB13C6"/>
    <w:rsid w:val="00CB1D10"/>
    <w:rsid w:val="00CB2050"/>
    <w:rsid w:val="00CB20E5"/>
    <w:rsid w:val="00CB252D"/>
    <w:rsid w:val="00CB34A2"/>
    <w:rsid w:val="00CB39E0"/>
    <w:rsid w:val="00CB3A6E"/>
    <w:rsid w:val="00CB3E88"/>
    <w:rsid w:val="00CB419D"/>
    <w:rsid w:val="00CB482B"/>
    <w:rsid w:val="00CB50DD"/>
    <w:rsid w:val="00CB6049"/>
    <w:rsid w:val="00CB69D6"/>
    <w:rsid w:val="00CB6E4F"/>
    <w:rsid w:val="00CB7DBA"/>
    <w:rsid w:val="00CC003C"/>
    <w:rsid w:val="00CC0BE8"/>
    <w:rsid w:val="00CC1276"/>
    <w:rsid w:val="00CC15AB"/>
    <w:rsid w:val="00CC190A"/>
    <w:rsid w:val="00CC1FBF"/>
    <w:rsid w:val="00CC2002"/>
    <w:rsid w:val="00CC2356"/>
    <w:rsid w:val="00CC2963"/>
    <w:rsid w:val="00CC2BC9"/>
    <w:rsid w:val="00CC3094"/>
    <w:rsid w:val="00CC30ED"/>
    <w:rsid w:val="00CC3891"/>
    <w:rsid w:val="00CC3A85"/>
    <w:rsid w:val="00CC3F24"/>
    <w:rsid w:val="00CC407C"/>
    <w:rsid w:val="00CC415E"/>
    <w:rsid w:val="00CC489E"/>
    <w:rsid w:val="00CC5450"/>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10DF"/>
    <w:rsid w:val="00CE1CE8"/>
    <w:rsid w:val="00CE23A6"/>
    <w:rsid w:val="00CE2572"/>
    <w:rsid w:val="00CE25F8"/>
    <w:rsid w:val="00CE2D39"/>
    <w:rsid w:val="00CE5122"/>
    <w:rsid w:val="00CE5723"/>
    <w:rsid w:val="00CE585C"/>
    <w:rsid w:val="00CE59CE"/>
    <w:rsid w:val="00CE5A76"/>
    <w:rsid w:val="00CE6132"/>
    <w:rsid w:val="00CE61F3"/>
    <w:rsid w:val="00CE6207"/>
    <w:rsid w:val="00CE625C"/>
    <w:rsid w:val="00CE6EB0"/>
    <w:rsid w:val="00CE6EF5"/>
    <w:rsid w:val="00CE7596"/>
    <w:rsid w:val="00CE7DAF"/>
    <w:rsid w:val="00CE7EB2"/>
    <w:rsid w:val="00CF090D"/>
    <w:rsid w:val="00CF0A73"/>
    <w:rsid w:val="00CF0A94"/>
    <w:rsid w:val="00CF0AF1"/>
    <w:rsid w:val="00CF2696"/>
    <w:rsid w:val="00CF26EB"/>
    <w:rsid w:val="00CF2823"/>
    <w:rsid w:val="00CF289A"/>
    <w:rsid w:val="00CF3BA8"/>
    <w:rsid w:val="00CF4807"/>
    <w:rsid w:val="00CF6742"/>
    <w:rsid w:val="00CF723B"/>
    <w:rsid w:val="00CF7D45"/>
    <w:rsid w:val="00D001D3"/>
    <w:rsid w:val="00D00430"/>
    <w:rsid w:val="00D00A45"/>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A59"/>
    <w:rsid w:val="00D07B24"/>
    <w:rsid w:val="00D07E18"/>
    <w:rsid w:val="00D11730"/>
    <w:rsid w:val="00D11A66"/>
    <w:rsid w:val="00D14A03"/>
    <w:rsid w:val="00D15531"/>
    <w:rsid w:val="00D1596B"/>
    <w:rsid w:val="00D159BF"/>
    <w:rsid w:val="00D15AA1"/>
    <w:rsid w:val="00D15D44"/>
    <w:rsid w:val="00D1639C"/>
    <w:rsid w:val="00D16519"/>
    <w:rsid w:val="00D20CBF"/>
    <w:rsid w:val="00D2159F"/>
    <w:rsid w:val="00D21EAA"/>
    <w:rsid w:val="00D22496"/>
    <w:rsid w:val="00D22710"/>
    <w:rsid w:val="00D2417D"/>
    <w:rsid w:val="00D25CBC"/>
    <w:rsid w:val="00D25D65"/>
    <w:rsid w:val="00D261D9"/>
    <w:rsid w:val="00D2679D"/>
    <w:rsid w:val="00D26AFC"/>
    <w:rsid w:val="00D2768C"/>
    <w:rsid w:val="00D300B3"/>
    <w:rsid w:val="00D31507"/>
    <w:rsid w:val="00D318C8"/>
    <w:rsid w:val="00D31CB1"/>
    <w:rsid w:val="00D31E59"/>
    <w:rsid w:val="00D32975"/>
    <w:rsid w:val="00D342B0"/>
    <w:rsid w:val="00D34C54"/>
    <w:rsid w:val="00D37503"/>
    <w:rsid w:val="00D37BF0"/>
    <w:rsid w:val="00D40767"/>
    <w:rsid w:val="00D412A0"/>
    <w:rsid w:val="00D41665"/>
    <w:rsid w:val="00D42148"/>
    <w:rsid w:val="00D427E8"/>
    <w:rsid w:val="00D43B22"/>
    <w:rsid w:val="00D43C4D"/>
    <w:rsid w:val="00D43D13"/>
    <w:rsid w:val="00D43DCF"/>
    <w:rsid w:val="00D44007"/>
    <w:rsid w:val="00D44A9B"/>
    <w:rsid w:val="00D44E98"/>
    <w:rsid w:val="00D475B5"/>
    <w:rsid w:val="00D47756"/>
    <w:rsid w:val="00D47EAB"/>
    <w:rsid w:val="00D505B7"/>
    <w:rsid w:val="00D50738"/>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32C7"/>
    <w:rsid w:val="00D6417A"/>
    <w:rsid w:val="00D64954"/>
    <w:rsid w:val="00D6512E"/>
    <w:rsid w:val="00D6602F"/>
    <w:rsid w:val="00D6658E"/>
    <w:rsid w:val="00D6748C"/>
    <w:rsid w:val="00D708DA"/>
    <w:rsid w:val="00D70BA4"/>
    <w:rsid w:val="00D719BF"/>
    <w:rsid w:val="00D72031"/>
    <w:rsid w:val="00D7220A"/>
    <w:rsid w:val="00D72986"/>
    <w:rsid w:val="00D74080"/>
    <w:rsid w:val="00D740F0"/>
    <w:rsid w:val="00D74CAD"/>
    <w:rsid w:val="00D752A3"/>
    <w:rsid w:val="00D75351"/>
    <w:rsid w:val="00D76A05"/>
    <w:rsid w:val="00D76EC9"/>
    <w:rsid w:val="00D77305"/>
    <w:rsid w:val="00D775C5"/>
    <w:rsid w:val="00D80AB4"/>
    <w:rsid w:val="00D81639"/>
    <w:rsid w:val="00D82204"/>
    <w:rsid w:val="00D825E5"/>
    <w:rsid w:val="00D82883"/>
    <w:rsid w:val="00D82CD4"/>
    <w:rsid w:val="00D82CF3"/>
    <w:rsid w:val="00D8338E"/>
    <w:rsid w:val="00D8388A"/>
    <w:rsid w:val="00D83B2D"/>
    <w:rsid w:val="00D84540"/>
    <w:rsid w:val="00D84F8A"/>
    <w:rsid w:val="00D853AE"/>
    <w:rsid w:val="00D85879"/>
    <w:rsid w:val="00D85F7F"/>
    <w:rsid w:val="00D8608C"/>
    <w:rsid w:val="00D867D0"/>
    <w:rsid w:val="00D86855"/>
    <w:rsid w:val="00D86ED8"/>
    <w:rsid w:val="00D8749C"/>
    <w:rsid w:val="00D90B7C"/>
    <w:rsid w:val="00D91F0C"/>
    <w:rsid w:val="00D92169"/>
    <w:rsid w:val="00D92356"/>
    <w:rsid w:val="00D92399"/>
    <w:rsid w:val="00D93381"/>
    <w:rsid w:val="00D93415"/>
    <w:rsid w:val="00D9421D"/>
    <w:rsid w:val="00D9422C"/>
    <w:rsid w:val="00D95BF2"/>
    <w:rsid w:val="00D95C14"/>
    <w:rsid w:val="00D96393"/>
    <w:rsid w:val="00D96E31"/>
    <w:rsid w:val="00D97289"/>
    <w:rsid w:val="00D97A9A"/>
    <w:rsid w:val="00D97ACF"/>
    <w:rsid w:val="00DA0126"/>
    <w:rsid w:val="00DA052D"/>
    <w:rsid w:val="00DA0B69"/>
    <w:rsid w:val="00DA173C"/>
    <w:rsid w:val="00DA1829"/>
    <w:rsid w:val="00DA2081"/>
    <w:rsid w:val="00DA2B33"/>
    <w:rsid w:val="00DA3157"/>
    <w:rsid w:val="00DA3835"/>
    <w:rsid w:val="00DA3C7A"/>
    <w:rsid w:val="00DA561D"/>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5FF7"/>
    <w:rsid w:val="00DB62B8"/>
    <w:rsid w:val="00DB635A"/>
    <w:rsid w:val="00DB6F36"/>
    <w:rsid w:val="00DB7205"/>
    <w:rsid w:val="00DB7BA1"/>
    <w:rsid w:val="00DC263A"/>
    <w:rsid w:val="00DC27BE"/>
    <w:rsid w:val="00DC2AF4"/>
    <w:rsid w:val="00DC2CB5"/>
    <w:rsid w:val="00DC4B6C"/>
    <w:rsid w:val="00DC4D0F"/>
    <w:rsid w:val="00DC52E1"/>
    <w:rsid w:val="00DC5500"/>
    <w:rsid w:val="00DC7262"/>
    <w:rsid w:val="00DC7E05"/>
    <w:rsid w:val="00DD051F"/>
    <w:rsid w:val="00DD0974"/>
    <w:rsid w:val="00DD0D7F"/>
    <w:rsid w:val="00DD108F"/>
    <w:rsid w:val="00DD1157"/>
    <w:rsid w:val="00DD1311"/>
    <w:rsid w:val="00DD1B01"/>
    <w:rsid w:val="00DD1D55"/>
    <w:rsid w:val="00DD2023"/>
    <w:rsid w:val="00DD20DA"/>
    <w:rsid w:val="00DD2119"/>
    <w:rsid w:val="00DD2761"/>
    <w:rsid w:val="00DD2A90"/>
    <w:rsid w:val="00DD32CC"/>
    <w:rsid w:val="00DD3719"/>
    <w:rsid w:val="00DD3830"/>
    <w:rsid w:val="00DD397E"/>
    <w:rsid w:val="00DD4294"/>
    <w:rsid w:val="00DD5DC6"/>
    <w:rsid w:val="00DD6165"/>
    <w:rsid w:val="00DD62B9"/>
    <w:rsid w:val="00DD65BB"/>
    <w:rsid w:val="00DD6BA8"/>
    <w:rsid w:val="00DD7917"/>
    <w:rsid w:val="00DE01CB"/>
    <w:rsid w:val="00DE0E25"/>
    <w:rsid w:val="00DE189A"/>
    <w:rsid w:val="00DE1E11"/>
    <w:rsid w:val="00DE2E22"/>
    <w:rsid w:val="00DE39DE"/>
    <w:rsid w:val="00DE3B9C"/>
    <w:rsid w:val="00DE45AB"/>
    <w:rsid w:val="00DE4B04"/>
    <w:rsid w:val="00DE5045"/>
    <w:rsid w:val="00DE50D6"/>
    <w:rsid w:val="00DE5141"/>
    <w:rsid w:val="00DE58A0"/>
    <w:rsid w:val="00DE58DB"/>
    <w:rsid w:val="00DE5B71"/>
    <w:rsid w:val="00DE6F62"/>
    <w:rsid w:val="00DE73FB"/>
    <w:rsid w:val="00DF14E7"/>
    <w:rsid w:val="00DF1529"/>
    <w:rsid w:val="00DF2D3A"/>
    <w:rsid w:val="00DF30F0"/>
    <w:rsid w:val="00DF34E4"/>
    <w:rsid w:val="00DF60AA"/>
    <w:rsid w:val="00DF63A7"/>
    <w:rsid w:val="00DF64D2"/>
    <w:rsid w:val="00DF6698"/>
    <w:rsid w:val="00DF6E30"/>
    <w:rsid w:val="00DF719B"/>
    <w:rsid w:val="00DF7992"/>
    <w:rsid w:val="00E00A9A"/>
    <w:rsid w:val="00E02C35"/>
    <w:rsid w:val="00E02FFE"/>
    <w:rsid w:val="00E0321D"/>
    <w:rsid w:val="00E039A5"/>
    <w:rsid w:val="00E049BD"/>
    <w:rsid w:val="00E06BC3"/>
    <w:rsid w:val="00E06D3C"/>
    <w:rsid w:val="00E104F3"/>
    <w:rsid w:val="00E10C16"/>
    <w:rsid w:val="00E1124C"/>
    <w:rsid w:val="00E119B0"/>
    <w:rsid w:val="00E11B8F"/>
    <w:rsid w:val="00E11BB1"/>
    <w:rsid w:val="00E1239A"/>
    <w:rsid w:val="00E1259A"/>
    <w:rsid w:val="00E13B95"/>
    <w:rsid w:val="00E14EEE"/>
    <w:rsid w:val="00E16198"/>
    <w:rsid w:val="00E16243"/>
    <w:rsid w:val="00E16C42"/>
    <w:rsid w:val="00E17503"/>
    <w:rsid w:val="00E17EA4"/>
    <w:rsid w:val="00E17F49"/>
    <w:rsid w:val="00E2006D"/>
    <w:rsid w:val="00E20418"/>
    <w:rsid w:val="00E2096F"/>
    <w:rsid w:val="00E21107"/>
    <w:rsid w:val="00E21412"/>
    <w:rsid w:val="00E21598"/>
    <w:rsid w:val="00E22104"/>
    <w:rsid w:val="00E22454"/>
    <w:rsid w:val="00E22486"/>
    <w:rsid w:val="00E227F0"/>
    <w:rsid w:val="00E22993"/>
    <w:rsid w:val="00E229A0"/>
    <w:rsid w:val="00E230CB"/>
    <w:rsid w:val="00E236E4"/>
    <w:rsid w:val="00E23E25"/>
    <w:rsid w:val="00E23F69"/>
    <w:rsid w:val="00E24CF9"/>
    <w:rsid w:val="00E24FDD"/>
    <w:rsid w:val="00E25577"/>
    <w:rsid w:val="00E258AA"/>
    <w:rsid w:val="00E26040"/>
    <w:rsid w:val="00E27116"/>
    <w:rsid w:val="00E27408"/>
    <w:rsid w:val="00E27FCF"/>
    <w:rsid w:val="00E3160B"/>
    <w:rsid w:val="00E31E0B"/>
    <w:rsid w:val="00E31E29"/>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50C0E"/>
    <w:rsid w:val="00E52466"/>
    <w:rsid w:val="00E52597"/>
    <w:rsid w:val="00E526FC"/>
    <w:rsid w:val="00E52CF6"/>
    <w:rsid w:val="00E53870"/>
    <w:rsid w:val="00E538FF"/>
    <w:rsid w:val="00E539AB"/>
    <w:rsid w:val="00E54407"/>
    <w:rsid w:val="00E54DDA"/>
    <w:rsid w:val="00E54F53"/>
    <w:rsid w:val="00E55491"/>
    <w:rsid w:val="00E5628F"/>
    <w:rsid w:val="00E56DE3"/>
    <w:rsid w:val="00E57771"/>
    <w:rsid w:val="00E57C92"/>
    <w:rsid w:val="00E6079D"/>
    <w:rsid w:val="00E614E8"/>
    <w:rsid w:val="00E6158C"/>
    <w:rsid w:val="00E619AC"/>
    <w:rsid w:val="00E626FE"/>
    <w:rsid w:val="00E63DBA"/>
    <w:rsid w:val="00E6417D"/>
    <w:rsid w:val="00E65E32"/>
    <w:rsid w:val="00E65E64"/>
    <w:rsid w:val="00E66E30"/>
    <w:rsid w:val="00E67B35"/>
    <w:rsid w:val="00E70266"/>
    <w:rsid w:val="00E702C2"/>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1362"/>
    <w:rsid w:val="00E81485"/>
    <w:rsid w:val="00E8170D"/>
    <w:rsid w:val="00E81924"/>
    <w:rsid w:val="00E82D58"/>
    <w:rsid w:val="00E8357D"/>
    <w:rsid w:val="00E84077"/>
    <w:rsid w:val="00E841F1"/>
    <w:rsid w:val="00E8514E"/>
    <w:rsid w:val="00E86165"/>
    <w:rsid w:val="00E866D0"/>
    <w:rsid w:val="00E870F7"/>
    <w:rsid w:val="00E877AC"/>
    <w:rsid w:val="00E878D3"/>
    <w:rsid w:val="00E87D62"/>
    <w:rsid w:val="00E90DE9"/>
    <w:rsid w:val="00E9110B"/>
    <w:rsid w:val="00E91363"/>
    <w:rsid w:val="00E91570"/>
    <w:rsid w:val="00E928DD"/>
    <w:rsid w:val="00E93DFE"/>
    <w:rsid w:val="00E956A8"/>
    <w:rsid w:val="00E959A2"/>
    <w:rsid w:val="00E95FA9"/>
    <w:rsid w:val="00EA0390"/>
    <w:rsid w:val="00EA0E37"/>
    <w:rsid w:val="00EA1474"/>
    <w:rsid w:val="00EA2918"/>
    <w:rsid w:val="00EA3E3C"/>
    <w:rsid w:val="00EA3E48"/>
    <w:rsid w:val="00EA41B8"/>
    <w:rsid w:val="00EA4DAA"/>
    <w:rsid w:val="00EA5A14"/>
    <w:rsid w:val="00EA5BA9"/>
    <w:rsid w:val="00EA5D59"/>
    <w:rsid w:val="00EA656F"/>
    <w:rsid w:val="00EA65BC"/>
    <w:rsid w:val="00EA6A17"/>
    <w:rsid w:val="00EA71C0"/>
    <w:rsid w:val="00EA72EC"/>
    <w:rsid w:val="00EB0146"/>
    <w:rsid w:val="00EB057F"/>
    <w:rsid w:val="00EB12DE"/>
    <w:rsid w:val="00EB16F4"/>
    <w:rsid w:val="00EB1E77"/>
    <w:rsid w:val="00EB2405"/>
    <w:rsid w:val="00EB2BB1"/>
    <w:rsid w:val="00EB2CCE"/>
    <w:rsid w:val="00EB381C"/>
    <w:rsid w:val="00EB5120"/>
    <w:rsid w:val="00EB6BAA"/>
    <w:rsid w:val="00EB6C1F"/>
    <w:rsid w:val="00EB6D2B"/>
    <w:rsid w:val="00EB70E3"/>
    <w:rsid w:val="00EB7CAF"/>
    <w:rsid w:val="00EC00A5"/>
    <w:rsid w:val="00EC0636"/>
    <w:rsid w:val="00EC083A"/>
    <w:rsid w:val="00EC0A63"/>
    <w:rsid w:val="00EC0BBB"/>
    <w:rsid w:val="00EC0F6D"/>
    <w:rsid w:val="00EC1064"/>
    <w:rsid w:val="00EC1707"/>
    <w:rsid w:val="00EC174C"/>
    <w:rsid w:val="00EC1ED8"/>
    <w:rsid w:val="00EC2237"/>
    <w:rsid w:val="00EC46E4"/>
    <w:rsid w:val="00EC5281"/>
    <w:rsid w:val="00EC5920"/>
    <w:rsid w:val="00EC5A65"/>
    <w:rsid w:val="00EC5F63"/>
    <w:rsid w:val="00EC61AC"/>
    <w:rsid w:val="00EC63A2"/>
    <w:rsid w:val="00ED0065"/>
    <w:rsid w:val="00ED0C6A"/>
    <w:rsid w:val="00ED0DDE"/>
    <w:rsid w:val="00ED197C"/>
    <w:rsid w:val="00ED2552"/>
    <w:rsid w:val="00ED272C"/>
    <w:rsid w:val="00ED2DDD"/>
    <w:rsid w:val="00ED4930"/>
    <w:rsid w:val="00ED55AA"/>
    <w:rsid w:val="00ED5FCE"/>
    <w:rsid w:val="00ED64DE"/>
    <w:rsid w:val="00ED6E79"/>
    <w:rsid w:val="00ED712A"/>
    <w:rsid w:val="00ED71A6"/>
    <w:rsid w:val="00EE0028"/>
    <w:rsid w:val="00EE0221"/>
    <w:rsid w:val="00EE03CC"/>
    <w:rsid w:val="00EE051F"/>
    <w:rsid w:val="00EE05B7"/>
    <w:rsid w:val="00EE0C65"/>
    <w:rsid w:val="00EE1BB8"/>
    <w:rsid w:val="00EE1DD1"/>
    <w:rsid w:val="00EE25F9"/>
    <w:rsid w:val="00EE29AF"/>
    <w:rsid w:val="00EE3463"/>
    <w:rsid w:val="00EE37EE"/>
    <w:rsid w:val="00EE39A4"/>
    <w:rsid w:val="00EE4B59"/>
    <w:rsid w:val="00EE50A8"/>
    <w:rsid w:val="00EE6372"/>
    <w:rsid w:val="00EE7829"/>
    <w:rsid w:val="00EF0279"/>
    <w:rsid w:val="00EF09DF"/>
    <w:rsid w:val="00EF0D49"/>
    <w:rsid w:val="00EF1594"/>
    <w:rsid w:val="00EF1C23"/>
    <w:rsid w:val="00EF269C"/>
    <w:rsid w:val="00EF3463"/>
    <w:rsid w:val="00EF36A1"/>
    <w:rsid w:val="00EF389F"/>
    <w:rsid w:val="00EF40A9"/>
    <w:rsid w:val="00EF4A6B"/>
    <w:rsid w:val="00EF4E00"/>
    <w:rsid w:val="00EF540A"/>
    <w:rsid w:val="00EF719E"/>
    <w:rsid w:val="00EF76FE"/>
    <w:rsid w:val="00F0064D"/>
    <w:rsid w:val="00F006BC"/>
    <w:rsid w:val="00F0087F"/>
    <w:rsid w:val="00F00C86"/>
    <w:rsid w:val="00F01005"/>
    <w:rsid w:val="00F0119D"/>
    <w:rsid w:val="00F020B0"/>
    <w:rsid w:val="00F0433A"/>
    <w:rsid w:val="00F044BF"/>
    <w:rsid w:val="00F04643"/>
    <w:rsid w:val="00F0577A"/>
    <w:rsid w:val="00F0619B"/>
    <w:rsid w:val="00F06B73"/>
    <w:rsid w:val="00F06EF8"/>
    <w:rsid w:val="00F11700"/>
    <w:rsid w:val="00F118CF"/>
    <w:rsid w:val="00F11F45"/>
    <w:rsid w:val="00F12DC0"/>
    <w:rsid w:val="00F147FA"/>
    <w:rsid w:val="00F1486B"/>
    <w:rsid w:val="00F14D0B"/>
    <w:rsid w:val="00F14FC6"/>
    <w:rsid w:val="00F159F8"/>
    <w:rsid w:val="00F15AA8"/>
    <w:rsid w:val="00F15D77"/>
    <w:rsid w:val="00F20369"/>
    <w:rsid w:val="00F20899"/>
    <w:rsid w:val="00F20E57"/>
    <w:rsid w:val="00F21273"/>
    <w:rsid w:val="00F217F9"/>
    <w:rsid w:val="00F21D64"/>
    <w:rsid w:val="00F21EFC"/>
    <w:rsid w:val="00F2262B"/>
    <w:rsid w:val="00F23BFE"/>
    <w:rsid w:val="00F2456C"/>
    <w:rsid w:val="00F2548E"/>
    <w:rsid w:val="00F25965"/>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71F"/>
    <w:rsid w:val="00F40C9F"/>
    <w:rsid w:val="00F4118B"/>
    <w:rsid w:val="00F4192A"/>
    <w:rsid w:val="00F41DFF"/>
    <w:rsid w:val="00F42995"/>
    <w:rsid w:val="00F42F4E"/>
    <w:rsid w:val="00F45CB7"/>
    <w:rsid w:val="00F47996"/>
    <w:rsid w:val="00F47E58"/>
    <w:rsid w:val="00F507BE"/>
    <w:rsid w:val="00F50C82"/>
    <w:rsid w:val="00F50F62"/>
    <w:rsid w:val="00F51011"/>
    <w:rsid w:val="00F5126C"/>
    <w:rsid w:val="00F5303D"/>
    <w:rsid w:val="00F5382A"/>
    <w:rsid w:val="00F5391D"/>
    <w:rsid w:val="00F5435D"/>
    <w:rsid w:val="00F54A50"/>
    <w:rsid w:val="00F54F47"/>
    <w:rsid w:val="00F54FAA"/>
    <w:rsid w:val="00F55079"/>
    <w:rsid w:val="00F55CF9"/>
    <w:rsid w:val="00F56834"/>
    <w:rsid w:val="00F56A8F"/>
    <w:rsid w:val="00F571EB"/>
    <w:rsid w:val="00F617DC"/>
    <w:rsid w:val="00F61BCF"/>
    <w:rsid w:val="00F621BD"/>
    <w:rsid w:val="00F627C0"/>
    <w:rsid w:val="00F6348D"/>
    <w:rsid w:val="00F6374C"/>
    <w:rsid w:val="00F63955"/>
    <w:rsid w:val="00F640BF"/>
    <w:rsid w:val="00F651BC"/>
    <w:rsid w:val="00F67165"/>
    <w:rsid w:val="00F672DF"/>
    <w:rsid w:val="00F67CCA"/>
    <w:rsid w:val="00F67FA4"/>
    <w:rsid w:val="00F7071C"/>
    <w:rsid w:val="00F70B2D"/>
    <w:rsid w:val="00F70B9C"/>
    <w:rsid w:val="00F719E6"/>
    <w:rsid w:val="00F72908"/>
    <w:rsid w:val="00F74CF3"/>
    <w:rsid w:val="00F74E2A"/>
    <w:rsid w:val="00F7539A"/>
    <w:rsid w:val="00F754D5"/>
    <w:rsid w:val="00F75864"/>
    <w:rsid w:val="00F76251"/>
    <w:rsid w:val="00F7673F"/>
    <w:rsid w:val="00F8015F"/>
    <w:rsid w:val="00F80505"/>
    <w:rsid w:val="00F807FB"/>
    <w:rsid w:val="00F80C71"/>
    <w:rsid w:val="00F812BA"/>
    <w:rsid w:val="00F829C9"/>
    <w:rsid w:val="00F83228"/>
    <w:rsid w:val="00F833A2"/>
    <w:rsid w:val="00F83727"/>
    <w:rsid w:val="00F84A82"/>
    <w:rsid w:val="00F84DDE"/>
    <w:rsid w:val="00F85593"/>
    <w:rsid w:val="00F857BB"/>
    <w:rsid w:val="00F858FA"/>
    <w:rsid w:val="00F8685E"/>
    <w:rsid w:val="00F86861"/>
    <w:rsid w:val="00F869D6"/>
    <w:rsid w:val="00F86C32"/>
    <w:rsid w:val="00F872DC"/>
    <w:rsid w:val="00F8799A"/>
    <w:rsid w:val="00F87EA4"/>
    <w:rsid w:val="00F9062E"/>
    <w:rsid w:val="00F908BE"/>
    <w:rsid w:val="00F90DEE"/>
    <w:rsid w:val="00F914B4"/>
    <w:rsid w:val="00F91D32"/>
    <w:rsid w:val="00F94783"/>
    <w:rsid w:val="00F9524E"/>
    <w:rsid w:val="00F95AA3"/>
    <w:rsid w:val="00F95B43"/>
    <w:rsid w:val="00F95BD7"/>
    <w:rsid w:val="00F95FEA"/>
    <w:rsid w:val="00F960AD"/>
    <w:rsid w:val="00F96489"/>
    <w:rsid w:val="00F964E8"/>
    <w:rsid w:val="00F97124"/>
    <w:rsid w:val="00F9713C"/>
    <w:rsid w:val="00F97C17"/>
    <w:rsid w:val="00F97FAF"/>
    <w:rsid w:val="00FA1420"/>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46D"/>
    <w:rsid w:val="00FB1F1C"/>
    <w:rsid w:val="00FB221D"/>
    <w:rsid w:val="00FB2D29"/>
    <w:rsid w:val="00FB32A4"/>
    <w:rsid w:val="00FB47B4"/>
    <w:rsid w:val="00FB4B8E"/>
    <w:rsid w:val="00FB4E79"/>
    <w:rsid w:val="00FB51A3"/>
    <w:rsid w:val="00FB520B"/>
    <w:rsid w:val="00FB52E0"/>
    <w:rsid w:val="00FB5342"/>
    <w:rsid w:val="00FB6462"/>
    <w:rsid w:val="00FB785D"/>
    <w:rsid w:val="00FC001D"/>
    <w:rsid w:val="00FC0108"/>
    <w:rsid w:val="00FC0549"/>
    <w:rsid w:val="00FC083E"/>
    <w:rsid w:val="00FC08A3"/>
    <w:rsid w:val="00FC0AC7"/>
    <w:rsid w:val="00FC11C1"/>
    <w:rsid w:val="00FC15D4"/>
    <w:rsid w:val="00FC1AA8"/>
    <w:rsid w:val="00FC1ADC"/>
    <w:rsid w:val="00FC2B12"/>
    <w:rsid w:val="00FC4B93"/>
    <w:rsid w:val="00FC5451"/>
    <w:rsid w:val="00FC5979"/>
    <w:rsid w:val="00FC74CA"/>
    <w:rsid w:val="00FC769C"/>
    <w:rsid w:val="00FC7D76"/>
    <w:rsid w:val="00FC7E3A"/>
    <w:rsid w:val="00FD059E"/>
    <w:rsid w:val="00FD0CE4"/>
    <w:rsid w:val="00FD17E9"/>
    <w:rsid w:val="00FD2AC4"/>
    <w:rsid w:val="00FD4802"/>
    <w:rsid w:val="00FD4A6F"/>
    <w:rsid w:val="00FD4FDD"/>
    <w:rsid w:val="00FD5602"/>
    <w:rsid w:val="00FD5C75"/>
    <w:rsid w:val="00FD7A8D"/>
    <w:rsid w:val="00FE122D"/>
    <w:rsid w:val="00FE1B3A"/>
    <w:rsid w:val="00FE2056"/>
    <w:rsid w:val="00FE2066"/>
    <w:rsid w:val="00FE27FA"/>
    <w:rsid w:val="00FE4661"/>
    <w:rsid w:val="00FE51E3"/>
    <w:rsid w:val="00FE6398"/>
    <w:rsid w:val="00FE661F"/>
    <w:rsid w:val="00FE68B6"/>
    <w:rsid w:val="00FE6F1B"/>
    <w:rsid w:val="00FE7611"/>
    <w:rsid w:val="00FE783A"/>
    <w:rsid w:val="00FE7D29"/>
    <w:rsid w:val="00FF026D"/>
    <w:rsid w:val="00FF155B"/>
    <w:rsid w:val="00FF244B"/>
    <w:rsid w:val="00FF260A"/>
    <w:rsid w:val="00FF3F3A"/>
    <w:rsid w:val="00FF46E3"/>
    <w:rsid w:val="00FF5474"/>
    <w:rsid w:val="00FF54D0"/>
    <w:rsid w:val="00FF5FFF"/>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purl.org/dc/terms/"/>
    <ds:schemaRef ds:uri="http://schemas.microsoft.com/office/2006/metadata/properties"/>
    <ds:schemaRef ds:uri="http://schemas.microsoft.com/office/2006/documentManagement/types"/>
    <ds:schemaRef ds:uri="http://purl.org/dc/elements/1.1/"/>
    <ds:schemaRef ds:uri="dd23999d-55bb-4b1f-885e-83712e5c49df"/>
    <ds:schemaRef ds:uri="ffcb171c-5eb6-4b7e-bff7-850b4441ed9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7C4D4D70-BC28-4A20-AF63-47557C501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53</Pages>
  <Words>22809</Words>
  <Characters>130016</Characters>
  <Application>Microsoft Office Word</Application>
  <DocSecurity>0</DocSecurity>
  <Lines>1083</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7</cp:revision>
  <cp:lastPrinted>2014-08-19T16:56:00Z</cp:lastPrinted>
  <dcterms:created xsi:type="dcterms:W3CDTF">2021-07-23T20:31:00Z</dcterms:created>
  <dcterms:modified xsi:type="dcterms:W3CDTF">2021-07-29T22:09:00Z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ca317331-eefb-4aec-b3dd-d97df4d5ffb9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