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4A83EC29"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Northern Mariana Islands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This Executive Summary includes a description of CNMI’s IDEA Part B FFY 2020 - FFY 2025 State Performance Plan (SPP) and FFY 2021 Annual Performance Report (APR). A description of the CNMI’s General Supervision System, Technical Assistance System, Professional Development System and Stakeholder Involvement in the development and review of the SPP and APR and how the CNMI will report the SPP and APR to the Public are provided separately within this Introduction section of CNMI’s SPP/APR. </w:t>
      </w:r>
      <w:r w:rsidRPr="00781112">
        <w:rPr>
          <w:rFonts w:cs="Arial"/>
          <w:color w:val="000000" w:themeColor="text1"/>
          <w:szCs w:val="16"/>
        </w:rPr>
        <w:br/>
      </w:r>
      <w:r w:rsidRPr="00781112">
        <w:rPr>
          <w:rFonts w:cs="Arial"/>
          <w:color w:val="000000" w:themeColor="text1"/>
          <w:szCs w:val="16"/>
        </w:rPr>
        <w:br/>
        <w:t xml:space="preserve">The Special Education Program with technical assistance provided by the University of Guam Center for Excellence in Developmental Disabilities Education, Research, and Service (Guam CEDDERS), facilitated a process to determine targets for results indicators for the CNMI IDEA Part B FFY 2020-FFY 2025 SPP. The stakeholders reviewed the performance data, national data for each indicator, and engaged in a discussion of each indicator. Stakeholders included Special Education State Advisory Panel (SESAP), State Systemic Improvement Plan Core Team, PSS Key Management Team, and the Board of Education. </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w:t>
      </w:r>
      <w:proofErr w:type="gramStart"/>
      <w:r w:rsidRPr="00781112">
        <w:rPr>
          <w:rFonts w:cs="Arial"/>
          <w:color w:val="000000" w:themeColor="text1"/>
          <w:szCs w:val="16"/>
        </w:rPr>
        <w:t>15</w:t>
      </w:r>
      <w:proofErr w:type="gramEnd"/>
      <w:r w:rsidRPr="00781112">
        <w:rPr>
          <w:rFonts w:cs="Arial"/>
          <w:color w:val="000000" w:themeColor="text1"/>
          <w:szCs w:val="16"/>
        </w:rPr>
        <w:t xml:space="preserve">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 xml:space="preserve">Indicator 17, the SSIP Core Team, along with other stakeholders met to review baseline data and performance data. </w:t>
      </w:r>
      <w:r w:rsidRPr="00781112">
        <w:rPr>
          <w:rFonts w:cs="Arial"/>
          <w:color w:val="000000" w:themeColor="text1"/>
          <w:szCs w:val="16"/>
        </w:rPr>
        <w:br/>
      </w:r>
      <w:r w:rsidRPr="00781112">
        <w:rPr>
          <w:rFonts w:cs="Arial"/>
          <w:color w:val="000000" w:themeColor="text1"/>
          <w:szCs w:val="16"/>
        </w:rPr>
        <w:br/>
        <w:t xml:space="preserve">Specific Conditions continued to </w:t>
      </w:r>
      <w:proofErr w:type="gramStart"/>
      <w:r w:rsidRPr="00781112">
        <w:rPr>
          <w:rFonts w:cs="Arial"/>
          <w:color w:val="000000" w:themeColor="text1"/>
          <w:szCs w:val="16"/>
        </w:rPr>
        <w:t>be imposed</w:t>
      </w:r>
      <w:proofErr w:type="gramEnd"/>
      <w:r w:rsidRPr="00781112">
        <w:rPr>
          <w:rFonts w:cs="Arial"/>
          <w:color w:val="000000" w:themeColor="text1"/>
          <w:szCs w:val="16"/>
        </w:rPr>
        <w:t xml:space="preserve"> on all grants awarded to the CNMI for FFY 2021. The CNMI must report with its FFY 2021 SPP/APR submission, due February 1, 2023, on: </w:t>
      </w:r>
      <w:r w:rsidRPr="00781112">
        <w:rPr>
          <w:rFonts w:cs="Arial"/>
          <w:color w:val="000000" w:themeColor="text1"/>
          <w:szCs w:val="16"/>
        </w:rPr>
        <w:br/>
        <w:t xml:space="preserve">(1) the technical assistance sources from which the CNMI received assistance; and </w:t>
      </w:r>
      <w:r w:rsidRPr="00781112">
        <w:rPr>
          <w:rFonts w:cs="Arial"/>
          <w:color w:val="000000" w:themeColor="text1"/>
          <w:szCs w:val="16"/>
        </w:rPr>
        <w:br/>
        <w:t xml:space="preserve">(2) the actions the CNMI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r w:rsidRPr="00781112">
        <w:rPr>
          <w:rFonts w:cs="Arial"/>
          <w:color w:val="000000" w:themeColor="text1"/>
          <w:szCs w:val="16"/>
        </w:rPr>
        <w:br/>
      </w:r>
      <w:r w:rsidRPr="00781112">
        <w:rPr>
          <w:rFonts w:cs="Arial"/>
          <w:color w:val="000000" w:themeColor="text1"/>
          <w:szCs w:val="16"/>
        </w:rPr>
        <w:br/>
        <w:t>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Corrective Action Plan (CAP) but is required to submit a biannual report.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Actions taken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RMS technical assistance: CNMI submits a biannual report with updates on its administration of Department grant funds, with an emphasis on areas of repeat audit findings. In addition, the CNMI PSS has:</w:t>
      </w:r>
      <w:r w:rsidRPr="00781112">
        <w:rPr>
          <w:rFonts w:cs="Arial"/>
          <w:color w:val="000000" w:themeColor="text1"/>
          <w:szCs w:val="16"/>
        </w:rPr>
        <w:br/>
        <w:t>-Increased communication and dialogue with Federal Fiscal Office;</w:t>
      </w:r>
      <w:r w:rsidRPr="00781112">
        <w:rPr>
          <w:rFonts w:cs="Arial"/>
          <w:color w:val="000000" w:themeColor="text1"/>
          <w:szCs w:val="16"/>
        </w:rPr>
        <w:br/>
        <w:t>-Improved information sharing regarding CNMI's longstanding non-compliance Special Conditions;</w:t>
      </w:r>
      <w:r w:rsidRPr="00781112">
        <w:rPr>
          <w:rFonts w:cs="Arial"/>
          <w:color w:val="000000" w:themeColor="text1"/>
          <w:szCs w:val="16"/>
        </w:rPr>
        <w:br/>
        <w:t>-Completed and submitted timely audit reports over the past five years;</w:t>
      </w:r>
      <w:r w:rsidRPr="00781112">
        <w:rPr>
          <w:rFonts w:cs="Arial"/>
          <w:color w:val="000000" w:themeColor="text1"/>
          <w:szCs w:val="16"/>
        </w:rPr>
        <w:br/>
        <w:t>-Conducted the required activities and continues to demonstrate progress towards addressing the Specific Conditions;</w:t>
      </w:r>
      <w:r w:rsidRPr="00781112">
        <w:rPr>
          <w:rFonts w:cs="Arial"/>
          <w:color w:val="000000" w:themeColor="text1"/>
          <w:szCs w:val="16"/>
        </w:rPr>
        <w:br/>
        <w:t>-Completed and submitted timely audit reports over the past five years; and</w:t>
      </w:r>
      <w:r w:rsidRPr="00781112">
        <w:rPr>
          <w:rFonts w:cs="Arial"/>
          <w:color w:val="000000" w:themeColor="text1"/>
          <w:szCs w:val="16"/>
        </w:rPr>
        <w:br/>
        <w:t>-Conducted the required activities and continues to demonstrate progress towards addressing the Special Conditions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CNMI is a unitary educational system responsible for the implementation and supervision of special education and related services to children 3 through 21 years old in </w:t>
      </w:r>
      <w:proofErr w:type="gramStart"/>
      <w:r w:rsidRPr="00781112">
        <w:rPr>
          <w:rFonts w:cs="Arial"/>
          <w:color w:val="000000" w:themeColor="text1"/>
          <w:szCs w:val="16"/>
        </w:rPr>
        <w:t>20</w:t>
      </w:r>
      <w:proofErr w:type="gramEnd"/>
      <w:r w:rsidRPr="00781112">
        <w:rPr>
          <w:rFonts w:cs="Arial"/>
          <w:color w:val="000000" w:themeColor="text1"/>
          <w:szCs w:val="16"/>
        </w:rPr>
        <w:t xml:space="preserve"> public schools on 3 populated islands. The general supervision system includes a monitoring system which allows for the identification and correction of non-compliance in a timely manner and </w:t>
      </w:r>
      <w:proofErr w:type="gramStart"/>
      <w:r w:rsidRPr="00781112">
        <w:rPr>
          <w:rFonts w:cs="Arial"/>
          <w:color w:val="000000" w:themeColor="text1"/>
          <w:szCs w:val="16"/>
        </w:rPr>
        <w:t>is focused</w:t>
      </w:r>
      <w:proofErr w:type="gramEnd"/>
      <w:r w:rsidRPr="00781112">
        <w:rPr>
          <w:rFonts w:cs="Arial"/>
          <w:color w:val="000000" w:themeColor="text1"/>
          <w:szCs w:val="16"/>
        </w:rPr>
        <w:t xml:space="preserve"> on improved educational results and functional outcomes for students with disabilities. The Monitoring Procedures, updated in May 2011, includes OSEP’s Memorandum 09-02 on timely correction of noncompliance, a definition of a “Finding”, a description of sanctions that are in line with the Public School System (PSS) Disciplinary Procedures, the timelines and responsible party for the issuance of “Notice of Findings and/or Notice of Failure to Correct” from the Commissioner of Education, the monitoring responsibilities of the external monitor, and revisions to the file review checklist. CNMI PSS also has in place policies and procedures, consistent with IDEA 2004 regulations, to resolve complaints including procedures to resolve complaints through dispute resolution session settlements and mediation agreements.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CNMI PSS has a technical assistance system and mechanisms in place to ensure timely delivery of high quality, evidence-based support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improve results for children with disabilities. Over the past few years, the PSS has implemented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system wide initiatives intended to improve results for all students. PSS also accesses and benefits from universal technical assistance provided by OSEP and OSEP-funded TA Centers and Resources, either through publications, guidance tools, resource materials, monthly conference calls and webinars, or in person on site assistance through Pacific Learning Collaboratives or other venues. TA Centers such as NCSI for work on the SIMR, IDEA Data Center for evaluating the SSIP plans and high-quality data use, the DaSy Center and ECTA for the collection and analysis of the Early Intervention and Special Education preschool </w:t>
      </w:r>
      <w:r w:rsidRPr="00781112">
        <w:rPr>
          <w:rFonts w:cs="Arial"/>
          <w:color w:val="000000" w:themeColor="text1"/>
          <w:szCs w:val="16"/>
        </w:rPr>
        <w:lastRenderedPageBreak/>
        <w:t>outcomes data, NCEO for inclusion in instruction and assessments, and CIFR for IDEA fiscal requirements related to the maintenance of state financial support. PSS also contracts with the University of Guam Center for Excellence in Developmental Disabilities Education, Research and Service (Guam CEDDERS) for targeted onsite and offsite technical assistance.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CNMI has in place a system for professional development to ensure that service providers, teachers, </w:t>
      </w:r>
      <w:proofErr w:type="gramStart"/>
      <w:r w:rsidRPr="00781112">
        <w:rPr>
          <w:rFonts w:cs="Arial"/>
          <w:color w:val="000000" w:themeColor="text1"/>
          <w:szCs w:val="16"/>
        </w:rPr>
        <w:t>administrators</w:t>
      </w:r>
      <w:proofErr w:type="gramEnd"/>
      <w:r w:rsidRPr="00781112">
        <w:rPr>
          <w:rFonts w:cs="Arial"/>
          <w:color w:val="000000" w:themeColor="text1"/>
          <w:szCs w:val="16"/>
        </w:rPr>
        <w:t xml:space="preserve"> and school level personnel have the knowledge and skills to effectively provide Special Education services that will result in improved outcomes for children with disabilities and their families. The PSS mechanism requires that all personnel participate in </w:t>
      </w:r>
      <w:proofErr w:type="gramStart"/>
      <w:r w:rsidRPr="00781112">
        <w:rPr>
          <w:rFonts w:cs="Arial"/>
          <w:color w:val="000000" w:themeColor="text1"/>
          <w:szCs w:val="16"/>
        </w:rPr>
        <w:t>10</w:t>
      </w:r>
      <w:proofErr w:type="gramEnd"/>
      <w:r w:rsidRPr="00781112">
        <w:rPr>
          <w:rFonts w:cs="Arial"/>
          <w:color w:val="000000" w:themeColor="text1"/>
          <w:szCs w:val="16"/>
        </w:rPr>
        <w:t xml:space="preserve"> professional development events. Two of the 10 days are statewide professional development, specific to PSS statewide changes and initiatives.</w:t>
      </w:r>
      <w:r w:rsidRPr="00781112">
        <w:rPr>
          <w:rFonts w:cs="Arial"/>
          <w:color w:val="000000" w:themeColor="text1"/>
          <w:szCs w:val="16"/>
        </w:rPr>
        <w:br/>
      </w:r>
      <w:r w:rsidRPr="00781112">
        <w:rPr>
          <w:rFonts w:cs="Arial"/>
          <w:color w:val="000000" w:themeColor="text1"/>
          <w:szCs w:val="16"/>
        </w:rPr>
        <w:br/>
        <w:t xml:space="preserve">In school year 2021-2022, the office of Student Support Services and the office of Curriculum and Instruction engaged in several focus areas for improvement and included a focus on PD: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The special education program continues to provide ongoing PD on the evaluation and IEP processes, procedural safeguards, transition requirements, specially designed instruction and appropriate accommodations.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parents in the State Advisory Panel are also members of other community or government agency councils that work in partnership with the CNMI PSS and share information to these agencies regarding the delivery of services and outcomes of students with disabilities. These agencies include the Northern Marianas Protection &amp; Advocacy, the Council on Developmental Disabilities, the Council for Living Independently, and the State Rehabilitative Council. Because of their involvement in these various councils, the parent members were able to contribute input, suggest improvement strategies, and understand how to evaluate progress- all of which allowed for active engagement in target setting.</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In school year 2021-2022, the public school system conducted a parent summit to share the PSS strategic Performance Management goals, </w:t>
      </w:r>
      <w:proofErr w:type="gramStart"/>
      <w:r w:rsidRPr="00781112">
        <w:rPr>
          <w:color w:val="000000" w:themeColor="text1"/>
          <w:szCs w:val="16"/>
        </w:rPr>
        <w:t>state wide</w:t>
      </w:r>
      <w:proofErr w:type="gramEnd"/>
      <w:r w:rsidRPr="00781112">
        <w:rPr>
          <w:color w:val="000000" w:themeColor="text1"/>
          <w:szCs w:val="16"/>
        </w:rPr>
        <w:t xml:space="preserve"> assessment data and other topics of interest focused on building their knowledge and skills around mental health, Cyber bullying, and health. School level parent nights </w:t>
      </w:r>
      <w:proofErr w:type="gramStart"/>
      <w:r w:rsidRPr="00781112">
        <w:rPr>
          <w:color w:val="000000" w:themeColor="text1"/>
          <w:szCs w:val="16"/>
        </w:rPr>
        <w:t>were held</w:t>
      </w:r>
      <w:proofErr w:type="gramEnd"/>
      <w:r w:rsidRPr="00781112">
        <w:rPr>
          <w:color w:val="000000" w:themeColor="text1"/>
          <w:szCs w:val="16"/>
        </w:rPr>
        <w:t xml:space="preserve"> at two schools for parents of students with disabilities to share resources and gather input and concerns regarding the services being provided. Each school hosts quarterly Parent Teacher meetings to share school level data, information, </w:t>
      </w:r>
      <w:proofErr w:type="gramStart"/>
      <w:r w:rsidRPr="00781112">
        <w:rPr>
          <w:color w:val="000000" w:themeColor="text1"/>
          <w:szCs w:val="16"/>
        </w:rPr>
        <w:t>activities</w:t>
      </w:r>
      <w:proofErr w:type="gramEnd"/>
      <w:r w:rsidRPr="00781112">
        <w:rPr>
          <w:color w:val="000000" w:themeColor="text1"/>
          <w:szCs w:val="16"/>
        </w:rPr>
        <w:t xml:space="preserve"> and services being provided. And lastly, the special education program recruited </w:t>
      </w:r>
      <w:proofErr w:type="gramStart"/>
      <w:r w:rsidRPr="00781112">
        <w:rPr>
          <w:color w:val="000000" w:themeColor="text1"/>
          <w:szCs w:val="16"/>
        </w:rPr>
        <w:t>more</w:t>
      </w:r>
      <w:proofErr w:type="gramEnd"/>
      <w:r w:rsidRPr="00781112">
        <w:rPr>
          <w:color w:val="000000" w:themeColor="text1"/>
          <w:szCs w:val="16"/>
        </w:rPr>
        <w:t xml:space="preserve"> diverse group of parents to become members of the Special Education State Advisory Panel.</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CNMI PSS has </w:t>
      </w:r>
      <w:proofErr w:type="gramStart"/>
      <w:r w:rsidRPr="00781112">
        <w:rPr>
          <w:color w:val="000000" w:themeColor="text1"/>
          <w:szCs w:val="16"/>
        </w:rPr>
        <w:t>several</w:t>
      </w:r>
      <w:proofErr w:type="gramEnd"/>
      <w:r w:rsidRPr="00781112">
        <w:rPr>
          <w:color w:val="000000" w:themeColor="text1"/>
          <w:szCs w:val="16"/>
        </w:rPr>
        <w:t xml:space="preserve"> sources of soliciting public input. As a member of the CNMI Disabilities Network Partners, the CNMI PSS has always engaged these members not only from the disability community but those that serve as advocates as well. During the onset of the COVID-19 pandemic which resulted in the shutdown of </w:t>
      </w:r>
      <w:proofErr w:type="gramStart"/>
      <w:r w:rsidRPr="00781112">
        <w:rPr>
          <w:color w:val="000000" w:themeColor="text1"/>
          <w:szCs w:val="16"/>
        </w:rPr>
        <w:t>many</w:t>
      </w:r>
      <w:proofErr w:type="gramEnd"/>
      <w:r w:rsidRPr="00781112">
        <w:rPr>
          <w:color w:val="000000" w:themeColor="text1"/>
          <w:szCs w:val="16"/>
        </w:rPr>
        <w:t xml:space="preserve"> public and private agencies and offices, meetings and informational sessions shifted to virtual/online, allowing for more participation from interested individuals throughout the community. These meetings and informational sessions included, but </w:t>
      </w:r>
      <w:proofErr w:type="gramStart"/>
      <w:r w:rsidRPr="00781112">
        <w:rPr>
          <w:color w:val="000000" w:themeColor="text1"/>
          <w:szCs w:val="16"/>
        </w:rPr>
        <w:t>are not limited</w:t>
      </w:r>
      <w:proofErr w:type="gramEnd"/>
      <w:r w:rsidRPr="00781112">
        <w:rPr>
          <w:color w:val="000000" w:themeColor="text1"/>
          <w:szCs w:val="16"/>
        </w:rPr>
        <w:t xml:space="preserve"> to, PSS Parent Advisory Council (dates), PSS Youth Advisory Panel (dates), PSS Board of Education, CNMI Family to Family Health Information Center, CNMI Council on Developmental Disabilities (dates). Additionally, the CNMI PSS created a social media page to help with outreach efforts in providing information to students, families, and the community. These outlets allowed for information to </w:t>
      </w:r>
      <w:proofErr w:type="gramStart"/>
      <w:r w:rsidRPr="00781112">
        <w:rPr>
          <w:color w:val="000000" w:themeColor="text1"/>
          <w:szCs w:val="16"/>
        </w:rPr>
        <w:t>be shared</w:t>
      </w:r>
      <w:proofErr w:type="gramEnd"/>
      <w:r w:rsidRPr="00781112">
        <w:rPr>
          <w:color w:val="000000" w:themeColor="text1"/>
          <w:szCs w:val="16"/>
        </w:rPr>
        <w:t>, reviewed, and to collect input to present to the State Advisory Panel (1/18/2022) for these purposes.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lastRenderedPageBreak/>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Upon successful submission, the PSS will utilize the </w:t>
      </w:r>
      <w:proofErr w:type="gramStart"/>
      <w:r w:rsidRPr="00781112">
        <w:rPr>
          <w:color w:val="000000" w:themeColor="text1"/>
          <w:szCs w:val="16"/>
        </w:rPr>
        <w:t>above mentioned</w:t>
      </w:r>
      <w:proofErr w:type="gramEnd"/>
      <w:r w:rsidRPr="00781112">
        <w:rPr>
          <w:color w:val="000000" w:themeColor="text1"/>
          <w:szCs w:val="16"/>
        </w:rPr>
        <w:t xml:space="preserve"> sources to make available the EMAPS generated SPP/APR pdf report to the viewing public. Additionally, the report will be available on the CNMI PSS website.</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CNMI will annually report to the public as soon as practical but no later than 120 days following the submission of the SPP/APR. The CNMI will post the EDEN/EMAPS generated SPP/APR pdf version for public posting and OSEP’s Determination Letter and Response Table on the PSS website at https://www.cnmipss.org/special-education-program</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CNMI's IDEA Part B determination for both 2021 and 2022 is Needs Assistance. In the CNMI's 2022 determination letter, the Department advised the CNMI of available sources of technical assistance, including OSEP-funded technical assistance centers, and required the CNMI to work with appropriate entities. The Department directed the CNMI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CNMI must report, with its FFY 2021 SPP/APR submission, due February 1, 2023, on: (1) the technical assistance sources from which the CNMI received assistance; and (2) the actions the CNMI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Specific Conditions continued to </w:t>
      </w:r>
      <w:proofErr w:type="gramStart"/>
      <w:r w:rsidRPr="00781112">
        <w:rPr>
          <w:rFonts w:cs="Arial"/>
          <w:color w:val="000000" w:themeColor="text1"/>
          <w:szCs w:val="16"/>
        </w:rPr>
        <w:t>be imposed</w:t>
      </w:r>
      <w:proofErr w:type="gramEnd"/>
      <w:r w:rsidRPr="00781112">
        <w:rPr>
          <w:rFonts w:cs="Arial"/>
          <w:color w:val="000000" w:themeColor="text1"/>
          <w:szCs w:val="16"/>
        </w:rPr>
        <w:t xml:space="preserve"> on all grants awarded to the CNMI for FFY 2021. The CNMI must report with its FFY 2021 SPP/APR submission, due February 1, 2023, on: </w:t>
      </w:r>
      <w:r w:rsidRPr="00781112">
        <w:rPr>
          <w:rFonts w:cs="Arial"/>
          <w:color w:val="000000" w:themeColor="text1"/>
          <w:szCs w:val="16"/>
        </w:rPr>
        <w:br/>
        <w:t xml:space="preserve">(1) the technical assistance sources from which the CNMI received assistance; and </w:t>
      </w:r>
      <w:r w:rsidRPr="00781112">
        <w:rPr>
          <w:rFonts w:cs="Arial"/>
          <w:color w:val="000000" w:themeColor="text1"/>
          <w:szCs w:val="16"/>
        </w:rPr>
        <w:br/>
        <w:t xml:space="preserve">(2) the actions the CNMI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r w:rsidRPr="00781112">
        <w:rPr>
          <w:rFonts w:cs="Arial"/>
          <w:color w:val="000000" w:themeColor="text1"/>
          <w:szCs w:val="16"/>
        </w:rPr>
        <w:br/>
      </w:r>
      <w:r w:rsidRPr="00781112">
        <w:rPr>
          <w:rFonts w:cs="Arial"/>
          <w:color w:val="000000" w:themeColor="text1"/>
          <w:szCs w:val="16"/>
        </w:rPr>
        <w:br/>
        <w:t>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Corrective Action Plan (CAP) but is required to submit a biannual report.</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Actions taken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RMS technical assistance: CNMI submits a biannual report with updates on its administration of Department grant funds, with an emphasis on areas of repeat audit findings. In addition, the CNMI PSS has:</w:t>
      </w:r>
      <w:r w:rsidRPr="00781112">
        <w:rPr>
          <w:rFonts w:cs="Arial"/>
          <w:color w:val="000000" w:themeColor="text1"/>
          <w:szCs w:val="16"/>
        </w:rPr>
        <w:br/>
        <w:t>-Increased communication and dialogue with Federal Fiscal Office;</w:t>
      </w:r>
      <w:r w:rsidRPr="00781112">
        <w:rPr>
          <w:rFonts w:cs="Arial"/>
          <w:color w:val="000000" w:themeColor="text1"/>
          <w:szCs w:val="16"/>
        </w:rPr>
        <w:br/>
        <w:t>-Improved information sharing regarding CNMI's longstanding non-compliance Special Conditions;</w:t>
      </w:r>
      <w:r w:rsidRPr="00781112">
        <w:rPr>
          <w:rFonts w:cs="Arial"/>
          <w:color w:val="000000" w:themeColor="text1"/>
          <w:szCs w:val="16"/>
        </w:rPr>
        <w:br/>
        <w:t>-Completed and submitted timely audit reports over the past five years;</w:t>
      </w:r>
      <w:r w:rsidRPr="00781112">
        <w:rPr>
          <w:rFonts w:cs="Arial"/>
          <w:color w:val="000000" w:themeColor="text1"/>
          <w:szCs w:val="16"/>
        </w:rPr>
        <w:br/>
        <w:t>-Conducted the required activities and continues to demonstrate progress towards addressing the Specific Conditions;</w:t>
      </w:r>
      <w:r w:rsidRPr="00781112">
        <w:rPr>
          <w:rFonts w:cs="Arial"/>
          <w:color w:val="000000" w:themeColor="text1"/>
          <w:szCs w:val="16"/>
        </w:rPr>
        <w:br/>
        <w:t>-Completed and submitted timely audit reports over the past five years; and</w:t>
      </w:r>
      <w:r w:rsidRPr="00781112">
        <w:rPr>
          <w:rFonts w:cs="Arial"/>
          <w:color w:val="000000" w:themeColor="text1"/>
          <w:szCs w:val="16"/>
        </w:rPr>
        <w:br/>
        <w:t>-Conducted the required activities and continues to demonstrate progress towards addressing the Special Conditions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The Commonwealth of the Northern Mariana Islands' (CNMI's) determinations for both 2021 and 2022 were Needs Assistance. Pursuant to section 616(e)(1) of the IDEA and 34 C.F.R. § 300.604(a), OSEP's June 24, 2022 determination letter informed CNMI that it must report with its FFY 2021 SPP/APR submission, due February 1, 2023, on: (1) the technical assistance sources from which CNMI received assistance; and (2) the actions CNMI took as a result of that technical assistance. CNMI provided the required information. </w:t>
      </w:r>
      <w:r w:rsidRPr="00781112">
        <w:rPr>
          <w:rFonts w:cs="Arial"/>
          <w:color w:val="000000" w:themeColor="text1"/>
          <w:szCs w:val="16"/>
        </w:rPr>
        <w:br/>
      </w:r>
      <w:r w:rsidRPr="00781112">
        <w:rPr>
          <w:rFonts w:cs="Arial"/>
          <w:color w:val="000000" w:themeColor="text1"/>
          <w:szCs w:val="16"/>
        </w:rPr>
        <w:br/>
        <w:t>The Department imposed Specific Conditions on CNMI's IDEA Part B grant awards for the last three or more years. Those conditions are in effect at the time of the Department’s 2023 determination.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CNMI's IDEA Part B determination for both 2022 and 2023 is Needs Assistance. In CNMI's 2023 determination letter, the Department advised CNMI of available sources of technical assistance, including OSEP-funded technical assistance centers, and required CNMI to work with appropriate entities. The Department directed CNMI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CNMI must report, with its FFY 2022 SPP/APR submission, due February 1, 2024, on: (1) the technical assistance sources from which CNMI received assistance; and (2) the actions CNMI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76.39%</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2751003B" w14:textId="66867EC3" w:rsidR="007F24E2" w:rsidRPr="00781112" w:rsidRDefault="007F24E2" w:rsidP="00E0321D">
            <w:pPr>
              <w:jc w:val="center"/>
              <w:rPr>
                <w:rFonts w:cs="Arial"/>
                <w:color w:val="000000" w:themeColor="text1"/>
                <w:szCs w:val="16"/>
              </w:rPr>
            </w:pP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82.00%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76.39%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89.86%</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90.77%</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95.52%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80.00%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80.00%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80.00%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80.00%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62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95.52%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91.94%</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As an outlying area, CNMI does not report graduation data to the Department under ESEA Title 1. The graduation conditions in the CNMI </w:t>
      </w:r>
      <w:proofErr w:type="gramStart"/>
      <w:r w:rsidRPr="00781112">
        <w:rPr>
          <w:rFonts w:cs="Arial"/>
          <w:color w:val="000000" w:themeColor="text1"/>
          <w:szCs w:val="16"/>
        </w:rPr>
        <w:t>is</w:t>
      </w:r>
      <w:proofErr w:type="gramEnd"/>
      <w:r w:rsidRPr="00781112">
        <w:rPr>
          <w:rFonts w:cs="Arial"/>
          <w:color w:val="000000" w:themeColor="text1"/>
          <w:szCs w:val="16"/>
        </w:rPr>
        <w:t xml:space="preserve"> based on the approved CNMI Board of Education credit requirements. In </w:t>
      </w:r>
      <w:proofErr w:type="gramStart"/>
      <w:r w:rsidRPr="00781112">
        <w:rPr>
          <w:rFonts w:cs="Arial"/>
          <w:color w:val="000000" w:themeColor="text1"/>
          <w:szCs w:val="16"/>
        </w:rPr>
        <w:t>school</w:t>
      </w:r>
      <w:proofErr w:type="gramEnd"/>
      <w:r w:rsidRPr="00781112">
        <w:rPr>
          <w:rFonts w:cs="Arial"/>
          <w:color w:val="000000" w:themeColor="text1"/>
          <w:szCs w:val="16"/>
        </w:rPr>
        <w:t xml:space="preserve"> year 2005-2006, the BOE revised the graduation requirements, Policy 60-20-434, from </w:t>
      </w:r>
      <w:proofErr w:type="gramStart"/>
      <w:r w:rsidRPr="00781112">
        <w:rPr>
          <w:rFonts w:cs="Arial"/>
          <w:color w:val="000000" w:themeColor="text1"/>
          <w:szCs w:val="16"/>
        </w:rPr>
        <w:t>21</w:t>
      </w:r>
      <w:proofErr w:type="gramEnd"/>
      <w:r w:rsidRPr="00781112">
        <w:rPr>
          <w:rFonts w:cs="Arial"/>
          <w:color w:val="000000" w:themeColor="text1"/>
          <w:szCs w:val="16"/>
        </w:rPr>
        <w:t xml:space="preserve"> credits to 28 credits (23 credits for required subjects and 5 elective credits) to receive a high school diploma. The credit requirements for graduating with a high school diploma also apply to students with disabilities.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9"/>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8.06%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8.78%</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5.07%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2.17%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1.86%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0.98%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8.06%</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8.00%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8.00%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8.00%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8.00%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1646393A" w14:textId="2F9E8E4A" w:rsidR="002D145D" w:rsidRPr="00781112" w:rsidRDefault="002D145D" w:rsidP="002D145D">
      <w:pPr>
        <w:rPr>
          <w:rFonts w:cs="Arial"/>
          <w:color w:val="000000" w:themeColor="text1"/>
          <w:szCs w:val="16"/>
        </w:rPr>
      </w:pPr>
    </w:p>
    <w:p w14:paraId="710C2A28" w14:textId="77777777" w:rsidR="0092465D" w:rsidRDefault="0092465D">
      <w:pPr>
        <w:spacing w:before="0" w:after="200" w:line="276" w:lineRule="auto"/>
        <w:rPr>
          <w:b/>
          <w:color w:val="000000" w:themeColor="text1"/>
        </w:rPr>
      </w:pPr>
      <w:r>
        <w:rPr>
          <w:b/>
          <w:color w:val="000000" w:themeColor="text1"/>
        </w:rPr>
        <w:br w:type="page"/>
      </w:r>
    </w:p>
    <w:p w14:paraId="68E34693" w14:textId="0195F607" w:rsidR="00002962" w:rsidRPr="00781112" w:rsidRDefault="00002962"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62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0.98%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8.06%</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8.06%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Definition</w:t>
      </w:r>
      <w:r w:rsidRPr="00781112">
        <w:rPr>
          <w:rFonts w:cs="Arial"/>
          <w:color w:val="000000" w:themeColor="text1"/>
          <w:szCs w:val="16"/>
          <w:shd w:val="clear" w:color="auto" w:fill="FFFFFF"/>
        </w:rPr>
        <w:br/>
        <w:t xml:space="preserve">The CNMI uses the OSEP 618 definition for "Dropped Out" which states the total number of students who </w:t>
      </w:r>
      <w:proofErr w:type="gramStart"/>
      <w:r w:rsidRPr="00781112">
        <w:rPr>
          <w:rFonts w:cs="Arial"/>
          <w:color w:val="000000" w:themeColor="text1"/>
          <w:szCs w:val="16"/>
          <w:shd w:val="clear" w:color="auto" w:fill="FFFFFF"/>
        </w:rPr>
        <w:t>were enrolled</w:t>
      </w:r>
      <w:proofErr w:type="gramEnd"/>
      <w:r w:rsidRPr="00781112">
        <w:rPr>
          <w:rFonts w:cs="Arial"/>
          <w:color w:val="000000" w:themeColor="text1"/>
          <w:szCs w:val="16"/>
          <w:shd w:val="clear" w:color="auto" w:fill="FFFFFF"/>
        </w:rPr>
        <w:t xml:space="preserve"> at the start of the reporting period but were not enrolled at the end of the reporting period and did not exit through any other method. This includes dropouts, runaways, GED recipients, expulsions, status unknown, students who moved and are unknown to be continuing in another educational program, and students exiting the system in other ways. This method of collecting dropout data is consistent for all students.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0" w:name="_Toc382082362"/>
      <w:bookmarkStart w:id="11" w:name="_Toc392159270"/>
      <w:bookmarkStart w:id="12"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CNMI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CNMI revised its targets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92.59%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85.07%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65.22%</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97.53%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92.54%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63.04%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65.00%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71.00%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79.00%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87.00%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63.00%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71.00%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79.00%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87.00%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92465D">
      <w:pPr>
        <w:rPr>
          <w:b/>
          <w:color w:val="000000" w:themeColor="text1"/>
        </w:rPr>
      </w:pPr>
    </w:p>
    <w:p w14:paraId="2DB4239B" w14:textId="496ADC20" w:rsidR="00480083" w:rsidRPr="0092465D" w:rsidRDefault="0092465D" w:rsidP="0092465D">
      <w:pPr>
        <w:spacing w:before="0" w:after="200"/>
        <w:rPr>
          <w:b/>
          <w:color w:val="000000" w:themeColor="text1"/>
        </w:rPr>
      </w:pPr>
      <w:r>
        <w:rPr>
          <w:b/>
          <w:color w:val="000000" w:themeColor="text1"/>
        </w:rPr>
        <w:t>Targ</w:t>
      </w:r>
      <w:r w:rsidR="00480083" w:rsidRPr="00781112">
        <w:rPr>
          <w:b/>
          <w:color w:val="000000" w:themeColor="text1"/>
        </w:rPr>
        <w:t xml:space="preserve">ets: Description of Stakeholder Input </w:t>
      </w:r>
      <w:r>
        <w:rPr>
          <w:b/>
          <w:color w:val="000000" w:themeColor="text1"/>
        </w:rPr>
        <w:br/>
      </w:r>
      <w:r w:rsidR="00480083"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00480083" w:rsidRPr="00781112">
        <w:rPr>
          <w:rFonts w:cs="Arial"/>
          <w:color w:val="000000" w:themeColor="text1"/>
          <w:szCs w:val="16"/>
        </w:rPr>
        <w:br/>
      </w:r>
      <w:r w:rsidR="00480083"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00480083" w:rsidRPr="00781112">
        <w:rPr>
          <w:rFonts w:cs="Arial"/>
          <w:color w:val="000000" w:themeColor="text1"/>
          <w:szCs w:val="16"/>
        </w:rPr>
        <w:t>is provided</w:t>
      </w:r>
      <w:proofErr w:type="gramEnd"/>
      <w:r w:rsidR="00480083"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00480083" w:rsidRPr="00781112">
        <w:rPr>
          <w:rFonts w:cs="Arial"/>
          <w:color w:val="000000" w:themeColor="text1"/>
          <w:szCs w:val="16"/>
        </w:rPr>
        <w:t>is also provided</w:t>
      </w:r>
      <w:proofErr w:type="gramEnd"/>
      <w:r w:rsidR="00480083" w:rsidRPr="00781112">
        <w:rPr>
          <w:rFonts w:cs="Arial"/>
          <w:color w:val="000000" w:themeColor="text1"/>
          <w:szCs w:val="16"/>
        </w:rPr>
        <w:t xml:space="preserve"> within the related indicators.</w:t>
      </w:r>
      <w:r w:rsidR="00480083" w:rsidRPr="00781112">
        <w:rPr>
          <w:rFonts w:cs="Arial"/>
          <w:color w:val="000000" w:themeColor="text1"/>
          <w:szCs w:val="16"/>
        </w:rPr>
        <w:br/>
      </w:r>
      <w:r w:rsidR="00480083" w:rsidRPr="00781112">
        <w:rPr>
          <w:rFonts w:cs="Arial"/>
          <w:color w:val="000000" w:themeColor="text1"/>
          <w:szCs w:val="16"/>
        </w:rPr>
        <w:lastRenderedPageBreak/>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185A3541" w14:textId="26BD49D2" w:rsidR="004F4016" w:rsidRPr="00781112" w:rsidRDefault="0092465D" w:rsidP="004F4016">
      <w:pPr>
        <w:rPr>
          <w:b/>
          <w:color w:val="000000" w:themeColor="text1"/>
        </w:rPr>
      </w:pPr>
      <w:r>
        <w:rPr>
          <w:b/>
          <w:color w:val="000000" w:themeColor="text1"/>
        </w:rPr>
        <w:br/>
      </w:r>
      <w:r w:rsidR="00FA33C9">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82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44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72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82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44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73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31</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82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82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92.59%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80.00%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79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85.07%</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80.00%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97.53%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44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65.22%</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65.00%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93.18%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82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82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97.53%</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80.00%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92.54%</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80.00%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98.77%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44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63.04%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63.00%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84.09%</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2BD5A173" w14:textId="77777777" w:rsidR="0092465D" w:rsidRDefault="0092465D" w:rsidP="00A134AA">
      <w:pPr>
        <w:rPr>
          <w:b/>
          <w:color w:val="000000" w:themeColor="text1"/>
        </w:rPr>
      </w:pPr>
    </w:p>
    <w:p w14:paraId="13A59EA6" w14:textId="46C5C2F9"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https://www.cnmipss.org/special-education-program</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0"/>
      <w:bookmarkEnd w:id="11"/>
    </w:p>
    <w:p w14:paraId="66C662B8" w14:textId="77777777" w:rsidR="007C3C89" w:rsidRPr="00781112" w:rsidRDefault="007C3C89" w:rsidP="00A018D4">
      <w:pPr>
        <w:rPr>
          <w:color w:val="000000" w:themeColor="text1"/>
          <w:szCs w:val="20"/>
        </w:rPr>
      </w:pPr>
      <w:bookmarkStart w:id="13"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3"/>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9.38%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4.76%</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7.35%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5.45%</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15.00%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19.00%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21.00%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24.00%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27.00%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w:t>
      </w:r>
      <w:r w:rsidRPr="00781112">
        <w:rPr>
          <w:rFonts w:cs="Arial"/>
          <w:color w:val="000000" w:themeColor="text1"/>
          <w:szCs w:val="16"/>
        </w:rPr>
        <w:lastRenderedPageBreak/>
        <w:t xml:space="preserve">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4"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69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72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6C52D1EE" w:rsidR="003B0C91" w:rsidRPr="00781112" w:rsidRDefault="007B60D2" w:rsidP="00360DD6">
            <w:pPr>
              <w:jc w:val="center"/>
              <w:rPr>
                <w:rFonts w:cs="Arial"/>
                <w:color w:val="000000" w:themeColor="text1"/>
                <w:szCs w:val="16"/>
              </w:rPr>
            </w:pPr>
            <w:r>
              <w:rPr>
                <w:rFonts w:cs="Arial"/>
                <w:color w:val="000000" w:themeColor="text1"/>
                <w:szCs w:val="16"/>
              </w:rPr>
              <w:t>x</w:t>
            </w:r>
            <w:bookmarkStart w:id="15" w:name="_Ref141370426"/>
            <w:r w:rsidR="0074272B">
              <w:rPr>
                <w:rStyle w:val="FootnoteReference"/>
                <w:rFonts w:cs="Arial"/>
                <w:color w:val="000000" w:themeColor="text1"/>
                <w:szCs w:val="16"/>
              </w:rPr>
              <w:footnoteReference w:id="2"/>
            </w:r>
            <w:bookmarkEnd w:id="15"/>
          </w:p>
        </w:tc>
        <w:tc>
          <w:tcPr>
            <w:tcW w:w="1292" w:type="pct"/>
            <w:shd w:val="clear" w:color="auto" w:fill="auto"/>
            <w:vAlign w:val="center"/>
          </w:tcPr>
          <w:p w14:paraId="74B7B6E9" w14:textId="596C13F9" w:rsidR="003B0C91" w:rsidRPr="00781112" w:rsidRDefault="0004234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c>
          <w:tcPr>
            <w:tcW w:w="1292" w:type="pct"/>
            <w:shd w:val="clear" w:color="auto" w:fill="auto"/>
            <w:vAlign w:val="center"/>
          </w:tcPr>
          <w:p w14:paraId="46F10147" w14:textId="1DB9DEE7" w:rsidR="003B0C91" w:rsidRPr="00781112" w:rsidRDefault="0004234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47F69679" w14:textId="37F8D7E2" w:rsidR="003B0C91" w:rsidRPr="00781112" w:rsidRDefault="0004234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c>
          <w:tcPr>
            <w:tcW w:w="1292" w:type="pct"/>
            <w:shd w:val="clear" w:color="auto" w:fill="auto"/>
            <w:vAlign w:val="center"/>
          </w:tcPr>
          <w:p w14:paraId="59F768C9" w14:textId="7BE53F6D" w:rsidR="003B0C91" w:rsidRPr="00781112" w:rsidRDefault="0004234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69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57C798A6" w:rsidR="00EB6900" w:rsidRPr="00781112" w:rsidRDefault="0004234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c>
          <w:tcPr>
            <w:tcW w:w="1292" w:type="pct"/>
            <w:shd w:val="clear" w:color="auto" w:fill="auto"/>
            <w:vAlign w:val="center"/>
          </w:tcPr>
          <w:p w14:paraId="0501C27C" w14:textId="41961880" w:rsidR="00EB6900" w:rsidRPr="00781112" w:rsidRDefault="0004234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c>
          <w:tcPr>
            <w:tcW w:w="1292" w:type="pct"/>
            <w:shd w:val="clear" w:color="auto" w:fill="auto"/>
            <w:vAlign w:val="center"/>
          </w:tcPr>
          <w:p w14:paraId="2F8ECC6A" w14:textId="6CA0453C" w:rsidR="00EB6900" w:rsidRPr="00781112" w:rsidRDefault="0004234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r>
      <w:bookmarkEnd w:id="14"/>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764EB90E" w:rsidR="00AD0E97" w:rsidRPr="00781112" w:rsidRDefault="0004234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69</w:t>
            </w:r>
          </w:p>
        </w:tc>
        <w:tc>
          <w:tcPr>
            <w:tcW w:w="503" w:type="pct"/>
            <w:shd w:val="clear" w:color="auto" w:fill="auto"/>
            <w:vAlign w:val="center"/>
          </w:tcPr>
          <w:p w14:paraId="69FD37B5" w14:textId="38210DDF" w:rsidR="00AD0E97" w:rsidRPr="00781112" w:rsidRDefault="0004234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9.00%</w:t>
            </w:r>
          </w:p>
        </w:tc>
        <w:tc>
          <w:tcPr>
            <w:tcW w:w="503" w:type="pct"/>
            <w:shd w:val="clear" w:color="auto" w:fill="auto"/>
            <w:vAlign w:val="center"/>
          </w:tcPr>
          <w:p w14:paraId="120D94C1" w14:textId="0560FD35" w:rsidR="00AD0E97" w:rsidRPr="00781112" w:rsidRDefault="0004234E"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_Ref141370426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1</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55050022" w:rsidR="00AD0E97" w:rsidRPr="00781112" w:rsidRDefault="007B60D2" w:rsidP="00AD0E97">
            <w:pPr>
              <w:jc w:val="center"/>
              <w:rPr>
                <w:rFonts w:cs="Arial"/>
                <w:color w:val="000000" w:themeColor="text1"/>
                <w:szCs w:val="16"/>
              </w:rPr>
            </w:pPr>
            <w:r>
              <w:rPr>
                <w:rFonts w:cs="Arial"/>
                <w:color w:val="000000" w:themeColor="text1"/>
                <w:szCs w:val="16"/>
              </w:rPr>
              <w:t>x</w:t>
            </w:r>
            <w:bookmarkStart w:id="16" w:name="_Ref141251371"/>
            <w:r w:rsidR="0074272B">
              <w:rPr>
                <w:rStyle w:val="FootnoteReference"/>
                <w:rFonts w:cs="Arial"/>
                <w:color w:val="000000" w:themeColor="text1"/>
                <w:szCs w:val="16"/>
              </w:rPr>
              <w:footnoteReference w:id="3"/>
            </w:r>
            <w:bookmarkEnd w:id="16"/>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72</w:t>
            </w:r>
          </w:p>
        </w:tc>
        <w:tc>
          <w:tcPr>
            <w:tcW w:w="503" w:type="pct"/>
            <w:shd w:val="clear" w:color="auto" w:fill="auto"/>
            <w:vAlign w:val="center"/>
          </w:tcPr>
          <w:p w14:paraId="3FB80D14" w14:textId="17BC7E72" w:rsidR="00AD0E97" w:rsidRPr="00781112" w:rsidRDefault="0074272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8.00%</w:t>
            </w:r>
          </w:p>
        </w:tc>
        <w:tc>
          <w:tcPr>
            <w:tcW w:w="503" w:type="pct"/>
            <w:shd w:val="clear" w:color="auto" w:fill="auto"/>
            <w:vAlign w:val="center"/>
          </w:tcPr>
          <w:p w14:paraId="65C7EB9E" w14:textId="317E726E" w:rsidR="00AD0E97" w:rsidRPr="0074272B" w:rsidRDefault="0074272B" w:rsidP="00AD0E97">
            <w:pPr>
              <w:jc w:val="center"/>
              <w:rPr>
                <w:rFonts w:cs="Arial"/>
                <w:b/>
                <w:bCs/>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1022D858" w:rsidR="00AD0E97" w:rsidRPr="00781112" w:rsidRDefault="0074272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34</w:t>
            </w:r>
          </w:p>
        </w:tc>
        <w:tc>
          <w:tcPr>
            <w:tcW w:w="503" w:type="pct"/>
            <w:shd w:val="clear" w:color="auto" w:fill="auto"/>
            <w:vAlign w:val="center"/>
          </w:tcPr>
          <w:p w14:paraId="039885F2" w14:textId="57477EE1" w:rsidR="00AD0E97" w:rsidRPr="00781112" w:rsidRDefault="0074272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5.00%</w:t>
            </w:r>
          </w:p>
        </w:tc>
        <w:tc>
          <w:tcPr>
            <w:tcW w:w="503" w:type="pct"/>
            <w:shd w:val="clear" w:color="auto" w:fill="auto"/>
            <w:vAlign w:val="center"/>
          </w:tcPr>
          <w:p w14:paraId="68757684" w14:textId="376AC70A" w:rsidR="00AD0E97" w:rsidRPr="00781112" w:rsidRDefault="0074272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A consideration for the slippage is the impact of COVID-19 on instruction. The beginning of school year 2021-2022 continued the PSS blended learning approach of online and face-to-face instruction. Due to the rise in COVID-19 cases, PSS then shifted to remote learning in November 2021 until January 2022 when schools and services were back to face-to-face. This disruption in the mode of learning could have impacted the instruction of students, particularly in Group B.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improve instruction for our students with IEPs, this 2022-2023 school year, the CNMI Special Education Program assigned an itinerant special education teacher to address any technical assistance needs in the schools related to the identification and service provisions of the IEP. Additionally, the program partnered with an OSEP-funded TA center, the PROGRESS Center, to provide training and technical support on the development and implementation of IEPs, with emphasis on specially designed instruction (SDI).</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60948FE7"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69</w:t>
            </w:r>
          </w:p>
        </w:tc>
        <w:tc>
          <w:tcPr>
            <w:tcW w:w="500" w:type="pct"/>
            <w:shd w:val="clear" w:color="auto" w:fill="auto"/>
            <w:vAlign w:val="center"/>
          </w:tcPr>
          <w:p w14:paraId="044B076F" w14:textId="3F3FECFD"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7.00%</w:t>
            </w:r>
          </w:p>
        </w:tc>
        <w:tc>
          <w:tcPr>
            <w:tcW w:w="500" w:type="pct"/>
            <w:shd w:val="clear" w:color="auto" w:fill="auto"/>
            <w:vAlign w:val="center"/>
          </w:tcPr>
          <w:p w14:paraId="4C5100F6" w14:textId="71245B02"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7A5DC753"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73</w:t>
            </w:r>
          </w:p>
        </w:tc>
        <w:tc>
          <w:tcPr>
            <w:tcW w:w="500" w:type="pct"/>
            <w:shd w:val="clear" w:color="auto" w:fill="auto"/>
            <w:vAlign w:val="center"/>
          </w:tcPr>
          <w:p w14:paraId="272455FD" w14:textId="0236C73A"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7DB4B85A" w14:textId="450B66C7"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7139A45"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31</w:t>
            </w:r>
          </w:p>
        </w:tc>
        <w:tc>
          <w:tcPr>
            <w:tcW w:w="500" w:type="pct"/>
            <w:shd w:val="clear" w:color="auto" w:fill="auto"/>
            <w:vAlign w:val="center"/>
          </w:tcPr>
          <w:p w14:paraId="2250005A" w14:textId="4993E35E"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15.00%</w:t>
            </w:r>
          </w:p>
        </w:tc>
        <w:tc>
          <w:tcPr>
            <w:tcW w:w="500" w:type="pct"/>
            <w:shd w:val="clear" w:color="auto" w:fill="auto"/>
            <w:vAlign w:val="center"/>
          </w:tcPr>
          <w:p w14:paraId="581F32CD" w14:textId="45BF1759" w:rsidR="00242D8A" w:rsidRPr="00781112" w:rsidRDefault="0074272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_Ref141251371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2</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 xml:space="preserve">A consideration for the slippage is the impact of COVID-19 on instruction. The beginning of school year 2021-2022 continued the PSS blended learning approach of online and face-to-face instruction. Due to the rise in COVID-19 cases, PSS then shifted to remote learning in November 2021 until January 2022 when schools and services were back to face-to-face. This disruption in the mode of learning could have </w:t>
      </w:r>
      <w:proofErr w:type="gramStart"/>
      <w:r w:rsidRPr="00781112">
        <w:rPr>
          <w:rFonts w:cs="Arial"/>
          <w:color w:val="000000" w:themeColor="text1"/>
          <w:szCs w:val="16"/>
        </w:rPr>
        <w:t>impacted</w:t>
      </w:r>
      <w:proofErr w:type="gramEnd"/>
      <w:r w:rsidRPr="00781112">
        <w:rPr>
          <w:rFonts w:cs="Arial"/>
          <w:color w:val="000000" w:themeColor="text1"/>
          <w:szCs w:val="16"/>
        </w:rPr>
        <w:t xml:space="preserve"> the instruction of students, particularly in Group C.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improve instruction for our students with IEPs, this 2022-2023 school year, the CNMI Special Education Program assigned an itinerant special education teacher to address any technical assistance needs in the schools related to the identification and service provisions of the IEP. Additionally, the program partnered with an OSEP-funded TA center, the PROGRESS Center, to provide training and technical support on the development and implementation of IEPs, with emphasis on specially designed instruction (SDI).</w:t>
      </w:r>
    </w:p>
    <w:p w14:paraId="197C30C8" w14:textId="77777777" w:rsidR="00CF57A2" w:rsidRPr="00781112" w:rsidRDefault="00CF57A2" w:rsidP="00580134">
      <w:pPr>
        <w:rPr>
          <w:rFonts w:cs="Arial"/>
          <w:iCs/>
          <w:color w:val="000000" w:themeColor="text1"/>
          <w:szCs w:val="16"/>
        </w:rPr>
      </w:pPr>
    </w:p>
    <w:p w14:paraId="3C6B4961" w14:textId="2800B20B" w:rsidR="00497DE4" w:rsidRPr="0092465D" w:rsidRDefault="00497DE4" w:rsidP="0092465D">
      <w:pPr>
        <w:spacing w:before="0" w:after="200" w:line="276" w:lineRule="auto"/>
        <w:rPr>
          <w:color w:val="000000" w:themeColor="text1"/>
        </w:rPr>
      </w:pPr>
      <w:r w:rsidRPr="00781112">
        <w:rPr>
          <w:b/>
          <w:color w:val="000000" w:themeColor="text1"/>
        </w:rPr>
        <w:t>Regulatory Information</w:t>
      </w:r>
      <w:r w:rsidR="0092465D">
        <w:rPr>
          <w:b/>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https://www.cnmipss.org/special-education-program</w:t>
      </w:r>
    </w:p>
    <w:p w14:paraId="2BE473B4" w14:textId="77777777" w:rsidR="00053391" w:rsidRPr="00781112" w:rsidRDefault="00053391" w:rsidP="004369B2">
      <w:pPr>
        <w:rPr>
          <w:b/>
          <w:color w:val="000000" w:themeColor="text1"/>
        </w:rPr>
      </w:pPr>
      <w:bookmarkStart w:id="17" w:name="_Toc382082367"/>
      <w:bookmarkStart w:id="18"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lastRenderedPageBreak/>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7"/>
      <w:bookmarkEnd w:id="18"/>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9" w:name="_Toc384383330"/>
      <w:bookmarkStart w:id="20" w:name="_Toc392159282"/>
      <w:bookmarkStart w:id="21"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34835B5C" w:rsidR="00537221" w:rsidRPr="00781112" w:rsidRDefault="00E24F10" w:rsidP="00827FF4">
            <w:pPr>
              <w:spacing w:before="0" w:after="0"/>
              <w:jc w:val="center"/>
              <w:rPr>
                <w:color w:val="000000" w:themeColor="text1"/>
              </w:rPr>
            </w:pPr>
            <w:r>
              <w:rPr>
                <w:color w:val="000000" w:themeColor="text1"/>
              </w:rPr>
              <w:t>x</w:t>
            </w:r>
            <w:bookmarkStart w:id="22" w:name="_Ref141180940"/>
            <w:r>
              <w:rPr>
                <w:rStyle w:val="FootnoteReference"/>
                <w:color w:val="000000" w:themeColor="text1"/>
              </w:rPr>
              <w:footnoteReference w:id="4"/>
            </w:r>
            <w:bookmarkEnd w:id="22"/>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46B0CFA6" w:rsidR="00537221" w:rsidRPr="00781112" w:rsidRDefault="00E24F10" w:rsidP="00827FF4">
            <w:pPr>
              <w:spacing w:before="0" w:after="0"/>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_Ref141180940 \f \h </w:instrText>
            </w:r>
            <w:r>
              <w:rPr>
                <w:color w:val="000000" w:themeColor="text1"/>
              </w:rPr>
            </w:r>
            <w:r>
              <w:rPr>
                <w:color w:val="000000" w:themeColor="text1"/>
              </w:rPr>
              <w:fldChar w:fldCharType="separate"/>
            </w:r>
            <w:r w:rsidR="0092465D" w:rsidRPr="0092465D">
              <w:rPr>
                <w:rStyle w:val="FootnoteReference"/>
              </w:rPr>
              <w:t>3</w:t>
            </w:r>
            <w:r>
              <w:rPr>
                <w:color w:val="000000" w:themeColor="text1"/>
              </w:rPr>
              <w:fldChar w:fldCharType="end"/>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44.44%</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36.36%</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0D644678" w:rsidR="00537221" w:rsidRPr="00781112" w:rsidRDefault="00E24F10" w:rsidP="00827FF4">
            <w:pPr>
              <w:spacing w:before="0" w:after="0"/>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_Ref141180940 \f \h </w:instrText>
            </w:r>
            <w:r>
              <w:rPr>
                <w:color w:val="000000" w:themeColor="text1"/>
              </w:rPr>
            </w:r>
            <w:r>
              <w:rPr>
                <w:color w:val="000000" w:themeColor="text1"/>
              </w:rPr>
              <w:fldChar w:fldCharType="separate"/>
            </w:r>
            <w:r w:rsidR="0092465D" w:rsidRPr="0092465D">
              <w:rPr>
                <w:rStyle w:val="FootnoteReference"/>
              </w:rPr>
              <w:t>3</w:t>
            </w:r>
            <w:r>
              <w:rPr>
                <w:color w:val="000000" w:themeColor="text1"/>
              </w:rPr>
              <w:fldChar w:fldCharType="end"/>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55.56%</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27.00%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33.00%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33.00%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85.00%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85.00%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85.00%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88.00%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88.00%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36.00%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85.00%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85.00%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85.00%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88.00%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88.00%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61.00%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61.00%</w:t>
            </w:r>
          </w:p>
        </w:tc>
      </w:tr>
    </w:tbl>
    <w:p w14:paraId="166432FA" w14:textId="77777777" w:rsidR="0092465D" w:rsidRDefault="0092465D" w:rsidP="0092465D">
      <w:pPr>
        <w:spacing w:before="0" w:after="200" w:line="276" w:lineRule="auto"/>
        <w:rPr>
          <w:b/>
          <w:color w:val="000000" w:themeColor="text1"/>
        </w:rPr>
      </w:pPr>
    </w:p>
    <w:p w14:paraId="08B1A70A" w14:textId="4A67B62D" w:rsidR="002D145D" w:rsidRPr="0092465D" w:rsidRDefault="002D145D" w:rsidP="0092465D">
      <w:pPr>
        <w:spacing w:before="0" w:after="200"/>
        <w:rPr>
          <w:b/>
          <w:color w:val="000000" w:themeColor="text1"/>
        </w:rPr>
      </w:pPr>
      <w:r w:rsidRPr="00781112">
        <w:rPr>
          <w:b/>
          <w:color w:val="000000" w:themeColor="text1"/>
        </w:rPr>
        <w:t xml:space="preserve">Targets: Description of Stakeholder Input </w:t>
      </w:r>
      <w:r w:rsidR="0092465D">
        <w:rPr>
          <w:b/>
          <w:color w:val="000000" w:themeColor="text1"/>
        </w:rPr>
        <w:br/>
      </w:r>
      <w:r w:rsidR="002B7490"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002B7490" w:rsidRPr="00781112">
        <w:rPr>
          <w:rFonts w:cs="Arial"/>
          <w:color w:val="000000" w:themeColor="text1"/>
          <w:szCs w:val="16"/>
        </w:rPr>
        <w:br/>
      </w:r>
      <w:r w:rsidR="002B7490" w:rsidRPr="00781112">
        <w:rPr>
          <w:rFonts w:cs="Arial"/>
          <w:color w:val="000000" w:themeColor="text1"/>
          <w:szCs w:val="16"/>
        </w:rPr>
        <w:br/>
        <w:t xml:space="preserve">This FFY 2021 APR includes current performance data on 15 of the 17 Indicator measures: Indicators 1, 2, 3, 4, 5, 6, 7, 8, 11, 12, 13, 14, 15, 16 and 17. </w:t>
      </w:r>
      <w:r w:rsidR="002B7490" w:rsidRPr="00781112">
        <w:rPr>
          <w:rFonts w:cs="Arial"/>
          <w:color w:val="000000" w:themeColor="text1"/>
          <w:szCs w:val="16"/>
        </w:rPr>
        <w:lastRenderedPageBreak/>
        <w:t xml:space="preserve">Per OSEP’s instructions, SPP Indicators 4B, 9 and 10 do not apply to the CNMI. For each applicable SPP Indicator measure, CNMI reports FFY 2021 progress data to determine if CNMI met its FFY 2021 targets. An explanation of slippage </w:t>
      </w:r>
      <w:proofErr w:type="gramStart"/>
      <w:r w:rsidR="002B7490" w:rsidRPr="00781112">
        <w:rPr>
          <w:rFonts w:cs="Arial"/>
          <w:color w:val="000000" w:themeColor="text1"/>
          <w:szCs w:val="16"/>
        </w:rPr>
        <w:t>is provided</w:t>
      </w:r>
      <w:proofErr w:type="gramEnd"/>
      <w:r w:rsidR="002B7490"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002B7490" w:rsidRPr="00781112">
        <w:rPr>
          <w:rFonts w:cs="Arial"/>
          <w:color w:val="000000" w:themeColor="text1"/>
          <w:szCs w:val="16"/>
        </w:rPr>
        <w:t>is also provided</w:t>
      </w:r>
      <w:proofErr w:type="gramEnd"/>
      <w:r w:rsidR="002B7490" w:rsidRPr="00781112">
        <w:rPr>
          <w:rFonts w:cs="Arial"/>
          <w:color w:val="000000" w:themeColor="text1"/>
          <w:szCs w:val="16"/>
        </w:rPr>
        <w:t xml:space="preserve"> within the related indicators.</w:t>
      </w:r>
      <w:r w:rsidR="002B7490" w:rsidRPr="00781112">
        <w:rPr>
          <w:rFonts w:cs="Arial"/>
          <w:color w:val="000000" w:themeColor="text1"/>
          <w:szCs w:val="16"/>
        </w:rPr>
        <w:br/>
      </w:r>
      <w:r w:rsidR="002B7490"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w:t>
            </w:r>
          </w:p>
        </w:tc>
        <w:tc>
          <w:tcPr>
            <w:tcW w:w="2700" w:type="dxa"/>
            <w:shd w:val="clear" w:color="auto" w:fill="auto"/>
            <w:vAlign w:val="center"/>
          </w:tcPr>
          <w:p w14:paraId="70A0184C" w14:textId="140E8938" w:rsidR="005A486A" w:rsidRPr="00781112" w:rsidRDefault="00E24F10" w:rsidP="00360DD6">
            <w:pPr>
              <w:jc w:val="center"/>
              <w:rPr>
                <w:b/>
                <w:color w:val="000000" w:themeColor="text1"/>
              </w:rPr>
            </w:pPr>
            <w:r>
              <w:rPr>
                <w:color w:val="000000" w:themeColor="text1"/>
              </w:rPr>
              <w:t>x</w:t>
            </w:r>
            <w:bookmarkStart w:id="23" w:name="_Ref141180982"/>
            <w:r>
              <w:rPr>
                <w:rStyle w:val="FootnoteReference"/>
                <w:color w:val="000000" w:themeColor="text1"/>
              </w:rPr>
              <w:footnoteReference w:id="5"/>
            </w:r>
            <w:bookmarkEnd w:id="23"/>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5</w:t>
            </w:r>
          </w:p>
        </w:tc>
        <w:tc>
          <w:tcPr>
            <w:tcW w:w="2700" w:type="dxa"/>
            <w:shd w:val="clear" w:color="auto" w:fill="auto"/>
            <w:vAlign w:val="center"/>
          </w:tcPr>
          <w:p w14:paraId="47E25E0D" w14:textId="4889ADDB" w:rsidR="005A486A" w:rsidRPr="00781112" w:rsidRDefault="00E24F10" w:rsidP="00360DD6">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_Ref141180982 \f \h </w:instrText>
            </w:r>
            <w:r>
              <w:rPr>
                <w:color w:val="000000" w:themeColor="text1"/>
              </w:rPr>
            </w:r>
            <w:r>
              <w:rPr>
                <w:color w:val="000000" w:themeColor="text1"/>
              </w:rPr>
              <w:fldChar w:fldCharType="separate"/>
            </w:r>
            <w:r w:rsidR="0092465D" w:rsidRPr="0092465D">
              <w:rPr>
                <w:rStyle w:val="FootnoteReference"/>
              </w:rPr>
              <w:t>4</w:t>
            </w:r>
            <w:r>
              <w:rPr>
                <w:color w:val="000000" w:themeColor="text1"/>
              </w:rPr>
              <w:fldChar w:fldCharType="end"/>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w:t>
            </w:r>
          </w:p>
        </w:tc>
      </w:tr>
    </w:tbl>
    <w:p w14:paraId="165F2FCD" w14:textId="77777777" w:rsidR="00E24F10" w:rsidRDefault="00E24F10" w:rsidP="00286BDF">
      <w:pPr>
        <w:rPr>
          <w:rFonts w:cs="Arial"/>
          <w:b/>
          <w:color w:val="000000" w:themeColor="text1"/>
          <w:szCs w:val="16"/>
        </w:rPr>
      </w:pPr>
    </w:p>
    <w:p w14:paraId="31899BDA" w14:textId="6270A462"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w:t>
            </w:r>
          </w:p>
        </w:tc>
        <w:tc>
          <w:tcPr>
            <w:tcW w:w="2700" w:type="dxa"/>
            <w:shd w:val="clear" w:color="auto" w:fill="auto"/>
            <w:vAlign w:val="center"/>
          </w:tcPr>
          <w:p w14:paraId="669EEFA3" w14:textId="70EC4BEF" w:rsidR="00660173" w:rsidRPr="00781112" w:rsidRDefault="00E24F10" w:rsidP="00360DD6">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_Ref141180982 \f \h </w:instrText>
            </w:r>
            <w:r>
              <w:rPr>
                <w:color w:val="000000" w:themeColor="text1"/>
              </w:rPr>
            </w:r>
            <w:r>
              <w:rPr>
                <w:color w:val="000000" w:themeColor="text1"/>
              </w:rPr>
              <w:fldChar w:fldCharType="separate"/>
            </w:r>
            <w:r w:rsidR="0092465D" w:rsidRPr="0092465D">
              <w:rPr>
                <w:rStyle w:val="FootnoteReference"/>
              </w:rPr>
              <w:t>4</w:t>
            </w:r>
            <w:r>
              <w:rPr>
                <w:color w:val="000000" w:themeColor="text1"/>
              </w:rPr>
              <w:fldChar w:fldCharType="end"/>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8</w:t>
            </w:r>
          </w:p>
        </w:tc>
        <w:tc>
          <w:tcPr>
            <w:tcW w:w="2700" w:type="dxa"/>
            <w:shd w:val="clear" w:color="auto" w:fill="auto"/>
            <w:vAlign w:val="center"/>
          </w:tcPr>
          <w:p w14:paraId="6F4311F8" w14:textId="4D3CC849" w:rsidR="00660173" w:rsidRPr="00781112" w:rsidRDefault="00E24F10" w:rsidP="00360DD6">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_Ref141180982 \f \h </w:instrText>
            </w:r>
            <w:r>
              <w:rPr>
                <w:color w:val="000000" w:themeColor="text1"/>
              </w:rPr>
            </w:r>
            <w:r>
              <w:rPr>
                <w:color w:val="000000" w:themeColor="text1"/>
              </w:rPr>
              <w:fldChar w:fldCharType="separate"/>
            </w:r>
            <w:r w:rsidR="0092465D" w:rsidRPr="0092465D">
              <w:rPr>
                <w:rStyle w:val="FootnoteReference"/>
              </w:rPr>
              <w:t>4</w:t>
            </w:r>
            <w:r>
              <w:rPr>
                <w:color w:val="000000" w:themeColor="text1"/>
              </w:rPr>
              <w:fldChar w:fldCharType="end"/>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E24F10">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vAlign w:val="center"/>
          </w:tcPr>
          <w:p w14:paraId="2D59B69E" w14:textId="71850FD0" w:rsidR="00566725" w:rsidRPr="00781112" w:rsidDel="00DE5045" w:rsidRDefault="00566725" w:rsidP="00E24F10">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0EC608D" w14:textId="576E5156" w:rsidR="00566725" w:rsidRPr="00781112" w:rsidRDefault="00566725" w:rsidP="00E24F10">
            <w:pPr>
              <w:jc w:val="center"/>
              <w:rPr>
                <w:rFonts w:cs="Arial"/>
                <w:color w:val="000000" w:themeColor="text1"/>
                <w:szCs w:val="16"/>
              </w:rPr>
            </w:pPr>
            <w:r w:rsidRPr="00781112">
              <w:rPr>
                <w:rFonts w:cs="Arial"/>
                <w:color w:val="000000" w:themeColor="text1"/>
                <w:szCs w:val="16"/>
              </w:rPr>
              <w:t>5</w:t>
            </w:r>
          </w:p>
        </w:tc>
        <w:tc>
          <w:tcPr>
            <w:tcW w:w="649" w:type="pct"/>
            <w:shd w:val="clear" w:color="auto" w:fill="auto"/>
            <w:vAlign w:val="center"/>
          </w:tcPr>
          <w:p w14:paraId="5740CA80" w14:textId="7FBF02A9" w:rsidR="00566725" w:rsidRPr="00781112" w:rsidRDefault="00566725" w:rsidP="00E24F10">
            <w:pPr>
              <w:jc w:val="center"/>
              <w:rPr>
                <w:rFonts w:cs="Arial"/>
                <w:color w:val="000000" w:themeColor="text1"/>
                <w:szCs w:val="16"/>
              </w:rPr>
            </w:pPr>
            <w:r>
              <w:rPr>
                <w:rFonts w:cs="Arial"/>
                <w:color w:val="000000"/>
                <w:szCs w:val="16"/>
              </w:rPr>
              <w:t>13</w:t>
            </w:r>
          </w:p>
        </w:tc>
        <w:tc>
          <w:tcPr>
            <w:tcW w:w="541" w:type="pct"/>
            <w:shd w:val="clear" w:color="auto" w:fill="auto"/>
            <w:vAlign w:val="center"/>
          </w:tcPr>
          <w:p w14:paraId="6BA58310" w14:textId="38D9910D" w:rsidR="00566725" w:rsidRPr="00781112" w:rsidRDefault="00E24F10" w:rsidP="00E24F10">
            <w:pPr>
              <w:jc w:val="center"/>
              <w:rPr>
                <w:rFonts w:cs="Arial"/>
                <w:color w:val="000000" w:themeColor="text1"/>
                <w:szCs w:val="16"/>
              </w:rPr>
            </w:pPr>
            <w:r>
              <w:rPr>
                <w:rFonts w:cs="Arial"/>
                <w:color w:val="000000" w:themeColor="text1"/>
                <w:szCs w:val="16"/>
              </w:rPr>
              <w:t>x</w:t>
            </w:r>
            <w:r w:rsidR="0092465D">
              <w:fldChar w:fldCharType="begin"/>
            </w:r>
            <w:r w:rsidR="0092465D">
              <w:rPr>
                <w:rFonts w:cs="Arial"/>
                <w:color w:val="000000" w:themeColor="text1"/>
                <w:szCs w:val="16"/>
              </w:rPr>
              <w:instrText xml:space="preserve"> NOTEREF _Ref141180982 \f \h </w:instrText>
            </w:r>
            <w:r w:rsidR="0092465D">
              <w:fldChar w:fldCharType="separate"/>
            </w:r>
            <w:r w:rsidR="0092465D" w:rsidRPr="0092465D">
              <w:rPr>
                <w:rStyle w:val="FootnoteReference"/>
              </w:rPr>
              <w:t>4</w:t>
            </w:r>
            <w:r w:rsidR="0092465D">
              <w:fldChar w:fldCharType="end"/>
            </w:r>
          </w:p>
        </w:tc>
        <w:tc>
          <w:tcPr>
            <w:tcW w:w="754" w:type="pct"/>
            <w:shd w:val="clear" w:color="auto" w:fill="auto"/>
            <w:vAlign w:val="center"/>
          </w:tcPr>
          <w:p w14:paraId="47A1F29A" w14:textId="0E923F64" w:rsidR="00566725" w:rsidRPr="00781112" w:rsidRDefault="00566725" w:rsidP="00E24F10">
            <w:pPr>
              <w:jc w:val="center"/>
              <w:rPr>
                <w:rFonts w:cs="Arial"/>
                <w:color w:val="000000" w:themeColor="text1"/>
                <w:szCs w:val="16"/>
              </w:rPr>
            </w:pPr>
            <w:r w:rsidRPr="00781112">
              <w:rPr>
                <w:rFonts w:cs="Arial"/>
                <w:color w:val="000000" w:themeColor="text1"/>
                <w:szCs w:val="16"/>
              </w:rPr>
              <w:t>27.00%</w:t>
            </w:r>
          </w:p>
        </w:tc>
        <w:tc>
          <w:tcPr>
            <w:tcW w:w="499" w:type="pct"/>
            <w:shd w:val="clear" w:color="auto" w:fill="auto"/>
            <w:vAlign w:val="center"/>
          </w:tcPr>
          <w:p w14:paraId="2AE4C61A" w14:textId="12BE6FDD" w:rsidR="00566725" w:rsidRPr="00781112" w:rsidRDefault="00566725" w:rsidP="00E24F10">
            <w:pPr>
              <w:jc w:val="center"/>
              <w:rPr>
                <w:rFonts w:cs="Arial"/>
                <w:color w:val="000000" w:themeColor="text1"/>
                <w:szCs w:val="16"/>
              </w:rPr>
            </w:pPr>
            <w:r w:rsidRPr="00781112">
              <w:rPr>
                <w:rFonts w:cs="Arial"/>
                <w:color w:val="000000" w:themeColor="text1"/>
                <w:szCs w:val="16"/>
              </w:rPr>
              <w:t>38.46%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E24F10">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vAlign w:val="center"/>
          </w:tcPr>
          <w:p w14:paraId="137CEDF6" w14:textId="15D625F4" w:rsidR="00566725" w:rsidRPr="00781112" w:rsidDel="00DE5045" w:rsidRDefault="00566725" w:rsidP="00E24F10">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1707A82B" w14:textId="0FDBE6D4" w:rsidR="00566725" w:rsidRPr="00781112" w:rsidRDefault="00E24F10" w:rsidP="00E24F10">
            <w:pPr>
              <w:jc w:val="center"/>
              <w:rPr>
                <w:rFonts w:cs="Arial"/>
                <w:color w:val="000000" w:themeColor="text1"/>
                <w:szCs w:val="16"/>
              </w:rPr>
            </w:pPr>
            <w:r>
              <w:rPr>
                <w:rFonts w:cs="Arial"/>
                <w:color w:val="000000" w:themeColor="text1"/>
                <w:szCs w:val="16"/>
              </w:rPr>
              <w:t>x</w:t>
            </w:r>
            <w:r w:rsidR="0092465D">
              <w:fldChar w:fldCharType="begin"/>
            </w:r>
            <w:r w:rsidR="0092465D">
              <w:rPr>
                <w:rFonts w:cs="Arial"/>
                <w:color w:val="000000" w:themeColor="text1"/>
                <w:szCs w:val="16"/>
              </w:rPr>
              <w:instrText xml:space="preserve"> NOTEREF _Ref141180982 \f \h </w:instrText>
            </w:r>
            <w:r w:rsidR="0092465D">
              <w:fldChar w:fldCharType="separate"/>
            </w:r>
            <w:r w:rsidR="0092465D" w:rsidRPr="0092465D">
              <w:rPr>
                <w:rStyle w:val="FootnoteReference"/>
              </w:rPr>
              <w:t>4</w:t>
            </w:r>
            <w:r w:rsidR="0092465D">
              <w:fldChar w:fldCharType="end"/>
            </w:r>
          </w:p>
        </w:tc>
        <w:tc>
          <w:tcPr>
            <w:tcW w:w="649" w:type="pct"/>
            <w:shd w:val="clear" w:color="auto" w:fill="auto"/>
            <w:vAlign w:val="center"/>
          </w:tcPr>
          <w:p w14:paraId="1BCB466D" w14:textId="5DD60E0B" w:rsidR="00566725" w:rsidRPr="00781112" w:rsidRDefault="00566725" w:rsidP="00E24F10">
            <w:pPr>
              <w:jc w:val="center"/>
              <w:rPr>
                <w:rFonts w:cs="Arial"/>
                <w:color w:val="000000" w:themeColor="text1"/>
                <w:szCs w:val="16"/>
              </w:rPr>
            </w:pPr>
            <w:r>
              <w:rPr>
                <w:rFonts w:cs="Arial"/>
                <w:color w:val="000000"/>
                <w:szCs w:val="16"/>
              </w:rPr>
              <w:t>7</w:t>
            </w:r>
          </w:p>
        </w:tc>
        <w:tc>
          <w:tcPr>
            <w:tcW w:w="541" w:type="pct"/>
            <w:shd w:val="clear" w:color="auto" w:fill="auto"/>
            <w:vAlign w:val="center"/>
          </w:tcPr>
          <w:p w14:paraId="60597E0A" w14:textId="7CDFE6AC" w:rsidR="00566725" w:rsidRPr="00781112" w:rsidRDefault="00E24F10" w:rsidP="00E24F10">
            <w:pPr>
              <w:jc w:val="center"/>
              <w:rPr>
                <w:rFonts w:cs="Arial"/>
                <w:color w:val="000000" w:themeColor="text1"/>
                <w:szCs w:val="16"/>
              </w:rPr>
            </w:pPr>
            <w:r>
              <w:rPr>
                <w:rFonts w:cs="Arial"/>
                <w:color w:val="000000" w:themeColor="text1"/>
                <w:szCs w:val="16"/>
              </w:rPr>
              <w:t>x</w:t>
            </w:r>
            <w:r w:rsidR="0092465D">
              <w:fldChar w:fldCharType="begin"/>
            </w:r>
            <w:r w:rsidR="0092465D">
              <w:rPr>
                <w:rFonts w:cs="Arial"/>
                <w:color w:val="000000" w:themeColor="text1"/>
                <w:szCs w:val="16"/>
              </w:rPr>
              <w:instrText xml:space="preserve"> NOTEREF _Ref141180982 \f \h </w:instrText>
            </w:r>
            <w:r w:rsidR="0092465D">
              <w:fldChar w:fldCharType="separate"/>
            </w:r>
            <w:r w:rsidR="0092465D" w:rsidRPr="0092465D">
              <w:rPr>
                <w:rStyle w:val="FootnoteReference"/>
              </w:rPr>
              <w:t>4</w:t>
            </w:r>
            <w:r w:rsidR="0092465D">
              <w:fldChar w:fldCharType="end"/>
            </w:r>
          </w:p>
        </w:tc>
        <w:tc>
          <w:tcPr>
            <w:tcW w:w="754" w:type="pct"/>
            <w:shd w:val="clear" w:color="auto" w:fill="auto"/>
            <w:vAlign w:val="center"/>
          </w:tcPr>
          <w:p w14:paraId="6445398C" w14:textId="393A6DFD" w:rsidR="00566725" w:rsidRPr="00781112" w:rsidRDefault="00566725" w:rsidP="00E24F10">
            <w:pPr>
              <w:jc w:val="center"/>
              <w:rPr>
                <w:rFonts w:cs="Arial"/>
                <w:color w:val="000000" w:themeColor="text1"/>
                <w:szCs w:val="16"/>
              </w:rPr>
            </w:pPr>
            <w:r w:rsidRPr="00781112">
              <w:rPr>
                <w:rFonts w:cs="Arial"/>
                <w:color w:val="000000" w:themeColor="text1"/>
                <w:szCs w:val="16"/>
              </w:rPr>
              <w:t>85.00%</w:t>
            </w:r>
          </w:p>
        </w:tc>
        <w:tc>
          <w:tcPr>
            <w:tcW w:w="499" w:type="pct"/>
            <w:shd w:val="clear" w:color="auto" w:fill="auto"/>
            <w:vAlign w:val="center"/>
          </w:tcPr>
          <w:p w14:paraId="4EBD899F" w14:textId="2ACDBD1D" w:rsidR="00566725" w:rsidRPr="00781112" w:rsidRDefault="00E24F10" w:rsidP="00E24F10">
            <w:pPr>
              <w:jc w:val="center"/>
              <w:rPr>
                <w:rFonts w:cs="Arial"/>
                <w:color w:val="000000" w:themeColor="text1"/>
                <w:szCs w:val="16"/>
              </w:rPr>
            </w:pPr>
            <w:r>
              <w:rPr>
                <w:rFonts w:cs="Arial"/>
                <w:color w:val="000000" w:themeColor="text1"/>
                <w:szCs w:val="16"/>
              </w:rPr>
              <w:t>x</w:t>
            </w:r>
            <w:r w:rsidR="0092465D">
              <w:fldChar w:fldCharType="begin"/>
            </w:r>
            <w:r w:rsidR="0092465D">
              <w:rPr>
                <w:rFonts w:cs="Arial"/>
                <w:color w:val="000000" w:themeColor="text1"/>
                <w:szCs w:val="16"/>
              </w:rPr>
              <w:instrText xml:space="preserve"> NOTEREF _Ref141180982 \f \h </w:instrText>
            </w:r>
            <w:r w:rsidR="0092465D">
              <w:fldChar w:fldCharType="separate"/>
            </w:r>
            <w:r w:rsidR="0092465D" w:rsidRPr="0092465D">
              <w:rPr>
                <w:rStyle w:val="FootnoteReference"/>
              </w:rPr>
              <w:t>4</w:t>
            </w:r>
            <w:r w:rsidR="0092465D">
              <w:fldChar w:fldCharType="end"/>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E24F10">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vAlign w:val="center"/>
          </w:tcPr>
          <w:p w14:paraId="260DAFBC" w14:textId="292387CD" w:rsidR="00566725" w:rsidRPr="00781112" w:rsidDel="00DE5045" w:rsidRDefault="00566725" w:rsidP="00E24F10">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3637A0D0" w14:textId="4E467DC1" w:rsidR="00566725" w:rsidRPr="00781112" w:rsidRDefault="00566725" w:rsidP="00E24F10">
            <w:pPr>
              <w:jc w:val="center"/>
              <w:rPr>
                <w:rFonts w:cs="Arial"/>
                <w:color w:val="000000" w:themeColor="text1"/>
                <w:szCs w:val="16"/>
              </w:rPr>
            </w:pPr>
            <w:r w:rsidRPr="00781112">
              <w:rPr>
                <w:rFonts w:cs="Arial"/>
                <w:color w:val="000000" w:themeColor="text1"/>
                <w:szCs w:val="16"/>
              </w:rPr>
              <w:t>4</w:t>
            </w:r>
          </w:p>
        </w:tc>
        <w:tc>
          <w:tcPr>
            <w:tcW w:w="649" w:type="pct"/>
            <w:shd w:val="clear" w:color="auto" w:fill="auto"/>
            <w:vAlign w:val="center"/>
          </w:tcPr>
          <w:p w14:paraId="0F212AA6" w14:textId="7E68FF9B" w:rsidR="00566725" w:rsidRPr="00781112" w:rsidRDefault="00E24F10" w:rsidP="00E24F10">
            <w:pPr>
              <w:jc w:val="center"/>
              <w:rPr>
                <w:rFonts w:cs="Arial"/>
                <w:color w:val="000000" w:themeColor="text1"/>
                <w:szCs w:val="16"/>
              </w:rPr>
            </w:pPr>
            <w:r>
              <w:rPr>
                <w:rFonts w:cs="Arial"/>
                <w:color w:val="000000" w:themeColor="text1"/>
                <w:szCs w:val="16"/>
              </w:rPr>
              <w:t>x</w:t>
            </w:r>
            <w:r w:rsidR="0092465D">
              <w:fldChar w:fldCharType="begin"/>
            </w:r>
            <w:r w:rsidR="0092465D">
              <w:rPr>
                <w:rFonts w:cs="Arial"/>
                <w:color w:val="000000" w:themeColor="text1"/>
                <w:szCs w:val="16"/>
              </w:rPr>
              <w:instrText xml:space="preserve"> NOTEREF _Ref141180982 \f \h </w:instrText>
            </w:r>
            <w:r w:rsidR="0092465D">
              <w:fldChar w:fldCharType="separate"/>
            </w:r>
            <w:r w:rsidR="0092465D" w:rsidRPr="0092465D">
              <w:rPr>
                <w:rStyle w:val="FootnoteReference"/>
              </w:rPr>
              <w:t>4</w:t>
            </w:r>
            <w:r w:rsidR="0092465D">
              <w:fldChar w:fldCharType="end"/>
            </w:r>
          </w:p>
        </w:tc>
        <w:tc>
          <w:tcPr>
            <w:tcW w:w="541" w:type="pct"/>
            <w:shd w:val="clear" w:color="auto" w:fill="auto"/>
            <w:vAlign w:val="center"/>
          </w:tcPr>
          <w:p w14:paraId="066DE90A" w14:textId="5EE6838D" w:rsidR="00566725" w:rsidRPr="00781112" w:rsidRDefault="00566725" w:rsidP="00E24F10">
            <w:pPr>
              <w:jc w:val="center"/>
              <w:rPr>
                <w:rFonts w:cs="Arial"/>
                <w:color w:val="000000" w:themeColor="text1"/>
                <w:szCs w:val="16"/>
              </w:rPr>
            </w:pPr>
            <w:r w:rsidRPr="00781112">
              <w:rPr>
                <w:rFonts w:cs="Arial"/>
                <w:color w:val="000000" w:themeColor="text1"/>
                <w:szCs w:val="16"/>
              </w:rPr>
              <w:t>44.44%</w:t>
            </w:r>
          </w:p>
        </w:tc>
        <w:tc>
          <w:tcPr>
            <w:tcW w:w="754" w:type="pct"/>
            <w:shd w:val="clear" w:color="auto" w:fill="auto"/>
            <w:vAlign w:val="center"/>
          </w:tcPr>
          <w:p w14:paraId="4191EA17" w14:textId="17F82057" w:rsidR="00566725" w:rsidRPr="00781112" w:rsidRDefault="00566725" w:rsidP="00E24F10">
            <w:pPr>
              <w:jc w:val="center"/>
              <w:rPr>
                <w:rFonts w:cs="Arial"/>
                <w:color w:val="000000" w:themeColor="text1"/>
                <w:szCs w:val="16"/>
              </w:rPr>
            </w:pPr>
            <w:r w:rsidRPr="00781112">
              <w:rPr>
                <w:rFonts w:cs="Arial"/>
                <w:color w:val="000000" w:themeColor="text1"/>
                <w:szCs w:val="16"/>
              </w:rPr>
              <w:t>44.00%</w:t>
            </w:r>
          </w:p>
        </w:tc>
        <w:tc>
          <w:tcPr>
            <w:tcW w:w="499" w:type="pct"/>
            <w:shd w:val="clear" w:color="auto" w:fill="auto"/>
            <w:vAlign w:val="center"/>
          </w:tcPr>
          <w:p w14:paraId="15CE5CCF" w14:textId="5F508879" w:rsidR="00566725" w:rsidRPr="00781112" w:rsidRDefault="00E24F10" w:rsidP="00E24F10">
            <w:pPr>
              <w:jc w:val="center"/>
              <w:rPr>
                <w:rFonts w:cs="Arial"/>
                <w:color w:val="000000" w:themeColor="text1"/>
                <w:szCs w:val="16"/>
              </w:rPr>
            </w:pPr>
            <w:r>
              <w:rPr>
                <w:rFonts w:cs="Arial"/>
                <w:color w:val="000000" w:themeColor="text1"/>
                <w:szCs w:val="16"/>
              </w:rPr>
              <w:t>x</w:t>
            </w:r>
            <w:r w:rsidR="0092465D">
              <w:fldChar w:fldCharType="begin"/>
            </w:r>
            <w:r w:rsidR="0092465D">
              <w:rPr>
                <w:rFonts w:cs="Arial"/>
                <w:color w:val="000000" w:themeColor="text1"/>
                <w:szCs w:val="16"/>
              </w:rPr>
              <w:instrText xml:space="preserve"> NOTEREF _Ref141180982 \f \h </w:instrText>
            </w:r>
            <w:r w:rsidR="0092465D">
              <w:fldChar w:fldCharType="separate"/>
            </w:r>
            <w:r w:rsidR="0092465D" w:rsidRPr="0092465D">
              <w:rPr>
                <w:rStyle w:val="FootnoteReference"/>
              </w:rPr>
              <w:t>4</w:t>
            </w:r>
            <w:r w:rsidR="0092465D">
              <w:fldChar w:fldCharType="end"/>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lastRenderedPageBreak/>
        <w:t xml:space="preserve">A consideration for the slippage is the impact of COVID-19 on instruction. The beginning of school year 2021-2022 continued the PSS blended learning approach of online and face-to-face instruction. Due to the rise in COVID-19 cases, PSS then shifted to remote learning in November 2021 until January 2022 when schools and services were back to face-to-face. This disruption in the mode of learning could have </w:t>
      </w:r>
      <w:proofErr w:type="gramStart"/>
      <w:r w:rsidRPr="00781112">
        <w:rPr>
          <w:rFonts w:cs="Arial"/>
          <w:color w:val="000000" w:themeColor="text1"/>
          <w:szCs w:val="16"/>
        </w:rPr>
        <w:t>impacted</w:t>
      </w:r>
      <w:proofErr w:type="gramEnd"/>
      <w:r w:rsidRPr="00781112">
        <w:rPr>
          <w:rFonts w:cs="Arial"/>
          <w:color w:val="000000" w:themeColor="text1"/>
          <w:szCs w:val="16"/>
        </w:rPr>
        <w:t xml:space="preserve"> the instruction of students, particularly in Group B.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improve instruction for our students with IEPs, this 2022-2023 school year, the CNMI Special Education Program assigned an itinerant special education teacher to address any technical assistance needs in the schools related to the identification and service provisions of the IEP. Additionally, the program partnered with an OSEP-funded TA center, the PROGRESS Center, to provide training and technical support on the development and implementation of IEPs, with emphasis on specially designed instruction (SDI).</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E24F10">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E24F10">
            <w:pPr>
              <w:jc w:val="center"/>
              <w:rPr>
                <w:rFonts w:cs="Arial"/>
                <w:color w:val="000000" w:themeColor="text1"/>
                <w:szCs w:val="16"/>
              </w:rPr>
            </w:pPr>
            <w:r w:rsidRPr="00781112">
              <w:rPr>
                <w:rFonts w:cs="Arial"/>
                <w:color w:val="000000" w:themeColor="text1"/>
                <w:szCs w:val="16"/>
              </w:rPr>
              <w:t>8</w:t>
            </w:r>
          </w:p>
        </w:tc>
        <w:tc>
          <w:tcPr>
            <w:tcW w:w="648" w:type="pct"/>
            <w:shd w:val="clear" w:color="auto" w:fill="auto"/>
            <w:vAlign w:val="center"/>
          </w:tcPr>
          <w:p w14:paraId="1C6085EF" w14:textId="508775F3" w:rsidR="00A31E8A" w:rsidRPr="00781112" w:rsidRDefault="00A31E8A" w:rsidP="00E24F10">
            <w:pPr>
              <w:jc w:val="center"/>
              <w:rPr>
                <w:rFonts w:cs="Arial"/>
                <w:color w:val="000000" w:themeColor="text1"/>
                <w:szCs w:val="16"/>
              </w:rPr>
            </w:pPr>
            <w:r>
              <w:rPr>
                <w:rFonts w:cs="Arial"/>
                <w:color w:val="000000"/>
                <w:szCs w:val="16"/>
              </w:rPr>
              <w:t>13</w:t>
            </w:r>
          </w:p>
        </w:tc>
        <w:tc>
          <w:tcPr>
            <w:tcW w:w="541" w:type="pct"/>
            <w:shd w:val="clear" w:color="auto" w:fill="auto"/>
            <w:vAlign w:val="center"/>
          </w:tcPr>
          <w:p w14:paraId="3DFEF3CC" w14:textId="273D8D28" w:rsidR="00A31E8A" w:rsidRPr="00781112" w:rsidRDefault="00A31E8A" w:rsidP="00E24F10">
            <w:pPr>
              <w:jc w:val="center"/>
              <w:rPr>
                <w:rFonts w:cs="Arial"/>
                <w:color w:val="000000" w:themeColor="text1"/>
                <w:szCs w:val="16"/>
              </w:rPr>
            </w:pPr>
            <w:r w:rsidRPr="00781112">
              <w:rPr>
                <w:rFonts w:cs="Arial"/>
                <w:color w:val="000000" w:themeColor="text1"/>
                <w:szCs w:val="16"/>
              </w:rPr>
              <w:t>36.36%</w:t>
            </w:r>
          </w:p>
        </w:tc>
        <w:tc>
          <w:tcPr>
            <w:tcW w:w="752" w:type="pct"/>
            <w:shd w:val="clear" w:color="auto" w:fill="auto"/>
            <w:vAlign w:val="center"/>
          </w:tcPr>
          <w:p w14:paraId="78DBA801" w14:textId="0BA3B321" w:rsidR="00A31E8A" w:rsidRPr="00781112" w:rsidRDefault="00A31E8A" w:rsidP="00E24F10">
            <w:pPr>
              <w:jc w:val="center"/>
              <w:rPr>
                <w:rFonts w:cs="Arial"/>
                <w:color w:val="000000" w:themeColor="text1"/>
                <w:szCs w:val="16"/>
              </w:rPr>
            </w:pPr>
            <w:r w:rsidRPr="00781112">
              <w:rPr>
                <w:rFonts w:cs="Arial"/>
                <w:color w:val="000000" w:themeColor="text1"/>
                <w:szCs w:val="16"/>
              </w:rPr>
              <w:t>36.00%</w:t>
            </w:r>
          </w:p>
        </w:tc>
        <w:tc>
          <w:tcPr>
            <w:tcW w:w="499" w:type="pct"/>
            <w:shd w:val="clear" w:color="auto" w:fill="auto"/>
            <w:vAlign w:val="center"/>
          </w:tcPr>
          <w:p w14:paraId="1DC938D5" w14:textId="450CB901" w:rsidR="00A31E8A" w:rsidRPr="00781112" w:rsidRDefault="00A31E8A" w:rsidP="00E24F10">
            <w:pPr>
              <w:jc w:val="center"/>
              <w:rPr>
                <w:rFonts w:cs="Arial"/>
                <w:color w:val="000000" w:themeColor="text1"/>
                <w:szCs w:val="16"/>
              </w:rPr>
            </w:pPr>
            <w:r w:rsidRPr="00781112">
              <w:rPr>
                <w:rFonts w:cs="Arial"/>
                <w:color w:val="000000" w:themeColor="text1"/>
                <w:szCs w:val="16"/>
              </w:rPr>
              <w:t>61.54%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E24F10">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37767951" w:rsidR="00A31E8A" w:rsidRPr="00781112" w:rsidRDefault="00E24F10" w:rsidP="00E24F10">
            <w:pPr>
              <w:jc w:val="center"/>
              <w:rPr>
                <w:rFonts w:cs="Arial"/>
                <w:color w:val="000000" w:themeColor="text1"/>
                <w:szCs w:val="16"/>
              </w:rPr>
            </w:pPr>
            <w:r>
              <w:rPr>
                <w:color w:val="000000" w:themeColor="text1"/>
              </w:rPr>
              <w:t>x</w:t>
            </w:r>
            <w:bookmarkStart w:id="24" w:name="_Ref141695735"/>
            <w:r w:rsidR="0092465D">
              <w:rPr>
                <w:rStyle w:val="FootnoteReference"/>
                <w:rFonts w:cs="Arial"/>
                <w:color w:val="000000" w:themeColor="text1"/>
                <w:szCs w:val="16"/>
              </w:rPr>
              <w:footnoteReference w:id="6"/>
            </w:r>
            <w:bookmarkEnd w:id="24"/>
          </w:p>
        </w:tc>
        <w:tc>
          <w:tcPr>
            <w:tcW w:w="648" w:type="pct"/>
            <w:shd w:val="clear" w:color="auto" w:fill="auto"/>
            <w:vAlign w:val="center"/>
          </w:tcPr>
          <w:p w14:paraId="25BE3991" w14:textId="52B3E29B" w:rsidR="00A31E8A" w:rsidRPr="00781112" w:rsidRDefault="00A31E8A" w:rsidP="00E24F10">
            <w:pPr>
              <w:jc w:val="center"/>
              <w:rPr>
                <w:rFonts w:cs="Arial"/>
                <w:color w:val="000000" w:themeColor="text1"/>
                <w:szCs w:val="16"/>
              </w:rPr>
            </w:pPr>
            <w:r>
              <w:rPr>
                <w:rFonts w:cs="Arial"/>
                <w:color w:val="000000"/>
                <w:szCs w:val="16"/>
              </w:rPr>
              <w:t>7</w:t>
            </w:r>
          </w:p>
        </w:tc>
        <w:tc>
          <w:tcPr>
            <w:tcW w:w="541" w:type="pct"/>
            <w:shd w:val="clear" w:color="auto" w:fill="auto"/>
            <w:vAlign w:val="center"/>
          </w:tcPr>
          <w:p w14:paraId="0DB348C5" w14:textId="547ED62E" w:rsidR="00A31E8A" w:rsidRPr="00781112" w:rsidRDefault="00E24F10" w:rsidP="00E24F10">
            <w:pPr>
              <w:jc w:val="center"/>
              <w:rPr>
                <w:rFonts w:cs="Arial"/>
                <w:color w:val="000000" w:themeColor="text1"/>
                <w:szCs w:val="16"/>
              </w:rPr>
            </w:pPr>
            <w:r>
              <w:rPr>
                <w:color w:val="000000" w:themeColor="text1"/>
              </w:rPr>
              <w:t>x</w:t>
            </w:r>
            <w:r w:rsidR="0092465D">
              <w:rPr>
                <w:rFonts w:cs="Arial"/>
                <w:color w:val="000000" w:themeColor="text1"/>
                <w:szCs w:val="16"/>
              </w:rPr>
              <w:fldChar w:fldCharType="begin"/>
            </w:r>
            <w:r w:rsidR="0092465D">
              <w:rPr>
                <w:color w:val="000000" w:themeColor="text1"/>
              </w:rPr>
              <w:instrText xml:space="preserve"> NOTEREF _Ref141695735 \f \h </w:instrText>
            </w:r>
            <w:r w:rsidR="0092465D">
              <w:rPr>
                <w:rFonts w:cs="Arial"/>
                <w:color w:val="000000" w:themeColor="text1"/>
                <w:szCs w:val="16"/>
              </w:rPr>
            </w:r>
            <w:r w:rsidR="0092465D">
              <w:rPr>
                <w:rFonts w:cs="Arial"/>
                <w:color w:val="000000" w:themeColor="text1"/>
                <w:szCs w:val="16"/>
              </w:rPr>
              <w:fldChar w:fldCharType="separate"/>
            </w:r>
            <w:r w:rsidR="0092465D" w:rsidRPr="0092465D">
              <w:rPr>
                <w:rStyle w:val="FootnoteReference"/>
              </w:rPr>
              <w:t>5</w:t>
            </w:r>
            <w:r w:rsidR="0092465D">
              <w:rPr>
                <w:rFonts w:cs="Arial"/>
                <w:color w:val="000000" w:themeColor="text1"/>
                <w:szCs w:val="16"/>
              </w:rPr>
              <w:fldChar w:fldCharType="end"/>
            </w:r>
          </w:p>
        </w:tc>
        <w:tc>
          <w:tcPr>
            <w:tcW w:w="752" w:type="pct"/>
            <w:shd w:val="clear" w:color="auto" w:fill="auto"/>
            <w:vAlign w:val="center"/>
          </w:tcPr>
          <w:p w14:paraId="31FB5FEB" w14:textId="4BF20A90" w:rsidR="00A31E8A" w:rsidRPr="00781112" w:rsidRDefault="00A31E8A" w:rsidP="00E24F10">
            <w:pPr>
              <w:jc w:val="center"/>
              <w:rPr>
                <w:rFonts w:cs="Arial"/>
                <w:color w:val="000000" w:themeColor="text1"/>
                <w:szCs w:val="16"/>
              </w:rPr>
            </w:pPr>
            <w:r w:rsidRPr="00781112">
              <w:rPr>
                <w:rFonts w:cs="Arial"/>
                <w:color w:val="000000" w:themeColor="text1"/>
                <w:szCs w:val="16"/>
              </w:rPr>
              <w:t>85.00%</w:t>
            </w:r>
          </w:p>
        </w:tc>
        <w:tc>
          <w:tcPr>
            <w:tcW w:w="499" w:type="pct"/>
            <w:shd w:val="clear" w:color="auto" w:fill="auto"/>
            <w:vAlign w:val="center"/>
          </w:tcPr>
          <w:p w14:paraId="139B969C" w14:textId="087737F9" w:rsidR="00A31E8A" w:rsidRPr="00781112" w:rsidRDefault="00E24F10" w:rsidP="00E24F10">
            <w:pPr>
              <w:jc w:val="center"/>
              <w:rPr>
                <w:rFonts w:cs="Arial"/>
                <w:color w:val="000000" w:themeColor="text1"/>
                <w:szCs w:val="16"/>
              </w:rPr>
            </w:pPr>
            <w:r>
              <w:rPr>
                <w:color w:val="000000" w:themeColor="text1"/>
              </w:rPr>
              <w:t>x</w:t>
            </w:r>
            <w:r w:rsidR="0092465D">
              <w:rPr>
                <w:rFonts w:cs="Arial"/>
                <w:color w:val="000000" w:themeColor="text1"/>
                <w:szCs w:val="16"/>
              </w:rPr>
              <w:fldChar w:fldCharType="begin"/>
            </w:r>
            <w:r w:rsidR="0092465D">
              <w:rPr>
                <w:color w:val="000000" w:themeColor="text1"/>
              </w:rPr>
              <w:instrText xml:space="preserve"> NOTEREF _Ref141695735 \f \h </w:instrText>
            </w:r>
            <w:r w:rsidR="0092465D">
              <w:rPr>
                <w:rFonts w:cs="Arial"/>
                <w:color w:val="000000" w:themeColor="text1"/>
                <w:szCs w:val="16"/>
              </w:rPr>
            </w:r>
            <w:r w:rsidR="0092465D">
              <w:rPr>
                <w:rFonts w:cs="Arial"/>
                <w:color w:val="000000" w:themeColor="text1"/>
                <w:szCs w:val="16"/>
              </w:rPr>
              <w:fldChar w:fldCharType="separate"/>
            </w:r>
            <w:r w:rsidR="0092465D" w:rsidRPr="0092465D">
              <w:rPr>
                <w:rStyle w:val="FootnoteReference"/>
              </w:rPr>
              <w:t>5</w:t>
            </w:r>
            <w:r w:rsidR="0092465D">
              <w:rPr>
                <w:rFonts w:cs="Arial"/>
                <w:color w:val="000000" w:themeColor="text1"/>
                <w:szCs w:val="16"/>
              </w:rPr>
              <w:fldChar w:fldCharType="end"/>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E24F10">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E24F10">
            <w:pPr>
              <w:jc w:val="center"/>
              <w:rPr>
                <w:rFonts w:cs="Arial"/>
                <w:color w:val="000000" w:themeColor="text1"/>
                <w:szCs w:val="16"/>
              </w:rPr>
            </w:pPr>
            <w:r w:rsidRPr="00781112">
              <w:rPr>
                <w:rFonts w:cs="Arial"/>
                <w:color w:val="000000" w:themeColor="text1"/>
                <w:szCs w:val="16"/>
              </w:rPr>
              <w:t>4</w:t>
            </w:r>
          </w:p>
        </w:tc>
        <w:tc>
          <w:tcPr>
            <w:tcW w:w="648" w:type="pct"/>
            <w:shd w:val="clear" w:color="auto" w:fill="auto"/>
            <w:vAlign w:val="center"/>
          </w:tcPr>
          <w:p w14:paraId="6C88DEC2" w14:textId="19061F64" w:rsidR="00A31E8A" w:rsidRPr="00781112" w:rsidRDefault="00E24F10" w:rsidP="00E24F10">
            <w:pPr>
              <w:jc w:val="center"/>
              <w:rPr>
                <w:rFonts w:cs="Arial"/>
                <w:color w:val="000000" w:themeColor="text1"/>
                <w:szCs w:val="16"/>
              </w:rPr>
            </w:pPr>
            <w:r>
              <w:rPr>
                <w:color w:val="000000" w:themeColor="text1"/>
              </w:rPr>
              <w:t>x</w:t>
            </w:r>
            <w:r w:rsidR="0092465D">
              <w:rPr>
                <w:rFonts w:cs="Arial"/>
                <w:color w:val="000000" w:themeColor="text1"/>
                <w:szCs w:val="16"/>
              </w:rPr>
              <w:fldChar w:fldCharType="begin"/>
            </w:r>
            <w:r w:rsidR="0092465D">
              <w:rPr>
                <w:color w:val="000000" w:themeColor="text1"/>
              </w:rPr>
              <w:instrText xml:space="preserve"> NOTEREF _Ref141695735 \f \h </w:instrText>
            </w:r>
            <w:r w:rsidR="0092465D">
              <w:rPr>
                <w:rFonts w:cs="Arial"/>
                <w:color w:val="000000" w:themeColor="text1"/>
                <w:szCs w:val="16"/>
              </w:rPr>
            </w:r>
            <w:r w:rsidR="0092465D">
              <w:rPr>
                <w:rFonts w:cs="Arial"/>
                <w:color w:val="000000" w:themeColor="text1"/>
                <w:szCs w:val="16"/>
              </w:rPr>
              <w:fldChar w:fldCharType="separate"/>
            </w:r>
            <w:r w:rsidR="0092465D" w:rsidRPr="0092465D">
              <w:rPr>
                <w:rStyle w:val="FootnoteReference"/>
              </w:rPr>
              <w:t>5</w:t>
            </w:r>
            <w:r w:rsidR="0092465D">
              <w:rPr>
                <w:rFonts w:cs="Arial"/>
                <w:color w:val="000000" w:themeColor="text1"/>
                <w:szCs w:val="16"/>
              </w:rPr>
              <w:fldChar w:fldCharType="end"/>
            </w:r>
          </w:p>
        </w:tc>
        <w:tc>
          <w:tcPr>
            <w:tcW w:w="541" w:type="pct"/>
            <w:shd w:val="clear" w:color="auto" w:fill="auto"/>
            <w:vAlign w:val="center"/>
          </w:tcPr>
          <w:p w14:paraId="59D699CF" w14:textId="460A79FA" w:rsidR="00A31E8A" w:rsidRPr="00781112" w:rsidRDefault="00A31E8A" w:rsidP="00E24F10">
            <w:pPr>
              <w:jc w:val="center"/>
              <w:rPr>
                <w:rFonts w:cs="Arial"/>
                <w:color w:val="000000" w:themeColor="text1"/>
                <w:szCs w:val="16"/>
              </w:rPr>
            </w:pPr>
            <w:r w:rsidRPr="00781112">
              <w:rPr>
                <w:rFonts w:cs="Arial"/>
                <w:color w:val="000000" w:themeColor="text1"/>
                <w:szCs w:val="16"/>
              </w:rPr>
              <w:t>55.56%</w:t>
            </w:r>
          </w:p>
        </w:tc>
        <w:tc>
          <w:tcPr>
            <w:tcW w:w="752" w:type="pct"/>
            <w:shd w:val="clear" w:color="auto" w:fill="auto"/>
            <w:vAlign w:val="center"/>
          </w:tcPr>
          <w:p w14:paraId="18D7723E" w14:textId="7A443B62" w:rsidR="00A31E8A" w:rsidRPr="00781112" w:rsidRDefault="00A31E8A" w:rsidP="00E24F10">
            <w:pPr>
              <w:jc w:val="center"/>
              <w:rPr>
                <w:rFonts w:cs="Arial"/>
                <w:color w:val="000000" w:themeColor="text1"/>
                <w:szCs w:val="16"/>
              </w:rPr>
            </w:pPr>
            <w:r w:rsidRPr="00781112">
              <w:rPr>
                <w:rFonts w:cs="Arial"/>
                <w:color w:val="000000" w:themeColor="text1"/>
                <w:szCs w:val="16"/>
              </w:rPr>
              <w:t>55.00%</w:t>
            </w:r>
          </w:p>
        </w:tc>
        <w:tc>
          <w:tcPr>
            <w:tcW w:w="499" w:type="pct"/>
            <w:shd w:val="clear" w:color="auto" w:fill="auto"/>
            <w:vAlign w:val="center"/>
          </w:tcPr>
          <w:p w14:paraId="1C467869" w14:textId="5BE87A61" w:rsidR="00A31E8A" w:rsidRPr="00781112" w:rsidRDefault="00E24F10" w:rsidP="00E24F10">
            <w:pPr>
              <w:jc w:val="center"/>
              <w:rPr>
                <w:rFonts w:cs="Arial"/>
                <w:color w:val="000000" w:themeColor="text1"/>
                <w:szCs w:val="16"/>
              </w:rPr>
            </w:pPr>
            <w:r>
              <w:rPr>
                <w:color w:val="000000" w:themeColor="text1"/>
              </w:rPr>
              <w:t>x</w:t>
            </w:r>
            <w:r w:rsidR="0092465D">
              <w:rPr>
                <w:rFonts w:cs="Arial"/>
                <w:color w:val="000000" w:themeColor="text1"/>
                <w:szCs w:val="16"/>
              </w:rPr>
              <w:fldChar w:fldCharType="begin"/>
            </w:r>
            <w:r w:rsidR="0092465D">
              <w:rPr>
                <w:color w:val="000000" w:themeColor="text1"/>
              </w:rPr>
              <w:instrText xml:space="preserve"> NOTEREF _Ref141695735 \f \h </w:instrText>
            </w:r>
            <w:r w:rsidR="0092465D">
              <w:rPr>
                <w:rFonts w:cs="Arial"/>
                <w:color w:val="000000" w:themeColor="text1"/>
                <w:szCs w:val="16"/>
              </w:rPr>
            </w:r>
            <w:r w:rsidR="0092465D">
              <w:rPr>
                <w:rFonts w:cs="Arial"/>
                <w:color w:val="000000" w:themeColor="text1"/>
                <w:szCs w:val="16"/>
              </w:rPr>
              <w:fldChar w:fldCharType="separate"/>
            </w:r>
            <w:r w:rsidR="0092465D" w:rsidRPr="0092465D">
              <w:rPr>
                <w:rStyle w:val="FootnoteReference"/>
              </w:rPr>
              <w:t>5</w:t>
            </w:r>
            <w:r w:rsidR="0092465D">
              <w:rPr>
                <w:rFonts w:cs="Arial"/>
                <w:color w:val="000000" w:themeColor="text1"/>
                <w:szCs w:val="16"/>
              </w:rPr>
              <w:fldChar w:fldCharType="end"/>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A consideration for the slippage is the impact of COVID-19 on instruction. The beginning of school year 2021-2022 continued the PSS blended learning approach of online and face-to-face instruction. Due to the rise in COVID-19 cases, PSS then shifted to remote learning in November 2021 until January 2022 when schools and services were back to face-to-face. This disruption in the mode of learning could have </w:t>
      </w:r>
      <w:proofErr w:type="gramStart"/>
      <w:r w:rsidRPr="00781112">
        <w:rPr>
          <w:rFonts w:cs="Arial"/>
          <w:color w:val="000000" w:themeColor="text1"/>
          <w:szCs w:val="16"/>
        </w:rPr>
        <w:t>impacted</w:t>
      </w:r>
      <w:proofErr w:type="gramEnd"/>
      <w:r w:rsidRPr="00781112">
        <w:rPr>
          <w:rFonts w:cs="Arial"/>
          <w:color w:val="000000" w:themeColor="text1"/>
          <w:szCs w:val="16"/>
        </w:rPr>
        <w:t xml:space="preserve"> the instruction of students, particularly in Group B.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improve instruction for our students with IEPs, this 2022-2023 school year, the CNMI Special Education Program assigned an itinerant special education teacher to address any technical assistance needs in the schools related to the identification and service provisions of the IEP. Additionally, the program partnered with an OSEP-funded TA center, the PROGRESS Center, to provide training and technical support on the development and implementation of IEPs, with emphasis on specially designed instruction (SDI).</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https://www.cnmipss.org/special-education-program</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35.66</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26.03</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33.11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30.26</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30.36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51.94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36.00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33.00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33.00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21.00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52.00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49.00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46.00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43.00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629</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738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636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69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72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04F672B1" w:rsidR="002D3EE6" w:rsidRPr="00781112" w:rsidRDefault="007063C1" w:rsidP="002D3EE6">
            <w:pPr>
              <w:jc w:val="center"/>
              <w:rPr>
                <w:rFonts w:cs="Arial"/>
                <w:color w:val="000000" w:themeColor="text1"/>
                <w:szCs w:val="16"/>
              </w:rPr>
            </w:pPr>
            <w:r>
              <w:rPr>
                <w:rFonts w:cs="Arial"/>
                <w:color w:val="000000" w:themeColor="text1"/>
                <w:szCs w:val="16"/>
              </w:rPr>
              <w:t>x</w:t>
            </w:r>
            <w:bookmarkStart w:id="25" w:name="_Ref141166692"/>
            <w:r>
              <w:rPr>
                <w:rStyle w:val="FootnoteReference"/>
                <w:rFonts w:cs="Arial"/>
                <w:color w:val="000000" w:themeColor="text1"/>
                <w:szCs w:val="16"/>
              </w:rPr>
              <w:footnoteReference w:id="7"/>
            </w:r>
            <w:bookmarkEnd w:id="25"/>
          </w:p>
        </w:tc>
        <w:tc>
          <w:tcPr>
            <w:tcW w:w="1084" w:type="pct"/>
            <w:shd w:val="clear" w:color="auto" w:fill="auto"/>
            <w:vAlign w:val="center"/>
          </w:tcPr>
          <w:p w14:paraId="6D42641C" w14:textId="559F39D3"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27076C73" w14:textId="654C5416"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10</w:t>
            </w:r>
          </w:p>
        </w:tc>
        <w:tc>
          <w:tcPr>
            <w:tcW w:w="1084" w:type="pct"/>
            <w:shd w:val="clear" w:color="auto" w:fill="auto"/>
            <w:vAlign w:val="center"/>
          </w:tcPr>
          <w:p w14:paraId="5FB5C795" w14:textId="649CA07F"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5BB68E9F" w14:textId="364BB732"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045CBE14"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7D7B8A72" w14:textId="6A0CF1F4"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077B2856" w14:textId="76B64F62"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0E65D7AB" w14:textId="4B97AE05"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740F6FA5" w14:textId="1912ABF5" w:rsidR="002D3EE6" w:rsidRPr="00781112" w:rsidRDefault="007063C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630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738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614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69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6347F0B8"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3" w:type="pct"/>
            <w:shd w:val="clear" w:color="auto" w:fill="auto"/>
            <w:vAlign w:val="center"/>
          </w:tcPr>
          <w:p w14:paraId="7CCA2E3B" w14:textId="1A166567"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735C7B5A" w14:textId="018B3F01"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c>
          <w:tcPr>
            <w:tcW w:w="1083" w:type="pct"/>
            <w:shd w:val="clear" w:color="auto" w:fill="auto"/>
            <w:vAlign w:val="center"/>
          </w:tcPr>
          <w:p w14:paraId="3CDBB055" w14:textId="5BB1981B"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77340C5C"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3" w:type="pct"/>
            <w:shd w:val="clear" w:color="auto" w:fill="auto"/>
            <w:vAlign w:val="center"/>
          </w:tcPr>
          <w:p w14:paraId="0A64567E" w14:textId="6591E6E7"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4656C7C9" w14:textId="1B02ABE5"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28</w:t>
            </w:r>
          </w:p>
        </w:tc>
        <w:tc>
          <w:tcPr>
            <w:tcW w:w="1083" w:type="pct"/>
            <w:shd w:val="clear" w:color="auto" w:fill="auto"/>
            <w:vAlign w:val="center"/>
          </w:tcPr>
          <w:p w14:paraId="1A17DFA3" w14:textId="3C4ED912" w:rsidR="0039534D" w:rsidRPr="00781112" w:rsidRDefault="007063C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_Ref141166692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6</w:t>
            </w:r>
            <w:r>
              <w:rPr>
                <w:rFonts w:cs="Arial"/>
                <w:color w:val="000000" w:themeColor="text1"/>
                <w:szCs w:val="16"/>
              </w:rPr>
              <w:fldChar w:fldCharType="end"/>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65F6796" w:rsidR="00E22739" w:rsidRPr="00781112" w:rsidRDefault="007063C1" w:rsidP="00E22739">
            <w:pPr>
              <w:jc w:val="center"/>
              <w:rPr>
                <w:rFonts w:cs="Arial"/>
                <w:color w:val="000000" w:themeColor="text1"/>
                <w:szCs w:val="16"/>
              </w:rPr>
            </w:pPr>
            <w:r>
              <w:rPr>
                <w:rFonts w:cs="Arial"/>
                <w:color w:val="000000" w:themeColor="text1"/>
                <w:szCs w:val="16"/>
              </w:rPr>
              <w:t>x</w:t>
            </w:r>
            <w:bookmarkStart w:id="26" w:name="_Ref141166750"/>
            <w:r>
              <w:rPr>
                <w:rStyle w:val="FootnoteReference"/>
                <w:rFonts w:cs="Arial"/>
                <w:color w:val="000000" w:themeColor="text1"/>
                <w:szCs w:val="16"/>
              </w:rPr>
              <w:footnoteReference w:id="8"/>
            </w:r>
            <w:bookmarkEnd w:id="26"/>
          </w:p>
        </w:tc>
        <w:tc>
          <w:tcPr>
            <w:tcW w:w="812" w:type="pct"/>
            <w:shd w:val="clear" w:color="auto" w:fill="auto"/>
            <w:vAlign w:val="center"/>
          </w:tcPr>
          <w:p w14:paraId="3354BCD4" w14:textId="37A920C3" w:rsidR="00E22739" w:rsidRPr="00781112" w:rsidRDefault="007063C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35.66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36.00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24.45</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723FECB" w:rsidR="00E22739" w:rsidRPr="00781112" w:rsidRDefault="007063C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812" w:type="pct"/>
            <w:shd w:val="clear" w:color="auto" w:fill="auto"/>
            <w:vAlign w:val="center"/>
          </w:tcPr>
          <w:p w14:paraId="375F78DA" w14:textId="314CFFEE" w:rsidR="00E22739" w:rsidRPr="00781112" w:rsidRDefault="007063C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26.03</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29.71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7CF952CC" w:rsidR="00E22739" w:rsidRPr="00781112" w:rsidRDefault="007063C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812" w:type="pct"/>
            <w:shd w:val="clear" w:color="auto" w:fill="auto"/>
            <w:vAlign w:val="center"/>
          </w:tcPr>
          <w:p w14:paraId="1276E93C" w14:textId="5162B51E" w:rsidR="00E22739" w:rsidRPr="00781112" w:rsidRDefault="007063C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33.11</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33.00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29.23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54D379B7" w14:textId="77777777" w:rsidR="007063C1" w:rsidRDefault="007063C1" w:rsidP="00DD5B7A">
      <w:pPr>
        <w:rPr>
          <w:b/>
          <w:color w:val="000000" w:themeColor="text1"/>
        </w:rPr>
      </w:pPr>
    </w:p>
    <w:p w14:paraId="0A4129E5" w14:textId="7EEFE93B"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The beginning of school year 2021-2022 continued the blended learning approach of online and face-to-face instruction. Due to the rise in COVID-19 cases, PSS then shifted to remote learning in November 2021 until January 2022 when schools and services were back to face-to-face. This disruption in the mode of learning could have impacted the instruction during this period may have contributed to the low proficiency rate, particularly with Group B.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improve instruction for our students with IEPs, this 2022-2023 school year, the CNMI Special Education Program assigned an itinerant special education teacher to address any technical assistance needs in the schools related to the identification and service provisions of the IEP. Additionally, the program partnered with an OSEP-funded TA center, the PROGRESS Center, to provide training and technical support on the development and implementation of IEPs, with emphasis on specially designed instruction (SDI).</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5733BBF9" w:rsidR="002A19C8" w:rsidRPr="00781112" w:rsidRDefault="007063C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834" w:type="pct"/>
            <w:shd w:val="clear" w:color="auto" w:fill="auto"/>
            <w:vAlign w:val="center"/>
          </w:tcPr>
          <w:p w14:paraId="361835CD" w14:textId="1FB28252" w:rsidR="002A19C8" w:rsidRPr="00781112" w:rsidRDefault="007063C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30.26</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30.00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13.39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586FC89C" w:rsidR="002A19C8" w:rsidRPr="00781112" w:rsidRDefault="007063C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834" w:type="pct"/>
            <w:shd w:val="clear" w:color="auto" w:fill="auto"/>
            <w:vAlign w:val="center"/>
          </w:tcPr>
          <w:p w14:paraId="11774D79" w14:textId="073D42A9" w:rsidR="002A19C8" w:rsidRPr="00781112" w:rsidRDefault="007063C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30.36</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30.00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31.62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44BDB0C9" w:rsidR="002A19C8" w:rsidRPr="00781112" w:rsidRDefault="007063C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834" w:type="pct"/>
            <w:shd w:val="clear" w:color="auto" w:fill="auto"/>
            <w:vAlign w:val="center"/>
          </w:tcPr>
          <w:p w14:paraId="13AB3928" w14:textId="2F144A9D" w:rsidR="002A19C8" w:rsidRPr="00781112" w:rsidRDefault="007063C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_Ref141166750 \f \h </w:instrText>
            </w:r>
            <w:r>
              <w:rPr>
                <w:rFonts w:cs="Arial"/>
                <w:color w:val="000000" w:themeColor="text1"/>
                <w:szCs w:val="16"/>
              </w:rPr>
            </w:r>
            <w:r>
              <w:rPr>
                <w:rFonts w:cs="Arial"/>
                <w:color w:val="000000" w:themeColor="text1"/>
                <w:szCs w:val="16"/>
              </w:rPr>
              <w:fldChar w:fldCharType="separate"/>
            </w:r>
            <w:r w:rsidR="0092465D" w:rsidRPr="0092465D">
              <w:rPr>
                <w:rStyle w:val="FootnoteReference"/>
              </w:rPr>
              <w:t>7</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51.94</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52.00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48.82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The beginning of school year 2021-2022 continued the blended learning approach of online and face-to-face instruction. Due to the rise in COVID-19 cases, PSS then shifted to remote learning in November 2021 until January 2022 when schools and services were back to face-to-face. This disruption in the mode of learning could have impacted the instruction during this period may have contributed to the low proficiency rate, particularly with Group B.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improve instruction for our students with IEPs, this 2022-2023 school year, the CNMI Special Education Program assigned an itinerant special education teacher to address any technical assistance needs in the schools related to the identification and service provisions of the IEP. Additionally, the program partnered with an OSEP-funded TA center, the PROGRESS Center, to provide training and technical support on the development and implementation of IEPs, with emphasis on specially designed instruction (SDI).</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t>Indicator 4A: Suspension/Expulsion</w:t>
      </w:r>
      <w:bookmarkEnd w:id="19"/>
      <w:bookmarkEnd w:id="20"/>
    </w:p>
    <w:p w14:paraId="6B24B370" w14:textId="77777777" w:rsidR="006E5AE4" w:rsidRPr="00781112" w:rsidRDefault="006E5AE4" w:rsidP="00A018D4">
      <w:pPr>
        <w:rPr>
          <w:color w:val="000000" w:themeColor="text1"/>
          <w:szCs w:val="20"/>
        </w:rPr>
      </w:pPr>
      <w:bookmarkStart w:id="27" w:name="_Toc384383331"/>
      <w:bookmarkStart w:id="2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9" w:name="_Toc384383332"/>
      <w:bookmarkStart w:id="30" w:name="_Toc392159284"/>
      <w:bookmarkEnd w:id="27"/>
      <w:bookmarkEnd w:id="2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2008</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2.40%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9"/>
    <w:bookmarkEnd w:id="30"/>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Significant Discrepancy Definition: In its FFY 2007 APR, CNMI submitted the revised significant discrepancy definition of “0% difference between the two groups” – students without disabilities and students with disabilities, which went into effect in FFY 2008. In December 2014, the stakeholders revised the definition of significant discrepancy to read a difference of more than 1% between the two groups.</w:t>
      </w:r>
      <w:r w:rsidRPr="00781112">
        <w:rPr>
          <w:rFonts w:cs="Arial"/>
          <w:color w:val="000000" w:themeColor="text1"/>
          <w:szCs w:val="16"/>
        </w:rPr>
        <w:br/>
      </w:r>
      <w:r w:rsidRPr="00781112">
        <w:rPr>
          <w:rFonts w:cs="Arial"/>
          <w:color w:val="000000" w:themeColor="text1"/>
          <w:szCs w:val="16"/>
        </w:rPr>
        <w:br/>
        <w:t>Methodology: CNMI is a unitary system and therefore uses the comparison methodology between students without disabilities and students with disabilities to determine if there exists a significant discrepancy in the rates of suspensions and expulsions greater than 10 days in a school year.</w:t>
      </w:r>
      <w:r w:rsidRPr="00781112">
        <w:rPr>
          <w:rFonts w:cs="Arial"/>
          <w:color w:val="000000" w:themeColor="text1"/>
          <w:szCs w:val="16"/>
        </w:rPr>
        <w:br/>
      </w:r>
      <w:r w:rsidRPr="00781112">
        <w:rPr>
          <w:rFonts w:cs="Arial"/>
          <w:color w:val="000000" w:themeColor="text1"/>
          <w:szCs w:val="16"/>
        </w:rPr>
        <w:br/>
        <w:t>Using one year data lag, the reported data used for FFY 2021 Indicator 4A was from 2020-2021 as follows:</w:t>
      </w:r>
      <w:r w:rsidRPr="00781112">
        <w:rPr>
          <w:rFonts w:cs="Arial"/>
          <w:color w:val="000000" w:themeColor="text1"/>
          <w:szCs w:val="16"/>
        </w:rPr>
        <w:br/>
        <w:t>-Students without disabilities = 0% (0/8630)</w:t>
      </w:r>
      <w:r w:rsidRPr="00781112">
        <w:rPr>
          <w:rFonts w:cs="Arial"/>
          <w:color w:val="000000" w:themeColor="text1"/>
          <w:szCs w:val="16"/>
        </w:rPr>
        <w:br/>
        <w:t>-Students with disabilities = 0% (0/978) - consistent with the 618 discipline data submitted in November 2021</w:t>
      </w:r>
      <w:r w:rsidRPr="00781112">
        <w:rPr>
          <w:rFonts w:cs="Arial"/>
          <w:color w:val="000000" w:themeColor="text1"/>
          <w:szCs w:val="16"/>
        </w:rPr>
        <w:br/>
        <w:t>-Difference = 0%</w:t>
      </w:r>
    </w:p>
    <w:p w14:paraId="47F07052" w14:textId="77777777" w:rsidR="00BB504D" w:rsidRPr="00781112" w:rsidRDefault="00BB504D" w:rsidP="004369B2">
      <w:pPr>
        <w:rPr>
          <w:b/>
          <w:color w:val="000000" w:themeColor="text1"/>
        </w:rPr>
      </w:pPr>
      <w:bookmarkStart w:id="31" w:name="_Toc384383334"/>
      <w:bookmarkStart w:id="3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31"/>
    <w:bookmarkEnd w:id="32"/>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3" w:name="_Toc381956335"/>
      <w:bookmarkStart w:id="34" w:name="_Toc384383336"/>
      <w:bookmarkStart w:id="35"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50147183" w14:textId="77777777" w:rsidR="0092465D" w:rsidRDefault="0092465D" w:rsidP="004369B2">
      <w:pPr>
        <w:rPr>
          <w:b/>
          <w:color w:val="000000" w:themeColor="text1"/>
        </w:rPr>
      </w:pPr>
    </w:p>
    <w:p w14:paraId="6809AF49" w14:textId="7AC41988"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t>Indicator 4B: Suspension/Expulsion</w:t>
      </w:r>
      <w:bookmarkEnd w:id="33"/>
      <w:bookmarkEnd w:id="34"/>
      <w:bookmarkEnd w:id="35"/>
    </w:p>
    <w:p w14:paraId="1BA30D93" w14:textId="77777777" w:rsidR="008637F8" w:rsidRPr="00781112" w:rsidRDefault="008637F8" w:rsidP="00A018D4">
      <w:pPr>
        <w:rPr>
          <w:color w:val="000000" w:themeColor="text1"/>
          <w:szCs w:val="20"/>
        </w:rPr>
      </w:pPr>
      <w:bookmarkStart w:id="36" w:name="_Toc384383338"/>
      <w:bookmarkStart w:id="3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OSEP's instructions, Indicator 4B does not apply to CNMI.</w:t>
      </w:r>
    </w:p>
    <w:bookmarkEnd w:id="36"/>
    <w:bookmarkEnd w:id="37"/>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This indicator is not applicable to CNMI</w:t>
      </w:r>
      <w:proofErr w:type="gramStart"/>
      <w:r w:rsidRPr="00781112">
        <w:rPr>
          <w:rFonts w:cs="Arial"/>
          <w:color w:val="000000" w:themeColor="text1"/>
          <w:szCs w:val="16"/>
        </w:rPr>
        <w:t xml:space="preserve">.  </w:t>
      </w:r>
      <w:proofErr w:type="gramEnd"/>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t xml:space="preserve">Indicator 5: </w:t>
      </w:r>
      <w:bookmarkEnd w:id="12"/>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1"/>
    </w:p>
    <w:p w14:paraId="52AD89A1" w14:textId="77777777" w:rsidR="00775845" w:rsidRPr="00781112" w:rsidRDefault="00775845" w:rsidP="00A018D4">
      <w:pPr>
        <w:rPr>
          <w:color w:val="000000" w:themeColor="text1"/>
          <w:szCs w:val="20"/>
        </w:rPr>
      </w:pPr>
      <w:bookmarkStart w:id="3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83.00%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84.00%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85.00%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88.54%</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88.54%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82.16%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83.69%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84.58%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87.31%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88.54%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1.67%</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2.74%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2.10%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1.67%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0.11%</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0.11%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85.00%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89.00%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3.00%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3.00%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3.00%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3.00%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0.70%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0.70%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0.70%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0.70%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5251E1B0" w14:textId="112998AB" w:rsidR="004A4803" w:rsidRPr="0092465D" w:rsidRDefault="00D60B5F" w:rsidP="004369B2">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928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824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824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928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88.54%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88.79%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928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1.40%</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928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0.11%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0.70%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0.11%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B7E5CD7" w14:textId="3B539937" w:rsidR="004A4803" w:rsidRPr="0092465D" w:rsidRDefault="006C575D" w:rsidP="004369B2">
      <w:pPr>
        <w:rPr>
          <w:b/>
          <w:color w:val="000000" w:themeColor="text1"/>
        </w:rPr>
      </w:pPr>
      <w:r w:rsidRPr="00781112">
        <w:rPr>
          <w:b/>
          <w:color w:val="000000" w:themeColor="text1"/>
        </w:rPr>
        <w:t>Provide additional information about this indicator (optional)</w:t>
      </w: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t>Indicator 6: Preschool Environments</w:t>
      </w:r>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86.00%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43.04%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85.87%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87.07%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78.70%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62.82%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43.04%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43.04%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56.96%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43.00%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43.00%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45.00%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50.00%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55.00%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40" w:name="_Toc382082378"/>
      <w:bookmarkStart w:id="41"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57.00%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57.00%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55.00%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45.00%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79</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46</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17</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242095E3" w14:textId="77777777" w:rsidR="0092465D" w:rsidRDefault="0092465D">
      <w:pPr>
        <w:spacing w:before="0" w:after="200" w:line="276" w:lineRule="auto"/>
        <w:rPr>
          <w:rFonts w:cs="Arial"/>
          <w:color w:val="000000" w:themeColor="text1"/>
          <w:szCs w:val="16"/>
        </w:rPr>
      </w:pPr>
      <w:r>
        <w:rPr>
          <w:rFonts w:cs="Arial"/>
          <w:color w:val="000000" w:themeColor="text1"/>
          <w:szCs w:val="16"/>
        </w:rPr>
        <w:br w:type="page"/>
      </w:r>
    </w:p>
    <w:p w14:paraId="0F42B2F6" w14:textId="0CE76529"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46</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43.04%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58.23%</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33</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79</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56.96%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57.00%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41.77%</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t>Indicator 7: Preschool Outcomes</w:t>
      </w:r>
      <w:bookmarkEnd w:id="40"/>
      <w:bookmarkEnd w:id="41"/>
    </w:p>
    <w:p w14:paraId="1404DCF9" w14:textId="77777777" w:rsidR="00531E54" w:rsidRPr="00781112" w:rsidRDefault="00531E54" w:rsidP="00A018D4">
      <w:pPr>
        <w:rPr>
          <w:color w:val="000000" w:themeColor="text1"/>
          <w:szCs w:val="20"/>
        </w:rPr>
      </w:pPr>
      <w:bookmarkStart w:id="4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89.47%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93.75%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33.00%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68.09%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39.02%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51.43%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33.33%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97.00%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97.44%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96.97%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97.37%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15.00%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31.91%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19.51%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13.04%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25.71%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15.38%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96.00%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96.20%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59.26%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89.74%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96.43%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44.40%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41.46%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36.96%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43.59%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93.00%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93.00%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93.00%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93.00%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96.50%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33.00%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33.00%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33.00%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33.00%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38.00%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97.00%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97.00%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97.00%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97.00%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100.00%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15.00%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15.00%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20.00%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25.00%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30.00%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96.00%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96.00%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96.00%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96.00%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97.00%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43.00%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45.00%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45.00%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46.00%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48.00%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1122DD97" w:rsidR="002D145D" w:rsidRPr="00781112" w:rsidRDefault="002B7490" w:rsidP="002D145D">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5.71%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13</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37.14%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22.86%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34.29%</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23</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93.75%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93.00%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91.30%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33.33%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33.00%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57.14%</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2.86%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74.29%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2.86%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97.37%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97.00%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97.06%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15.38%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22.86%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5.71%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34.29%</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17.14%</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42.86%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96.43%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96.00%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43.59%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In FFY 2021, CNMI did not meet 7A1 target of 93% by 1.70% with its performance of 91.30% (21/23)</w:t>
            </w:r>
            <w:proofErr w:type="gramStart"/>
            <w:r w:rsidRPr="00781112">
              <w:rPr>
                <w:rFonts w:cs="Arial"/>
                <w:color w:val="000000" w:themeColor="text1"/>
                <w:szCs w:val="16"/>
              </w:rPr>
              <w:t xml:space="preserve">.  </w:t>
            </w:r>
            <w:proofErr w:type="gramEnd"/>
            <w:r w:rsidRPr="00781112">
              <w:rPr>
                <w:rFonts w:cs="Arial"/>
                <w:color w:val="000000" w:themeColor="text1"/>
                <w:szCs w:val="16"/>
              </w:rPr>
              <w:t>CNMI reported slippage by 2.45% from 93.75% (30/32) in FFY 2020 to 91.30% (21/23) in FFY 2021</w:t>
            </w:r>
            <w:proofErr w:type="gramStart"/>
            <w:r w:rsidRPr="00781112">
              <w:rPr>
                <w:rFonts w:cs="Arial"/>
                <w:color w:val="000000" w:themeColor="text1"/>
                <w:szCs w:val="16"/>
              </w:rPr>
              <w:t xml:space="preserve">.  </w:t>
            </w:r>
            <w:proofErr w:type="gramEnd"/>
            <w:r w:rsidRPr="00781112">
              <w:rPr>
                <w:rFonts w:cs="Arial"/>
                <w:color w:val="000000" w:themeColor="text1"/>
                <w:szCs w:val="16"/>
              </w:rPr>
              <w:t>By numbers both years reported two preschoolers with disabilities who exited the preschool program with improved functioning but not sufficient to move nearer to functioning compared to same-aged peers (category b)</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In reviewing </w:t>
            </w:r>
            <w:proofErr w:type="gramStart"/>
            <w:r w:rsidRPr="00781112">
              <w:rPr>
                <w:rFonts w:cs="Arial"/>
                <w:color w:val="000000" w:themeColor="text1"/>
                <w:szCs w:val="16"/>
              </w:rPr>
              <w:t>possible reasons</w:t>
            </w:r>
            <w:proofErr w:type="gramEnd"/>
            <w:r w:rsidRPr="00781112">
              <w:rPr>
                <w:rFonts w:cs="Arial"/>
                <w:color w:val="000000" w:themeColor="text1"/>
                <w:szCs w:val="16"/>
              </w:rPr>
              <w:t xml:space="preserve"> for the slippage, the following data points were reviewed for the two preschoolers who were in category b: Age of entry, Length of service, and Disability.  Between the two, there was a difference in age of entry – one was at 3 years of age and one at 4 years old, which impacted the length of services by the time they exited</w:t>
            </w:r>
            <w:proofErr w:type="gramStart"/>
            <w:r w:rsidRPr="00781112">
              <w:rPr>
                <w:rFonts w:cs="Arial"/>
                <w:color w:val="000000" w:themeColor="text1"/>
                <w:szCs w:val="16"/>
              </w:rPr>
              <w:t xml:space="preserve">.  </w:t>
            </w:r>
            <w:proofErr w:type="gramEnd"/>
            <w:r w:rsidRPr="00781112">
              <w:rPr>
                <w:rFonts w:cs="Arial"/>
                <w:color w:val="000000" w:themeColor="text1"/>
                <w:szCs w:val="16"/>
              </w:rPr>
              <w:t>Both preschoolers were identified under the same disability category and required related services to support their special education program</w:t>
            </w:r>
            <w:proofErr w:type="gramStart"/>
            <w:r w:rsidRPr="00781112">
              <w:rPr>
                <w:rFonts w:cs="Arial"/>
                <w:color w:val="000000" w:themeColor="text1"/>
                <w:szCs w:val="16"/>
              </w:rPr>
              <w:t xml:space="preserve">.  </w:t>
            </w:r>
            <w:proofErr w:type="gramEnd"/>
            <w:r w:rsidRPr="00781112">
              <w:rPr>
                <w:rFonts w:cs="Arial"/>
                <w:color w:val="000000" w:themeColor="text1"/>
                <w:szCs w:val="16"/>
              </w:rPr>
              <w:t>These data points indicate that these preschoolers received additional support and services throughout their preschool program and continue to receive special education and related services in school</w:t>
            </w:r>
            <w:proofErr w:type="gramStart"/>
            <w:r w:rsidRPr="00781112">
              <w:rPr>
                <w:rFonts w:cs="Arial"/>
                <w:color w:val="000000" w:themeColor="text1"/>
                <w:szCs w:val="16"/>
              </w:rPr>
              <w:t xml:space="preserve">.  </w:t>
            </w:r>
            <w:proofErr w:type="gramEnd"/>
            <w:r w:rsidRPr="00781112">
              <w:rPr>
                <w:rFonts w:cs="Arial"/>
                <w:color w:val="000000" w:themeColor="text1"/>
                <w:szCs w:val="16"/>
              </w:rPr>
              <w:t>A factor for one preschooler could have been the length of service which was just over a year of preschool services.</w:t>
            </w:r>
            <w:r w:rsidRPr="00781112">
              <w:rPr>
                <w:rFonts w:cs="Arial"/>
                <w:color w:val="000000" w:themeColor="text1"/>
                <w:szCs w:val="16"/>
              </w:rPr>
              <w:br/>
            </w:r>
            <w:r w:rsidRPr="00781112">
              <w:rPr>
                <w:rFonts w:cs="Arial"/>
                <w:color w:val="000000" w:themeColor="text1"/>
                <w:szCs w:val="16"/>
              </w:rPr>
              <w:br/>
              <w:t>Another consideration for the slippage is the impact of COVID-19 on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The beginning of school year 2021-2022 continued the blended learning approach of online and face-to-face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Due to the rise in COVID-19 cases, PSS then shifted to remote learning in November 2021 until January 2022 when schools and services were back to face-to-face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disruption in the mode of learning could have impacted the social-emotional development of the two preschoolers identified under category </w:t>
            </w:r>
            <w:proofErr w:type="gramStart"/>
            <w:r w:rsidRPr="00781112">
              <w:rPr>
                <w:rFonts w:cs="Arial"/>
                <w:color w:val="000000" w:themeColor="text1"/>
                <w:szCs w:val="16"/>
              </w:rPr>
              <w:t xml:space="preserve">b.  </w:t>
            </w:r>
            <w:proofErr w:type="gramEnd"/>
            <w:r w:rsidRPr="00781112">
              <w:rPr>
                <w:rFonts w:cs="Arial"/>
                <w:color w:val="000000" w:themeColor="text1"/>
                <w:szCs w:val="16"/>
              </w:rPr>
              <w:br/>
            </w:r>
            <w:r w:rsidRPr="00781112">
              <w:rPr>
                <w:rFonts w:cs="Arial"/>
                <w:color w:val="000000" w:themeColor="text1"/>
                <w:szCs w:val="16"/>
              </w:rPr>
              <w:br/>
              <w:t>With preschool services back to face-to-face instruction, the Early Childhood Special Education (ECSE) teachers and staff continue to implement developmentally appropriate practices for the development of positive social emotional skills in preschoolers with disabilities.</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In FFY 2021, CNMI did not meet 7C1 target of 96% by 6% with its performance of 90% (18/20)</w:t>
            </w:r>
            <w:proofErr w:type="gramStart"/>
            <w:r w:rsidRPr="00781112">
              <w:rPr>
                <w:rFonts w:cs="Arial"/>
                <w:color w:val="000000" w:themeColor="text1"/>
                <w:szCs w:val="16"/>
              </w:rPr>
              <w:t xml:space="preserve">.  </w:t>
            </w:r>
            <w:proofErr w:type="gramEnd"/>
            <w:r w:rsidRPr="00781112">
              <w:rPr>
                <w:rFonts w:cs="Arial"/>
                <w:color w:val="000000" w:themeColor="text1"/>
                <w:szCs w:val="16"/>
              </w:rPr>
              <w:t>CNMI reported slippage by 6.43% from 96.43% (27/28) in FFY 2020 to 90% (18/20) in FFY 2021</w:t>
            </w:r>
            <w:proofErr w:type="gramStart"/>
            <w:r w:rsidRPr="00781112">
              <w:rPr>
                <w:rFonts w:cs="Arial"/>
                <w:color w:val="000000" w:themeColor="text1"/>
                <w:szCs w:val="16"/>
              </w:rPr>
              <w:t xml:space="preserve">.  </w:t>
            </w:r>
            <w:proofErr w:type="gramEnd"/>
            <w:r w:rsidRPr="00781112">
              <w:rPr>
                <w:rFonts w:cs="Arial"/>
                <w:color w:val="000000" w:themeColor="text1"/>
                <w:szCs w:val="16"/>
              </w:rPr>
              <w:t>By numbers there was one preschooler in FFY 2020 compared to two preschoolers in FFY 2021 who exited the preschool program with improved functioning but not sufficient to move nearer to functioning compared to same-aged peers (category b)</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In reviewing </w:t>
            </w:r>
            <w:proofErr w:type="gramStart"/>
            <w:r w:rsidRPr="00781112">
              <w:rPr>
                <w:rFonts w:cs="Arial"/>
                <w:color w:val="000000" w:themeColor="text1"/>
                <w:szCs w:val="16"/>
              </w:rPr>
              <w:t>possible reasons</w:t>
            </w:r>
            <w:proofErr w:type="gramEnd"/>
            <w:r w:rsidRPr="00781112">
              <w:rPr>
                <w:rFonts w:cs="Arial"/>
                <w:color w:val="000000" w:themeColor="text1"/>
                <w:szCs w:val="16"/>
              </w:rPr>
              <w:t xml:space="preserve"> for the slippage, the following data points were reviewed for the two preschoolers who were in category b: Age of entry, Length of service, and Disability.  It should be noted that there are similar characteristics in the data points for the two preschoolers in category b for this Outcome 7C1 as with the two preschoolers in category b for Outcome 7A1.</w:t>
            </w:r>
            <w:r w:rsidRPr="00781112">
              <w:rPr>
                <w:rFonts w:cs="Arial"/>
                <w:color w:val="000000" w:themeColor="text1"/>
                <w:szCs w:val="16"/>
              </w:rPr>
              <w:br/>
            </w:r>
            <w:r w:rsidRPr="00781112">
              <w:rPr>
                <w:rFonts w:cs="Arial"/>
                <w:color w:val="000000" w:themeColor="text1"/>
                <w:szCs w:val="16"/>
              </w:rPr>
              <w:br/>
              <w:t>The age of entry showed one preschooler entered at 3 years of age and the other at 4 years old, which impacted the length of services by the time they exited.  Both preschoolers were identified under the same disability category and required related services to support their special education program</w:t>
            </w:r>
            <w:proofErr w:type="gramStart"/>
            <w:r w:rsidRPr="00781112">
              <w:rPr>
                <w:rFonts w:cs="Arial"/>
                <w:color w:val="000000" w:themeColor="text1"/>
                <w:szCs w:val="16"/>
              </w:rPr>
              <w:t xml:space="preserve">.  </w:t>
            </w:r>
            <w:proofErr w:type="gramEnd"/>
            <w:r w:rsidRPr="00781112">
              <w:rPr>
                <w:rFonts w:cs="Arial"/>
                <w:color w:val="000000" w:themeColor="text1"/>
                <w:szCs w:val="16"/>
              </w:rPr>
              <w:t>These data points indicate that these preschoolers received additional support and services throughout their preschool program and continue to receive special education and related services in school</w:t>
            </w:r>
            <w:proofErr w:type="gramStart"/>
            <w:r w:rsidRPr="00781112">
              <w:rPr>
                <w:rFonts w:cs="Arial"/>
                <w:color w:val="000000" w:themeColor="text1"/>
                <w:szCs w:val="16"/>
              </w:rPr>
              <w:t xml:space="preserve">.  </w:t>
            </w:r>
            <w:proofErr w:type="gramEnd"/>
            <w:r w:rsidRPr="00781112">
              <w:rPr>
                <w:rFonts w:cs="Arial"/>
                <w:color w:val="000000" w:themeColor="text1"/>
                <w:szCs w:val="16"/>
              </w:rPr>
              <w:t>A factor for one preschooler could have been the length of service which was just over a year of preschool services</w:t>
            </w:r>
            <w:proofErr w:type="gramStart"/>
            <w:r w:rsidRPr="00781112">
              <w:rPr>
                <w:rFonts w:cs="Arial"/>
                <w:color w:val="000000" w:themeColor="text1"/>
                <w:szCs w:val="16"/>
              </w:rPr>
              <w:t xml:space="preserve">.  </w:t>
            </w:r>
            <w:proofErr w:type="gramEnd"/>
            <w:r w:rsidRPr="00781112">
              <w:rPr>
                <w:rFonts w:cs="Arial"/>
                <w:color w:val="000000" w:themeColor="text1"/>
                <w:szCs w:val="16"/>
              </w:rPr>
              <w:t>This one preschooler was also reported under category b for 7A1.</w:t>
            </w:r>
            <w:r w:rsidRPr="00781112">
              <w:rPr>
                <w:rFonts w:cs="Arial"/>
                <w:color w:val="000000" w:themeColor="text1"/>
                <w:szCs w:val="16"/>
              </w:rPr>
              <w:br/>
            </w:r>
            <w:r w:rsidRPr="00781112">
              <w:rPr>
                <w:rFonts w:cs="Arial"/>
                <w:color w:val="000000" w:themeColor="text1"/>
                <w:szCs w:val="16"/>
              </w:rPr>
              <w:br/>
              <w:t>Another consideration for the slippage is the impact of COVID-19 on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The beginning of school year 2021-2022 continued the PSS blended learning approach of online and face-to-face instruction</w:t>
            </w:r>
            <w:proofErr w:type="gramStart"/>
            <w:r w:rsidRPr="00781112">
              <w:rPr>
                <w:rFonts w:cs="Arial"/>
                <w:color w:val="000000" w:themeColor="text1"/>
                <w:szCs w:val="16"/>
              </w:rPr>
              <w:t xml:space="preserve">.  </w:t>
            </w:r>
            <w:proofErr w:type="gramEnd"/>
            <w:r w:rsidRPr="00781112">
              <w:rPr>
                <w:rFonts w:cs="Arial"/>
                <w:color w:val="000000" w:themeColor="text1"/>
                <w:szCs w:val="16"/>
              </w:rPr>
              <w:t>Due to the rise in COVID-19 cases, PSS then shifted to remote learning in November 2021 until January 2022 when schools and services were back to face-to-face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This disruption in the mode of learning could have impacted the appropriate behaviors development of the two preschoolers identified under category </w:t>
            </w:r>
            <w:proofErr w:type="gramStart"/>
            <w:r w:rsidRPr="00781112">
              <w:rPr>
                <w:rFonts w:cs="Arial"/>
                <w:color w:val="000000" w:themeColor="text1"/>
                <w:szCs w:val="16"/>
              </w:rPr>
              <w:t xml:space="preserve">b.  </w:t>
            </w:r>
            <w:proofErr w:type="gramEnd"/>
            <w:r w:rsidRPr="00781112">
              <w:rPr>
                <w:rFonts w:cs="Arial"/>
                <w:color w:val="000000" w:themeColor="text1"/>
                <w:szCs w:val="16"/>
              </w:rPr>
              <w:br/>
            </w:r>
            <w:r w:rsidRPr="00781112">
              <w:rPr>
                <w:rFonts w:cs="Arial"/>
                <w:color w:val="000000" w:themeColor="text1"/>
                <w:szCs w:val="16"/>
              </w:rPr>
              <w:br/>
              <w:t>With preschool services back to face-to-face instruction, the Early Childhood Special Education (ECSE) teachers and staff continue to implement developmentally appropriate practices for the development of behavioral/self-help skills in preschoolers with disabilities.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3" w:name="_Toc382082381"/>
      <w:bookmarkStart w:id="4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Child Outcome Summary (COS) process consists of four key features of quality. These features include:</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Using information from multiple sources. The process produces a description of the child’s functioning at a single point in time by synthesizing multiple sources of information. Multiple </w:t>
      </w:r>
      <w:proofErr w:type="gramStart"/>
      <w:r w:rsidRPr="00781112">
        <w:rPr>
          <w:rFonts w:cs="Arial"/>
          <w:color w:val="000000" w:themeColor="text1"/>
          <w:szCs w:val="16"/>
        </w:rPr>
        <w:t>source</w:t>
      </w:r>
      <w:proofErr w:type="gramEnd"/>
      <w:r w:rsidRPr="00781112">
        <w:rPr>
          <w:rFonts w:cs="Arial"/>
          <w:color w:val="000000" w:themeColor="text1"/>
          <w:szCs w:val="16"/>
        </w:rPr>
        <w:t xml:space="preserve"> of information is used to determine the status of the COS. </w:t>
      </w:r>
      <w:proofErr w:type="gramStart"/>
      <w:r w:rsidRPr="00781112">
        <w:rPr>
          <w:rFonts w:cs="Arial"/>
          <w:color w:val="000000" w:themeColor="text1"/>
          <w:szCs w:val="16"/>
        </w:rPr>
        <w:t>Most of</w:t>
      </w:r>
      <w:proofErr w:type="gramEnd"/>
      <w:r w:rsidRPr="00781112">
        <w:rPr>
          <w:rFonts w:cs="Arial"/>
          <w:color w:val="000000" w:themeColor="text1"/>
          <w:szCs w:val="16"/>
        </w:rPr>
        <w:t xml:space="preserve"> the information needed is already collected as part of the development of the child’s IEP and therefore, collecting child assessment information is currently part of the IEP development process and is not an added step. Multiple sources of information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to make decisions regarding the child’s performance related to the three child outcomes. </w:t>
      </w:r>
      <w:r w:rsidRPr="00781112">
        <w:rPr>
          <w:rFonts w:cs="Arial"/>
          <w:color w:val="000000" w:themeColor="text1"/>
          <w:szCs w:val="16"/>
        </w:rPr>
        <w:br/>
      </w:r>
      <w:r w:rsidRPr="00781112">
        <w:rPr>
          <w:rFonts w:cs="Arial"/>
          <w:color w:val="000000" w:themeColor="text1"/>
          <w:szCs w:val="16"/>
        </w:rPr>
        <w:br/>
        <w:t xml:space="preserve">Data sources include: </w:t>
      </w:r>
      <w:r w:rsidRPr="00781112">
        <w:rPr>
          <w:rFonts w:cs="Arial"/>
          <w:color w:val="000000" w:themeColor="text1"/>
          <w:szCs w:val="16"/>
        </w:rPr>
        <w:br/>
        <w:t xml:space="preserve">o The Hawaii Early Learning Profile </w:t>
      </w:r>
      <w:r w:rsidRPr="00781112">
        <w:rPr>
          <w:rFonts w:cs="Arial"/>
          <w:color w:val="000000" w:themeColor="text1"/>
          <w:szCs w:val="16"/>
        </w:rPr>
        <w:br/>
        <w:t xml:space="preserve">o Other assessment results if appropriate </w:t>
      </w:r>
      <w:r w:rsidRPr="00781112">
        <w:rPr>
          <w:rFonts w:cs="Arial"/>
          <w:color w:val="000000" w:themeColor="text1"/>
          <w:szCs w:val="16"/>
        </w:rPr>
        <w:br/>
        <w:t xml:space="preserve">o Parent and other caregiver information </w:t>
      </w:r>
      <w:r w:rsidRPr="00781112">
        <w:rPr>
          <w:rFonts w:cs="Arial"/>
          <w:color w:val="000000" w:themeColor="text1"/>
          <w:szCs w:val="16"/>
        </w:rPr>
        <w:br/>
        <w:t xml:space="preserve">o Child observations </w:t>
      </w:r>
      <w:r w:rsidRPr="00781112">
        <w:rPr>
          <w:rFonts w:cs="Arial"/>
          <w:color w:val="000000" w:themeColor="text1"/>
          <w:szCs w:val="16"/>
        </w:rPr>
        <w:br/>
        <w:t xml:space="preserve">o Early Childhood Special Education Service provider observations and input </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Relying on team-based discussion and team decision making. This approach is a team process, involving professionals and family members contributing to decision-making. The COS process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be a team consensus process where each individual member contributes information about the child’s functioning across a variety of </w:t>
      </w:r>
      <w:proofErr w:type="gramStart"/>
      <w:r w:rsidRPr="00781112">
        <w:rPr>
          <w:rFonts w:cs="Arial"/>
          <w:color w:val="000000" w:themeColor="text1"/>
          <w:szCs w:val="16"/>
        </w:rPr>
        <w:t>setting</w:t>
      </w:r>
      <w:proofErr w:type="gramEnd"/>
      <w:r w:rsidRPr="00781112">
        <w:rPr>
          <w:rFonts w:cs="Arial"/>
          <w:color w:val="000000" w:themeColor="text1"/>
          <w:szCs w:val="16"/>
        </w:rPr>
        <w:t xml:space="preserve"> and situations. The members of the team participate collectively in a discussion to determine the child’s rating. The child’s family is an important member of the COS team. The family provides critical information about the child. The family may not be familiar with the COS </w:t>
      </w:r>
      <w:proofErr w:type="gramStart"/>
      <w:r w:rsidRPr="00781112">
        <w:rPr>
          <w:rFonts w:cs="Arial"/>
          <w:color w:val="000000" w:themeColor="text1"/>
          <w:szCs w:val="16"/>
        </w:rPr>
        <w:t>process</w:t>
      </w:r>
      <w:proofErr w:type="gramEnd"/>
      <w:r w:rsidRPr="00781112">
        <w:rPr>
          <w:rFonts w:cs="Arial"/>
          <w:color w:val="000000" w:themeColor="text1"/>
          <w:szCs w:val="16"/>
        </w:rPr>
        <w:t xml:space="preserve"> but they are experts on what their child is doing across settings and situations. The team shall include family members, professionals who work with the child, and others familiar with the child’s functioning such as </w:t>
      </w:r>
      <w:proofErr w:type="gramStart"/>
      <w:r w:rsidRPr="00781112">
        <w:rPr>
          <w:rFonts w:cs="Arial"/>
          <w:color w:val="000000" w:themeColor="text1"/>
          <w:szCs w:val="16"/>
        </w:rPr>
        <w:t>child care</w:t>
      </w:r>
      <w:proofErr w:type="gramEnd"/>
      <w:r w:rsidRPr="00781112">
        <w:rPr>
          <w:rFonts w:cs="Arial"/>
          <w:color w:val="000000" w:themeColor="text1"/>
          <w:szCs w:val="16"/>
        </w:rPr>
        <w:t xml:space="preserve"> providers. Teams can range in size from two people to as many the parent and team feels is needed.</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xml:space="preserve">. Using a 7-point rating scale to describe the child’s function across settings and situations. The process involves team members using the information gathered about a child to rate his or her functioning in each of the three outcome areas on a 7-point scale. Using the 7-point rating scale requires the team to compare the child’s skills and behaviors with those expected for his or her age. The purpose of the rating is to document current functioning. The COS process results in a rating for each of the three child outcomes. The rating is based on </w:t>
      </w:r>
      <w:proofErr w:type="gramStart"/>
      <w:r w:rsidRPr="00781112">
        <w:rPr>
          <w:rFonts w:cs="Arial"/>
          <w:color w:val="000000" w:themeColor="text1"/>
          <w:szCs w:val="16"/>
        </w:rPr>
        <w:t>child’s</w:t>
      </w:r>
      <w:proofErr w:type="gramEnd"/>
      <w:r w:rsidRPr="00781112">
        <w:rPr>
          <w:rFonts w:cs="Arial"/>
          <w:color w:val="000000" w:themeColor="text1"/>
          <w:szCs w:val="16"/>
        </w:rPr>
        <w:t xml:space="preserve"> functioning across settings and situations. A child’s functioning </w:t>
      </w:r>
      <w:proofErr w:type="gramStart"/>
      <w:r w:rsidRPr="00781112">
        <w:rPr>
          <w:rFonts w:cs="Arial"/>
          <w:color w:val="000000" w:themeColor="text1"/>
          <w:szCs w:val="16"/>
        </w:rPr>
        <w:t>is compared</w:t>
      </w:r>
      <w:proofErr w:type="gramEnd"/>
      <w:r w:rsidRPr="00781112">
        <w:rPr>
          <w:rFonts w:cs="Arial"/>
          <w:color w:val="000000" w:themeColor="text1"/>
          <w:szCs w:val="16"/>
        </w:rPr>
        <w:t xml:space="preserve"> with what is expected for a child at that age. The rating reflects the child’s functioning at each of the time points and should be determined as close to the actual entry and exit as possible. The comparison of entry to exit ratings provides information about the child’s progress. Ratings on all three outcomes must </w:t>
      </w:r>
      <w:proofErr w:type="gramStart"/>
      <w:r w:rsidRPr="00781112">
        <w:rPr>
          <w:rFonts w:cs="Arial"/>
          <w:color w:val="000000" w:themeColor="text1"/>
          <w:szCs w:val="16"/>
        </w:rPr>
        <w:t>be reported</w:t>
      </w:r>
      <w:proofErr w:type="gramEnd"/>
      <w:r w:rsidRPr="00781112">
        <w:rPr>
          <w:rFonts w:cs="Arial"/>
          <w:color w:val="000000" w:themeColor="text1"/>
          <w:szCs w:val="16"/>
        </w:rPr>
        <w:t xml:space="preserve"> for every child enrolled. Ratings </w:t>
      </w:r>
      <w:proofErr w:type="gramStart"/>
      <w:r w:rsidRPr="00781112">
        <w:rPr>
          <w:rFonts w:cs="Arial"/>
          <w:color w:val="000000" w:themeColor="text1"/>
          <w:szCs w:val="16"/>
        </w:rPr>
        <w:t>are needed</w:t>
      </w:r>
      <w:proofErr w:type="gramEnd"/>
      <w:r w:rsidRPr="00781112">
        <w:rPr>
          <w:rFonts w:cs="Arial"/>
          <w:color w:val="000000" w:themeColor="text1"/>
          <w:szCs w:val="16"/>
        </w:rPr>
        <w:t xml:space="preserve"> in all areas even if: 1) No one has concerns about a child’s development, and 2) A child has delays in one or two outcome areas, but not in all three outcome areas. The ECO Decision Tree is a helpful tool for facilitating the rating process and guides the team through the process for each outcome. </w:t>
      </w:r>
      <w:r w:rsidRPr="00781112">
        <w:rPr>
          <w:rFonts w:cs="Arial"/>
          <w:color w:val="000000" w:themeColor="text1"/>
          <w:szCs w:val="16"/>
        </w:rPr>
        <w:br/>
      </w:r>
      <w:r w:rsidRPr="00781112">
        <w:rPr>
          <w:rFonts w:cs="Arial"/>
          <w:color w:val="000000" w:themeColor="text1"/>
          <w:szCs w:val="16"/>
        </w:rPr>
        <w:br/>
        <w:t xml:space="preserve">4. Completing the COS forms upon program entry and exit. The COS process </w:t>
      </w:r>
      <w:proofErr w:type="gramStart"/>
      <w:r w:rsidRPr="00781112">
        <w:rPr>
          <w:rFonts w:cs="Arial"/>
          <w:color w:val="000000" w:themeColor="text1"/>
          <w:szCs w:val="16"/>
        </w:rPr>
        <w:t>is completed</w:t>
      </w:r>
      <w:proofErr w:type="gramEnd"/>
      <w:r w:rsidRPr="00781112">
        <w:rPr>
          <w:rFonts w:cs="Arial"/>
          <w:color w:val="000000" w:themeColor="text1"/>
          <w:szCs w:val="16"/>
        </w:rPr>
        <w:t xml:space="preserve"> at two points in time, at a minimum--when the child enters the program and when the child exits the program.</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43"/>
      <w:bookmarkEnd w:id="44"/>
    </w:p>
    <w:p w14:paraId="66FBCA03" w14:textId="77777777" w:rsidR="00B654C1" w:rsidRPr="00781112" w:rsidRDefault="00B654C1" w:rsidP="00A018D4">
      <w:pPr>
        <w:rPr>
          <w:color w:val="000000" w:themeColor="text1"/>
          <w:szCs w:val="20"/>
        </w:rPr>
      </w:pPr>
      <w:bookmarkStart w:id="4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6"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Default="00DF5951" w:rsidP="009C74BD">
      <w:r>
        <w:t xml:space="preserve">States </w:t>
      </w:r>
      <w:proofErr w:type="gramStart"/>
      <w:r>
        <w:t>are encouraged</w:t>
      </w:r>
      <w:proofErr w:type="gramEnd"/>
      <w:r>
        <w:t xml:space="preserve"> to work in collaboration with their OSEP-funded parent centers in collecting data.</w:t>
      </w:r>
    </w:p>
    <w:p w14:paraId="4C762CE1" w14:textId="77777777" w:rsidR="0092465D" w:rsidRPr="00781112" w:rsidRDefault="0092465D" w:rsidP="009C74BD">
      <w:pPr>
        <w:rPr>
          <w:rFonts w:cs="Arial"/>
          <w:szCs w:val="16"/>
        </w:rPr>
      </w:pPr>
    </w:p>
    <w:bookmarkEnd w:id="46"/>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019B9F35" w:rsidR="00487CBD" w:rsidRDefault="00487CBD" w:rsidP="00487CBD">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3AA9084E" w14:textId="77777777" w:rsidR="0092465D" w:rsidRPr="00781112" w:rsidRDefault="0092465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78.00%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91.34%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92.31%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93.53%</w:t>
            </w:r>
          </w:p>
        </w:tc>
        <w:tc>
          <w:tcPr>
            <w:tcW w:w="833" w:type="pct"/>
            <w:tcBorders>
              <w:bottom w:val="single" w:sz="4" w:space="0" w:color="auto"/>
            </w:tcBorders>
            <w:shd w:val="clear" w:color="auto" w:fill="auto"/>
            <w:vAlign w:val="center"/>
          </w:tcPr>
          <w:p w14:paraId="36AAC02B" w14:textId="31D6381A" w:rsidR="00FB6462" w:rsidRPr="00781112" w:rsidRDefault="00FB6462"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92.11%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90.00%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90.00%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90.00%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90.00%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90.00%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437</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471</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92.11%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92.78%</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surveys </w:t>
      </w:r>
      <w:proofErr w:type="gramStart"/>
      <w:r w:rsidRPr="00781112">
        <w:rPr>
          <w:rFonts w:cs="Arial"/>
          <w:color w:val="000000" w:themeColor="text1"/>
          <w:szCs w:val="16"/>
        </w:rPr>
        <w:t>were disseminated</w:t>
      </w:r>
      <w:proofErr w:type="gramEnd"/>
      <w:r w:rsidRPr="00781112">
        <w:rPr>
          <w:rFonts w:cs="Arial"/>
          <w:color w:val="000000" w:themeColor="text1"/>
          <w:szCs w:val="16"/>
        </w:rPr>
        <w:t xml:space="preserve"> to all parents of students with disabilities, including preschool children with disabilities. Dissemination of the survey to parents of preschoolers with disabilities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via the Head Start Program, which is housed in the elementary schools, or through the Early Childhood Special Education (ECSE) teacher for those preschoolers with disabilities who receive special education and related services in home settings. The surveys included an introductory letter and a blank envelope to use when returning the completed surveys. Surveys disseminated via the Head Start Program and to parents of preschoolers with disabilities receiving services in the home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by the ECSE teachers. All collected surveys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in sealed envelopes to the Special Education Central Office. The individual surveys </w:t>
      </w:r>
      <w:proofErr w:type="gramStart"/>
      <w:r w:rsidRPr="00781112">
        <w:rPr>
          <w:rFonts w:cs="Arial"/>
          <w:color w:val="000000" w:themeColor="text1"/>
          <w:szCs w:val="16"/>
        </w:rPr>
        <w:t>were then sent</w:t>
      </w:r>
      <w:proofErr w:type="gramEnd"/>
      <w:r w:rsidRPr="00781112">
        <w:rPr>
          <w:rFonts w:cs="Arial"/>
          <w:color w:val="000000" w:themeColor="text1"/>
          <w:szCs w:val="16"/>
        </w:rPr>
        <w:t xml:space="preserve"> to the University of Guam CEDDERS for analysis of the data. </w:t>
      </w:r>
      <w:r w:rsidRPr="00781112">
        <w:rPr>
          <w:rFonts w:cs="Arial"/>
          <w:color w:val="000000" w:themeColor="text1"/>
          <w:szCs w:val="16"/>
        </w:rPr>
        <w:br/>
      </w:r>
      <w:r w:rsidRPr="00781112">
        <w:rPr>
          <w:rFonts w:cs="Arial"/>
          <w:color w:val="000000" w:themeColor="text1"/>
          <w:szCs w:val="16"/>
        </w:rPr>
        <w:br/>
        <w:t xml:space="preserve">For preschoolers with disabilities, 103 surveys were disseminated; of which, </w:t>
      </w:r>
      <w:proofErr w:type="gramStart"/>
      <w:r w:rsidRPr="00781112">
        <w:rPr>
          <w:rFonts w:cs="Arial"/>
          <w:color w:val="000000" w:themeColor="text1"/>
          <w:szCs w:val="16"/>
        </w:rPr>
        <w:t>60</w:t>
      </w:r>
      <w:proofErr w:type="gramEnd"/>
      <w:r w:rsidRPr="00781112">
        <w:rPr>
          <w:rFonts w:cs="Arial"/>
          <w:color w:val="000000" w:themeColor="text1"/>
          <w:szCs w:val="16"/>
        </w:rPr>
        <w:t xml:space="preserve"> completed surveys were returned, representing 58.25% (60/103) parents of preschoolers with disabilities. For school-age students with disabilities, 887 surveys </w:t>
      </w:r>
      <w:proofErr w:type="gramStart"/>
      <w:r w:rsidRPr="00781112">
        <w:rPr>
          <w:rFonts w:cs="Arial"/>
          <w:color w:val="000000" w:themeColor="text1"/>
          <w:szCs w:val="16"/>
        </w:rPr>
        <w:t>were disseminated</w:t>
      </w:r>
      <w:proofErr w:type="gramEnd"/>
      <w:r w:rsidRPr="00781112">
        <w:rPr>
          <w:rFonts w:cs="Arial"/>
          <w:color w:val="000000" w:themeColor="text1"/>
          <w:szCs w:val="16"/>
        </w:rPr>
        <w:t>, with 411 completed surveys returned for a 46.34% (411/887) response rate.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990</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47.58%</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47.58%</w:t>
            </w:r>
          </w:p>
        </w:tc>
      </w:tr>
      <w:bookmarkEnd w:id="4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In FFY 2021, CNMI reported an increase in response rate </w:t>
      </w:r>
      <w:proofErr w:type="gramStart"/>
      <w:r w:rsidRPr="0061205F">
        <w:rPr>
          <w:rFonts w:cs="Arial"/>
          <w:bCs/>
          <w:color w:val="000000" w:themeColor="text1"/>
          <w:szCs w:val="16"/>
        </w:rPr>
        <w:t>by</w:t>
      </w:r>
      <w:proofErr w:type="gramEnd"/>
      <w:r w:rsidRPr="0061205F">
        <w:rPr>
          <w:rFonts w:cs="Arial"/>
          <w:bCs/>
          <w:color w:val="000000" w:themeColor="text1"/>
          <w:szCs w:val="16"/>
        </w:rPr>
        <w:t xml:space="preserve"> 32.58% from 15% (152/1013) in FFY 2020 to 47.58% (471/990)</w:t>
      </w:r>
      <w:proofErr w:type="gramStart"/>
      <w:r w:rsidRPr="0061205F">
        <w:rPr>
          <w:rFonts w:cs="Arial"/>
          <w:bCs/>
          <w:color w:val="000000" w:themeColor="text1"/>
          <w:szCs w:val="16"/>
        </w:rPr>
        <w:t xml:space="preserve">.  </w:t>
      </w:r>
      <w:proofErr w:type="gramEnd"/>
      <w:r w:rsidRPr="0061205F">
        <w:rPr>
          <w:rFonts w:cs="Arial"/>
          <w:bCs/>
          <w:color w:val="000000" w:themeColor="text1"/>
          <w:szCs w:val="16"/>
        </w:rPr>
        <w:t>This increase could be attributed to the dissemination method changing from an online survey, with paper surveys available, in FFY 2020 to paper surveys disseminated through the preschool programs and schools in FFY 2021.</w:t>
      </w:r>
      <w:r w:rsidRPr="0061205F">
        <w:rPr>
          <w:rFonts w:cs="Arial"/>
          <w:bCs/>
          <w:color w:val="000000" w:themeColor="text1"/>
          <w:szCs w:val="16"/>
        </w:rPr>
        <w:br/>
      </w:r>
      <w:r w:rsidRPr="0061205F">
        <w:rPr>
          <w:rFonts w:cs="Arial"/>
          <w:bCs/>
          <w:color w:val="000000" w:themeColor="text1"/>
          <w:szCs w:val="16"/>
        </w:rPr>
        <w:br/>
        <w:t xml:space="preserve">To continue to increase the response rate, CNMI will work closely with the PSS Parent Advisory Council (PAC) comprised of Parent Teacher Student Association (PTSA) presidents of elementary, middle, and high schools whose purpose is to present issues and concerns from their respective PTSA councils to the PSS Leadership, and for PSS Leadership to share information to the PAC for dissemination to PTSAs.  With CNMI programs and schools back to in-person instruction, dissemination of information will include both in-person and virtual methods to ensure we are able to reach parents to encourage them to complete the survey, </w:t>
      </w:r>
      <w:proofErr w:type="gramStart"/>
      <w:r w:rsidRPr="0061205F">
        <w:rPr>
          <w:rFonts w:cs="Arial"/>
          <w:bCs/>
          <w:color w:val="000000" w:themeColor="text1"/>
          <w:szCs w:val="16"/>
        </w:rPr>
        <w:t>in particular on</w:t>
      </w:r>
      <w:proofErr w:type="gramEnd"/>
      <w:r w:rsidRPr="0061205F">
        <w:rPr>
          <w:rFonts w:cs="Arial"/>
          <w:bCs/>
          <w:color w:val="000000" w:themeColor="text1"/>
          <w:szCs w:val="16"/>
        </w:rPr>
        <w:t xml:space="preserve"> Saipan, the largest of the three CNMI island communities.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8"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In FFY 2021, CNMI reported an increase in response rate </w:t>
      </w:r>
      <w:proofErr w:type="gramStart"/>
      <w:r>
        <w:rPr>
          <w:rFonts w:cs="Arial"/>
          <w:szCs w:val="16"/>
        </w:rPr>
        <w:t>by</w:t>
      </w:r>
      <w:proofErr w:type="gramEnd"/>
      <w:r>
        <w:rPr>
          <w:rFonts w:cs="Arial"/>
          <w:szCs w:val="16"/>
        </w:rPr>
        <w:t xml:space="preserve"> 32.58% from 15% (152/1013) in FFY 2020 to 47.58% (471/990). This increase </w:t>
      </w:r>
      <w:proofErr w:type="gramStart"/>
      <w:r>
        <w:rPr>
          <w:rFonts w:cs="Arial"/>
          <w:szCs w:val="16"/>
        </w:rPr>
        <w:t>was represented</w:t>
      </w:r>
      <w:proofErr w:type="gramEnd"/>
      <w:r>
        <w:rPr>
          <w:rFonts w:cs="Arial"/>
          <w:szCs w:val="16"/>
        </w:rPr>
        <w:t xml:space="preserve"> in both </w:t>
      </w:r>
      <w:proofErr w:type="gramStart"/>
      <w:r>
        <w:rPr>
          <w:rFonts w:cs="Arial"/>
          <w:szCs w:val="16"/>
        </w:rPr>
        <w:t>age-groups</w:t>
      </w:r>
      <w:proofErr w:type="gramEnd"/>
      <w:r>
        <w:rPr>
          <w:rFonts w:cs="Arial"/>
          <w:szCs w:val="16"/>
        </w:rPr>
        <w:t xml:space="preserve"> – preschool and school-age. For preschool, the response rate increased from 14.71% (15/102) in FFY 2020 to 58.25% (60/103). For school-age, the response rate increased from 18.11% (165/911) in FFY 2020 to 46.34% (411/887).</w:t>
      </w:r>
      <w:r>
        <w:rPr>
          <w:rFonts w:cs="Arial"/>
          <w:szCs w:val="16"/>
        </w:rPr>
        <w:br/>
      </w:r>
      <w:r>
        <w:rPr>
          <w:rFonts w:cs="Arial"/>
          <w:szCs w:val="16"/>
        </w:rPr>
        <w:br/>
        <w:t>The analysis of the response rate included a review of responses by the preschool service locations and schools. For preschool, the response rate was 58.25% (60/103), representing all preschool service locations in the three CNMI islands. The representation by islands included 100% response rate for Rota and Tinian, the two smaller island communities, and over 50% response rate in Saipan.</w:t>
      </w:r>
      <w:r>
        <w:rPr>
          <w:rFonts w:cs="Arial"/>
          <w:szCs w:val="16"/>
        </w:rPr>
        <w:br/>
      </w:r>
      <w:r>
        <w:rPr>
          <w:rFonts w:cs="Arial"/>
          <w:szCs w:val="16"/>
        </w:rPr>
        <w:br/>
        <w:t>For school-age, the overall response rate was 46.34% (411/887), representing all schools in the three CNMI island communities. Representation by islands included 88.46% (46/52) in Rota, 93.94% (31/33) in Tinian, and 39.53% (334/845) in Saipan. Further analysis of the Saipan schools included a review of response rates by school-levels: Elementary = 49.40% (164/332), Middle = 42.24% (98/232), and High School = 30.25% (72/238).</w:t>
      </w:r>
      <w:r>
        <w:rPr>
          <w:rFonts w:cs="Arial"/>
          <w:szCs w:val="16"/>
        </w:rPr>
        <w:br/>
      </w:r>
      <w:r>
        <w:rPr>
          <w:rFonts w:cs="Arial"/>
          <w:szCs w:val="16"/>
        </w:rPr>
        <w:br/>
        <w:t xml:space="preserve">The analysis of the respondents indicated a cross section of parents did respond. All islands were represented, with </w:t>
      </w:r>
      <w:proofErr w:type="gramStart"/>
      <w:r>
        <w:rPr>
          <w:rFonts w:cs="Arial"/>
          <w:szCs w:val="16"/>
        </w:rPr>
        <w:t>the majority of</w:t>
      </w:r>
      <w:proofErr w:type="gramEnd"/>
      <w:r>
        <w:rPr>
          <w:rFonts w:cs="Arial"/>
          <w:szCs w:val="16"/>
        </w:rPr>
        <w:t xml:space="preserve"> surveys received from the island of Saipan, the largest of the three CNMI islands. All 20 CNMI schools </w:t>
      </w:r>
      <w:proofErr w:type="gramStart"/>
      <w:r>
        <w:rPr>
          <w:rFonts w:cs="Arial"/>
          <w:szCs w:val="16"/>
        </w:rPr>
        <w:t>were represented</w:t>
      </w:r>
      <w:proofErr w:type="gramEnd"/>
      <w:r>
        <w:rPr>
          <w:rFonts w:cs="Arial"/>
          <w:szCs w:val="16"/>
        </w:rPr>
        <w:t xml:space="preserve"> in the number of surveys collected. With this year’s paper survey dissemination, the process included reminders to parents via email and calls by the preschool program and school personnel to encourage all parents to respond.</w:t>
      </w:r>
      <w:r>
        <w:rPr>
          <w:rFonts w:cs="Arial"/>
          <w:szCs w:val="16"/>
        </w:rPr>
        <w:br/>
      </w:r>
      <w:r>
        <w:rPr>
          <w:rFonts w:cs="Arial"/>
          <w:szCs w:val="16"/>
        </w:rPr>
        <w:br/>
        <w:t xml:space="preserve">As described in the representativeness section, the demographics of ethnicity and location of respondents were determined not to be representative of children with disabilities receiving special education services. However, to determine the potential nonresponse bias, CNMI analyzed the location of respondents and process for dissemination at each level - preschool locations and schools. </w:t>
      </w:r>
      <w:r>
        <w:rPr>
          <w:rFonts w:cs="Arial"/>
          <w:szCs w:val="16"/>
        </w:rPr>
        <w:br/>
      </w:r>
      <w:r>
        <w:rPr>
          <w:rFonts w:cs="Arial"/>
          <w:szCs w:val="16"/>
        </w:rPr>
        <w:br/>
        <w:t>As discussed in the Strategies section above, to continue to increase the response rate, CNMI will work closely with the PSS Parent Advisory Council (PAC) comprised of Parent Teacher Student Association (PTSA) presidents of elementary, middle, and high schools whose purpose is to present issues and concerns from their respective PTSA councils to the PSS Leadership, and for PSS Leadership to share information to the PAC for dissemination to PTSAs. With CNMI programs and schools back to in-person instruction, dissemination of information will include both in-person and virtual methods to ensure we are able to reach parents to encourage them to complete the survey, in particular on Saipan, the largest of the three CNMI island communities.</w:t>
      </w:r>
      <w:r>
        <w:rPr>
          <w:rFonts w:cs="Arial"/>
          <w:szCs w:val="16"/>
        </w:rPr>
        <w:br/>
      </w:r>
      <w:r>
        <w:rPr>
          <w:rFonts w:cs="Arial"/>
          <w:szCs w:val="16"/>
        </w:rPr>
        <w:br/>
        <w:t xml:space="preserve">Based on CNMI's analysis of the response rate, CNMI did not identify nonresponse bias in the FFY 2021 response rate. As described earlier, all preschool locations and schools </w:t>
      </w:r>
      <w:proofErr w:type="gramStart"/>
      <w:r>
        <w:rPr>
          <w:rFonts w:cs="Arial"/>
          <w:szCs w:val="16"/>
        </w:rPr>
        <w:t>were represented</w:t>
      </w:r>
      <w:proofErr w:type="gramEnd"/>
      <w:r>
        <w:rPr>
          <w:rFonts w:cs="Arial"/>
          <w:szCs w:val="16"/>
        </w:rPr>
        <w:t xml:space="preserve"> as respondents and the process for dissemination included distribution of paper surveys with reminders via email and calls.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9" w:name="_Hlk112070690"/>
      <w:bookmarkStart w:id="50"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9"/>
    <w:bookmarkEnd w:id="50"/>
    <w:p w14:paraId="513A1FE6" w14:textId="77777777" w:rsidR="00090132" w:rsidRDefault="00090132" w:rsidP="006F6351">
      <w:pPr>
        <w:rPr>
          <w:b/>
          <w:bCs/>
        </w:rPr>
      </w:pPr>
      <w:r w:rsidRPr="000A2B9F">
        <w:rPr>
          <w:bCs/>
          <w:color w:val="000000" w:themeColor="text1"/>
        </w:rPr>
        <w:t>To determine representativeness of the surveys collected, CNMI analyzed the ethnicity and geographic location demographics of the respondents compared to the same demographics of CNMI’s Child Count - students with an IEP at the time the surveys were disseminated.</w:t>
      </w:r>
      <w:r w:rsidRPr="000A2B9F">
        <w:rPr>
          <w:bCs/>
          <w:color w:val="000000" w:themeColor="text1"/>
        </w:rPr>
        <w:br/>
      </w:r>
      <w:r w:rsidRPr="000A2B9F">
        <w:rPr>
          <w:bCs/>
          <w:color w:val="000000" w:themeColor="text1"/>
        </w:rPr>
        <w:br/>
        <w:t>The parent survey included ethnicity and geographic location for parents to respond to</w:t>
      </w:r>
      <w:proofErr w:type="gramStart"/>
      <w:r w:rsidRPr="000A2B9F">
        <w:rPr>
          <w:bCs/>
          <w:color w:val="000000" w:themeColor="text1"/>
        </w:rPr>
        <w:t xml:space="preserve">.  </w:t>
      </w:r>
      <w:proofErr w:type="gramEnd"/>
      <w:r w:rsidRPr="000A2B9F">
        <w:rPr>
          <w:bCs/>
          <w:color w:val="000000" w:themeColor="text1"/>
        </w:rPr>
        <w:t>The ethnicity item asked parents to indicate their child’s ethnicity by checking one of the listed OSEP ethnicity categories</w:t>
      </w:r>
      <w:proofErr w:type="gramStart"/>
      <w:r w:rsidRPr="000A2B9F">
        <w:rPr>
          <w:bCs/>
          <w:color w:val="000000" w:themeColor="text1"/>
        </w:rPr>
        <w:t xml:space="preserve">.  </w:t>
      </w:r>
      <w:proofErr w:type="gramEnd"/>
      <w:r w:rsidRPr="000A2B9F">
        <w:rPr>
          <w:bCs/>
          <w:color w:val="000000" w:themeColor="text1"/>
        </w:rPr>
        <w:t>The geographic location item on the survey asked parents to indicate their child’s center (preschool) or school</w:t>
      </w:r>
      <w:proofErr w:type="gramStart"/>
      <w:r w:rsidRPr="000A2B9F">
        <w:rPr>
          <w:bCs/>
          <w:color w:val="000000" w:themeColor="text1"/>
        </w:rPr>
        <w:t xml:space="preserve">.  </w:t>
      </w:r>
      <w:proofErr w:type="gramEnd"/>
      <w:r w:rsidRPr="000A2B9F">
        <w:rPr>
          <w:bCs/>
          <w:color w:val="000000" w:themeColor="text1"/>
        </w:rPr>
        <w:br/>
      </w:r>
      <w:r w:rsidRPr="000A2B9F">
        <w:rPr>
          <w:bCs/>
          <w:color w:val="000000" w:themeColor="text1"/>
        </w:rPr>
        <w:br/>
        <w:t>Based on the +/-3 discrepancy calculation, the Asian and “Two or More” ethnicity categories reported over-representation for the Asian category at 7.74% and under-representation for the “Two or More” category at -5.41%</w:t>
      </w:r>
      <w:proofErr w:type="gramStart"/>
      <w:r w:rsidRPr="000A2B9F">
        <w:rPr>
          <w:bCs/>
          <w:color w:val="000000" w:themeColor="text1"/>
        </w:rPr>
        <w:t xml:space="preserve">.  </w:t>
      </w:r>
      <w:proofErr w:type="gramEnd"/>
      <w:r w:rsidRPr="000A2B9F">
        <w:rPr>
          <w:bCs/>
          <w:color w:val="000000" w:themeColor="text1"/>
        </w:rPr>
        <w:t>The White/Caucasian and Other Pacific Islander ethnicity categories were within the +/-3 difference</w:t>
      </w:r>
      <w:proofErr w:type="gramStart"/>
      <w:r w:rsidRPr="000A2B9F">
        <w:rPr>
          <w:bCs/>
          <w:color w:val="000000" w:themeColor="text1"/>
        </w:rPr>
        <w:t xml:space="preserve">.  </w:t>
      </w:r>
      <w:proofErr w:type="gramEnd"/>
      <w:r w:rsidRPr="000A2B9F">
        <w:rPr>
          <w:bCs/>
          <w:color w:val="000000" w:themeColor="text1"/>
        </w:rPr>
        <w:t>All ethnicity categories reported in CNMI’s Child Count data were represented in the survey respondents</w:t>
      </w:r>
      <w:proofErr w:type="gramStart"/>
      <w:r w:rsidRPr="000A2B9F">
        <w:rPr>
          <w:bCs/>
          <w:color w:val="000000" w:themeColor="text1"/>
        </w:rPr>
        <w:t xml:space="preserve">.  </w:t>
      </w:r>
      <w:proofErr w:type="gramEnd"/>
      <w:r w:rsidRPr="000A2B9F">
        <w:rPr>
          <w:bCs/>
          <w:color w:val="000000" w:themeColor="text1"/>
        </w:rPr>
        <w:t>A consideration in reviewing the over and under representation is that parents were asked to identify their child’s ethnicity</w:t>
      </w:r>
      <w:proofErr w:type="gramStart"/>
      <w:r w:rsidRPr="000A2B9F">
        <w:rPr>
          <w:bCs/>
          <w:color w:val="000000" w:themeColor="text1"/>
        </w:rPr>
        <w:t xml:space="preserve">.  </w:t>
      </w:r>
      <w:proofErr w:type="gramEnd"/>
      <w:r w:rsidRPr="000A2B9F">
        <w:rPr>
          <w:bCs/>
          <w:color w:val="000000" w:themeColor="text1"/>
        </w:rPr>
        <w:t>This process required the parents to self-identify with an ethnic group</w:t>
      </w:r>
      <w:proofErr w:type="gramStart"/>
      <w:r w:rsidRPr="000A2B9F">
        <w:rPr>
          <w:bCs/>
          <w:color w:val="000000" w:themeColor="text1"/>
        </w:rPr>
        <w:t xml:space="preserve">.  </w:t>
      </w:r>
      <w:proofErr w:type="gramEnd"/>
      <w:r w:rsidRPr="000A2B9F">
        <w:rPr>
          <w:bCs/>
          <w:color w:val="000000" w:themeColor="text1"/>
        </w:rPr>
        <w:t>The selection of “Two or More” might not have been understood by parents, which could be the reason for that category reporting under-representation, while the Asian category reported over-representation.</w:t>
      </w:r>
      <w:r w:rsidRPr="000A2B9F">
        <w:rPr>
          <w:bCs/>
          <w:color w:val="000000" w:themeColor="text1"/>
        </w:rPr>
        <w:br/>
      </w:r>
      <w:r w:rsidRPr="000A2B9F">
        <w:rPr>
          <w:bCs/>
          <w:color w:val="000000" w:themeColor="text1"/>
        </w:rPr>
        <w:br/>
        <w:t>The second demographic reviewed for representativeness was geographic location or the three island communities of the CNMI</w:t>
      </w:r>
      <w:proofErr w:type="gramStart"/>
      <w:r w:rsidRPr="000A2B9F">
        <w:rPr>
          <w:bCs/>
          <w:color w:val="000000" w:themeColor="text1"/>
        </w:rPr>
        <w:t xml:space="preserve">.  </w:t>
      </w:r>
      <w:proofErr w:type="gramEnd"/>
      <w:r w:rsidRPr="000A2B9F">
        <w:rPr>
          <w:bCs/>
          <w:color w:val="000000" w:themeColor="text1"/>
        </w:rPr>
        <w:t xml:space="preserve">Based on the +/-3 discrepancy calculation, all three island communities did not show representativeness with the differences exceeding +/-3: Saipan at -8.76%, Tinian at 3.92%, and Rota at 4.85%. Although all islands, programs, and schools </w:t>
      </w:r>
      <w:proofErr w:type="gramStart"/>
      <w:r w:rsidRPr="000A2B9F">
        <w:rPr>
          <w:bCs/>
          <w:color w:val="000000" w:themeColor="text1"/>
        </w:rPr>
        <w:t>were represented</w:t>
      </w:r>
      <w:proofErr w:type="gramEnd"/>
      <w:r w:rsidRPr="000A2B9F">
        <w:rPr>
          <w:bCs/>
          <w:color w:val="000000" w:themeColor="text1"/>
        </w:rPr>
        <w:t xml:space="preserve"> in the respondent group, the discrepancy calculation showed that Saipan was under-represented, while Tinian and Rota were over-represented.</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With the significant increase in response rate through the paper survey dissemination compared to last year’s online survey, CNMI will continue with the paper survey dissemination and will work with the various parent groups, the Special Education State Advisory Panel (SESAP), and the PSS PAC to support this dissemination efforts to promote increased responses from parents of children with disabilities.  In addition, the dissemination process will include awareness activities with parents about the survey items to ensure responses reflect accurate demographics.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metric used to determine representativeness in the FFY 2021 parent survey response was the +/-3% discrepancy calculation</w:t>
      </w:r>
      <w:proofErr w:type="gramStart"/>
      <w:r w:rsidRPr="000A2B9F">
        <w:rPr>
          <w:b w:val="0"/>
          <w:bCs/>
        </w:rPr>
        <w:t xml:space="preserve">.  </w:t>
      </w:r>
      <w:proofErr w:type="gramEnd"/>
      <w:r w:rsidRPr="000A2B9F">
        <w:rPr>
          <w:b w:val="0"/>
          <w:bCs/>
        </w:rPr>
        <w:t>The target group for the calculation was the Child Count as of the dissemination period</w:t>
      </w:r>
      <w:proofErr w:type="gramStart"/>
      <w:r w:rsidRPr="000A2B9F">
        <w:rPr>
          <w:b w:val="0"/>
          <w:bCs/>
        </w:rPr>
        <w:t xml:space="preserve">.  </w:t>
      </w:r>
      <w:proofErr w:type="gramEnd"/>
      <w:r w:rsidRPr="000A2B9F">
        <w:rPr>
          <w:b w:val="0"/>
          <w:bCs/>
        </w:rPr>
        <w:t xml:space="preserve">CNMI uses a census dissemination process that included all students with an IEP at the time the survey </w:t>
      </w:r>
      <w:proofErr w:type="gramStart"/>
      <w:r w:rsidRPr="000A2B9F">
        <w:rPr>
          <w:b w:val="0"/>
          <w:bCs/>
        </w:rPr>
        <w:t>was disseminated</w:t>
      </w:r>
      <w:proofErr w:type="gramEnd"/>
      <w:r w:rsidRPr="000A2B9F">
        <w:rPr>
          <w:b w:val="0"/>
          <w:bCs/>
        </w:rPr>
        <w:t xml:space="preserve"> to parents of preschoolers and school-age children with disabilities.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CNMI must report whether its FFY 2021 data are from a response group that is representative of the demographics of children receiving special education services, and, if not, the actions CNMI is taking to address this issue. CNMI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CNMI reported the required representativeness analysis and discussion in the Indicator 8 Data section of this FFY 2021 </w:t>
      </w:r>
      <w:proofErr w:type="gramStart"/>
      <w:r w:rsidRPr="00781112">
        <w:rPr>
          <w:rFonts w:cs="Arial"/>
          <w:color w:val="000000" w:themeColor="text1"/>
          <w:szCs w:val="16"/>
        </w:rPr>
        <w:t xml:space="preserve">APR.  </w:t>
      </w:r>
      <w:proofErr w:type="gramEnd"/>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CNMI must report whether the FFY 2022 data are from a response group that is representative of the demographics of children receiving special education services, and, if not, the actions CNMI is taking to address this issue. CNMI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t>Indicator 9: Disproportionate Representation</w:t>
      </w:r>
    </w:p>
    <w:p w14:paraId="30C4375D" w14:textId="77777777" w:rsidR="00AF5AFB" w:rsidRPr="00781112" w:rsidRDefault="00AF5AFB" w:rsidP="00A018D4">
      <w:pPr>
        <w:rPr>
          <w:color w:val="000000" w:themeColor="text1"/>
          <w:szCs w:val="20"/>
        </w:rPr>
      </w:pPr>
      <w:bookmarkStart w:id="51" w:name="_Toc384383343"/>
      <w:bookmarkStart w:id="5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3" w:name="_Toc384383344"/>
      <w:bookmarkStart w:id="54" w:name="_Toc392159312"/>
      <w:bookmarkEnd w:id="51"/>
      <w:bookmarkEnd w:id="5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OSEP's instructions, Indicator 9 does not apply to the CNMI.</w:t>
      </w:r>
    </w:p>
    <w:bookmarkEnd w:id="53"/>
    <w:bookmarkEnd w:id="54"/>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This indicator is not applicable to CNMI</w:t>
      </w:r>
      <w:proofErr w:type="gramStart"/>
      <w:r w:rsidRPr="00781112">
        <w:rPr>
          <w:rFonts w:cs="Arial"/>
          <w:color w:val="000000" w:themeColor="text1"/>
          <w:szCs w:val="16"/>
        </w:rPr>
        <w:t xml:space="preserve">.  </w:t>
      </w:r>
      <w:proofErr w:type="gramEnd"/>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55" w:name="_Toc384383348"/>
      <w:bookmarkStart w:id="56"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55"/>
    <w:bookmarkEnd w:id="56"/>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OSEP's instructions, Indicator 10 does not apply to CNMI.</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This indicator is not applicable to CNMI</w:t>
      </w:r>
      <w:proofErr w:type="gramStart"/>
      <w:r w:rsidRPr="00781112">
        <w:rPr>
          <w:rFonts w:cs="Arial"/>
          <w:color w:val="000000" w:themeColor="text1"/>
          <w:szCs w:val="16"/>
        </w:rPr>
        <w:t xml:space="preserve">.  </w:t>
      </w:r>
      <w:proofErr w:type="gramEnd"/>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t>Indicator 11: Child Find</w:t>
      </w:r>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53.00%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97.96%</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99.11%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96.53%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94.16%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92.00%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59"/>
    <w:bookmarkEnd w:id="60"/>
    <w:p w14:paraId="53743211" w14:textId="77777777" w:rsidR="0092465D" w:rsidRDefault="0092465D">
      <w:pPr>
        <w:spacing w:before="0" w:after="200" w:line="276" w:lineRule="auto"/>
        <w:rPr>
          <w:b/>
          <w:color w:val="000000" w:themeColor="text1"/>
        </w:rPr>
      </w:pPr>
      <w:r>
        <w:rPr>
          <w:b/>
          <w:color w:val="000000" w:themeColor="text1"/>
        </w:rPr>
        <w:br w:type="page"/>
      </w:r>
    </w:p>
    <w:p w14:paraId="3FAEB3AB" w14:textId="41A43438"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196</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168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92.00%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85.71%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CNMI reported slippage by 6.29% from 92% (161/175) in FFY 2020 to 85.71% (168/196) in FFY 2021. The reasons for the slippage were due to nonadherence to procedures and shortage of evaluators. A contributing factor to this nonadherence to procedures could be that schools continued a "blended" learning model, a combination of face-to-face and online learning. Due to the increase in COVID-19 cases, PSS schools transitioned to remote learning in November 2021 through December 2021. Schools re-opened for face-to-face instruction in January 2022. This shift in the number of days that students were on campus required a coordinated scheduling effort by all evaluators. In addition, CNMI experienced a shortage of evaluators to complete the required assessments in FFY 2021. </w:t>
      </w:r>
      <w:r w:rsidRPr="00781112">
        <w:rPr>
          <w:rFonts w:cs="Arial"/>
          <w:color w:val="000000" w:themeColor="text1"/>
          <w:szCs w:val="16"/>
        </w:rPr>
        <w:br/>
      </w:r>
      <w:r w:rsidRPr="00781112">
        <w:rPr>
          <w:rFonts w:cs="Arial"/>
          <w:color w:val="000000" w:themeColor="text1"/>
          <w:szCs w:val="16"/>
        </w:rPr>
        <w:br/>
        <w:t>To address the nonadherence to procedures, this 2022-2023 school year, the CNMI Special Education Program assigned an itinerant special education teacher to address any technical assistance needs in the schools related to the identification and service provisions of the IEP. Also, to address the shortage of evaluators, this 2022-2023 school year, the CNMI Special Education Program has on board two on-island evaluators and has contracted with two off-island evaluators to conduct on-site evaluations throughout the year.</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28</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The </w:t>
      </w:r>
      <w:proofErr w:type="gramStart"/>
      <w:r w:rsidRPr="00781112">
        <w:rPr>
          <w:color w:val="000000" w:themeColor="text1"/>
        </w:rPr>
        <w:t>28</w:t>
      </w:r>
      <w:proofErr w:type="gramEnd"/>
      <w:r w:rsidRPr="00781112">
        <w:rPr>
          <w:color w:val="000000" w:themeColor="text1"/>
        </w:rPr>
        <w:t xml:space="preserve"> initial evaluations accounted for under (a) but not included in (b) were from six elementary schools (KES, OES, SE, SVE, TE, WSR), one middle school (HMS), two high schools (TJSH and SSHS), and one private school. All </w:t>
      </w:r>
      <w:proofErr w:type="gramStart"/>
      <w:r w:rsidRPr="00781112">
        <w:rPr>
          <w:color w:val="000000" w:themeColor="text1"/>
        </w:rPr>
        <w:t>28</w:t>
      </w:r>
      <w:proofErr w:type="gramEnd"/>
      <w:r w:rsidRPr="00781112">
        <w:rPr>
          <w:color w:val="000000" w:themeColor="text1"/>
        </w:rPr>
        <w:t xml:space="preserve"> initial evaluations were completed, with 26 not eligible for special education services. The days beyond the 60-day timeline Included:</w:t>
      </w:r>
      <w:r w:rsidRPr="00781112">
        <w:rPr>
          <w:color w:val="000000" w:themeColor="text1"/>
        </w:rPr>
        <w:br/>
        <w:t>= 2 days to 93 days over timeline = 20 initial evaluations</w:t>
      </w:r>
      <w:r w:rsidRPr="00781112">
        <w:rPr>
          <w:color w:val="000000" w:themeColor="text1"/>
        </w:rPr>
        <w:br/>
        <w:t>= 101 days to 162 days over timeline = 6 initial evaluations</w:t>
      </w:r>
      <w:r w:rsidRPr="00781112">
        <w:rPr>
          <w:color w:val="000000" w:themeColor="text1"/>
        </w:rPr>
        <w:br/>
        <w:t xml:space="preserve">= 249 &amp; 276 days over timeline = 2 initial evaluations (NOTE: This </w:t>
      </w:r>
      <w:proofErr w:type="gramStart"/>
      <w:r w:rsidRPr="00781112">
        <w:rPr>
          <w:color w:val="000000" w:themeColor="text1"/>
        </w:rPr>
        <w:t>was attributed</w:t>
      </w:r>
      <w:proofErr w:type="gramEnd"/>
      <w:r w:rsidRPr="00781112">
        <w:rPr>
          <w:color w:val="000000" w:themeColor="text1"/>
        </w:rPr>
        <w:t xml:space="preserve"> to the shortage of evaluators)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data for this indicator is taken from the database of all children for whom a consent for initial evaluation was received for the report period of July 1, </w:t>
      </w:r>
      <w:proofErr w:type="gramStart"/>
      <w:r w:rsidRPr="00781112">
        <w:rPr>
          <w:rFonts w:cs="Arial"/>
          <w:color w:val="000000" w:themeColor="text1"/>
          <w:szCs w:val="16"/>
        </w:rPr>
        <w:t>2021</w:t>
      </w:r>
      <w:proofErr w:type="gramEnd"/>
      <w:r w:rsidRPr="00781112">
        <w:rPr>
          <w:rFonts w:cs="Arial"/>
          <w:color w:val="000000" w:themeColor="text1"/>
          <w:szCs w:val="16"/>
        </w:rPr>
        <w:t xml:space="preserve"> to June 30, 2022.  The Data Manager logs the referral information into the database which generates the time requirements (60 days from receipt of the parent consent). The Data Manager sends out the referral information to the schools and providers responsible for the evaluation. Upon completion of evaluations, the reports </w:t>
      </w:r>
      <w:proofErr w:type="gramStart"/>
      <w:r w:rsidRPr="00781112">
        <w:rPr>
          <w:rFonts w:cs="Arial"/>
          <w:color w:val="000000" w:themeColor="text1"/>
          <w:szCs w:val="16"/>
        </w:rPr>
        <w:t>are sent</w:t>
      </w:r>
      <w:proofErr w:type="gramEnd"/>
      <w:r w:rsidRPr="00781112">
        <w:rPr>
          <w:rFonts w:cs="Arial"/>
          <w:color w:val="000000" w:themeColor="text1"/>
          <w:szCs w:val="16"/>
        </w:rPr>
        <w:t xml:space="preserve"> to the data manager to input into the database. The database </w:t>
      </w:r>
      <w:proofErr w:type="gramStart"/>
      <w:r w:rsidRPr="00781112">
        <w:rPr>
          <w:rFonts w:cs="Arial"/>
          <w:color w:val="000000" w:themeColor="text1"/>
          <w:szCs w:val="16"/>
        </w:rPr>
        <w:t>is formatted</w:t>
      </w:r>
      <w:proofErr w:type="gramEnd"/>
      <w:r w:rsidRPr="00781112">
        <w:rPr>
          <w:rFonts w:cs="Arial"/>
          <w:color w:val="000000" w:themeColor="text1"/>
          <w:szCs w:val="16"/>
        </w:rPr>
        <w:t xml:space="preserve"> to “flag” any date over the 60-day timeline. For all red flags, a Reason for Delay form </w:t>
      </w:r>
      <w:proofErr w:type="gramStart"/>
      <w:r w:rsidRPr="00781112">
        <w:rPr>
          <w:rFonts w:cs="Arial"/>
          <w:color w:val="000000" w:themeColor="text1"/>
          <w:szCs w:val="16"/>
        </w:rPr>
        <w:t>is required</w:t>
      </w:r>
      <w:proofErr w:type="gramEnd"/>
      <w:r w:rsidRPr="00781112">
        <w:rPr>
          <w:rFonts w:cs="Arial"/>
          <w:color w:val="000000" w:themeColor="text1"/>
          <w:szCs w:val="16"/>
        </w:rPr>
        <w:t>. The Data Manager, in consultation with the Special Education Director and Compliance Monitor, designates a determination of valid or invalid reasons for delay, consistent with 34 CFR §300.301(d).</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14</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 FFY 2020 findings of noncompliance </w:t>
      </w:r>
      <w:proofErr w:type="gramStart"/>
      <w:r w:rsidRPr="00781112">
        <w:rPr>
          <w:rFonts w:cs="Arial"/>
          <w:color w:val="000000" w:themeColor="text1"/>
          <w:szCs w:val="16"/>
        </w:rPr>
        <w:t>were verified</w:t>
      </w:r>
      <w:proofErr w:type="gramEnd"/>
      <w:r w:rsidRPr="00781112">
        <w:rPr>
          <w:rFonts w:cs="Arial"/>
          <w:color w:val="000000" w:themeColor="text1"/>
          <w:szCs w:val="16"/>
        </w:rPr>
        <w:t xml:space="preserve"> as corrected through a review of updated data of actual initial evaluation documents from the six schools and one independent evaluator responsible for the one private school. </w:t>
      </w:r>
      <w:proofErr w:type="gramStart"/>
      <w:r w:rsidRPr="00781112">
        <w:rPr>
          <w:rFonts w:cs="Arial"/>
          <w:color w:val="000000" w:themeColor="text1"/>
          <w:szCs w:val="16"/>
        </w:rPr>
        <w:t>These schools/independent evaluator</w:t>
      </w:r>
      <w:proofErr w:type="gramEnd"/>
      <w:r w:rsidRPr="00781112">
        <w:rPr>
          <w:rFonts w:cs="Arial"/>
          <w:color w:val="000000" w:themeColor="text1"/>
          <w:szCs w:val="16"/>
        </w:rPr>
        <w:t xml:space="preserve"> received the Written Notice of Findings for the 14 individual instances of noncompliance reported in the FFY 2020 Indicator 11 performance data of 92% (161/175). As described in the FFY 2020 for Indicator 11, the </w:t>
      </w:r>
      <w:proofErr w:type="gramStart"/>
      <w:r w:rsidRPr="00781112">
        <w:rPr>
          <w:rFonts w:cs="Arial"/>
          <w:color w:val="000000" w:themeColor="text1"/>
          <w:szCs w:val="16"/>
        </w:rPr>
        <w:t>14</w:t>
      </w:r>
      <w:proofErr w:type="gramEnd"/>
      <w:r w:rsidRPr="00781112">
        <w:rPr>
          <w:rFonts w:cs="Arial"/>
          <w:color w:val="000000" w:themeColor="text1"/>
          <w:szCs w:val="16"/>
        </w:rPr>
        <w:t xml:space="preserve"> individual instances of noncompliance were completed over </w:t>
      </w:r>
      <w:proofErr w:type="gramStart"/>
      <w:r w:rsidRPr="00781112">
        <w:rPr>
          <w:rFonts w:cs="Arial"/>
          <w:color w:val="000000" w:themeColor="text1"/>
          <w:szCs w:val="16"/>
        </w:rPr>
        <w:t>timeline</w:t>
      </w:r>
      <w:proofErr w:type="gramEnd"/>
      <w:r w:rsidRPr="00781112">
        <w:rPr>
          <w:rFonts w:cs="Arial"/>
          <w:color w:val="000000" w:themeColor="text1"/>
          <w:szCs w:val="16"/>
        </w:rPr>
        <w:t xml:space="preserve">. To verify correction, updated data of actual initial evaluation documents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to PSS Special Education Program for input into the special education database, the State data system. </w:t>
      </w:r>
      <w:r w:rsidRPr="00781112">
        <w:rPr>
          <w:rFonts w:cs="Arial"/>
          <w:color w:val="000000" w:themeColor="text1"/>
          <w:szCs w:val="16"/>
        </w:rPr>
        <w:br/>
      </w:r>
      <w:r w:rsidRPr="00781112">
        <w:rPr>
          <w:rFonts w:cs="Arial"/>
          <w:color w:val="000000" w:themeColor="text1"/>
          <w:szCs w:val="16"/>
        </w:rPr>
        <w:br/>
        <w:t xml:space="preserve">In FFY 2021, the review of the actual initial evaluation documents from the six schools resulted in the six schools determined to have verified timely correction of the initial evaluation regulatory requirement with the updated data demonstrating 100% compliance with the 60-day timeline requirement within the one-year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for verified correction. These additional initial evaluations from the six schools demonstrating 100% compliance with the 60-day timeline requirement confirmed that these schools were correctly implementing the 60-day initial evaluation regulatory requirement, resulting in the six schools receiving a Written Notice of Timely Correction, consistent with OSEP Memo 09-02.</w:t>
      </w:r>
      <w:r w:rsidRPr="00781112">
        <w:rPr>
          <w:rFonts w:cs="Arial"/>
          <w:color w:val="000000" w:themeColor="text1"/>
          <w:szCs w:val="16"/>
        </w:rPr>
        <w:br/>
      </w:r>
      <w:r w:rsidRPr="00781112">
        <w:rPr>
          <w:rFonts w:cs="Arial"/>
          <w:color w:val="000000" w:themeColor="text1"/>
          <w:szCs w:val="16"/>
        </w:rPr>
        <w:br/>
        <w:t xml:space="preserve">Initial evaluations for private schools are conducted by independent evaluators through individual contracts with the PSS. The contracts stipulate the requirement for meeting the 60-day timeline for completing initial evaluations. The independent evaluator responsible for completing the initial evaluation for the one private school was issued a Written Notice of Findings and put on notice of the requirement for verified correction of subsequent initial evaluations at 100% compliance with the 60-day timeline. In FFY 2021, the review of actual initial evaluation documents from the independent evaluator demonstrated 100% compliance with the 60-day timeline requirement within the one-year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for verified correction, consistent with OSEP Memo 09-02.</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As documented in the FFY 2020 performance data for Indicator 11, the </w:t>
      </w:r>
      <w:proofErr w:type="gramStart"/>
      <w:r w:rsidRPr="00781112">
        <w:rPr>
          <w:rFonts w:cs="Arial"/>
          <w:color w:val="000000" w:themeColor="text1"/>
          <w:szCs w:val="16"/>
        </w:rPr>
        <w:t>14</w:t>
      </w:r>
      <w:proofErr w:type="gramEnd"/>
      <w:r w:rsidRPr="00781112">
        <w:rPr>
          <w:rFonts w:cs="Arial"/>
          <w:color w:val="000000" w:themeColor="text1"/>
          <w:szCs w:val="16"/>
        </w:rPr>
        <w:t xml:space="preserve"> initial evaluations from six schools and one private school were not completed in a timely manner. These schools and the one independent evaluator responsible for private schools were issued a Written Notice of Findings because the initial evaluations </w:t>
      </w:r>
      <w:proofErr w:type="gramStart"/>
      <w:r w:rsidRPr="00781112">
        <w:rPr>
          <w:rFonts w:cs="Arial"/>
          <w:color w:val="000000" w:themeColor="text1"/>
          <w:szCs w:val="16"/>
        </w:rPr>
        <w:t>were not completed</w:t>
      </w:r>
      <w:proofErr w:type="gramEnd"/>
      <w:r w:rsidRPr="00781112">
        <w:rPr>
          <w:rFonts w:cs="Arial"/>
          <w:color w:val="000000" w:themeColor="text1"/>
          <w:szCs w:val="16"/>
        </w:rPr>
        <w:t xml:space="preserve"> within the 60-day timeline. Although late, all instances of noncompliance </w:t>
      </w:r>
      <w:proofErr w:type="gramStart"/>
      <w:r w:rsidRPr="00781112">
        <w:rPr>
          <w:rFonts w:cs="Arial"/>
          <w:color w:val="000000" w:themeColor="text1"/>
          <w:szCs w:val="16"/>
        </w:rPr>
        <w:t>were verified</w:t>
      </w:r>
      <w:proofErr w:type="gramEnd"/>
      <w:r w:rsidRPr="00781112">
        <w:rPr>
          <w:rFonts w:cs="Arial"/>
          <w:color w:val="000000" w:themeColor="text1"/>
          <w:szCs w:val="16"/>
        </w:rPr>
        <w:t xml:space="preserve"> to be completed through a review of actual initial evaluation documents submitted to PSS Special Education Program for input into the special education database, as reported in FFY 2020 for Indicator 11. In addition, through a review of updated data of actual initial evaluations submitted to the PSS Special Education Program for input into the special education database, the six schools and the one independent evaluator for the private schools demonstrated 100% compliance with the updated data of initial evaluations demonstrating 100% verified timely correction and received a Written Notice of Timely Correction, consistent with OSEP Memo 09-02.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CNMI reported less than 100% compliance for FFY 2020, CNMI must report on the status of correction of noncompliance identified in FFY 2020 for this indicator. When reporting on the correction of noncompliance, CNMI must report, in the FFY 2021 SPP/APR, that it has verified correction of the noncompliance it identified in FFY 2020 under this indicator</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CNMI must confirm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its jurisdiction , consistent with OSEP Memo 09-02.  In the FFY 2021 SPP/APR, CNMI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 </w:t>
      </w:r>
      <w:r w:rsidRPr="00781112">
        <w:rPr>
          <w:rFonts w:cs="Arial"/>
          <w:color w:val="000000" w:themeColor="text1"/>
          <w:szCs w:val="16"/>
        </w:rPr>
        <w:br/>
      </w:r>
      <w:r w:rsidRPr="00781112">
        <w:rPr>
          <w:rFonts w:cs="Arial"/>
          <w:color w:val="000000" w:themeColor="text1"/>
          <w:szCs w:val="16"/>
        </w:rPr>
        <w:br/>
        <w:t>If CNMI did not identify any findings of noncompliance in FFY 2020, although its FFY 2020 data reflect less than 100% compliance, provide an explanation of why CNMI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As described in the Indicator 11 Data section, CNMI reported verified correction of the findings of noncompliance identified from the FFY 2020 Indicator 11 performance of 92% (161/175), consistent with OSEP Memo 09-02</w:t>
      </w:r>
      <w:proofErr w:type="gramStart"/>
      <w:r w:rsidRPr="00781112">
        <w:rPr>
          <w:rFonts w:cs="Arial"/>
          <w:color w:val="000000" w:themeColor="text1"/>
          <w:szCs w:val="16"/>
        </w:rPr>
        <w:t xml:space="preserve">.  </w:t>
      </w:r>
      <w:proofErr w:type="gramEnd"/>
      <w:r w:rsidRPr="00781112">
        <w:rPr>
          <w:rFonts w:cs="Arial"/>
          <w:color w:val="000000" w:themeColor="text1"/>
          <w:szCs w:val="16"/>
        </w:rPr>
        <w:t>CNMI provided a description of how CNMI verified correction of the individual instances of noncompliance and the updated/subsequent data related to the 60-day timeline requirements, consistent with OSEP Memo 09-02.</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CNMI reported less than 100% compliance for FFY 2021, CNMI must report on the status of correction of noncompliance identified in FFY 2021 for this indicator. When reporting on the correction of noncompliance, CNMI must report, in the FFY 2022 SPP/APR, that it has verified the correction of noncompliance identified in FFY 2021 for this indicator, and: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CNMI's jurisdiction, consistent with OSEP Memo 09-02.  In the FFY 2022 SPP/APR, CNMI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CNMI did not identify any findings of noncompliance in FFY 2021, although its FFY 2021 data reflect less than 100% compliance, provide an explanation of why CNMI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7313920" w14:textId="77777777" w:rsidR="0092465D" w:rsidRPr="00781112" w:rsidRDefault="0092465D" w:rsidP="00286BDF">
      <w:pPr>
        <w:rPr>
          <w:rFonts w:cs="Arial"/>
          <w:color w:val="000000" w:themeColor="text1"/>
          <w:szCs w:val="16"/>
        </w:rPr>
      </w:pP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96.00%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45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used to report in this indicator </w:t>
      </w:r>
      <w:proofErr w:type="gramStart"/>
      <w:r w:rsidRPr="00781112">
        <w:rPr>
          <w:rFonts w:cs="Arial"/>
          <w:color w:val="000000" w:themeColor="text1"/>
          <w:szCs w:val="16"/>
        </w:rPr>
        <w:t>was taken</w:t>
      </w:r>
      <w:proofErr w:type="gramEnd"/>
      <w:r w:rsidRPr="00781112">
        <w:rPr>
          <w:rFonts w:cs="Arial"/>
          <w:color w:val="000000" w:themeColor="text1"/>
          <w:szCs w:val="16"/>
        </w:rPr>
        <w:t xml:space="preserve"> from the database and verified in the child’s IEP folder. The Early Intervention Program submits a monthly listing of Part C children who will be three (3) years old during the year and who are potentially eligible for Part B services. The Early Childhood Special Education (EC-SPED) team attends all Transition Conferences of children potentially eligible for Special Education. During the Transition Conference, the EC-SPED team </w:t>
      </w:r>
      <w:proofErr w:type="gramStart"/>
      <w:r w:rsidRPr="00781112">
        <w:rPr>
          <w:rFonts w:cs="Arial"/>
          <w:color w:val="000000" w:themeColor="text1"/>
          <w:szCs w:val="16"/>
        </w:rPr>
        <w:t>plans</w:t>
      </w:r>
      <w:proofErr w:type="gramEnd"/>
      <w:r w:rsidRPr="00781112">
        <w:rPr>
          <w:rFonts w:cs="Arial"/>
          <w:color w:val="000000" w:themeColor="text1"/>
          <w:szCs w:val="16"/>
        </w:rPr>
        <w:t xml:space="preserve"> and schedules with parents the potential dates to begin the Part B evaluation and IEP process. The EC-SPED team is responsible </w:t>
      </w:r>
      <w:proofErr w:type="gramStart"/>
      <w:r w:rsidRPr="00781112">
        <w:rPr>
          <w:rFonts w:cs="Arial"/>
          <w:color w:val="000000" w:themeColor="text1"/>
          <w:szCs w:val="16"/>
        </w:rPr>
        <w:t>to ensure</w:t>
      </w:r>
      <w:proofErr w:type="gramEnd"/>
      <w:r w:rsidRPr="00781112">
        <w:rPr>
          <w:rFonts w:cs="Arial"/>
          <w:color w:val="000000" w:themeColor="text1"/>
          <w:szCs w:val="16"/>
        </w:rPr>
        <w:t xml:space="preserve"> procedural safeguard requirements </w:t>
      </w:r>
      <w:proofErr w:type="gramStart"/>
      <w:r w:rsidRPr="00781112">
        <w:rPr>
          <w:rFonts w:cs="Arial"/>
          <w:color w:val="000000" w:themeColor="text1"/>
          <w:szCs w:val="16"/>
        </w:rPr>
        <w:t>are followed</w:t>
      </w:r>
      <w:proofErr w:type="gramEnd"/>
      <w:r w:rsidRPr="00781112">
        <w:rPr>
          <w:rFonts w:cs="Arial"/>
          <w:color w:val="000000" w:themeColor="text1"/>
          <w:szCs w:val="16"/>
        </w:rPr>
        <w:t xml:space="preserve"> (Prior Written Notice provided to the parent and parental consent to evaluate is obtained prior to the evaluation). If the child is determined eligible for special education, parental consent </w:t>
      </w:r>
      <w:proofErr w:type="gramStart"/>
      <w:r w:rsidRPr="00781112">
        <w:rPr>
          <w:rFonts w:cs="Arial"/>
          <w:color w:val="000000" w:themeColor="text1"/>
          <w:szCs w:val="16"/>
        </w:rPr>
        <w:t>is obtained</w:t>
      </w:r>
      <w:proofErr w:type="gramEnd"/>
      <w:r w:rsidRPr="00781112">
        <w:rPr>
          <w:rFonts w:cs="Arial"/>
          <w:color w:val="000000" w:themeColor="text1"/>
          <w:szCs w:val="16"/>
        </w:rPr>
        <w:t xml:space="preserve"> prior to the development and implementation of initial services and placement. The EC-SPED team submits the timeline data (date of Consent to Evaluate, date of Consent for Initial IEP, and IEP implementation date) to the data manager. The data manager logs the information into the database and verifies the dates with the documents. The database is formatted to “flag” untimely </w:t>
      </w:r>
      <w:proofErr w:type="gramStart"/>
      <w:r w:rsidRPr="00781112">
        <w:rPr>
          <w:rFonts w:cs="Arial"/>
          <w:color w:val="000000" w:themeColor="text1"/>
          <w:szCs w:val="16"/>
        </w:rPr>
        <w:t>IEP’s</w:t>
      </w:r>
      <w:proofErr w:type="gramEnd"/>
      <w:r w:rsidRPr="00781112">
        <w:rPr>
          <w:rFonts w:cs="Arial"/>
          <w:color w:val="000000" w:themeColor="text1"/>
          <w:szCs w:val="16"/>
        </w:rPr>
        <w:t xml:space="preserve"> by third birthday. Allowable delays are parent refusal to consent to the initial evaluation or refusal to consent to the initial IEP.</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5E9178D" w14:textId="51D4A867" w:rsidR="00326C0B" w:rsidRPr="0092465D" w:rsidRDefault="00056350" w:rsidP="0092465D">
      <w:pPr>
        <w:pStyle w:val="Heading2"/>
      </w:pPr>
      <w:r w:rsidRPr="00781112">
        <w:t>12 - OSEP Response</w:t>
      </w:r>
    </w:p>
    <w:p w14:paraId="57889B20" w14:textId="664D66D6" w:rsidR="00326C0B" w:rsidRPr="0092465D" w:rsidRDefault="00056350" w:rsidP="0092465D">
      <w:pPr>
        <w:pStyle w:val="Heading2"/>
      </w:pPr>
      <w:r w:rsidRPr="00781112">
        <w:t>12 - Required Actions</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77.00%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83.18%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1"/>
    <w:bookmarkEnd w:id="72"/>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199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199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The Data Manager uses the National Secondary Transition Technical Assistance Center (NSTTAC) checklist to review all IEP’s of </w:t>
      </w:r>
      <w:proofErr w:type="gramStart"/>
      <w:r w:rsidRPr="00781112">
        <w:rPr>
          <w:rFonts w:cs="Arial"/>
          <w:color w:val="000000" w:themeColor="text1"/>
          <w:szCs w:val="16"/>
        </w:rPr>
        <w:t>16 year olds</w:t>
      </w:r>
      <w:proofErr w:type="gramEnd"/>
      <w:r w:rsidRPr="00781112">
        <w:rPr>
          <w:rFonts w:cs="Arial"/>
          <w:color w:val="000000" w:themeColor="text1"/>
          <w:szCs w:val="16"/>
        </w:rPr>
        <w:t xml:space="preserve"> to verify the survey results and to ensure the surveys reflect students who are at least 16 years old and above and that there were no duplicate counts. The data </w:t>
      </w:r>
      <w:proofErr w:type="gramStart"/>
      <w:r w:rsidRPr="00781112">
        <w:rPr>
          <w:rFonts w:cs="Arial"/>
          <w:color w:val="000000" w:themeColor="text1"/>
          <w:szCs w:val="16"/>
        </w:rPr>
        <w:t>is collected</w:t>
      </w:r>
      <w:proofErr w:type="gramEnd"/>
      <w:r w:rsidRPr="00781112">
        <w:rPr>
          <w:rFonts w:cs="Arial"/>
          <w:color w:val="000000" w:themeColor="text1"/>
          <w:szCs w:val="16"/>
        </w:rPr>
        <w:t xml:space="preserve"> from each IEP and inputted on an excel sheet created by the Data Manager as a component of the State </w:t>
      </w:r>
      <w:proofErr w:type="gramStart"/>
      <w:r w:rsidRPr="00781112">
        <w:rPr>
          <w:rFonts w:cs="Arial"/>
          <w:color w:val="000000" w:themeColor="text1"/>
          <w:szCs w:val="16"/>
        </w:rPr>
        <w:t>data base</w:t>
      </w:r>
      <w:proofErr w:type="gramEnd"/>
      <w:r w:rsidRPr="00781112">
        <w:rPr>
          <w:rFonts w:cs="Arial"/>
          <w:color w:val="000000" w:themeColor="text1"/>
          <w:szCs w:val="16"/>
        </w:rPr>
        <w:t>.</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9A755E" w:rsidP="004369B2">
            <w:pPr>
              <w:jc w:val="center"/>
              <w:rPr>
                <w:rFonts w:cs="Arial"/>
                <w:color w:val="000000" w:themeColor="text1"/>
                <w:szCs w:val="16"/>
              </w:rPr>
            </w:pP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9A755E" w:rsidP="004369B2">
            <w:pPr>
              <w:jc w:val="center"/>
              <w:rPr>
                <w:rFonts w:cs="Arial"/>
                <w:color w:val="000000" w:themeColor="text1"/>
                <w:szCs w:val="16"/>
              </w:rPr>
            </w:pP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even if they also 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5"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5"/>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12.24%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16.13%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8.62%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17.02%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61.02%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48.98%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72.58%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56.90%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40.43%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64.41%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61.22%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75.81%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63.79%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40.43%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17.00%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18.00%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18.00%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19.00%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20.00%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40.00%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45.00%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50.00%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55.00%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62.10%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45.00%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45.00%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60.00%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86.10%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bookmarkEnd w:id="76"/>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62</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57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91.94%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17.02%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12.28%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40.43%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56.14%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57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40.43%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Students that were surveyed opted for competitive employment versus higher education during this reporting period due to the continuation of remote or virtual learning as the only option available at the time</w:t>
            </w:r>
            <w:proofErr w:type="gramStart"/>
            <w:r w:rsidRPr="00781112">
              <w:rPr>
                <w:rFonts w:cs="Arial"/>
                <w:color w:val="000000" w:themeColor="text1"/>
                <w:szCs w:val="16"/>
              </w:rPr>
              <w:t xml:space="preserve">.  </w:t>
            </w:r>
            <w:proofErr w:type="gramEnd"/>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70.15%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91.94%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CNMI reported an increase in response rate by 21.79% from 70.15% (47/67) in FFY 2020 to 91.94% (57/62) in FFY 2021</w:t>
      </w:r>
      <w:proofErr w:type="gramStart"/>
      <w:r w:rsidRPr="00B551F2">
        <w:t xml:space="preserve">.  </w:t>
      </w:r>
      <w:proofErr w:type="gramEnd"/>
      <w:r w:rsidRPr="00B551F2">
        <w:t>The CNMI PSS will continue to utilize the Post-School Outcome survey to collect and report data for this indicator. Each school year special education teachers notify students as well as parents or guardians that the student will be contacted for a post school interview one year from leaving high school to see if they have met their goals</w:t>
      </w:r>
      <w:proofErr w:type="gramStart"/>
      <w:r w:rsidRPr="00B551F2">
        <w:t xml:space="preserve">.  </w:t>
      </w:r>
      <w:proofErr w:type="gramEnd"/>
      <w:r w:rsidRPr="00B551F2">
        <w:t xml:space="preserve">During the school year, special education teachers ensure that contact information </w:t>
      </w:r>
      <w:proofErr w:type="gramStart"/>
      <w:r w:rsidRPr="00B551F2">
        <w:t>is updated</w:t>
      </w:r>
      <w:proofErr w:type="gramEnd"/>
      <w:r w:rsidRPr="00B551F2">
        <w:t xml:space="preserve"> and current prior to the </w:t>
      </w:r>
      <w:proofErr w:type="gramStart"/>
      <w:r w:rsidRPr="00B551F2">
        <w:t>student</w:t>
      </w:r>
      <w:proofErr w:type="gramEnd"/>
      <w:r w:rsidRPr="00B551F2">
        <w:t xml:space="preserve"> exiting. </w:t>
      </w:r>
      <w:r w:rsidRPr="00B551F2">
        <w:br/>
      </w:r>
      <w:r w:rsidRPr="00B551F2">
        <w:br/>
        <w:t>Beginning spring of each year, school teams contact the exiters or their families (</w:t>
      </w:r>
      <w:proofErr w:type="gramStart"/>
      <w:r w:rsidRPr="00B551F2">
        <w:t>possibly siblings</w:t>
      </w:r>
      <w:proofErr w:type="gramEnd"/>
      <w:r w:rsidRPr="00B551F2">
        <w:t xml:space="preserve">, relatives, etc.) to conduct the post-school survey. Surveys </w:t>
      </w:r>
      <w:proofErr w:type="gramStart"/>
      <w:r w:rsidRPr="00B551F2">
        <w:t>are gathered</w:t>
      </w:r>
      <w:proofErr w:type="gramEnd"/>
      <w:r w:rsidRPr="00B551F2">
        <w:t xml:space="preserve"> and submitted to the Data and Compliance Program Manager for review to ensure all sections have been completed correctly and accounted for all exiters. </w:t>
      </w:r>
      <w:r w:rsidRPr="00B551F2">
        <w:br/>
      </w:r>
      <w:r w:rsidRPr="00B551F2">
        <w:br/>
        <w:t xml:space="preserve">The CNMI PSS continues to collaborate with its community partner agencies through the Disability Network Partners as well as other PSS programs to promote, educate and share resources that will enable and expand career and technical education pathways for post-secondary. </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In FFY 2021, CNMI’s response rate of 91.94% (57/62) represented the broad cross section of youth who are no longer in secondary school and had IEPs in effect at the time they left school</w:t>
      </w:r>
      <w:proofErr w:type="gramStart"/>
      <w:r w:rsidRPr="00B551F2">
        <w:t xml:space="preserve">.  </w:t>
      </w:r>
      <w:proofErr w:type="gramEnd"/>
      <w:r w:rsidRPr="00B551F2">
        <w:t>The analysis of the response rate did not identify any nonresponse bias</w:t>
      </w:r>
      <w:proofErr w:type="gramStart"/>
      <w:r w:rsidRPr="00B551F2">
        <w:t xml:space="preserve">.  </w:t>
      </w:r>
      <w:proofErr w:type="gramEnd"/>
      <w:r w:rsidRPr="00B551F2">
        <w:t>The analysis included a review of the characteristics of the target group (all leavers) compared to the respondent group and the characteristics of the respondent group compared to the nonrespondent group</w:t>
      </w:r>
      <w:proofErr w:type="gramStart"/>
      <w:r w:rsidRPr="00B551F2">
        <w:t xml:space="preserve">.  </w:t>
      </w:r>
      <w:proofErr w:type="gramEnd"/>
      <w:r w:rsidRPr="00B551F2">
        <w:t>As reported below, the demographic categories of the respondent group were representative of the target group, all leavers</w:t>
      </w:r>
      <w:proofErr w:type="gramStart"/>
      <w:r w:rsidRPr="00B551F2">
        <w:t xml:space="preserve">.  </w:t>
      </w:r>
      <w:proofErr w:type="gramEnd"/>
      <w:r w:rsidRPr="00B551F2">
        <w:t xml:space="preserve">In comparing the demographics of the nonrespondent group to the respondent group, there were no </w:t>
      </w:r>
      <w:proofErr w:type="gramStart"/>
      <w:r w:rsidRPr="00B551F2">
        <w:t>difference</w:t>
      </w:r>
      <w:proofErr w:type="gramEnd"/>
      <w:r w:rsidRPr="00B551F2">
        <w:t xml:space="preserve"> in the characteristics between the two groups</w:t>
      </w:r>
      <w:proofErr w:type="gramStart"/>
      <w:r w:rsidRPr="00B551F2">
        <w:t xml:space="preserve">.  </w:t>
      </w:r>
      <w:proofErr w:type="gramEnd"/>
      <w:r w:rsidRPr="00B551F2">
        <w:t xml:space="preserve">The geographic location, exit, ethnicity, and disability characteristics of the nonrespondent group </w:t>
      </w:r>
      <w:proofErr w:type="gramStart"/>
      <w:r w:rsidRPr="00B551F2">
        <w:t>were represented</w:t>
      </w:r>
      <w:proofErr w:type="gramEnd"/>
      <w:r w:rsidRPr="00B551F2">
        <w:t xml:space="preserve"> in the respondent group.</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CNMI's FFY 2021 response data are representative of the demographics of youth who are no longer in secondary school and had IEPs in effect at the time they left school. CNMI used the NPSO Response Calculator to calculate the response data by demographic categories for the target group compared to the respondent group. </w:t>
      </w:r>
      <w:r w:rsidRPr="008D51F2">
        <w:br/>
      </w:r>
      <w:r w:rsidRPr="008D51F2">
        <w:br/>
        <w:t xml:space="preserve">The NPSO Response Calculator identifies whether the discrepancy between the target group and respondent group exceeded +/-3%, </w:t>
      </w:r>
      <w:proofErr w:type="gramStart"/>
      <w:r w:rsidRPr="008D51F2">
        <w:t>in particular in</w:t>
      </w:r>
      <w:proofErr w:type="gramEnd"/>
      <w:r w:rsidRPr="008D51F2">
        <w:t xml:space="preserve"> the geographic location, exit, ethnicity, and disability categories. Exceeding a +/-3% difference between the two groups indicates over or under representation, which would mean that the response data are not representative of the target group. </w:t>
      </w:r>
      <w:r w:rsidRPr="008D51F2">
        <w:br/>
      </w:r>
      <w:r w:rsidRPr="008D51F2">
        <w:br/>
        <w:t>All demographic categories reviewed did not exceed the +/-3% difference, which meant that the response data are representative of the target group. The differences by demographic categories included:</w:t>
      </w:r>
      <w:r w:rsidRPr="008D51F2">
        <w:br/>
      </w:r>
      <w:r w:rsidRPr="008D51F2">
        <w:br/>
        <w:t>Geographic location: This category reviewed the target and respondent groups from the three CNMI islands: Saipan, Rota, and Tinian. The difference was -0.57% for Saipan, 0.14% for Rota, and 0.42% for Tinian.</w:t>
      </w:r>
      <w:r w:rsidRPr="008D51F2">
        <w:br/>
        <w:t xml:space="preserve">Exit: The two exit categories of all leavers for Indicator 14 were Drop-Out and Graduation with a High School Diploma (HSD). The difference calculated was -1.04% for Drop-Out and 1.04% for Graduation with </w:t>
      </w:r>
      <w:proofErr w:type="gramStart"/>
      <w:r w:rsidRPr="008D51F2">
        <w:t>a</w:t>
      </w:r>
      <w:proofErr w:type="gramEnd"/>
      <w:r w:rsidRPr="008D51F2">
        <w:t xml:space="preserve"> HSD.</w:t>
      </w:r>
      <w:r w:rsidRPr="008D51F2">
        <w:br/>
        <w:t xml:space="preserve">Ethnicity: Three ethnicity categories represented the target group: Asian, Other Pacific Islander, and Two or More. All three ethnicity categories </w:t>
      </w:r>
      <w:proofErr w:type="gramStart"/>
      <w:r w:rsidRPr="008D51F2">
        <w:t>were represented</w:t>
      </w:r>
      <w:proofErr w:type="gramEnd"/>
      <w:r w:rsidRPr="008D51F2">
        <w:t xml:space="preserve"> in the respondent group. The difference calculated was -0.61 for Asian, -0.88 for Other Pacific Islander, and 1.27 for Two or More. </w:t>
      </w:r>
      <w:r w:rsidRPr="008D51F2">
        <w:br/>
        <w:t xml:space="preserve">Disability: Eight disability categories represented the target group: SLD, ID, OHI, ED, HI, AUT, MD, and SLI. All eight disability categories </w:t>
      </w:r>
      <w:proofErr w:type="gramStart"/>
      <w:r w:rsidRPr="008D51F2">
        <w:t>were represented</w:t>
      </w:r>
      <w:proofErr w:type="gramEnd"/>
      <w:r w:rsidRPr="008D51F2">
        <w:t xml:space="preserve"> in the respondent group, with a range of difference from -1.19% for MD to 1.14% for OHI.</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CNMI used the NPSO Response Calculator to determine representativeness</w:t>
      </w:r>
      <w:proofErr w:type="gramStart"/>
      <w:r w:rsidRPr="008D51F2">
        <w:rPr>
          <w:b w:val="0"/>
        </w:rPr>
        <w:t xml:space="preserve">.  </w:t>
      </w:r>
      <w:proofErr w:type="gramEnd"/>
      <w:r w:rsidRPr="008D51F2">
        <w:rPr>
          <w:b w:val="0"/>
        </w:rPr>
        <w:t>The NPSO Response Calculator calculates the response data by demographic categories and determines representativeness of the target group (all leavers)</w:t>
      </w:r>
      <w:proofErr w:type="gramStart"/>
      <w:r w:rsidRPr="008D51F2">
        <w:rPr>
          <w:b w:val="0"/>
        </w:rPr>
        <w:t xml:space="preserve">.  </w:t>
      </w:r>
      <w:proofErr w:type="gramEnd"/>
      <w:r w:rsidRPr="008D51F2">
        <w:rPr>
          <w:b w:val="0"/>
        </w:rPr>
        <w:t>The NPSO Response Calculator utilizes a discrepancy measure of exceeding a +/- 3% difference in the proportion of responders compared to the target group</w:t>
      </w:r>
      <w:proofErr w:type="gramStart"/>
      <w:r w:rsidRPr="008D51F2">
        <w:rPr>
          <w:b w:val="0"/>
        </w:rPr>
        <w:t xml:space="preserve">.  </w:t>
      </w:r>
      <w:proofErr w:type="gramEnd"/>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CNMI reported fewer than ten resolution sessions held in FFY 2021. CNMI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6FC3435" w14:textId="77777777" w:rsidR="0092465D" w:rsidRPr="00781112" w:rsidRDefault="0092465D" w:rsidP="00286BDF">
      <w:pPr>
        <w:rPr>
          <w:rFonts w:cs="Arial"/>
          <w:color w:val="000000" w:themeColor="text1"/>
          <w:szCs w:val="16"/>
        </w:rPr>
      </w:pP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rFonts w:cs="Arial"/>
          <w:color w:val="000000" w:themeColor="text1"/>
          <w:szCs w:val="16"/>
        </w:rPr>
        <w:br/>
      </w:r>
      <w:r w:rsidRPr="00781112">
        <w:rPr>
          <w:rFonts w:cs="Arial"/>
          <w:color w:val="000000" w:themeColor="text1"/>
          <w:szCs w:val="16"/>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rFonts w:cs="Arial"/>
          <w:color w:val="000000" w:themeColor="text1"/>
          <w:szCs w:val="16"/>
        </w:rPr>
        <w:t>is also provided</w:t>
      </w:r>
      <w:proofErr w:type="gramEnd"/>
      <w:r w:rsidRPr="00781112">
        <w:rPr>
          <w:rFonts w:cs="Arial"/>
          <w:color w:val="000000" w:themeColor="text1"/>
          <w:szCs w:val="16"/>
        </w:rPr>
        <w:t xml:space="preserve"> within the related indicators.</w:t>
      </w:r>
      <w:r w:rsidRPr="00781112">
        <w:rPr>
          <w:rFonts w:cs="Arial"/>
          <w:color w:val="000000" w:themeColor="text1"/>
          <w:szCs w:val="16"/>
        </w:rPr>
        <w:br/>
      </w:r>
      <w:r w:rsidRPr="00781112">
        <w:rPr>
          <w:rFonts w:cs="Arial"/>
          <w:color w:val="000000" w:themeColor="text1"/>
          <w:szCs w:val="16"/>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CNMI reported fewer than ten mediations held in FFY 2021. CNMI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By June 30, 2026, at least 39% of </w:t>
      </w:r>
      <w:proofErr w:type="gramStart"/>
      <w:r w:rsidRPr="00781112">
        <w:rPr>
          <w:color w:val="000000" w:themeColor="text1"/>
        </w:rPr>
        <w:t>3rd</w:t>
      </w:r>
      <w:proofErr w:type="gramEnd"/>
      <w:r w:rsidRPr="00781112">
        <w:rPr>
          <w:color w:val="000000" w:themeColor="text1"/>
        </w:rPr>
        <w:t xml:space="preserve"> grade students with an IEP in the elementary schools will perform at or above reading proficiency against grade level and alternate academic achievement.</w:t>
      </w:r>
    </w:p>
    <w:p w14:paraId="43CABCA3" w14:textId="77777777" w:rsidR="00AE1972" w:rsidRPr="00781112" w:rsidRDefault="00AE1972" w:rsidP="00AE1972">
      <w:pPr>
        <w:rPr>
          <w:b/>
          <w:bCs/>
        </w:rPr>
      </w:pPr>
      <w:bookmarkStart w:id="87" w:name="_Hlk85195358"/>
      <w:r w:rsidRPr="00781112">
        <w:rPr>
          <w:b/>
          <w:bCs/>
        </w:rPr>
        <w:t>Has the SiMR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CNMI is using </w:t>
      </w:r>
      <w:proofErr w:type="gramStart"/>
      <w:r w:rsidRPr="00781112">
        <w:rPr>
          <w:color w:val="000000" w:themeColor="text1"/>
        </w:rPr>
        <w:t>3rd</w:t>
      </w:r>
      <w:proofErr w:type="gramEnd"/>
      <w:r w:rsidRPr="00781112">
        <w:rPr>
          <w:color w:val="000000" w:themeColor="text1"/>
        </w:rPr>
        <w:t xml:space="preserve"> graders for the SiMR based on risk factors associated if a student is not reading by 3rd grade.</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https://www.cnmipss.org/sites/default/files/cnmi_b_toa_2022_508_compliant_0.pdf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26.92%</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27.00%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30.00%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33.00%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36.00%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39.00%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of 3rd Graders with an IEP in the Three Target Schools who scored At or Above Proficient in Reading</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of 3rd Graders with an IEP in the Three Target Schools with Valid Scores in Reading</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31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26.92%</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27.00%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12.90%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CNMI did not meet its Indicator 17 target and reported slippage by 14.02% from 26.92% (7/26) in FFY 2020 to 12.90% (4/31) in FFY 2021. By numbers, the percentages represented seven 3rd graders with an IEP in FFY 2020 and four 3rd graders with an IEP in FFY 2021 who scored at the proficient level in the three target schools, with an increase in the overall 3rd graders with an IEP in the target schools from 26 in FFY 2020 to 31 in FFY 2021.</w:t>
      </w:r>
      <w:r w:rsidRPr="00781112">
        <w:rPr>
          <w:color w:val="000000" w:themeColor="text1"/>
        </w:rPr>
        <w:br/>
      </w:r>
      <w:r w:rsidRPr="00781112">
        <w:rPr>
          <w:color w:val="000000" w:themeColor="text1"/>
        </w:rPr>
        <w:br/>
        <w:t xml:space="preserve">As noted in Indicators 3B and 3C, a consideration for the slippage is the impact of COVID-19 on instruction. The beginning of school year 2021-2022 continued the PSS blended learning approach of online and face-to-face instruction. Due to the rise in COVID-19 cases, PSS then shifted to remote learning in November 2021 until January 2022 when schools and services were back to face-to-face. This disruption in the mode of learning could have </w:t>
      </w:r>
      <w:proofErr w:type="gramStart"/>
      <w:r w:rsidRPr="00781112">
        <w:rPr>
          <w:color w:val="000000" w:themeColor="text1"/>
        </w:rPr>
        <w:t>impacted</w:t>
      </w:r>
      <w:proofErr w:type="gramEnd"/>
      <w:r w:rsidRPr="00781112">
        <w:rPr>
          <w:color w:val="000000" w:themeColor="text1"/>
        </w:rPr>
        <w:t xml:space="preserve"> the instruction of students. </w:t>
      </w:r>
      <w:proofErr w:type="gramStart"/>
      <w:r w:rsidRPr="00781112">
        <w:rPr>
          <w:color w:val="000000" w:themeColor="text1"/>
        </w:rPr>
        <w:t>In an effort to</w:t>
      </w:r>
      <w:proofErr w:type="gramEnd"/>
      <w:r w:rsidRPr="00781112">
        <w:rPr>
          <w:color w:val="000000" w:themeColor="text1"/>
        </w:rPr>
        <w:t xml:space="preserve"> improve instruction for our students with IEPs, this 2022-2023 school year, the CNMI Special Education Program assigned an itinerant special education teacher to address any technical assistance needs in the schools related to the identification and service provisions of the IEP. Additionally, the program partnered with an OSEP-funded TA center, the PROGRESS Center, to provide training and technical support on the development and implementation of IEPs, with emphasis on specially designed instruction (SDI).</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For SY21-22, the CNMI Public School System (PSS)  Renaissance STAR Reading (k-3) assessment proficiency data from the end of the year outcomes and the multi-state alternate assessment based on alternate achievement standards.</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data </w:t>
      </w:r>
      <w:proofErr w:type="gramStart"/>
      <w:r w:rsidRPr="00781112">
        <w:rPr>
          <w:color w:val="000000" w:themeColor="text1"/>
        </w:rPr>
        <w:t>is collected</w:t>
      </w:r>
      <w:proofErr w:type="gramEnd"/>
      <w:r w:rsidRPr="00781112">
        <w:rPr>
          <w:color w:val="000000" w:themeColor="text1"/>
        </w:rPr>
        <w:t xml:space="preserve"> by school and disaggregated by subgroups and then summarized for the three target schools. The data for the SIMR are analyzed for the proficiency rate by identifying the percentage of 3rd grade students with an IEP performing at or above the benchmark standard score for the 3rd grade as measured by the Renaissance STAR Reading and determined proficient as measured by the alternate assessment based on alternate achievement standards (AA-AAS).</w:t>
      </w:r>
      <w:r w:rsidRPr="00781112">
        <w:rPr>
          <w:color w:val="000000" w:themeColor="text1"/>
        </w:rPr>
        <w:br/>
        <w:t xml:space="preserve">The data collected included the 3rd grade IEP students with valid scores in the three SSIP target schools.  The numerator of "4" represented those </w:t>
      </w:r>
      <w:proofErr w:type="gramStart"/>
      <w:r w:rsidRPr="00781112">
        <w:rPr>
          <w:color w:val="000000" w:themeColor="text1"/>
        </w:rPr>
        <w:t>3rd</w:t>
      </w:r>
      <w:proofErr w:type="gramEnd"/>
      <w:r w:rsidRPr="00781112">
        <w:rPr>
          <w:color w:val="000000" w:themeColor="text1"/>
        </w:rPr>
        <w:t xml:space="preserve"> grade IEP students with a valid score in the three SSIP target schools who scored at the proficient level in reading as measured by the Renaissance STAR Reading and AA-AAS.  The denominator of "31" represented the total number of </w:t>
      </w:r>
      <w:proofErr w:type="gramStart"/>
      <w:r w:rsidRPr="00781112">
        <w:rPr>
          <w:color w:val="000000" w:themeColor="text1"/>
        </w:rPr>
        <w:t>3rd</w:t>
      </w:r>
      <w:proofErr w:type="gramEnd"/>
      <w:r w:rsidRPr="00781112">
        <w:rPr>
          <w:color w:val="000000" w:themeColor="text1"/>
        </w:rPr>
        <w:t xml:space="preserve"> grade IEP students with a valid score in the three target schools.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The PSS conducts three benchmark screenings annually</w:t>
      </w:r>
      <w:proofErr w:type="gramStart"/>
      <w:r w:rsidRPr="00781112">
        <w:rPr>
          <w:color w:val="000000" w:themeColor="text1"/>
        </w:rPr>
        <w:t xml:space="preserve">.  </w:t>
      </w:r>
      <w:proofErr w:type="gramEnd"/>
      <w:r w:rsidRPr="00781112">
        <w:rPr>
          <w:color w:val="000000" w:themeColor="text1"/>
        </w:rPr>
        <w:t>For this reporting period, the Fall screening was conducted from September 19 - October 07, 2022</w:t>
      </w:r>
      <w:proofErr w:type="gramStart"/>
      <w:r w:rsidRPr="00781112">
        <w:rPr>
          <w:color w:val="000000" w:themeColor="text1"/>
        </w:rPr>
        <w:t xml:space="preserve">.  </w:t>
      </w:r>
      <w:proofErr w:type="gramEnd"/>
      <w:r w:rsidRPr="00781112">
        <w:rPr>
          <w:color w:val="000000" w:themeColor="text1"/>
        </w:rPr>
        <w:t xml:space="preserve">The Spring screening </w:t>
      </w:r>
      <w:proofErr w:type="gramStart"/>
      <w:r w:rsidRPr="00781112">
        <w:rPr>
          <w:color w:val="000000" w:themeColor="text1"/>
        </w:rPr>
        <w:t>was scheduled</w:t>
      </w:r>
      <w:proofErr w:type="gramEnd"/>
      <w:r w:rsidRPr="00781112">
        <w:rPr>
          <w:color w:val="000000" w:themeColor="text1"/>
        </w:rPr>
        <w:t xml:space="preserve"> for January 23 - February 03, 2023. Outcome data from SY 2021-2022, conducted April 24 - May 06, </w:t>
      </w:r>
      <w:proofErr w:type="gramStart"/>
      <w:r w:rsidRPr="00781112">
        <w:rPr>
          <w:color w:val="000000" w:themeColor="text1"/>
        </w:rPr>
        <w:t>2022</w:t>
      </w:r>
      <w:proofErr w:type="gramEnd"/>
      <w:r w:rsidRPr="00781112">
        <w:rPr>
          <w:color w:val="000000" w:themeColor="text1"/>
        </w:rPr>
        <w:t xml:space="preserve"> was used to show proficiency trends compared to this school year's data. The benchmark screening data </w:t>
      </w:r>
      <w:proofErr w:type="gramStart"/>
      <w:r w:rsidRPr="00781112">
        <w:rPr>
          <w:color w:val="000000" w:themeColor="text1"/>
        </w:rPr>
        <w:t>are used</w:t>
      </w:r>
      <w:proofErr w:type="gramEnd"/>
      <w:r w:rsidRPr="00781112">
        <w:rPr>
          <w:color w:val="000000" w:themeColor="text1"/>
        </w:rPr>
        <w:t xml:space="preserve"> to determine the type and intensity of intervention to be provided.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https://www.cnmipss.org/sites/default/files/cnmissipevaluationplanworksheet_508_compliant_0.pdf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STRAND: Governance and Leadership</w:t>
      </w:r>
      <w:r w:rsidRPr="00781112">
        <w:rPr>
          <w:color w:val="000000" w:themeColor="text1"/>
        </w:rPr>
        <w:br/>
        <w:t>A. Strategy: Universal Screening</w:t>
      </w:r>
      <w:r w:rsidRPr="00781112">
        <w:rPr>
          <w:color w:val="000000" w:themeColor="text1"/>
        </w:rPr>
        <w:br/>
        <w:t xml:space="preserve">The PSS continues to implement the universal screening and the use of the results as secondary data. The outcomes for this strategy </w:t>
      </w:r>
      <w:proofErr w:type="gramStart"/>
      <w:r w:rsidRPr="00781112">
        <w:rPr>
          <w:color w:val="000000" w:themeColor="text1"/>
        </w:rPr>
        <w:t>were measured</w:t>
      </w:r>
      <w:proofErr w:type="gramEnd"/>
      <w:r w:rsidRPr="00781112">
        <w:rPr>
          <w:color w:val="000000" w:themeColor="text1"/>
        </w:rPr>
        <w:t xml:space="preserve"> by conducting four screenings and a fidelity checklist. For SY21-22, the PSS adopted the Renaissance STAR Early Literacy and STAR Reading as the source for the outcome data at the end of the school year by using Screening #4 data. The implementation of the universal screening has scaled-up to the remaining elementary schools. However, due to COVID-19, Screening #2 for SY21-22 </w:t>
      </w:r>
      <w:proofErr w:type="gramStart"/>
      <w:r w:rsidRPr="00781112">
        <w:rPr>
          <w:color w:val="000000" w:themeColor="text1"/>
        </w:rPr>
        <w:t>was canceled</w:t>
      </w:r>
      <w:proofErr w:type="gramEnd"/>
      <w:r w:rsidRPr="00781112">
        <w:rPr>
          <w:color w:val="000000" w:themeColor="text1"/>
        </w:rPr>
        <w:t xml:space="preserve"> as students were placed in remote learning. For this reporting period, the fidelity checklists were collected from randomly selected teachers from the scale-up schools.</w:t>
      </w:r>
      <w:r w:rsidRPr="00781112">
        <w:rPr>
          <w:color w:val="000000" w:themeColor="text1"/>
        </w:rPr>
        <w:br/>
      </w:r>
      <w:r w:rsidRPr="00781112">
        <w:rPr>
          <w:color w:val="000000" w:themeColor="text1"/>
        </w:rPr>
        <w:br/>
        <w:t>B. Strategy: Implementation of the Early Literacy and Reading Curriculum</w:t>
      </w:r>
      <w:r w:rsidRPr="00781112">
        <w:rPr>
          <w:color w:val="000000" w:themeColor="text1"/>
        </w:rPr>
        <w:br/>
        <w:t>For this reporting period, the PSS continued to implement Journeys as its Early Literacy and Reading curriculum with the core instruction focusing on the foundations of reading. However, during this reporting period, the PSS explored the possibility of selecting another evidence-based core curriculum to address the issue of blended learning (i.e., face to face and virtual instruction).</w:t>
      </w:r>
      <w:r w:rsidRPr="00781112">
        <w:rPr>
          <w:color w:val="000000" w:themeColor="text1"/>
        </w:rPr>
        <w:br/>
      </w:r>
      <w:r w:rsidRPr="00781112">
        <w:rPr>
          <w:color w:val="000000" w:themeColor="text1"/>
        </w:rPr>
        <w:br/>
        <w:t>C. Strategy: Early Warning Systems (EWS) for Grades Kinder through 3rd</w:t>
      </w:r>
      <w:r w:rsidRPr="00781112">
        <w:rPr>
          <w:color w:val="000000" w:themeColor="text1"/>
        </w:rPr>
        <w:br/>
        <w:t>This strategy addresses the identification of students exhibiting academic and behavior-at-risk performance who are in need of supplemental interventions to improve academic performance.</w:t>
      </w:r>
      <w:r w:rsidRPr="00781112">
        <w:rPr>
          <w:color w:val="000000" w:themeColor="text1"/>
        </w:rPr>
        <w:br/>
      </w:r>
      <w:r w:rsidRPr="00781112">
        <w:rPr>
          <w:color w:val="000000" w:themeColor="text1"/>
        </w:rPr>
        <w:br/>
        <w:t>D. Strategy: High Dosage Tutoring</w:t>
      </w:r>
      <w:r w:rsidRPr="00781112">
        <w:rPr>
          <w:color w:val="000000" w:themeColor="text1"/>
        </w:rPr>
        <w:br/>
        <w:t>High Dosage Tutoring (HDT) addresses the academic needs of students requiring Tier 2 and 3 academic intervention(s).</w:t>
      </w:r>
      <w:r w:rsidRPr="00781112">
        <w:rPr>
          <w:color w:val="000000" w:themeColor="text1"/>
        </w:rPr>
        <w:br/>
      </w:r>
      <w:r w:rsidRPr="00781112">
        <w:rPr>
          <w:color w:val="000000" w:themeColor="text1"/>
        </w:rPr>
        <w:br/>
        <w:t>E. Strategy: Establishment of a Family Engagement and Community Involvement Program</w:t>
      </w:r>
      <w:r w:rsidRPr="00781112">
        <w:rPr>
          <w:color w:val="000000" w:themeColor="text1"/>
        </w:rPr>
        <w:br/>
        <w:t>The goal of this strategy is to increase the performance of students in the PSS through better engagement of families and the community in the education of students in the CNMI Public school through the provision of professional learning opportunities.</w:t>
      </w:r>
      <w:r w:rsidRPr="00781112">
        <w:rPr>
          <w:color w:val="000000" w:themeColor="text1"/>
        </w:rPr>
        <w:br/>
      </w:r>
      <w:r w:rsidRPr="00781112">
        <w:rPr>
          <w:color w:val="000000" w:themeColor="text1"/>
        </w:rPr>
        <w:br/>
        <w:t xml:space="preserve">Strand: Professional Development </w:t>
      </w:r>
      <w:r w:rsidRPr="00781112">
        <w:rPr>
          <w:color w:val="000000" w:themeColor="text1"/>
        </w:rPr>
        <w:br/>
        <w:t xml:space="preserve">A. Strategy: Early Warning Systems (EWS) for Grades K-3 </w:t>
      </w:r>
      <w:r w:rsidRPr="00781112">
        <w:rPr>
          <w:color w:val="000000" w:themeColor="text1"/>
        </w:rPr>
        <w:br/>
        <w:t>Two Data Team Meetings were conducted by two of the early adopters schools. Participants included their K-3 school teams and the district EWS Team</w:t>
      </w:r>
      <w:r w:rsidRPr="00781112">
        <w:rPr>
          <w:color w:val="000000" w:themeColor="text1"/>
        </w:rPr>
        <w:br/>
      </w:r>
      <w:r w:rsidRPr="00781112">
        <w:rPr>
          <w:color w:val="000000" w:themeColor="text1"/>
        </w:rPr>
        <w:br/>
        <w:t xml:space="preserve">B. Strategy: Social-Emotional Learning (SEL) </w:t>
      </w:r>
      <w:r w:rsidRPr="00781112">
        <w:rPr>
          <w:color w:val="000000" w:themeColor="text1"/>
        </w:rPr>
        <w:br/>
        <w:t>In August 2022, the district provided a Training of Trainers workshop for all Elementary school teams on the SEL Program: Positive Action. Positive Action School level professional development was conducted for all K-5th grade teachers with a 100% participation rate.</w:t>
      </w:r>
      <w:r w:rsidRPr="00781112">
        <w:rPr>
          <w:color w:val="000000" w:themeColor="text1"/>
        </w:rPr>
        <w:br/>
      </w:r>
      <w:r w:rsidRPr="00781112">
        <w:rPr>
          <w:color w:val="000000" w:themeColor="text1"/>
        </w:rPr>
        <w:br/>
        <w:t>C. Strategy: ELL Program/ELL Teachers</w:t>
      </w:r>
      <w:r w:rsidRPr="00781112">
        <w:rPr>
          <w:color w:val="000000" w:themeColor="text1"/>
        </w:rPr>
        <w:br/>
        <w:t xml:space="preserve">In August 2022, ELL Teachers </w:t>
      </w:r>
      <w:proofErr w:type="gramStart"/>
      <w:r w:rsidRPr="00781112">
        <w:rPr>
          <w:color w:val="000000" w:themeColor="text1"/>
        </w:rPr>
        <w:t>were</w:t>
      </w:r>
      <w:proofErr w:type="gramEnd"/>
      <w:r w:rsidRPr="00781112">
        <w:rPr>
          <w:color w:val="000000" w:themeColor="text1"/>
        </w:rPr>
        <w:t xml:space="preserve"> provided with ELL and SIOP Training facilitated by Pearson. WIDA assessment training </w:t>
      </w:r>
      <w:proofErr w:type="gramStart"/>
      <w:r w:rsidRPr="00781112">
        <w:rPr>
          <w:color w:val="000000" w:themeColor="text1"/>
        </w:rPr>
        <w:t>was conducted</w:t>
      </w:r>
      <w:proofErr w:type="gramEnd"/>
      <w:r w:rsidRPr="00781112">
        <w:rPr>
          <w:color w:val="000000" w:themeColor="text1"/>
        </w:rPr>
        <w:t xml:space="preserve"> October through December 2022 for ELL teachers and school level teachers. ELL teachers hold monthly meetings to address any ELL topics, programs, documents, </w:t>
      </w:r>
      <w:proofErr w:type="gramStart"/>
      <w:r w:rsidRPr="00781112">
        <w:rPr>
          <w:color w:val="000000" w:themeColor="text1"/>
        </w:rPr>
        <w:t>data</w:t>
      </w:r>
      <w:proofErr w:type="gramEnd"/>
      <w:r w:rsidRPr="00781112">
        <w:rPr>
          <w:color w:val="000000" w:themeColor="text1"/>
        </w:rPr>
        <w:t xml:space="preserve"> and other miscellaneous items.</w:t>
      </w:r>
      <w:r w:rsidRPr="00781112">
        <w:rPr>
          <w:color w:val="000000" w:themeColor="text1"/>
        </w:rPr>
        <w:br/>
      </w:r>
      <w:r w:rsidRPr="00781112">
        <w:rPr>
          <w:color w:val="000000" w:themeColor="text1"/>
        </w:rPr>
        <w:br/>
        <w:t>D. Strategy: High Dosage Tutoring</w:t>
      </w:r>
      <w:r w:rsidRPr="00781112">
        <w:rPr>
          <w:color w:val="000000" w:themeColor="text1"/>
        </w:rPr>
        <w:br/>
        <w:t>Two training sessions were held in August and October for all high dosage tutors and peer tutors.</w:t>
      </w:r>
      <w:r w:rsidRPr="00781112">
        <w:rPr>
          <w:color w:val="000000" w:themeColor="text1"/>
        </w:rPr>
        <w:br/>
      </w:r>
      <w:r w:rsidRPr="00781112">
        <w:rPr>
          <w:color w:val="000000" w:themeColor="text1"/>
        </w:rPr>
        <w:br/>
        <w:t xml:space="preserve">E. Strategy: Development, Review, and Implementation of the IEP. </w:t>
      </w:r>
      <w:r w:rsidRPr="00781112">
        <w:rPr>
          <w:color w:val="000000" w:themeColor="text1"/>
        </w:rPr>
        <w:br/>
        <w:t xml:space="preserve">Four professional development sessions </w:t>
      </w:r>
      <w:proofErr w:type="gramStart"/>
      <w:r w:rsidRPr="00781112">
        <w:rPr>
          <w:color w:val="000000" w:themeColor="text1"/>
        </w:rPr>
        <w:t>were conducted</w:t>
      </w:r>
      <w:proofErr w:type="gramEnd"/>
      <w:r w:rsidRPr="00781112">
        <w:rPr>
          <w:color w:val="000000" w:themeColor="text1"/>
        </w:rPr>
        <w:t xml:space="preserve"> during this reporting period.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STRAND: Governance and Leadership</w:t>
      </w:r>
      <w:r w:rsidRPr="00781112">
        <w:rPr>
          <w:color w:val="000000" w:themeColor="text1"/>
        </w:rPr>
        <w:br/>
        <w:t>1a. Strategy: Universal Screening</w:t>
      </w:r>
      <w:r w:rsidRPr="00781112">
        <w:rPr>
          <w:color w:val="000000" w:themeColor="text1"/>
        </w:rPr>
        <w:br/>
        <w:t xml:space="preserve">The intermediate outcome includes the participation and proficiency data for all students and disaggregated for students with an IEP in grades K-3rd grade. For this reporting period, screening #3 and #4 for the SY21-22. Screening #4 </w:t>
      </w:r>
      <w:proofErr w:type="gramStart"/>
      <w:r w:rsidRPr="00781112">
        <w:rPr>
          <w:color w:val="000000" w:themeColor="text1"/>
        </w:rPr>
        <w:t>was used</w:t>
      </w:r>
      <w:proofErr w:type="gramEnd"/>
      <w:r w:rsidRPr="00781112">
        <w:rPr>
          <w:color w:val="000000" w:themeColor="text1"/>
        </w:rPr>
        <w:t xml:space="preserve"> as the outcome data for SY21-22. Benchmark data for SY22-23 is limited to the Fall’22 screening as the Winter screening will not be available until after the submission of this report.</w:t>
      </w:r>
      <w:r w:rsidRPr="00781112">
        <w:rPr>
          <w:color w:val="000000" w:themeColor="text1"/>
        </w:rPr>
        <w:br/>
      </w:r>
      <w:r w:rsidRPr="00781112">
        <w:rPr>
          <w:color w:val="000000" w:themeColor="text1"/>
        </w:rPr>
        <w:br/>
        <w:t>Participation (K-3rd)</w:t>
      </w:r>
      <w:r w:rsidRPr="00781112">
        <w:rPr>
          <w:color w:val="000000" w:themeColor="text1"/>
        </w:rPr>
        <w:br/>
        <w:t xml:space="preserve"> </w:t>
      </w:r>
      <w:r w:rsidRPr="00781112">
        <w:rPr>
          <w:color w:val="000000" w:themeColor="text1"/>
        </w:rPr>
        <w:tab/>
        <w:t xml:space="preserve"> </w:t>
      </w:r>
      <w:r w:rsidRPr="00781112">
        <w:rPr>
          <w:color w:val="000000" w:themeColor="text1"/>
        </w:rPr>
        <w:tab/>
        <w:t># Of ALL Students/Students with IEP</w:t>
      </w:r>
      <w:r w:rsidRPr="00781112">
        <w:rPr>
          <w:color w:val="000000" w:themeColor="text1"/>
        </w:rPr>
        <w:tab/>
        <w:t># of ALL Students Screened/Students with IEP * Participation Rate (ALL)/Students w/IEP*</w:t>
      </w:r>
      <w:r w:rsidRPr="00781112">
        <w:rPr>
          <w:color w:val="000000" w:themeColor="text1"/>
        </w:rPr>
        <w:br/>
        <w:t>Screening #3 (Winter’22)</w:t>
      </w:r>
      <w:r w:rsidRPr="00781112">
        <w:rPr>
          <w:color w:val="000000" w:themeColor="text1"/>
        </w:rPr>
        <w:tab/>
      </w:r>
      <w:r w:rsidRPr="00781112">
        <w:rPr>
          <w:color w:val="000000" w:themeColor="text1"/>
        </w:rPr>
        <w:tab/>
        <w:t xml:space="preserve"> 1058/95 </w:t>
      </w:r>
      <w:r w:rsidRPr="00781112">
        <w:rPr>
          <w:color w:val="000000" w:themeColor="text1"/>
        </w:rPr>
        <w:tab/>
      </w:r>
      <w:r w:rsidRPr="00781112">
        <w:rPr>
          <w:color w:val="000000" w:themeColor="text1"/>
        </w:rPr>
        <w:tab/>
        <w:t xml:space="preserve"> 997*/76* </w:t>
      </w:r>
      <w:r w:rsidRPr="00781112">
        <w:rPr>
          <w:color w:val="000000" w:themeColor="text1"/>
        </w:rPr>
        <w:tab/>
        <w:t xml:space="preserve"> 94%/80% </w:t>
      </w:r>
      <w:r w:rsidRPr="00781112">
        <w:rPr>
          <w:color w:val="000000" w:themeColor="text1"/>
        </w:rPr>
        <w:tab/>
        <w:t xml:space="preserve"> </w:t>
      </w:r>
      <w:r w:rsidRPr="00781112">
        <w:rPr>
          <w:color w:val="000000" w:themeColor="text1"/>
        </w:rPr>
        <w:br/>
        <w:t>Screening #4 (Outcome - SPR’22) 1039/104   1007*/89*   97%/86%</w:t>
      </w:r>
      <w:r w:rsidRPr="00781112">
        <w:rPr>
          <w:color w:val="000000" w:themeColor="text1"/>
        </w:rPr>
        <w:br/>
        <w:t>Screening #1 (Fall’22)   980/98    944*/84*    96%/86%</w:t>
      </w:r>
      <w:r w:rsidRPr="00781112">
        <w:rPr>
          <w:color w:val="000000" w:themeColor="text1"/>
        </w:rPr>
        <w:br/>
        <w:t>*The # of students screened includes K-3rd grade students that were screened with STAR Early Literacy, STAR Reading, or alternate screening assessment.</w:t>
      </w:r>
      <w:r w:rsidRPr="00781112">
        <w:rPr>
          <w:color w:val="000000" w:themeColor="text1"/>
        </w:rPr>
        <w:br/>
      </w:r>
      <w:r w:rsidRPr="00781112">
        <w:rPr>
          <w:color w:val="000000" w:themeColor="text1"/>
        </w:rPr>
        <w:br/>
        <w:t>Proficiency Rate</w:t>
      </w:r>
      <w:r w:rsidRPr="00781112">
        <w:rPr>
          <w:color w:val="000000" w:themeColor="text1"/>
        </w:rPr>
        <w:br/>
        <w:t>Performance Level    # of All Students/Students w/IEP   % of All Students/Students with an IEP</w:t>
      </w:r>
      <w:r w:rsidRPr="00781112">
        <w:rPr>
          <w:color w:val="000000" w:themeColor="text1"/>
        </w:rPr>
        <w:br/>
        <w:t xml:space="preserve"> Screening #3 (Winter’22)</w:t>
      </w:r>
      <w:r w:rsidRPr="00781112">
        <w:rPr>
          <w:color w:val="000000" w:themeColor="text1"/>
        </w:rPr>
        <w:br/>
        <w:t>At or above Benchmark   **404/**5   41%/7%</w:t>
      </w:r>
      <w:r w:rsidRPr="00781112">
        <w:rPr>
          <w:color w:val="000000" w:themeColor="text1"/>
        </w:rPr>
        <w:br/>
      </w:r>
      <w:r w:rsidRPr="00781112">
        <w:rPr>
          <w:color w:val="000000" w:themeColor="text1"/>
        </w:rPr>
        <w:br/>
      </w:r>
      <w:r w:rsidRPr="00781112">
        <w:rPr>
          <w:color w:val="000000" w:themeColor="text1"/>
        </w:rPr>
        <w:br/>
        <w:t>Screening #4 (Outcome-SPR’22)</w:t>
      </w:r>
      <w:r w:rsidRPr="00781112">
        <w:rPr>
          <w:color w:val="000000" w:themeColor="text1"/>
        </w:rPr>
        <w:br/>
        <w:t xml:space="preserve">At or above Benchmark </w:t>
      </w:r>
      <w:r w:rsidRPr="00781112">
        <w:rPr>
          <w:color w:val="000000" w:themeColor="text1"/>
        </w:rPr>
        <w:tab/>
      </w:r>
      <w:r w:rsidRPr="00781112">
        <w:rPr>
          <w:color w:val="000000" w:themeColor="text1"/>
        </w:rPr>
        <w:tab/>
        <w:t xml:space="preserve">**496/**9 </w:t>
      </w:r>
      <w:r w:rsidRPr="00781112">
        <w:rPr>
          <w:color w:val="000000" w:themeColor="text1"/>
        </w:rPr>
        <w:tab/>
        <w:t xml:space="preserve"> </w:t>
      </w:r>
      <w:r w:rsidRPr="00781112">
        <w:rPr>
          <w:color w:val="000000" w:themeColor="text1"/>
        </w:rPr>
        <w:tab/>
        <w:t xml:space="preserve">49%/10% </w:t>
      </w:r>
      <w:r w:rsidRPr="00781112">
        <w:rPr>
          <w:color w:val="000000" w:themeColor="text1"/>
        </w:rPr>
        <w:br/>
      </w:r>
      <w:r w:rsidRPr="00781112">
        <w:rPr>
          <w:color w:val="000000" w:themeColor="text1"/>
        </w:rPr>
        <w:br/>
        <w:t>Screening #1 (Fall’22)</w:t>
      </w:r>
      <w:r w:rsidRPr="00781112">
        <w:rPr>
          <w:color w:val="000000" w:themeColor="text1"/>
        </w:rPr>
        <w:br/>
        <w:t>At or above Benchmark   **329/**7     35%/8%</w:t>
      </w:r>
      <w:r w:rsidRPr="00781112">
        <w:rPr>
          <w:color w:val="000000" w:themeColor="text1"/>
        </w:rPr>
        <w:br/>
        <w:t xml:space="preserve"> </w:t>
      </w:r>
      <w:r w:rsidRPr="00781112">
        <w:rPr>
          <w:color w:val="000000" w:themeColor="text1"/>
        </w:rPr>
        <w:br/>
        <w:t>1b. STAR Early Literacy/Reading Fidelity Data</w:t>
      </w:r>
      <w:r w:rsidRPr="00781112">
        <w:rPr>
          <w:color w:val="000000" w:themeColor="text1"/>
        </w:rPr>
        <w:br/>
        <w:t>The collection of fidelity data for the implementation of the STAR universal screening was conducted in 8 of the 9 elementary schools by either the principal or assistant principal. The checklist addressed the tasks “Before Testing</w:t>
      </w:r>
      <w:proofErr w:type="gramStart"/>
      <w:r w:rsidRPr="00781112">
        <w:rPr>
          <w:color w:val="000000" w:themeColor="text1"/>
        </w:rPr>
        <w:t>”,</w:t>
      </w:r>
      <w:proofErr w:type="gramEnd"/>
      <w:r w:rsidRPr="00781112">
        <w:rPr>
          <w:color w:val="000000" w:themeColor="text1"/>
        </w:rPr>
        <w:t xml:space="preserve"> ‘During Testing”, and “After Testing.” Each observer was asked to rate the tasks under each task as “clearly evident</w:t>
      </w:r>
      <w:proofErr w:type="gramStart"/>
      <w:r w:rsidRPr="00781112">
        <w:rPr>
          <w:color w:val="000000" w:themeColor="text1"/>
        </w:rPr>
        <w:t>”,</w:t>
      </w:r>
      <w:proofErr w:type="gramEnd"/>
      <w:r w:rsidRPr="00781112">
        <w:rPr>
          <w:color w:val="000000" w:themeColor="text1"/>
        </w:rPr>
        <w:t xml:space="preserve"> “somewhat evident”, or “not observed. “Before Testing” included </w:t>
      </w:r>
      <w:proofErr w:type="gramStart"/>
      <w:r w:rsidRPr="00781112">
        <w:rPr>
          <w:color w:val="000000" w:themeColor="text1"/>
        </w:rPr>
        <w:t>7</w:t>
      </w:r>
      <w:proofErr w:type="gramEnd"/>
      <w:r w:rsidRPr="00781112">
        <w:rPr>
          <w:color w:val="000000" w:themeColor="text1"/>
        </w:rPr>
        <w:t xml:space="preserve"> items and a rating of “Clearly Evident” ranged from 78.3% to 97.8% with the highest percentage related to the task of scheduling the testing and the lowest involving printing the student log in materials, reviewing and pretest instructions. The “During Testing” consisted of </w:t>
      </w:r>
      <w:proofErr w:type="gramStart"/>
      <w:r w:rsidRPr="00781112">
        <w:rPr>
          <w:color w:val="000000" w:themeColor="text1"/>
        </w:rPr>
        <w:t>6</w:t>
      </w:r>
      <w:proofErr w:type="gramEnd"/>
      <w:r w:rsidRPr="00781112">
        <w:rPr>
          <w:color w:val="000000" w:themeColor="text1"/>
        </w:rPr>
        <w:t xml:space="preserve"> items and a rating of “Clearly evident” ranged from 51.2% to 97.8%. The task achieving the highest was one in which the teacher walked around the room to monitor the students during administration while the task with the lowest was one in which teachers </w:t>
      </w:r>
      <w:proofErr w:type="gramStart"/>
      <w:r w:rsidRPr="00781112">
        <w:rPr>
          <w:color w:val="000000" w:themeColor="text1"/>
        </w:rPr>
        <w:t>were observed</w:t>
      </w:r>
      <w:proofErr w:type="gramEnd"/>
      <w:r w:rsidRPr="00781112">
        <w:rPr>
          <w:color w:val="000000" w:themeColor="text1"/>
        </w:rPr>
        <w:t xml:space="preserve"> administering the math prior to the reading subtest. The “After Testing” tasks consisted of </w:t>
      </w:r>
      <w:proofErr w:type="gramStart"/>
      <w:r w:rsidRPr="00781112">
        <w:rPr>
          <w:color w:val="000000" w:themeColor="text1"/>
        </w:rPr>
        <w:t>3</w:t>
      </w:r>
      <w:proofErr w:type="gramEnd"/>
      <w:r w:rsidRPr="00781112">
        <w:rPr>
          <w:color w:val="000000" w:themeColor="text1"/>
        </w:rPr>
        <w:t xml:space="preserve"> items. The range of ratings as “Clearly Evident” was from 45.7% to 54.3%. The task with the highest rating of “clearly evident” involved the printing and/or review of the student reports on the STAR dashboard. Please note that a task may not have obtained a rating of “clearly evident” if the task </w:t>
      </w:r>
      <w:proofErr w:type="gramStart"/>
      <w:r w:rsidRPr="00781112">
        <w:rPr>
          <w:color w:val="000000" w:themeColor="text1"/>
        </w:rPr>
        <w:t>was not required</w:t>
      </w:r>
      <w:proofErr w:type="gramEnd"/>
      <w:r w:rsidRPr="00781112">
        <w:rPr>
          <w:color w:val="000000" w:themeColor="text1"/>
        </w:rPr>
        <w:t xml:space="preserve"> at the time of the observation. </w:t>
      </w:r>
      <w:r w:rsidRPr="00781112">
        <w:rPr>
          <w:color w:val="000000" w:themeColor="text1"/>
        </w:rPr>
        <w:br/>
      </w:r>
      <w:r w:rsidRPr="00781112">
        <w:rPr>
          <w:color w:val="000000" w:themeColor="text1"/>
        </w:rPr>
        <w:br/>
        <w:t>*The # of students screened includes K-3rd grade students that were screened with STAR Early Literacy, STAR Reading, or alternate screening assessment.</w:t>
      </w:r>
      <w:r w:rsidRPr="00781112">
        <w:rPr>
          <w:color w:val="000000" w:themeColor="text1"/>
        </w:rPr>
        <w:br/>
        <w:t>Strategy: Implementation of the Early Literacy and Reading Curriculum</w:t>
      </w:r>
      <w:r w:rsidRPr="00781112">
        <w:rPr>
          <w:color w:val="000000" w:themeColor="text1"/>
        </w:rPr>
        <w:br/>
        <w:t>For this reporting period, the PSS continued to implement Journeys as its Early Literacy and Reading curriculum with the core instruction focusing on the foundations of reading. However, during this reporting period, the PSS explored the possibility of selecting another evidence-based core curriculum to address the issue of blended learning (i.e., face to face and virtual instruction).</w:t>
      </w:r>
      <w:r w:rsidRPr="00781112">
        <w:rPr>
          <w:color w:val="000000" w:themeColor="text1"/>
        </w:rPr>
        <w:br/>
      </w:r>
      <w:r w:rsidRPr="00781112">
        <w:rPr>
          <w:color w:val="000000" w:themeColor="text1"/>
        </w:rPr>
        <w:br/>
        <w:t>Strategy: Early Warning Systems (EWS) for Grades Kinder through 3rd</w:t>
      </w:r>
      <w:r w:rsidRPr="00781112">
        <w:rPr>
          <w:color w:val="000000" w:themeColor="text1"/>
        </w:rPr>
        <w:br/>
        <w:t xml:space="preserve">The EWS identified 65.7% 6 of K-3 students that are at Urgent Intervention in Star Reading and Early Literacy at the EWS schools. </w:t>
      </w:r>
      <w:proofErr w:type="gramStart"/>
      <w:r w:rsidRPr="00781112">
        <w:rPr>
          <w:color w:val="000000" w:themeColor="text1"/>
        </w:rPr>
        <w:t>At this time</w:t>
      </w:r>
      <w:proofErr w:type="gramEnd"/>
      <w:r w:rsidRPr="00781112">
        <w:rPr>
          <w:color w:val="000000" w:themeColor="text1"/>
        </w:rPr>
        <w:t>, the data is limited to the number of students who are “flagged” and not the number of students receiving an intervention. As of this reporting period, 5/9 or 56% of elementary schools are actively utilizing the EWS processes and tools. The remaining schools are still adapting the tools and processes for their school but are not fully implementing them at this time.</w:t>
      </w:r>
      <w:r w:rsidRPr="00781112">
        <w:rPr>
          <w:color w:val="000000" w:themeColor="text1"/>
        </w:rPr>
        <w:br/>
      </w:r>
      <w:r w:rsidRPr="00781112">
        <w:rPr>
          <w:color w:val="000000" w:themeColor="text1"/>
        </w:rPr>
        <w:br/>
        <w:t>In a survey from 9 school teams implementing the EWS, 62.5 % (5 out of 8)reported that they are importing correct and complete student data into the EWS data collection tool while 55.6% (5/9) are using the EWS tool to assign students to interventions in a systematic manner (tracking of interventions).</w:t>
      </w:r>
      <w:r w:rsidRPr="00781112">
        <w:rPr>
          <w:color w:val="000000" w:themeColor="text1"/>
        </w:rPr>
        <w:br/>
      </w:r>
      <w:r w:rsidRPr="00781112">
        <w:rPr>
          <w:color w:val="000000" w:themeColor="text1"/>
        </w:rPr>
        <w:br/>
        <w:t>Strategy: High Dosage Tutoring</w:t>
      </w:r>
      <w:r w:rsidRPr="00781112">
        <w:rPr>
          <w:color w:val="000000" w:themeColor="text1"/>
        </w:rPr>
        <w:br/>
        <w:t>The enrollment for the nine elementary schools is 2222 of which 237 or 10.7% are receiving high dosage tutoring services.</w:t>
      </w:r>
      <w:r w:rsidRPr="00781112">
        <w:rPr>
          <w:color w:val="000000" w:themeColor="text1"/>
        </w:rPr>
        <w:br/>
      </w:r>
      <w:r w:rsidRPr="00781112">
        <w:rPr>
          <w:color w:val="000000" w:themeColor="text1"/>
        </w:rPr>
        <w:br/>
        <w:t>Strategy: Family Engagement &amp; Community Involvement</w:t>
      </w:r>
      <w:r w:rsidRPr="00781112">
        <w:rPr>
          <w:color w:val="000000" w:themeColor="text1"/>
        </w:rPr>
        <w:br/>
        <w:t xml:space="preserve">The following activities were implemented as strategies for improving the achievement of all students. </w:t>
      </w:r>
      <w:r w:rsidRPr="00781112">
        <w:rPr>
          <w:color w:val="000000" w:themeColor="text1"/>
        </w:rPr>
        <w:br/>
        <w:t xml:space="preserve">The PTSA had proposed that $5000 be allocated to each school each year to conduct parent trainings as well as to increase parent engagement and involvement in each of the schools that will result in increased academic performances. During this reporting period, a total of 19 schools had submitted proposals that were </w:t>
      </w:r>
      <w:proofErr w:type="gramStart"/>
      <w:r w:rsidRPr="00781112">
        <w:rPr>
          <w:color w:val="000000" w:themeColor="text1"/>
        </w:rPr>
        <w:t>approved</w:t>
      </w:r>
      <w:proofErr w:type="gramEnd"/>
      <w:r w:rsidRPr="00781112">
        <w:rPr>
          <w:color w:val="000000" w:themeColor="text1"/>
        </w:rPr>
        <w:t xml:space="preserve"> and plans completed by the end of August 2022.</w:t>
      </w:r>
      <w:r w:rsidRPr="00781112">
        <w:rPr>
          <w:color w:val="000000" w:themeColor="text1"/>
        </w:rPr>
        <w:br/>
      </w:r>
      <w:r w:rsidRPr="00781112">
        <w:rPr>
          <w:color w:val="000000" w:themeColor="text1"/>
        </w:rPr>
        <w:br/>
        <w:t xml:space="preserve">The PSS conducted its annual Parent Summit in November 2022 with 155 participants with a response rate of 57%. The evaluations indicated that </w:t>
      </w:r>
      <w:proofErr w:type="gramStart"/>
      <w:r w:rsidRPr="00781112">
        <w:rPr>
          <w:color w:val="000000" w:themeColor="text1"/>
        </w:rPr>
        <w:t>a majority of</w:t>
      </w:r>
      <w:proofErr w:type="gramEnd"/>
      <w:r w:rsidRPr="00781112">
        <w:rPr>
          <w:color w:val="000000" w:themeColor="text1"/>
        </w:rPr>
        <w:t xml:space="preserve"> the participants indicated the content, the ideas, and the impact were very appropriate and useful. In addition, the majority also indicated the workshop met their expectations and that it was well structured. </w:t>
      </w:r>
      <w:r w:rsidRPr="00781112">
        <w:rPr>
          <w:color w:val="000000" w:themeColor="text1"/>
        </w:rPr>
        <w:br/>
      </w:r>
      <w:r w:rsidRPr="00781112">
        <w:rPr>
          <w:color w:val="000000" w:themeColor="text1"/>
        </w:rPr>
        <w:br/>
        <w:t>***Please refer to Question "Describe any additional data (</w:t>
      </w:r>
      <w:proofErr w:type="gramStart"/>
      <w:r w:rsidRPr="00781112">
        <w:rPr>
          <w:color w:val="000000" w:themeColor="text1"/>
        </w:rPr>
        <w:t>e.g.</w:t>
      </w:r>
      <w:proofErr w:type="gramEnd"/>
      <w:r w:rsidRPr="00781112">
        <w:rPr>
          <w:color w:val="000000" w:themeColor="text1"/>
        </w:rPr>
        <w:t xml:space="preserve"> progress monitoring) that was collected that supports the decision to continue the ongoing use of each evidence-based practice." for additional outcomes data.</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Governance and Leadership:</w:t>
      </w:r>
      <w:r w:rsidRPr="00781112">
        <w:rPr>
          <w:color w:val="000000" w:themeColor="text1"/>
        </w:rPr>
        <w:br/>
        <w:t>Early Warning System (EWS): Develop district wide procedures for systematic implementation of the EWS. Provide initial and follow-up training for all participants and monitor implementation.</w:t>
      </w:r>
      <w:r w:rsidRPr="00781112">
        <w:rPr>
          <w:color w:val="000000" w:themeColor="text1"/>
        </w:rPr>
        <w:br/>
      </w:r>
      <w:r w:rsidRPr="00781112">
        <w:rPr>
          <w:color w:val="000000" w:themeColor="text1"/>
        </w:rPr>
        <w:br/>
        <w:t>High-Dosage Tutoring: Train school personnel in tracking progress of students receiving high-dosage tutoring and its impact on reading.</w:t>
      </w:r>
      <w:r w:rsidRPr="00781112">
        <w:rPr>
          <w:color w:val="000000" w:themeColor="text1"/>
        </w:rPr>
        <w:br/>
      </w:r>
      <w:r w:rsidRPr="00781112">
        <w:rPr>
          <w:color w:val="000000" w:themeColor="text1"/>
        </w:rPr>
        <w:br/>
        <w:t>Family Engagement &amp; Community Involvement:</w:t>
      </w:r>
      <w:r w:rsidRPr="00781112">
        <w:rPr>
          <w:color w:val="000000" w:themeColor="text1"/>
        </w:rPr>
        <w:br/>
        <w:t>Provide training and coaching to SSIP target schools (small scale) on Institute of Education Sciences (IES) REL Southeast Teacher's Guide in Supporting Families in Foundational Reading Skills.</w:t>
      </w:r>
      <w:r w:rsidRPr="00781112">
        <w:rPr>
          <w:color w:val="000000" w:themeColor="text1"/>
        </w:rPr>
        <w:br/>
      </w:r>
      <w:r w:rsidRPr="00781112">
        <w:rPr>
          <w:color w:val="000000" w:themeColor="text1"/>
        </w:rPr>
        <w:br/>
        <w:t>Professional Development:</w:t>
      </w:r>
      <w:r w:rsidRPr="00781112">
        <w:rPr>
          <w:color w:val="000000" w:themeColor="text1"/>
        </w:rPr>
        <w:br/>
        <w:t xml:space="preserve">Collect data on implementation of changes in school personnel behaviors as a result of professional development that is beyond the initial reactions(after event evaluation) to the training. </w:t>
      </w:r>
      <w:r w:rsidRPr="00781112">
        <w:rPr>
          <w:color w:val="000000" w:themeColor="text1"/>
        </w:rPr>
        <w:br/>
      </w:r>
      <w:r w:rsidRPr="00781112">
        <w:rPr>
          <w:color w:val="000000" w:themeColor="text1"/>
        </w:rPr>
        <w:br/>
        <w:t>Accountability/Monitoring System</w:t>
      </w:r>
      <w:r w:rsidRPr="00781112">
        <w:rPr>
          <w:color w:val="000000" w:themeColor="text1"/>
        </w:rPr>
        <w:br/>
        <w:t>Monitor the implementation of the activities identified in each of the school’s School Wide Plans (SWPs) related to the provision of resources for subgroups.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 Universal Screening: Renaissance STAR Reading</w:t>
      </w:r>
      <w:r w:rsidRPr="00781112">
        <w:rPr>
          <w:color w:val="000000" w:themeColor="text1"/>
        </w:rPr>
        <w:br/>
      </w:r>
      <w:proofErr w:type="gramStart"/>
      <w:r w:rsidRPr="00781112">
        <w:rPr>
          <w:color w:val="000000" w:themeColor="text1"/>
        </w:rPr>
        <w:t>2</w:t>
      </w:r>
      <w:proofErr w:type="gramEnd"/>
      <w:r w:rsidRPr="00781112">
        <w:rPr>
          <w:color w:val="000000" w:themeColor="text1"/>
        </w:rPr>
        <w:t>. Early Literacy and Reading Curriculum - Journeys</w:t>
      </w:r>
      <w:r w:rsidRPr="00781112">
        <w:rPr>
          <w:color w:val="000000" w:themeColor="text1"/>
        </w:rPr>
        <w:br/>
      </w:r>
      <w:proofErr w:type="gramStart"/>
      <w:r w:rsidRPr="00781112">
        <w:rPr>
          <w:color w:val="000000" w:themeColor="text1"/>
        </w:rPr>
        <w:t>3</w:t>
      </w:r>
      <w:proofErr w:type="gramEnd"/>
      <w:r w:rsidRPr="00781112">
        <w:rPr>
          <w:color w:val="000000" w:themeColor="text1"/>
        </w:rPr>
        <w:t>. Early Warning System (EWS) for K-3</w:t>
      </w:r>
      <w:r w:rsidRPr="00781112">
        <w:rPr>
          <w:color w:val="000000" w:themeColor="text1"/>
        </w:rPr>
        <w:br/>
      </w:r>
      <w:proofErr w:type="gramStart"/>
      <w:r w:rsidRPr="00781112">
        <w:rPr>
          <w:color w:val="000000" w:themeColor="text1"/>
        </w:rPr>
        <w:t>4</w:t>
      </w:r>
      <w:proofErr w:type="gramEnd"/>
      <w:r w:rsidRPr="00781112">
        <w:rPr>
          <w:color w:val="000000" w:themeColor="text1"/>
        </w:rPr>
        <w:t xml:space="preserve">. </w:t>
      </w:r>
      <w:proofErr w:type="gramStart"/>
      <w:r w:rsidRPr="00781112">
        <w:rPr>
          <w:color w:val="000000" w:themeColor="text1"/>
        </w:rPr>
        <w:t>High-dosage</w:t>
      </w:r>
      <w:proofErr w:type="gramEnd"/>
      <w:r w:rsidRPr="00781112">
        <w:rPr>
          <w:color w:val="000000" w:themeColor="text1"/>
        </w:rPr>
        <w:t xml:space="preserve"> Tutoring</w:t>
      </w:r>
      <w:r w:rsidRPr="00781112">
        <w:rPr>
          <w:color w:val="000000" w:themeColor="text1"/>
        </w:rPr>
        <w:br/>
        <w:t>5. School-based training in the Foundations of Reading</w:t>
      </w:r>
      <w:r w:rsidRPr="00781112">
        <w:rPr>
          <w:color w:val="000000" w:themeColor="text1"/>
        </w:rPr>
        <w:br/>
      </w:r>
      <w:proofErr w:type="gramStart"/>
      <w:r w:rsidRPr="00781112">
        <w:rPr>
          <w:color w:val="000000" w:themeColor="text1"/>
        </w:rPr>
        <w:t>6</w:t>
      </w:r>
      <w:proofErr w:type="gramEnd"/>
      <w:r w:rsidRPr="00781112">
        <w:rPr>
          <w:color w:val="000000" w:themeColor="text1"/>
        </w:rPr>
        <w:t>. English Language Learners (ELL) Coaching</w:t>
      </w:r>
      <w:r w:rsidRPr="00781112">
        <w:rPr>
          <w:color w:val="000000" w:themeColor="text1"/>
        </w:rPr>
        <w:br/>
      </w:r>
      <w:proofErr w:type="gramStart"/>
      <w:r w:rsidRPr="00781112">
        <w:rPr>
          <w:color w:val="000000" w:themeColor="text1"/>
        </w:rPr>
        <w:t>7</w:t>
      </w:r>
      <w:proofErr w:type="gramEnd"/>
      <w:r w:rsidRPr="00781112">
        <w:rPr>
          <w:color w:val="000000" w:themeColor="text1"/>
        </w:rPr>
        <w:t>. Professional Learning Communities  (PLC)</w:t>
      </w:r>
      <w:r w:rsidRPr="00781112">
        <w:rPr>
          <w:color w:val="000000" w:themeColor="text1"/>
        </w:rPr>
        <w:br/>
      </w:r>
      <w:proofErr w:type="gramStart"/>
      <w:r w:rsidRPr="00781112">
        <w:rPr>
          <w:color w:val="000000" w:themeColor="text1"/>
        </w:rPr>
        <w:t>8</w:t>
      </w:r>
      <w:proofErr w:type="gramEnd"/>
      <w:r w:rsidRPr="00781112">
        <w:rPr>
          <w:color w:val="000000" w:themeColor="text1"/>
        </w:rPr>
        <w:t>. Data-based decision making</w:t>
      </w:r>
      <w:r w:rsidRPr="00781112">
        <w:rPr>
          <w:color w:val="000000" w:themeColor="text1"/>
        </w:rPr>
        <w:br/>
      </w:r>
      <w:proofErr w:type="gramStart"/>
      <w:r w:rsidRPr="00781112">
        <w:rPr>
          <w:color w:val="000000" w:themeColor="text1"/>
        </w:rPr>
        <w:t>9</w:t>
      </w:r>
      <w:proofErr w:type="gramEnd"/>
      <w:r w:rsidRPr="00781112">
        <w:rPr>
          <w:color w:val="000000" w:themeColor="text1"/>
        </w:rPr>
        <w:t>. Classroom observations -monitoring the fidelity in implementation of evidence-based instructional programs</w:t>
      </w:r>
      <w:r w:rsidRPr="00781112">
        <w:rPr>
          <w:color w:val="000000" w:themeColor="text1"/>
        </w:rPr>
        <w:br/>
      </w:r>
      <w:proofErr w:type="gramStart"/>
      <w:r w:rsidRPr="00781112">
        <w:rPr>
          <w:color w:val="000000" w:themeColor="text1"/>
        </w:rPr>
        <w:t>10</w:t>
      </w:r>
      <w:proofErr w:type="gramEnd"/>
      <w:r w:rsidRPr="00781112">
        <w:rPr>
          <w:color w:val="000000" w:themeColor="text1"/>
        </w:rPr>
        <w:t>. Social and Emotional Learning- Positive Action</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xml:space="preserve">1. The universal screening: </w:t>
      </w:r>
      <w:proofErr w:type="gramStart"/>
      <w:r w:rsidRPr="00781112">
        <w:rPr>
          <w:color w:val="000000" w:themeColor="text1"/>
        </w:rPr>
        <w:t>is conducted</w:t>
      </w:r>
      <w:proofErr w:type="gramEnd"/>
      <w:r w:rsidRPr="00781112">
        <w:rPr>
          <w:color w:val="000000" w:themeColor="text1"/>
        </w:rPr>
        <w:t xml:space="preserve"> three times during the school year. The Fall and Spring are considered benchmark data with the final (</w:t>
      </w:r>
      <w:proofErr w:type="gramStart"/>
      <w:r w:rsidRPr="00781112">
        <w:rPr>
          <w:color w:val="000000" w:themeColor="text1"/>
        </w:rPr>
        <w:t>3rd</w:t>
      </w:r>
      <w:proofErr w:type="gramEnd"/>
      <w:r w:rsidRPr="00781112">
        <w:rPr>
          <w:color w:val="000000" w:themeColor="text1"/>
        </w:rPr>
        <w:t xml:space="preserve"> </w:t>
      </w:r>
      <w:r w:rsidRPr="00781112">
        <w:rPr>
          <w:color w:val="000000" w:themeColor="text1"/>
        </w:rPr>
        <w:br/>
        <w:t xml:space="preserve">    screening) considered as outcome or end of year summative data.</w:t>
      </w:r>
      <w:r w:rsidRPr="00781112">
        <w:rPr>
          <w:color w:val="000000" w:themeColor="text1"/>
        </w:rPr>
        <w:br/>
      </w:r>
      <w:r w:rsidRPr="00781112">
        <w:rPr>
          <w:color w:val="000000" w:themeColor="text1"/>
        </w:rPr>
        <w:br/>
        <w:t>2. Early Literacy and Reading Curriculum – Journeys: Implemented in all elementary schools – reading instruction provided for 90 minutes.</w:t>
      </w:r>
      <w:r w:rsidRPr="00781112">
        <w:rPr>
          <w:color w:val="000000" w:themeColor="text1"/>
        </w:rPr>
        <w:br/>
      </w:r>
      <w:r w:rsidRPr="00781112">
        <w:rPr>
          <w:color w:val="000000" w:themeColor="text1"/>
        </w:rPr>
        <w:br/>
      </w:r>
      <w:proofErr w:type="gramStart"/>
      <w:r w:rsidRPr="00781112">
        <w:rPr>
          <w:color w:val="000000" w:themeColor="text1"/>
        </w:rPr>
        <w:t>3</w:t>
      </w:r>
      <w:proofErr w:type="gramEnd"/>
      <w:r w:rsidRPr="00781112">
        <w:rPr>
          <w:color w:val="000000" w:themeColor="text1"/>
        </w:rPr>
        <w:t>. Early Warning System (EWS) for K-3: The attendance and performance of all K-3 students are monitored on an on-going basis.</w:t>
      </w:r>
      <w:r w:rsidRPr="00781112">
        <w:rPr>
          <w:color w:val="000000" w:themeColor="text1"/>
        </w:rPr>
        <w:br/>
      </w:r>
      <w:r w:rsidRPr="00781112">
        <w:rPr>
          <w:color w:val="000000" w:themeColor="text1"/>
        </w:rPr>
        <w:br/>
      </w:r>
      <w:proofErr w:type="gramStart"/>
      <w:r w:rsidRPr="00781112">
        <w:rPr>
          <w:color w:val="000000" w:themeColor="text1"/>
        </w:rPr>
        <w:t>4</w:t>
      </w:r>
      <w:proofErr w:type="gramEnd"/>
      <w:r w:rsidRPr="00781112">
        <w:rPr>
          <w:color w:val="000000" w:themeColor="text1"/>
        </w:rPr>
        <w:t xml:space="preserve">. High Dosage Tutoring: High-Dosage Tutoring </w:t>
      </w:r>
      <w:proofErr w:type="gramStart"/>
      <w:r w:rsidRPr="00781112">
        <w:rPr>
          <w:color w:val="000000" w:themeColor="text1"/>
        </w:rPr>
        <w:t>was initiated</w:t>
      </w:r>
      <w:proofErr w:type="gramEnd"/>
      <w:r w:rsidRPr="00781112">
        <w:rPr>
          <w:color w:val="000000" w:themeColor="text1"/>
        </w:rPr>
        <w:t xml:space="preserve"> in the Summer of ’20 to address the learning loss of students. Tutoring is provided during </w:t>
      </w:r>
      <w:r w:rsidRPr="00781112">
        <w:rPr>
          <w:color w:val="000000" w:themeColor="text1"/>
        </w:rPr>
        <w:br/>
        <w:t xml:space="preserve">    the school day and as part of the </w:t>
      </w:r>
      <w:proofErr w:type="gramStart"/>
      <w:r w:rsidRPr="00781112">
        <w:rPr>
          <w:color w:val="000000" w:themeColor="text1"/>
        </w:rPr>
        <w:t>after school</w:t>
      </w:r>
      <w:proofErr w:type="gramEnd"/>
      <w:r w:rsidRPr="00781112">
        <w:rPr>
          <w:color w:val="000000" w:themeColor="text1"/>
        </w:rPr>
        <w:t xml:space="preserve"> programs for 40-60 minutes in groups of a maximum of three students. </w:t>
      </w:r>
      <w:r w:rsidRPr="00781112">
        <w:rPr>
          <w:color w:val="000000" w:themeColor="text1"/>
        </w:rPr>
        <w:br/>
      </w:r>
      <w:r w:rsidRPr="00781112">
        <w:rPr>
          <w:color w:val="000000" w:themeColor="text1"/>
        </w:rPr>
        <w:br/>
        <w:t>5. Professional development activities related to the Foundations of Reading</w:t>
      </w:r>
      <w:r w:rsidRPr="00781112">
        <w:rPr>
          <w:color w:val="000000" w:themeColor="text1"/>
        </w:rPr>
        <w:br/>
      </w:r>
      <w:r w:rsidRPr="00781112">
        <w:rPr>
          <w:color w:val="000000" w:themeColor="text1"/>
        </w:rPr>
        <w:br/>
      </w:r>
      <w:proofErr w:type="gramStart"/>
      <w:r w:rsidRPr="00781112">
        <w:rPr>
          <w:color w:val="000000" w:themeColor="text1"/>
        </w:rPr>
        <w:t>6</w:t>
      </w:r>
      <w:proofErr w:type="gramEnd"/>
      <w:r w:rsidRPr="00781112">
        <w:rPr>
          <w:color w:val="000000" w:themeColor="text1"/>
        </w:rPr>
        <w:t xml:space="preserve">. English Language Learners (ELL) </w:t>
      </w:r>
      <w:proofErr w:type="gramStart"/>
      <w:r w:rsidRPr="00781112">
        <w:rPr>
          <w:color w:val="000000" w:themeColor="text1"/>
        </w:rPr>
        <w:t>Coaching:</w:t>
      </w:r>
      <w:proofErr w:type="gramEnd"/>
      <w:r w:rsidRPr="00781112">
        <w:rPr>
          <w:color w:val="000000" w:themeColor="text1"/>
        </w:rPr>
        <w:t xml:space="preserve"> is to provide educational programs that allow each student the opportunity to maximize their potential </w:t>
      </w:r>
      <w:r w:rsidRPr="00781112">
        <w:rPr>
          <w:color w:val="000000" w:themeColor="text1"/>
        </w:rPr>
        <w:br/>
        <w:t xml:space="preserve">    and become proficient in English across all content areas and in diverse social environments. Each elementary school is provided with at least one </w:t>
      </w:r>
      <w:r w:rsidRPr="00781112">
        <w:rPr>
          <w:color w:val="000000" w:themeColor="text1"/>
        </w:rPr>
        <w:br/>
        <w:t xml:space="preserve">    ELL Teacher.</w:t>
      </w:r>
      <w:r w:rsidRPr="00781112">
        <w:rPr>
          <w:color w:val="000000" w:themeColor="text1"/>
        </w:rPr>
        <w:br/>
      </w:r>
      <w:r w:rsidRPr="00781112">
        <w:rPr>
          <w:color w:val="000000" w:themeColor="text1"/>
        </w:rPr>
        <w:br/>
      </w:r>
      <w:proofErr w:type="gramStart"/>
      <w:r w:rsidRPr="00781112">
        <w:rPr>
          <w:color w:val="000000" w:themeColor="text1"/>
        </w:rPr>
        <w:t>7</w:t>
      </w:r>
      <w:proofErr w:type="gramEnd"/>
      <w:r w:rsidRPr="00781112">
        <w:rPr>
          <w:color w:val="000000" w:themeColor="text1"/>
        </w:rPr>
        <w:t xml:space="preserve">. Professional Learning Communities (PLC) – Each grade level meets as a PLC team to address data and needs of every student to include needs of </w:t>
      </w:r>
      <w:r w:rsidRPr="00781112">
        <w:rPr>
          <w:color w:val="000000" w:themeColor="text1"/>
        </w:rPr>
        <w:br/>
        <w:t xml:space="preserve">    subgroups such as students with an IEP and ELLs.</w:t>
      </w:r>
      <w:r w:rsidRPr="00781112">
        <w:rPr>
          <w:color w:val="000000" w:themeColor="text1"/>
        </w:rPr>
        <w:br/>
      </w:r>
      <w:r w:rsidRPr="00781112">
        <w:rPr>
          <w:color w:val="000000" w:themeColor="text1"/>
        </w:rPr>
        <w:br/>
      </w:r>
      <w:proofErr w:type="gramStart"/>
      <w:r w:rsidRPr="00781112">
        <w:rPr>
          <w:color w:val="000000" w:themeColor="text1"/>
        </w:rPr>
        <w:t>8</w:t>
      </w:r>
      <w:proofErr w:type="gramEnd"/>
      <w:r w:rsidRPr="00781112">
        <w:rPr>
          <w:color w:val="000000" w:themeColor="text1"/>
        </w:rPr>
        <w:t xml:space="preserve">. School Wide Plans (SWPs) Data-based decision making: Each school </w:t>
      </w:r>
      <w:proofErr w:type="gramStart"/>
      <w:r w:rsidRPr="00781112">
        <w:rPr>
          <w:color w:val="000000" w:themeColor="text1"/>
        </w:rPr>
        <w:t>is required</w:t>
      </w:r>
      <w:proofErr w:type="gramEnd"/>
      <w:r w:rsidRPr="00781112">
        <w:rPr>
          <w:color w:val="000000" w:themeColor="text1"/>
        </w:rPr>
        <w:t xml:space="preserve"> to submit a School Wide Plan (SWP) each year that addresses the </w:t>
      </w:r>
      <w:r w:rsidRPr="00781112">
        <w:rPr>
          <w:color w:val="000000" w:themeColor="text1"/>
        </w:rPr>
        <w:br/>
        <w:t xml:space="preserve">    needs of the students in the school. The SWP must include activities and outcomes for subgroups such as students with an IEP and ELLs.</w:t>
      </w:r>
      <w:r w:rsidRPr="00781112">
        <w:rPr>
          <w:color w:val="000000" w:themeColor="text1"/>
        </w:rPr>
        <w:br/>
      </w:r>
      <w:r w:rsidRPr="00781112">
        <w:rPr>
          <w:color w:val="000000" w:themeColor="text1"/>
        </w:rPr>
        <w:br/>
      </w:r>
      <w:proofErr w:type="gramStart"/>
      <w:r w:rsidRPr="00781112">
        <w:rPr>
          <w:color w:val="000000" w:themeColor="text1"/>
        </w:rPr>
        <w:t>9</w:t>
      </w:r>
      <w:proofErr w:type="gramEnd"/>
      <w:r w:rsidRPr="00781112">
        <w:rPr>
          <w:color w:val="000000" w:themeColor="text1"/>
        </w:rPr>
        <w:t xml:space="preserve">. Monitoring the fidelity of reading curriculum and delivery of evidence-based instruction: Classroom observations with a duration of at least </w:t>
      </w:r>
      <w:proofErr w:type="gramStart"/>
      <w:r w:rsidRPr="00781112">
        <w:rPr>
          <w:color w:val="000000" w:themeColor="text1"/>
        </w:rPr>
        <w:t>30</w:t>
      </w:r>
      <w:proofErr w:type="gramEnd"/>
      <w:r w:rsidRPr="00781112">
        <w:rPr>
          <w:color w:val="000000" w:themeColor="text1"/>
        </w:rPr>
        <w:t xml:space="preserve"> </w:t>
      </w:r>
      <w:r w:rsidRPr="00781112">
        <w:rPr>
          <w:color w:val="000000" w:themeColor="text1"/>
        </w:rPr>
        <w:br/>
        <w:t xml:space="preserve">    minutes are conducted at least annually.</w:t>
      </w:r>
      <w:r w:rsidRPr="00781112">
        <w:rPr>
          <w:color w:val="000000" w:themeColor="text1"/>
        </w:rPr>
        <w:br/>
      </w:r>
      <w:r w:rsidRPr="00781112">
        <w:rPr>
          <w:color w:val="000000" w:themeColor="text1"/>
        </w:rPr>
        <w:br/>
        <w:t xml:space="preserve">10. Social and Emotional Learning- Positive Action: Implemented in all elementary schools to address and promote healthy and positive mental health </w:t>
      </w:r>
      <w:r w:rsidRPr="00781112">
        <w:rPr>
          <w:color w:val="000000" w:themeColor="text1"/>
        </w:rPr>
        <w:br/>
        <w:t xml:space="preserve">    for students to learn.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 xml:space="preserve">1. Universal Screening: The Fall and Spring screening benchmarks identifies students at risk for not meeting end of year outcomes and provides data </w:t>
      </w:r>
      <w:r w:rsidRPr="00781112">
        <w:rPr>
          <w:color w:val="000000" w:themeColor="text1"/>
        </w:rPr>
        <w:br/>
        <w:t xml:space="preserve">    that assist school personnel in providing supplemental interventions to meet the students’ needs. This practice is implemented in all elementary </w:t>
      </w:r>
      <w:r w:rsidRPr="00781112">
        <w:rPr>
          <w:color w:val="000000" w:themeColor="text1"/>
        </w:rPr>
        <w:br/>
        <w:t xml:space="preserve">    schools.</w:t>
      </w:r>
      <w:r w:rsidRPr="00781112">
        <w:rPr>
          <w:color w:val="000000" w:themeColor="text1"/>
        </w:rPr>
        <w:br/>
      </w:r>
      <w:r w:rsidRPr="00781112">
        <w:rPr>
          <w:color w:val="000000" w:themeColor="text1"/>
        </w:rPr>
        <w:br/>
      </w:r>
      <w:proofErr w:type="gramStart"/>
      <w:r w:rsidRPr="00781112">
        <w:rPr>
          <w:color w:val="000000" w:themeColor="text1"/>
        </w:rPr>
        <w:t>2</w:t>
      </w:r>
      <w:proofErr w:type="gramEnd"/>
      <w:r w:rsidRPr="00781112">
        <w:rPr>
          <w:color w:val="000000" w:themeColor="text1"/>
        </w:rPr>
        <w:t xml:space="preserve">. Early Literacy and Reading Curriculum: The implementation of an evidence-based early literacy and reading curriculum increases the probability of </w:t>
      </w:r>
      <w:r w:rsidRPr="00781112">
        <w:rPr>
          <w:color w:val="000000" w:themeColor="text1"/>
        </w:rPr>
        <w:br/>
        <w:t xml:space="preserve">    achieving the SIMR.</w:t>
      </w:r>
      <w:r w:rsidRPr="00781112">
        <w:rPr>
          <w:color w:val="000000" w:themeColor="text1"/>
        </w:rPr>
        <w:br/>
      </w:r>
      <w:r w:rsidRPr="00781112">
        <w:rPr>
          <w:color w:val="000000" w:themeColor="text1"/>
        </w:rPr>
        <w:br/>
      </w:r>
      <w:proofErr w:type="gramStart"/>
      <w:r w:rsidRPr="00781112">
        <w:rPr>
          <w:color w:val="000000" w:themeColor="text1"/>
        </w:rPr>
        <w:t>3</w:t>
      </w:r>
      <w:proofErr w:type="gramEnd"/>
      <w:r w:rsidRPr="00781112">
        <w:rPr>
          <w:color w:val="000000" w:themeColor="text1"/>
        </w:rPr>
        <w:t xml:space="preserve">. Early Warning System (EWS): The implementation of the EWS for grades K-3 is the overarching strategy that ensures that the needs of students are </w:t>
      </w:r>
      <w:r w:rsidRPr="00781112">
        <w:rPr>
          <w:color w:val="000000" w:themeColor="text1"/>
        </w:rPr>
        <w:br/>
        <w:t xml:space="preserve">    identified early enough to provide interventions and support. This is in line with implementing universal screening.</w:t>
      </w:r>
      <w:r w:rsidRPr="00781112">
        <w:rPr>
          <w:color w:val="000000" w:themeColor="text1"/>
        </w:rPr>
        <w:br/>
      </w:r>
      <w:r w:rsidRPr="00781112">
        <w:rPr>
          <w:color w:val="000000" w:themeColor="text1"/>
        </w:rPr>
        <w:br/>
      </w:r>
      <w:proofErr w:type="gramStart"/>
      <w:r w:rsidRPr="00781112">
        <w:rPr>
          <w:color w:val="000000" w:themeColor="text1"/>
        </w:rPr>
        <w:t>4</w:t>
      </w:r>
      <w:proofErr w:type="gramEnd"/>
      <w:r w:rsidRPr="00781112">
        <w:rPr>
          <w:color w:val="000000" w:themeColor="text1"/>
        </w:rPr>
        <w:t xml:space="preserve">.High Dosage Tutoring: The supplemental instruction provided by the provision of High Dosage Tutoring closes the gap between where the students </w:t>
      </w:r>
      <w:r w:rsidRPr="00781112">
        <w:rPr>
          <w:color w:val="000000" w:themeColor="text1"/>
        </w:rPr>
        <w:br/>
        <w:t xml:space="preserve">    are performing and where they should be. </w:t>
      </w:r>
      <w:r w:rsidRPr="00781112">
        <w:rPr>
          <w:color w:val="000000" w:themeColor="text1"/>
        </w:rPr>
        <w:br/>
      </w:r>
      <w:r w:rsidRPr="00781112">
        <w:rPr>
          <w:color w:val="000000" w:themeColor="text1"/>
        </w:rPr>
        <w:br/>
        <w:t xml:space="preserve">5.Professional Development that is ongoing and job-embedded in the areas related to literacy and the use of data will improve delivery of literacy </w:t>
      </w:r>
      <w:r w:rsidRPr="00781112">
        <w:rPr>
          <w:color w:val="000000" w:themeColor="text1"/>
        </w:rPr>
        <w:br/>
        <w:t xml:space="preserve">    instruction and improve student outcomes.</w:t>
      </w:r>
      <w:r w:rsidRPr="00781112">
        <w:rPr>
          <w:color w:val="000000" w:themeColor="text1"/>
        </w:rPr>
        <w:br/>
      </w:r>
      <w:r w:rsidRPr="00781112">
        <w:rPr>
          <w:color w:val="000000" w:themeColor="text1"/>
        </w:rPr>
        <w:br/>
        <w:t>6.English Language Learners (ELL) Coaching will improve the delivery of literacy instruction that will improve student learning.</w:t>
      </w:r>
      <w:r w:rsidRPr="00781112">
        <w:rPr>
          <w:color w:val="000000" w:themeColor="text1"/>
        </w:rPr>
        <w:br/>
      </w:r>
      <w:r w:rsidRPr="00781112">
        <w:rPr>
          <w:color w:val="000000" w:themeColor="text1"/>
        </w:rPr>
        <w:br/>
        <w:t xml:space="preserve">7.Professional Learning Communities allows horizontal alignment of instruction and opportunity for modeling effective practices that will increase </w:t>
      </w:r>
      <w:r w:rsidRPr="00781112">
        <w:rPr>
          <w:color w:val="000000" w:themeColor="text1"/>
        </w:rPr>
        <w:br/>
        <w:t xml:space="preserve">    student outcomes. </w:t>
      </w:r>
      <w:r w:rsidRPr="00781112">
        <w:rPr>
          <w:color w:val="000000" w:themeColor="text1"/>
        </w:rPr>
        <w:br/>
      </w:r>
      <w:r w:rsidRPr="00781112">
        <w:rPr>
          <w:color w:val="000000" w:themeColor="text1"/>
        </w:rPr>
        <w:br/>
        <w:t xml:space="preserve">8. School Wide Plans (SWPs) that include outcomes for disaggregated groups will ensure that schools are held accountable for all students and </w:t>
      </w:r>
      <w:r w:rsidRPr="00781112">
        <w:rPr>
          <w:color w:val="000000" w:themeColor="text1"/>
        </w:rPr>
        <w:br/>
        <w:t xml:space="preserve">    promote data-based decision making.</w:t>
      </w:r>
      <w:r w:rsidRPr="00781112">
        <w:rPr>
          <w:color w:val="000000" w:themeColor="text1"/>
        </w:rPr>
        <w:br/>
      </w:r>
      <w:r w:rsidRPr="00781112">
        <w:rPr>
          <w:color w:val="000000" w:themeColor="text1"/>
        </w:rPr>
        <w:br/>
      </w:r>
      <w:proofErr w:type="gramStart"/>
      <w:r w:rsidRPr="00781112">
        <w:rPr>
          <w:color w:val="000000" w:themeColor="text1"/>
        </w:rPr>
        <w:t>9</w:t>
      </w:r>
      <w:proofErr w:type="gramEnd"/>
      <w:r w:rsidRPr="00781112">
        <w:rPr>
          <w:color w:val="000000" w:themeColor="text1"/>
        </w:rPr>
        <w:t xml:space="preserve">. Monitoring the implementation of the reading curriculum with a focus on the foundations of </w:t>
      </w:r>
      <w:proofErr w:type="gramStart"/>
      <w:r w:rsidRPr="00781112">
        <w:rPr>
          <w:color w:val="000000" w:themeColor="text1"/>
        </w:rPr>
        <w:t>reading through</w:t>
      </w:r>
      <w:proofErr w:type="gramEnd"/>
      <w:r w:rsidRPr="00781112">
        <w:rPr>
          <w:color w:val="000000" w:themeColor="text1"/>
        </w:rPr>
        <w:t xml:space="preserve"> fidelity checks will provide data that </w:t>
      </w:r>
      <w:r w:rsidRPr="00781112">
        <w:rPr>
          <w:color w:val="000000" w:themeColor="text1"/>
        </w:rPr>
        <w:br/>
        <w:t xml:space="preserve">    will be used to support the need for additional support and training.</w:t>
      </w:r>
      <w:r w:rsidRPr="00781112">
        <w:rPr>
          <w:color w:val="000000" w:themeColor="text1"/>
        </w:rPr>
        <w:br/>
      </w:r>
      <w:r w:rsidRPr="00781112">
        <w:rPr>
          <w:color w:val="000000" w:themeColor="text1"/>
        </w:rPr>
        <w:br/>
        <w:t xml:space="preserve">10. Social and Emotional Learning- Positive Action: Implemented in all elementary schools to address and promote healthy and positive mental health </w:t>
      </w:r>
      <w:r w:rsidRPr="00781112">
        <w:rPr>
          <w:color w:val="000000" w:themeColor="text1"/>
        </w:rPr>
        <w:br/>
        <w:t xml:space="preserve">    for students to learn.</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1. Governance/Leadership</w:t>
      </w:r>
      <w:r w:rsidRPr="00781112">
        <w:rPr>
          <w:color w:val="000000" w:themeColor="text1"/>
        </w:rPr>
        <w:br/>
        <w:t>a. Universal Screening</w:t>
      </w:r>
      <w:r w:rsidRPr="00781112">
        <w:rPr>
          <w:color w:val="000000" w:themeColor="text1"/>
        </w:rPr>
        <w:br/>
        <w:t xml:space="preserve"> -Screenings </w:t>
      </w:r>
      <w:proofErr w:type="gramStart"/>
      <w:r w:rsidRPr="00781112">
        <w:rPr>
          <w:color w:val="000000" w:themeColor="text1"/>
        </w:rPr>
        <w:t>are conducted</w:t>
      </w:r>
      <w:proofErr w:type="gramEnd"/>
      <w:r w:rsidRPr="00781112">
        <w:rPr>
          <w:color w:val="000000" w:themeColor="text1"/>
        </w:rPr>
        <w:t xml:space="preserve"> three times a year. Fidelity checks </w:t>
      </w:r>
      <w:proofErr w:type="gramStart"/>
      <w:r w:rsidRPr="00781112">
        <w:rPr>
          <w:color w:val="000000" w:themeColor="text1"/>
        </w:rPr>
        <w:t>are conducted</w:t>
      </w:r>
      <w:proofErr w:type="gramEnd"/>
      <w:r w:rsidRPr="00781112">
        <w:rPr>
          <w:color w:val="000000" w:themeColor="text1"/>
        </w:rPr>
        <w:t xml:space="preserve"> during each screening period.</w:t>
      </w:r>
      <w:r w:rsidRPr="00781112">
        <w:rPr>
          <w:color w:val="000000" w:themeColor="text1"/>
        </w:rPr>
        <w:br/>
        <w:t>b. Implementation of Early Literacy and Reading Curriculum</w:t>
      </w:r>
      <w:r w:rsidRPr="00781112">
        <w:rPr>
          <w:color w:val="000000" w:themeColor="text1"/>
        </w:rPr>
        <w:br/>
        <w:t xml:space="preserve"> -There are two forms of data collected by the Office of Curriculum &amp; Instruction and school level administrators. Fidelity data </w:t>
      </w:r>
      <w:proofErr w:type="gramStart"/>
      <w:r w:rsidRPr="00781112">
        <w:rPr>
          <w:color w:val="000000" w:themeColor="text1"/>
        </w:rPr>
        <w:t>is collected</w:t>
      </w:r>
      <w:proofErr w:type="gramEnd"/>
      <w:r w:rsidRPr="00781112">
        <w:rPr>
          <w:color w:val="000000" w:themeColor="text1"/>
        </w:rPr>
        <w:t xml:space="preserve"> on the </w:t>
      </w:r>
      <w:r w:rsidRPr="00781112">
        <w:rPr>
          <w:color w:val="000000" w:themeColor="text1"/>
        </w:rPr>
        <w:br/>
        <w:t xml:space="preserve"> Journeys curriculum. In addition, data </w:t>
      </w:r>
      <w:proofErr w:type="gramStart"/>
      <w:r w:rsidRPr="00781112">
        <w:rPr>
          <w:color w:val="000000" w:themeColor="text1"/>
        </w:rPr>
        <w:t>is collected</w:t>
      </w:r>
      <w:proofErr w:type="gramEnd"/>
      <w:r w:rsidRPr="00781112">
        <w:rPr>
          <w:color w:val="000000" w:themeColor="text1"/>
        </w:rPr>
        <w:t xml:space="preserve"> on the delivery of core instruction in the foundations of reading. Data </w:t>
      </w:r>
      <w:proofErr w:type="gramStart"/>
      <w:r w:rsidRPr="00781112">
        <w:rPr>
          <w:color w:val="000000" w:themeColor="text1"/>
        </w:rPr>
        <w:t>is collected</w:t>
      </w:r>
      <w:proofErr w:type="gramEnd"/>
      <w:r w:rsidRPr="00781112">
        <w:rPr>
          <w:color w:val="000000" w:themeColor="text1"/>
        </w:rPr>
        <w:t xml:space="preserve"> at least once a </w:t>
      </w:r>
      <w:r w:rsidRPr="00781112">
        <w:rPr>
          <w:color w:val="000000" w:themeColor="text1"/>
        </w:rPr>
        <w:br/>
        <w:t xml:space="preserve"> year.</w:t>
      </w:r>
      <w:r w:rsidRPr="00781112">
        <w:rPr>
          <w:color w:val="000000" w:themeColor="text1"/>
        </w:rPr>
        <w:br/>
        <w:t>c. Early Warning System (EWS)</w:t>
      </w:r>
      <w:r w:rsidRPr="00781112">
        <w:rPr>
          <w:color w:val="000000" w:themeColor="text1"/>
        </w:rPr>
        <w:br/>
        <w:t xml:space="preserve"> -The impact of the implementation of the EWS will be measured by the number of students identified as needing supplemental support and the </w:t>
      </w:r>
      <w:r w:rsidRPr="00781112">
        <w:rPr>
          <w:color w:val="000000" w:themeColor="text1"/>
        </w:rPr>
        <w:br/>
        <w:t xml:space="preserve"> effectiveness of the interventions to improve instruction.</w:t>
      </w:r>
      <w:r w:rsidRPr="00781112">
        <w:rPr>
          <w:color w:val="000000" w:themeColor="text1"/>
        </w:rPr>
        <w:br/>
        <w:t>d. High Dosage Tutoring</w:t>
      </w:r>
      <w:r w:rsidRPr="00781112">
        <w:rPr>
          <w:color w:val="000000" w:themeColor="text1"/>
        </w:rPr>
        <w:br/>
        <w:t xml:space="preserve"> -Program evaluation surveys are conducted at the end of each year and the results are used to address areas for strength and areas for growth. </w:t>
      </w:r>
      <w:r w:rsidRPr="00781112">
        <w:rPr>
          <w:color w:val="000000" w:themeColor="text1"/>
        </w:rPr>
        <w:br/>
        <w:t xml:space="preserve"> -Surveys are collected from tutors, teachers, and students.</w:t>
      </w:r>
      <w:r w:rsidRPr="00781112">
        <w:rPr>
          <w:color w:val="000000" w:themeColor="text1"/>
        </w:rPr>
        <w:br/>
      </w:r>
      <w:r w:rsidRPr="00781112">
        <w:rPr>
          <w:color w:val="000000" w:themeColor="text1"/>
        </w:rPr>
        <w:br/>
      </w:r>
      <w:proofErr w:type="gramStart"/>
      <w:r w:rsidRPr="00781112">
        <w:rPr>
          <w:color w:val="000000" w:themeColor="text1"/>
        </w:rPr>
        <w:t>2</w:t>
      </w:r>
      <w:proofErr w:type="gramEnd"/>
      <w:r w:rsidRPr="00781112">
        <w:rPr>
          <w:color w:val="000000" w:themeColor="text1"/>
        </w:rPr>
        <w:t>. Professional Development</w:t>
      </w:r>
      <w:r w:rsidRPr="00781112">
        <w:rPr>
          <w:color w:val="000000" w:themeColor="text1"/>
        </w:rPr>
        <w:br/>
        <w:t xml:space="preserve"> -All professional development activities are initially evaluated with a “Reaction Survey” at the end of each activity and observations to collect data </w:t>
      </w:r>
      <w:r w:rsidRPr="00781112">
        <w:rPr>
          <w:color w:val="000000" w:themeColor="text1"/>
        </w:rPr>
        <w:br/>
        <w:t xml:space="preserve"> on change in practices.</w:t>
      </w:r>
      <w:r w:rsidRPr="00781112">
        <w:rPr>
          <w:color w:val="000000" w:themeColor="text1"/>
        </w:rPr>
        <w:br/>
      </w:r>
      <w:r w:rsidRPr="00781112">
        <w:rPr>
          <w:color w:val="000000" w:themeColor="text1"/>
        </w:rPr>
        <w:br/>
      </w:r>
      <w:proofErr w:type="gramStart"/>
      <w:r w:rsidRPr="00781112">
        <w:rPr>
          <w:color w:val="000000" w:themeColor="text1"/>
        </w:rPr>
        <w:t>3</w:t>
      </w:r>
      <w:proofErr w:type="gramEnd"/>
      <w:r w:rsidRPr="00781112">
        <w:rPr>
          <w:color w:val="000000" w:themeColor="text1"/>
        </w:rPr>
        <w:t>. Collaborative Efforts</w:t>
      </w:r>
      <w:r w:rsidRPr="00781112">
        <w:rPr>
          <w:color w:val="000000" w:themeColor="text1"/>
        </w:rPr>
        <w:br/>
        <w:t xml:space="preserve"> Professional Learning Community</w:t>
      </w:r>
      <w:r w:rsidRPr="00781112">
        <w:rPr>
          <w:color w:val="000000" w:themeColor="text1"/>
        </w:rPr>
        <w:br/>
        <w:t xml:space="preserve"> -Data on participation and data discussion of Professional Learning Communities (PLCs) are collected monthly.</w:t>
      </w:r>
      <w:r w:rsidRPr="00781112">
        <w:rPr>
          <w:color w:val="000000" w:themeColor="text1"/>
        </w:rPr>
        <w:br/>
        <w:t xml:space="preserve"> Family Supports/Family Partnerships</w:t>
      </w:r>
      <w:r w:rsidRPr="00781112">
        <w:rPr>
          <w:color w:val="000000" w:themeColor="text1"/>
        </w:rPr>
        <w:br/>
        <w:t xml:space="preserve"> -Data will be collected on participation of families in activities to improve student achievement as well as reaction surveys.</w:t>
      </w:r>
      <w:r w:rsidRPr="00781112">
        <w:rPr>
          <w:color w:val="000000" w:themeColor="text1"/>
        </w:rPr>
        <w:br/>
        <w:t xml:space="preserve"> -Collect parent demographics data of parents that attend parent summits, trainings, meetings.</w:t>
      </w:r>
      <w:r w:rsidRPr="00781112">
        <w:rPr>
          <w:color w:val="000000" w:themeColor="text1"/>
        </w:rPr>
        <w:br/>
      </w:r>
      <w:r w:rsidRPr="00781112">
        <w:rPr>
          <w:color w:val="000000" w:themeColor="text1"/>
        </w:rPr>
        <w:br/>
        <w:t>4. Accountability System</w:t>
      </w:r>
      <w:r w:rsidRPr="00781112">
        <w:rPr>
          <w:color w:val="000000" w:themeColor="text1"/>
        </w:rPr>
        <w:br/>
        <w:t xml:space="preserve"> -School Wide Plans (SWPs) </w:t>
      </w:r>
      <w:proofErr w:type="gramStart"/>
      <w:r w:rsidRPr="00781112">
        <w:rPr>
          <w:color w:val="000000" w:themeColor="text1"/>
        </w:rPr>
        <w:t>are reviewed</w:t>
      </w:r>
      <w:proofErr w:type="gramEnd"/>
      <w:r w:rsidRPr="00781112">
        <w:rPr>
          <w:color w:val="000000" w:themeColor="text1"/>
        </w:rPr>
        <w:t xml:space="preserve"> annually and if approved, activities are funded for implementation. SWPs </w:t>
      </w:r>
      <w:proofErr w:type="gramStart"/>
      <w:r w:rsidRPr="00781112">
        <w:rPr>
          <w:color w:val="000000" w:themeColor="text1"/>
        </w:rPr>
        <w:t>are evaluated</w:t>
      </w:r>
      <w:proofErr w:type="gramEnd"/>
      <w:r w:rsidRPr="00781112">
        <w:rPr>
          <w:color w:val="000000" w:themeColor="text1"/>
        </w:rPr>
        <w:t xml:space="preserve"> to determine if the </w:t>
      </w:r>
      <w:r w:rsidRPr="00781112">
        <w:rPr>
          <w:color w:val="000000" w:themeColor="text1"/>
        </w:rPr>
        <w:br/>
        <w:t xml:space="preserve"> plan addresses the academic needs of subgroups such as students with an IEP. With this requirement, the schools are held accountable for all </w:t>
      </w:r>
      <w:r w:rsidRPr="00781112">
        <w:rPr>
          <w:color w:val="000000" w:themeColor="text1"/>
        </w:rPr>
        <w:br/>
        <w:t xml:space="preserve"> students.</w:t>
      </w:r>
      <w:r w:rsidRPr="00781112">
        <w:rPr>
          <w:color w:val="000000" w:themeColor="text1"/>
        </w:rPr>
        <w:br/>
      </w:r>
      <w:r w:rsidRPr="00781112">
        <w:rPr>
          <w:color w:val="000000" w:themeColor="text1"/>
        </w:rPr>
        <w:br/>
      </w:r>
      <w:proofErr w:type="gramStart"/>
      <w:r w:rsidRPr="00781112">
        <w:rPr>
          <w:color w:val="000000" w:themeColor="text1"/>
        </w:rPr>
        <w:t>5</w:t>
      </w:r>
      <w:proofErr w:type="gramEnd"/>
      <w:r w:rsidRPr="00781112">
        <w:rPr>
          <w:color w:val="000000" w:themeColor="text1"/>
        </w:rPr>
        <w:t>. Monitoring System</w:t>
      </w:r>
      <w:r w:rsidRPr="00781112">
        <w:rPr>
          <w:color w:val="000000" w:themeColor="text1"/>
        </w:rPr>
        <w:br/>
        <w:t xml:space="preserve"> -The Office of Curriculum &amp; Instruction And school level administrators continue to monitor the fidelity of implementing the Journeys curriculum </w:t>
      </w:r>
      <w:r w:rsidRPr="00781112">
        <w:rPr>
          <w:color w:val="000000" w:themeColor="text1"/>
        </w:rPr>
        <w:br/>
        <w:t xml:space="preserve"> and the delivery of the Foundations of Reading as described in the section on Governance/Leadership.</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Continuation of data from Section A and B</w:t>
      </w:r>
      <w:r w:rsidRPr="00781112">
        <w:rPr>
          <w:color w:val="000000" w:themeColor="text1"/>
        </w:rPr>
        <w:br/>
      </w:r>
      <w:r w:rsidRPr="00781112">
        <w:rPr>
          <w:color w:val="000000" w:themeColor="text1"/>
        </w:rPr>
        <w:br/>
        <w:t>STRAND: Professional Development</w:t>
      </w:r>
      <w:r w:rsidRPr="00781112">
        <w:rPr>
          <w:color w:val="000000" w:themeColor="text1"/>
        </w:rPr>
        <w:br/>
        <w:t>A. Strategy: Development, Revision, and Implementation of the IEP</w:t>
      </w:r>
      <w:r w:rsidRPr="00781112">
        <w:rPr>
          <w:color w:val="000000" w:themeColor="text1"/>
        </w:rPr>
        <w:br/>
        <w:t>Two activities were conducted during this reporting period for this strategy: (1) Root Cause analysis (2) Progress Center Training.</w:t>
      </w:r>
      <w:r w:rsidRPr="00781112">
        <w:rPr>
          <w:color w:val="000000" w:themeColor="text1"/>
        </w:rPr>
        <w:br/>
      </w:r>
      <w:proofErr w:type="gramStart"/>
      <w:r w:rsidRPr="00781112">
        <w:rPr>
          <w:color w:val="000000" w:themeColor="text1"/>
        </w:rPr>
        <w:t>1</w:t>
      </w:r>
      <w:proofErr w:type="gramEnd"/>
      <w:r w:rsidRPr="00781112">
        <w:rPr>
          <w:color w:val="000000" w:themeColor="text1"/>
        </w:rPr>
        <w:t>. Root Cause Analysis:</w:t>
      </w:r>
      <w:r w:rsidRPr="00781112">
        <w:rPr>
          <w:color w:val="000000" w:themeColor="text1"/>
        </w:rPr>
        <w:br/>
        <w:t xml:space="preserve">April/May 2022: The three SSIP target schools conducted a root cause analysis using the 5-Whys. It resulted in identifying a </w:t>
      </w:r>
      <w:proofErr w:type="gramStart"/>
      <w:r w:rsidRPr="00781112">
        <w:rPr>
          <w:color w:val="000000" w:themeColor="text1"/>
        </w:rPr>
        <w:t>possible solution</w:t>
      </w:r>
      <w:proofErr w:type="gramEnd"/>
      <w:r w:rsidRPr="00781112">
        <w:rPr>
          <w:color w:val="000000" w:themeColor="text1"/>
        </w:rPr>
        <w:t xml:space="preserve"> on why students with IEPs are not meeting benchmarks. The three groups identified the following </w:t>
      </w:r>
      <w:proofErr w:type="gramStart"/>
      <w:r w:rsidRPr="00781112">
        <w:rPr>
          <w:color w:val="000000" w:themeColor="text1"/>
        </w:rPr>
        <w:t>possible solutions</w:t>
      </w:r>
      <w:proofErr w:type="gramEnd"/>
      <w:r w:rsidRPr="00781112">
        <w:rPr>
          <w:color w:val="000000" w:themeColor="text1"/>
        </w:rPr>
        <w:t xml:space="preserve">: (1) Matching the specially designed instruction with the student’s needs and (2) Allocation of additional time for the teaching of basic foundational reading skills. </w:t>
      </w:r>
      <w:r w:rsidRPr="00781112">
        <w:rPr>
          <w:color w:val="000000" w:themeColor="text1"/>
        </w:rPr>
        <w:br/>
      </w:r>
      <w:r w:rsidRPr="00781112">
        <w:rPr>
          <w:color w:val="000000" w:themeColor="text1"/>
        </w:rPr>
        <w:br/>
        <w:t xml:space="preserve">2. The second activity consisted of four professional development sessions from the Progress Center. Three of the four sessions </w:t>
      </w:r>
      <w:proofErr w:type="gramStart"/>
      <w:r w:rsidRPr="00781112">
        <w:rPr>
          <w:color w:val="000000" w:themeColor="text1"/>
        </w:rPr>
        <w:t>were conducted</w:t>
      </w:r>
      <w:proofErr w:type="gramEnd"/>
      <w:r w:rsidRPr="00781112">
        <w:rPr>
          <w:color w:val="000000" w:themeColor="text1"/>
        </w:rPr>
        <w:t xml:space="preserve"> virtually while the fourth session was conducted in person. The first two sessions focused on the “Present Levels of Academic Achievement and Functional Performance (PLAAFP)” while the third session focused on using the PLAAFP to develop annual goals. The fourth session focused on the specially designed instruction (SDI), related services, and supplementary aids and services. The sessions </w:t>
      </w:r>
      <w:proofErr w:type="gramStart"/>
      <w:r w:rsidRPr="00781112">
        <w:rPr>
          <w:color w:val="000000" w:themeColor="text1"/>
        </w:rPr>
        <w:t>were attended</w:t>
      </w:r>
      <w:proofErr w:type="gramEnd"/>
      <w:r w:rsidRPr="00781112">
        <w:rPr>
          <w:color w:val="000000" w:themeColor="text1"/>
        </w:rPr>
        <w:t xml:space="preserve"> by general and special educators, administrators, teacher aides, and related service personnel. Prior to the virtual sessions, participants </w:t>
      </w:r>
      <w:proofErr w:type="gramStart"/>
      <w:r w:rsidRPr="00781112">
        <w:rPr>
          <w:color w:val="000000" w:themeColor="text1"/>
        </w:rPr>
        <w:t>were requested</w:t>
      </w:r>
      <w:proofErr w:type="gramEnd"/>
      <w:r w:rsidRPr="00781112">
        <w:rPr>
          <w:color w:val="000000" w:themeColor="text1"/>
        </w:rPr>
        <w:t xml:space="preserve"> to complete the related modules from the Progress Center. The feedback on the first three sessions indicated that </w:t>
      </w:r>
      <w:proofErr w:type="gramStart"/>
      <w:r w:rsidRPr="00781112">
        <w:rPr>
          <w:color w:val="000000" w:themeColor="text1"/>
        </w:rPr>
        <w:t>a majority of</w:t>
      </w:r>
      <w:proofErr w:type="gramEnd"/>
      <w:r w:rsidRPr="00781112">
        <w:rPr>
          <w:color w:val="000000" w:themeColor="text1"/>
        </w:rPr>
        <w:t xml:space="preserve"> the participants indicated that the content was either a review, a reinforcement of what they already knew, or increased their understanding of the content. Ninety percent (90%) of the participants indicated the activities were relevant and over 86% found them useful. Over 98% either agreed or strongly agreed that the sessions increased their awareness of the IEP and the resources from the Progress Center. </w:t>
      </w:r>
      <w:r w:rsidRPr="00781112">
        <w:rPr>
          <w:color w:val="000000" w:themeColor="text1"/>
        </w:rPr>
        <w:br/>
        <w:t xml:space="preserve">For the session conducted in December 2022, a retro evaluation format </w:t>
      </w:r>
      <w:proofErr w:type="gramStart"/>
      <w:r w:rsidRPr="00781112">
        <w:rPr>
          <w:color w:val="000000" w:themeColor="text1"/>
        </w:rPr>
        <w:t>was utilized</w:t>
      </w:r>
      <w:proofErr w:type="gramEnd"/>
      <w:r w:rsidRPr="00781112">
        <w:rPr>
          <w:color w:val="000000" w:themeColor="text1"/>
        </w:rPr>
        <w:t xml:space="preserve">. Respondents </w:t>
      </w:r>
      <w:proofErr w:type="gramStart"/>
      <w:r w:rsidRPr="00781112">
        <w:rPr>
          <w:color w:val="000000" w:themeColor="text1"/>
        </w:rPr>
        <w:t>were asked</w:t>
      </w:r>
      <w:proofErr w:type="gramEnd"/>
      <w:r w:rsidRPr="00781112">
        <w:rPr>
          <w:color w:val="000000" w:themeColor="text1"/>
        </w:rPr>
        <w:t xml:space="preserve"> to rate their knowledge level before and after the training session. For each component of the training, the percent of participants that rated themselves as having a “high” knowledge of the content increased after the training. Additional feedback included the relevancy, usefulness, and satisfaction with the face-to-face session: 100% indicated the session was relevant and useful while 88% and 8.8% respectively were either very satisfied or satisfied.</w:t>
      </w:r>
      <w:r w:rsidRPr="00781112">
        <w:rPr>
          <w:color w:val="000000" w:themeColor="text1"/>
        </w:rPr>
        <w:br/>
        <w:t xml:space="preserve">Please note that participants </w:t>
      </w:r>
      <w:proofErr w:type="gramStart"/>
      <w:r w:rsidRPr="00781112">
        <w:rPr>
          <w:color w:val="000000" w:themeColor="text1"/>
        </w:rPr>
        <w:t>were not limited</w:t>
      </w:r>
      <w:proofErr w:type="gramEnd"/>
      <w:r w:rsidRPr="00781112">
        <w:rPr>
          <w:color w:val="000000" w:themeColor="text1"/>
        </w:rPr>
        <w:t xml:space="preserve"> to elementary schools. </w:t>
      </w:r>
      <w:r w:rsidRPr="00781112">
        <w:rPr>
          <w:color w:val="000000" w:themeColor="text1"/>
        </w:rPr>
        <w:br/>
      </w:r>
      <w:r w:rsidRPr="00781112">
        <w:rPr>
          <w:color w:val="000000" w:themeColor="text1"/>
        </w:rPr>
        <w:br/>
        <w:t>3. October 31, 2022 - IEP Task Force Creation</w:t>
      </w:r>
      <w:r w:rsidRPr="00781112">
        <w:rPr>
          <w:color w:val="000000" w:themeColor="text1"/>
        </w:rPr>
        <w:br/>
        <w:t xml:space="preserve">The IEP task force is comprised of seven (7) special education teachers ranging from 3-25 years of teaching experience: </w:t>
      </w:r>
      <w:proofErr w:type="gramStart"/>
      <w:r w:rsidRPr="00781112">
        <w:rPr>
          <w:color w:val="000000" w:themeColor="text1"/>
        </w:rPr>
        <w:t>3</w:t>
      </w:r>
      <w:proofErr w:type="gramEnd"/>
      <w:r w:rsidRPr="00781112">
        <w:rPr>
          <w:color w:val="000000" w:themeColor="text1"/>
        </w:rPr>
        <w:t xml:space="preserve"> elementary school teachers, 2 middle school teachers, 2 high school teachers. The purpose of this IEP task force is to be the conduit to their school-level colleagues and the SEA to help build the confidence of our Special Education teachers in writing &amp; implementing IEPs, and conducting IEP meetings, through partnership with our regional TA provider, Guam CEDDERS and national TA provider, The Progress Center. The Program outcomes include sustained implementation of this initiative by creating special education mentors from the task force members once the TA support has </w:t>
      </w:r>
      <w:proofErr w:type="gramStart"/>
      <w:r w:rsidRPr="00781112">
        <w:rPr>
          <w:color w:val="000000" w:themeColor="text1"/>
        </w:rPr>
        <w:t>been exhausted</w:t>
      </w:r>
      <w:proofErr w:type="gramEnd"/>
      <w:r w:rsidRPr="00781112">
        <w:rPr>
          <w:color w:val="000000" w:themeColor="text1"/>
        </w:rPr>
        <w:t xml:space="preserve">. </w:t>
      </w:r>
      <w:proofErr w:type="gramStart"/>
      <w:r w:rsidRPr="00781112">
        <w:rPr>
          <w:color w:val="000000" w:themeColor="text1"/>
        </w:rPr>
        <w:t>The task force is led by an Instructional Coach</w:t>
      </w:r>
      <w:proofErr w:type="gramEnd"/>
      <w:r w:rsidRPr="00781112">
        <w:rPr>
          <w:color w:val="000000" w:themeColor="text1"/>
        </w:rPr>
        <w:t xml:space="preserve">, under the supervision of the Special Education Director. The IEP task force has had eight (8) work sessions since November 2, 2022, and helped facilitate one training session for the special education teachers on December 17, 2022. </w:t>
      </w:r>
      <w:r w:rsidRPr="00781112">
        <w:rPr>
          <w:color w:val="000000" w:themeColor="text1"/>
        </w:rPr>
        <w:br/>
      </w:r>
      <w:r w:rsidRPr="00781112">
        <w:rPr>
          <w:color w:val="000000" w:themeColor="text1"/>
        </w:rPr>
        <w:br/>
        <w:t xml:space="preserve">B. Training for ELL teachers </w:t>
      </w:r>
      <w:r w:rsidRPr="00781112">
        <w:rPr>
          <w:color w:val="000000" w:themeColor="text1"/>
        </w:rPr>
        <w:br/>
        <w:t xml:space="preserve">The Literacy Coaches </w:t>
      </w:r>
      <w:proofErr w:type="gramStart"/>
      <w:r w:rsidRPr="00781112">
        <w:rPr>
          <w:color w:val="000000" w:themeColor="text1"/>
        </w:rPr>
        <w:t>were converted</w:t>
      </w:r>
      <w:proofErr w:type="gramEnd"/>
      <w:r w:rsidRPr="00781112">
        <w:rPr>
          <w:color w:val="000000" w:themeColor="text1"/>
        </w:rPr>
        <w:t xml:space="preserve"> to English Language Learner (ELL) coaches/teachers. To support the ELL coaches/teachers ongoing, job-embedded training </w:t>
      </w:r>
      <w:proofErr w:type="gramStart"/>
      <w:r w:rsidRPr="00781112">
        <w:rPr>
          <w:color w:val="000000" w:themeColor="text1"/>
        </w:rPr>
        <w:t>is provided</w:t>
      </w:r>
      <w:proofErr w:type="gramEnd"/>
      <w:r w:rsidRPr="00781112">
        <w:rPr>
          <w:color w:val="000000" w:themeColor="text1"/>
        </w:rPr>
        <w:t xml:space="preserve"> through the monthly meetings. In addition, and ELL and SIOP training </w:t>
      </w:r>
      <w:proofErr w:type="gramStart"/>
      <w:r w:rsidRPr="00781112">
        <w:rPr>
          <w:color w:val="000000" w:themeColor="text1"/>
        </w:rPr>
        <w:t>was held</w:t>
      </w:r>
      <w:proofErr w:type="gramEnd"/>
      <w:r w:rsidRPr="00781112">
        <w:rPr>
          <w:color w:val="000000" w:themeColor="text1"/>
        </w:rPr>
        <w:t xml:space="preserve"> from August 8-12, 2022, WIDA assessment training held from October - December 2022, and a WIDA PD conference held in Sept.28-29, 2022.</w:t>
      </w:r>
      <w:r w:rsidRPr="00781112">
        <w:rPr>
          <w:color w:val="000000" w:themeColor="text1"/>
        </w:rPr>
        <w:br/>
      </w:r>
      <w:r w:rsidRPr="00781112">
        <w:rPr>
          <w:color w:val="000000" w:themeColor="text1"/>
        </w:rPr>
        <w:br/>
        <w:t>C. Early Warning Systems (EWS)</w:t>
      </w:r>
      <w:r w:rsidRPr="00781112">
        <w:rPr>
          <w:color w:val="000000" w:themeColor="text1"/>
        </w:rPr>
        <w:br/>
        <w:t xml:space="preserve">Two training sessions </w:t>
      </w:r>
      <w:proofErr w:type="gramStart"/>
      <w:r w:rsidRPr="00781112">
        <w:rPr>
          <w:color w:val="000000" w:themeColor="text1"/>
        </w:rPr>
        <w:t>were held</w:t>
      </w:r>
      <w:proofErr w:type="gramEnd"/>
      <w:r w:rsidRPr="00781112">
        <w:rPr>
          <w:color w:val="000000" w:themeColor="text1"/>
        </w:rPr>
        <w:t xml:space="preserve"> during this reporting period: February 24, and March 7, 2022. These sessions focused on understanding and building proficiency in the use of data. The audience included all K-3 Elementary school data teams and the district EWS team.</w:t>
      </w:r>
      <w:r w:rsidRPr="00781112">
        <w:rPr>
          <w:color w:val="000000" w:themeColor="text1"/>
        </w:rPr>
        <w:br/>
      </w:r>
      <w:r w:rsidRPr="00781112">
        <w:rPr>
          <w:color w:val="000000" w:themeColor="text1"/>
        </w:rPr>
        <w:br/>
        <w:t>Strand: Collaborative Efforts</w:t>
      </w:r>
      <w:r w:rsidRPr="00781112">
        <w:rPr>
          <w:color w:val="000000" w:themeColor="text1"/>
        </w:rPr>
        <w:br/>
        <w:t>SY 22-23 Elementary PLC Collaboration Observation - The purpose of the observation is to evaluate the extent collaboration occurs at the school level between general education and teachers from special programs (Special Education, Title I, EL Teacher). The results are as follows:</w:t>
      </w:r>
      <w:r w:rsidRPr="00781112">
        <w:rPr>
          <w:color w:val="000000" w:themeColor="text1"/>
        </w:rPr>
        <w:br/>
        <w:t xml:space="preserve">There were a total of 107 responses related to the PLC collaborative efforts. Of the 107 responses, 61% </w:t>
      </w:r>
      <w:proofErr w:type="gramStart"/>
      <w:r w:rsidRPr="00781112">
        <w:rPr>
          <w:color w:val="000000" w:themeColor="text1"/>
        </w:rPr>
        <w:t>were obtained</w:t>
      </w:r>
      <w:proofErr w:type="gramEnd"/>
      <w:r w:rsidRPr="00781112">
        <w:rPr>
          <w:color w:val="000000" w:themeColor="text1"/>
        </w:rPr>
        <w:t xml:space="preserve"> from principals and 39% were from assistant principals. The observations indicated that 100% of the PLCs had an agenda and the agenda/task included a discussion of at-risk students (i.e., English Language Learners (ELLs), students with an IEP, etc.).Ninety-three percent (93%) reported level 4 for level of engagement which is equivalent to most to all participating as a collaborative team member. In addition, 86% of the responders indicated that the collaborative teams discussed early literacy/reading to guide instructional planning, but 100% also reported that other sources of data </w:t>
      </w:r>
      <w:proofErr w:type="gramStart"/>
      <w:r w:rsidRPr="00781112">
        <w:rPr>
          <w:color w:val="000000" w:themeColor="text1"/>
        </w:rPr>
        <w:t>were also discussed</w:t>
      </w:r>
      <w:proofErr w:type="gramEnd"/>
      <w:r w:rsidRPr="00781112">
        <w:rPr>
          <w:color w:val="000000" w:themeColor="text1"/>
        </w:rPr>
        <w:t xml:space="preserve">. </w:t>
      </w:r>
      <w:r w:rsidRPr="00781112">
        <w:rPr>
          <w:color w:val="000000" w:themeColor="text1"/>
        </w:rPr>
        <w:br/>
      </w:r>
      <w:r w:rsidRPr="00781112">
        <w:rPr>
          <w:color w:val="000000" w:themeColor="text1"/>
        </w:rPr>
        <w:br/>
        <w:t>Strand: Accountability System</w:t>
      </w:r>
      <w:r w:rsidRPr="00781112">
        <w:rPr>
          <w:color w:val="000000" w:themeColor="text1"/>
        </w:rPr>
        <w:br/>
        <w:t xml:space="preserve">School Wide Plans (SWPs): </w:t>
      </w:r>
      <w:proofErr w:type="gramStart"/>
      <w:r w:rsidRPr="00781112">
        <w:rPr>
          <w:color w:val="000000" w:themeColor="text1"/>
        </w:rPr>
        <w:t>9</w:t>
      </w:r>
      <w:proofErr w:type="gramEnd"/>
      <w:r w:rsidRPr="00781112">
        <w:rPr>
          <w:color w:val="000000" w:themeColor="text1"/>
        </w:rPr>
        <w:t xml:space="preserve"> schools - 56% include resources for K-3 literacy in their SWPs.</w:t>
      </w:r>
      <w:r w:rsidRPr="00781112">
        <w:rPr>
          <w:color w:val="000000" w:themeColor="text1"/>
        </w:rPr>
        <w:br/>
      </w:r>
      <w:r w:rsidRPr="00781112">
        <w:rPr>
          <w:color w:val="000000" w:themeColor="text1"/>
        </w:rPr>
        <w:br/>
        <w:t>Strand: Monitoring System</w:t>
      </w:r>
      <w:r w:rsidRPr="00781112">
        <w:rPr>
          <w:color w:val="000000" w:themeColor="text1"/>
        </w:rPr>
        <w:br/>
        <w:t xml:space="preserve">The PSS collected fidelity data on the implementation of Journeys (early literacy/reading curriculum) and the foundations of reading. Observations </w:t>
      </w:r>
      <w:proofErr w:type="gramStart"/>
      <w:r w:rsidRPr="00781112">
        <w:rPr>
          <w:color w:val="000000" w:themeColor="text1"/>
        </w:rPr>
        <w:t>were conducted</w:t>
      </w:r>
      <w:proofErr w:type="gramEnd"/>
      <w:r w:rsidRPr="00781112">
        <w:rPr>
          <w:color w:val="000000" w:themeColor="text1"/>
        </w:rPr>
        <w:t xml:space="preserve"> in grades K-3 from eight (8) of the nine (9) elementary schools. The checklist included the following: Classroom Environment: 82% had focus walls, 98% had established areas for whole groups, small groups, and centers. Only 73% of the observations indicated that student materials </w:t>
      </w:r>
      <w:proofErr w:type="gramStart"/>
      <w:r w:rsidRPr="00781112">
        <w:rPr>
          <w:color w:val="000000" w:themeColor="text1"/>
        </w:rPr>
        <w:t>were utilized</w:t>
      </w:r>
      <w:proofErr w:type="gramEnd"/>
      <w:r w:rsidRPr="00781112">
        <w:rPr>
          <w:color w:val="000000" w:themeColor="text1"/>
        </w:rPr>
        <w:t xml:space="preserve"> during instruction such as student textbooks, student handbook, etc; Opening Routines: 78% of the classroom included opening routines; 78% of the observations indicated that vocabulary was part of the instructional routine.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1.Universal Screening:</w:t>
      </w:r>
      <w:r w:rsidRPr="00781112">
        <w:rPr>
          <w:color w:val="000000" w:themeColor="text1"/>
        </w:rPr>
        <w:br/>
        <w:t xml:space="preserve"> -Collect fidelity data from the scale-up schools with the anticipated outcome that teachers are implementing the screening tool appropriately.</w:t>
      </w:r>
      <w:r w:rsidRPr="00781112">
        <w:rPr>
          <w:color w:val="000000" w:themeColor="text1"/>
        </w:rPr>
        <w:br/>
      </w:r>
      <w:r w:rsidRPr="00781112">
        <w:rPr>
          <w:color w:val="000000" w:themeColor="text1"/>
        </w:rPr>
        <w:br/>
      </w:r>
      <w:proofErr w:type="gramStart"/>
      <w:r w:rsidRPr="00781112">
        <w:rPr>
          <w:color w:val="000000" w:themeColor="text1"/>
        </w:rPr>
        <w:t>2</w:t>
      </w:r>
      <w:proofErr w:type="gramEnd"/>
      <w:r w:rsidRPr="00781112">
        <w:rPr>
          <w:color w:val="000000" w:themeColor="text1"/>
        </w:rPr>
        <w:t>. Evidence-based Early Literacy and Reading Curriculum:</w:t>
      </w:r>
      <w:r w:rsidRPr="00781112">
        <w:rPr>
          <w:color w:val="000000" w:themeColor="text1"/>
        </w:rPr>
        <w:br/>
        <w:t xml:space="preserve"> -In SY 2023-2024, implementation of the new Reading curriculum: Into Reading. Professional development alignment planning, professional </w:t>
      </w:r>
      <w:r w:rsidRPr="00781112">
        <w:rPr>
          <w:color w:val="000000" w:themeColor="text1"/>
        </w:rPr>
        <w:br/>
        <w:t xml:space="preserve"> development for teachers will be provided and a new fidelity checklist will be implemented and used for monitoring.</w:t>
      </w:r>
      <w:r w:rsidRPr="00781112">
        <w:rPr>
          <w:color w:val="000000" w:themeColor="text1"/>
        </w:rPr>
        <w:br/>
      </w:r>
      <w:r w:rsidRPr="00781112">
        <w:rPr>
          <w:color w:val="000000" w:themeColor="text1"/>
        </w:rPr>
        <w:br/>
      </w:r>
      <w:proofErr w:type="gramStart"/>
      <w:r w:rsidRPr="00781112">
        <w:rPr>
          <w:color w:val="000000" w:themeColor="text1"/>
        </w:rPr>
        <w:t>3</w:t>
      </w:r>
      <w:proofErr w:type="gramEnd"/>
      <w:r w:rsidRPr="00781112">
        <w:rPr>
          <w:color w:val="000000" w:themeColor="text1"/>
        </w:rPr>
        <w:t>. Early Warning System (EWS) for K-3</w:t>
      </w:r>
      <w:r w:rsidRPr="00781112">
        <w:rPr>
          <w:color w:val="000000" w:themeColor="text1"/>
        </w:rPr>
        <w:br/>
        <w:t xml:space="preserve"> -Increase the number of schools participating in the EWS system with the outcome to timely identification of students and delivery of needed </w:t>
      </w:r>
      <w:r w:rsidRPr="00781112">
        <w:rPr>
          <w:color w:val="000000" w:themeColor="text1"/>
        </w:rPr>
        <w:br/>
        <w:t xml:space="preserve"> supplemental interventions.</w:t>
      </w:r>
      <w:r w:rsidRPr="00781112">
        <w:rPr>
          <w:color w:val="000000" w:themeColor="text1"/>
        </w:rPr>
        <w:br/>
        <w:t xml:space="preserve"> -Track the interventions being provided to students identified through EWS.</w:t>
      </w:r>
      <w:r w:rsidRPr="00781112">
        <w:rPr>
          <w:color w:val="000000" w:themeColor="text1"/>
        </w:rPr>
        <w:br/>
      </w:r>
      <w:r w:rsidRPr="00781112">
        <w:rPr>
          <w:color w:val="000000" w:themeColor="text1"/>
        </w:rPr>
        <w:br/>
      </w:r>
      <w:proofErr w:type="gramStart"/>
      <w:r w:rsidRPr="00781112">
        <w:rPr>
          <w:color w:val="000000" w:themeColor="text1"/>
        </w:rPr>
        <w:t>4</w:t>
      </w:r>
      <w:proofErr w:type="gramEnd"/>
      <w:r w:rsidRPr="00781112">
        <w:rPr>
          <w:color w:val="000000" w:themeColor="text1"/>
        </w:rPr>
        <w:t>. High Dosage Tutoring</w:t>
      </w:r>
      <w:r w:rsidRPr="00781112">
        <w:rPr>
          <w:color w:val="000000" w:themeColor="text1"/>
        </w:rPr>
        <w:br/>
        <w:t xml:space="preserve"> -Increase the capacity of each elementary school to provide High Dosage Tutoring to students in need of it with the outcome of improved </w:t>
      </w:r>
      <w:r w:rsidRPr="00781112">
        <w:rPr>
          <w:color w:val="000000" w:themeColor="text1"/>
        </w:rPr>
        <w:br/>
        <w:t xml:space="preserve"> achievement.</w:t>
      </w:r>
      <w:r w:rsidRPr="00781112">
        <w:rPr>
          <w:color w:val="000000" w:themeColor="text1"/>
        </w:rPr>
        <w:br/>
        <w:t xml:space="preserve"> -Collect HDT data on effectiveness of the program</w:t>
      </w:r>
      <w:r w:rsidRPr="00781112">
        <w:rPr>
          <w:color w:val="000000" w:themeColor="text1"/>
        </w:rPr>
        <w:br/>
      </w:r>
      <w:r w:rsidRPr="00781112">
        <w:rPr>
          <w:color w:val="000000" w:themeColor="text1"/>
        </w:rPr>
        <w:br/>
      </w:r>
      <w:proofErr w:type="gramStart"/>
      <w:r w:rsidRPr="00781112">
        <w:rPr>
          <w:color w:val="000000" w:themeColor="text1"/>
        </w:rPr>
        <w:t>5</w:t>
      </w:r>
      <w:proofErr w:type="gramEnd"/>
      <w:r w:rsidRPr="00781112">
        <w:rPr>
          <w:color w:val="000000" w:themeColor="text1"/>
        </w:rPr>
        <w:t>. Professional Development</w:t>
      </w:r>
      <w:r w:rsidRPr="00781112">
        <w:rPr>
          <w:color w:val="000000" w:themeColor="text1"/>
        </w:rPr>
        <w:br/>
        <w:t xml:space="preserve"> -Expand the training in the foundations of reading to the scale-up schools and collect fidelity checks with the outcome of improved student reading </w:t>
      </w:r>
      <w:r w:rsidRPr="00781112">
        <w:rPr>
          <w:color w:val="000000" w:themeColor="text1"/>
        </w:rPr>
        <w:br/>
        <w:t xml:space="preserve"> skills</w:t>
      </w:r>
      <w:r w:rsidRPr="00781112">
        <w:rPr>
          <w:color w:val="000000" w:themeColor="text1"/>
        </w:rPr>
        <w:br/>
        <w:t xml:space="preserve"> -Training on the new reading curriculum for all schools</w:t>
      </w:r>
      <w:r w:rsidRPr="00781112">
        <w:rPr>
          <w:color w:val="000000" w:themeColor="text1"/>
        </w:rPr>
        <w:br/>
        <w:t xml:space="preserve"> -Conduct observations of the delivery of the specially designed instruction (SDI-i.e., special education).</w:t>
      </w:r>
      <w:r w:rsidRPr="00781112">
        <w:rPr>
          <w:color w:val="000000" w:themeColor="text1"/>
        </w:rPr>
        <w:br/>
        <w:t xml:space="preserve"> -Revise the IEP forms to more closely align with the language of the IDEA regulations. </w:t>
      </w:r>
      <w:r w:rsidRPr="00781112">
        <w:rPr>
          <w:color w:val="000000" w:themeColor="text1"/>
        </w:rPr>
        <w:br/>
        <w:t xml:space="preserve"> -Provide professional development in the delivery of SDI that matches the student’s unique needs.</w:t>
      </w:r>
      <w:r w:rsidRPr="00781112">
        <w:rPr>
          <w:color w:val="000000" w:themeColor="text1"/>
        </w:rPr>
        <w:br/>
      </w:r>
      <w:r w:rsidRPr="00781112">
        <w:rPr>
          <w:color w:val="000000" w:themeColor="text1"/>
        </w:rPr>
        <w:br/>
      </w:r>
      <w:proofErr w:type="gramStart"/>
      <w:r w:rsidRPr="00781112">
        <w:rPr>
          <w:color w:val="000000" w:themeColor="text1"/>
        </w:rPr>
        <w:t>6</w:t>
      </w:r>
      <w:proofErr w:type="gramEnd"/>
      <w:r w:rsidRPr="00781112">
        <w:rPr>
          <w:color w:val="000000" w:themeColor="text1"/>
        </w:rPr>
        <w:t>. English Language Learners (ELL) Coaching</w:t>
      </w:r>
      <w:r w:rsidRPr="00781112">
        <w:rPr>
          <w:color w:val="000000" w:themeColor="text1"/>
        </w:rPr>
        <w:br/>
        <w:t xml:space="preserve"> -Provide each ELL Teacher with instruction materials and professional development in assessment, documentation and providing services to </w:t>
      </w:r>
      <w:r w:rsidRPr="00781112">
        <w:rPr>
          <w:color w:val="000000" w:themeColor="text1"/>
        </w:rPr>
        <w:br/>
        <w:t xml:space="preserve"> students</w:t>
      </w:r>
      <w:r w:rsidRPr="00781112">
        <w:rPr>
          <w:color w:val="000000" w:themeColor="text1"/>
        </w:rPr>
        <w:br/>
      </w:r>
      <w:r w:rsidRPr="00781112">
        <w:rPr>
          <w:color w:val="000000" w:themeColor="text1"/>
        </w:rPr>
        <w:br/>
      </w:r>
      <w:proofErr w:type="gramStart"/>
      <w:r w:rsidRPr="00781112">
        <w:rPr>
          <w:color w:val="000000" w:themeColor="text1"/>
        </w:rPr>
        <w:t>7</w:t>
      </w:r>
      <w:proofErr w:type="gramEnd"/>
      <w:r w:rsidRPr="00781112">
        <w:rPr>
          <w:color w:val="000000" w:themeColor="text1"/>
        </w:rPr>
        <w:t>. Professional Learning Communities (PLC)</w:t>
      </w:r>
      <w:r w:rsidRPr="00781112">
        <w:rPr>
          <w:color w:val="000000" w:themeColor="text1"/>
        </w:rPr>
        <w:br/>
        <w:t xml:space="preserve"> -Collect PLC data on participation of general education and special education in PLC sessions with discussions that include performance of </w:t>
      </w:r>
      <w:r w:rsidRPr="00781112">
        <w:rPr>
          <w:color w:val="000000" w:themeColor="text1"/>
        </w:rPr>
        <w:br/>
        <w:t xml:space="preserve"> students with an IEP. Outcome is improved achievement for all students, but specifically for students with an IEP.</w:t>
      </w:r>
      <w:r w:rsidRPr="00781112">
        <w:rPr>
          <w:color w:val="000000" w:themeColor="text1"/>
        </w:rPr>
        <w:br/>
      </w:r>
      <w:r w:rsidRPr="00781112">
        <w:rPr>
          <w:color w:val="000000" w:themeColor="text1"/>
        </w:rPr>
        <w:br/>
      </w:r>
      <w:proofErr w:type="gramStart"/>
      <w:r w:rsidRPr="00781112">
        <w:rPr>
          <w:color w:val="000000" w:themeColor="text1"/>
        </w:rPr>
        <w:t>8</w:t>
      </w:r>
      <w:proofErr w:type="gramEnd"/>
      <w:r w:rsidRPr="00781112">
        <w:rPr>
          <w:color w:val="000000" w:themeColor="text1"/>
        </w:rPr>
        <w:t>.Data-based decision making</w:t>
      </w:r>
      <w:r w:rsidRPr="00781112">
        <w:rPr>
          <w:color w:val="000000" w:themeColor="text1"/>
        </w:rPr>
        <w:br/>
        <w:t xml:space="preserve"> -Monitor the submission of SWPs from the scale-up schools. Outcome is to ensure that program services and activities address the needs of </w:t>
      </w:r>
      <w:r w:rsidRPr="00781112">
        <w:rPr>
          <w:color w:val="000000" w:themeColor="text1"/>
        </w:rPr>
        <w:br/>
        <w:t xml:space="preserve"> subgroups such as students with an IEP.</w:t>
      </w:r>
      <w:r w:rsidRPr="00781112">
        <w:rPr>
          <w:color w:val="000000" w:themeColor="text1"/>
        </w:rPr>
        <w:br/>
      </w:r>
      <w:r w:rsidRPr="00781112">
        <w:rPr>
          <w:color w:val="000000" w:themeColor="text1"/>
        </w:rPr>
        <w:br/>
      </w:r>
      <w:proofErr w:type="gramStart"/>
      <w:r w:rsidRPr="00781112">
        <w:rPr>
          <w:color w:val="000000" w:themeColor="text1"/>
        </w:rPr>
        <w:t>9</w:t>
      </w:r>
      <w:proofErr w:type="gramEnd"/>
      <w:r w:rsidRPr="00781112">
        <w:rPr>
          <w:color w:val="000000" w:themeColor="text1"/>
        </w:rPr>
        <w:t>. Classroom observations -monitoring the fidelity in implementation of evidence-based instructional programs</w:t>
      </w:r>
      <w:r w:rsidRPr="00781112">
        <w:rPr>
          <w:color w:val="000000" w:themeColor="text1"/>
        </w:rPr>
        <w:br/>
        <w:t xml:space="preserve"> -Collect baseline fidelity data on the implementation of the reading curriculum in the scale-up schools with the outcome that teachers are </w:t>
      </w:r>
      <w:r w:rsidRPr="00781112">
        <w:rPr>
          <w:color w:val="000000" w:themeColor="text1"/>
        </w:rPr>
        <w:br/>
        <w:t xml:space="preserve"> implementing the curriculum with fidelity.</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PSS will continue to implement and monitor the infrastructure activities to determine the effectiveness of the current strategies and practices in place.</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With technical assistance provided by the University of Guam Center for Excellence in Developmental Disabilities Education, Research, and Service (Guam CEDDERS), the PSS Special Education Program facilitated a process for ensuring broad stakeholder input and involvement in the review and development of the CNMI PART B FFY 2020- FFY 2025 State Performance Plan (SPP) and FFY 2021 Annual Performance Report (APR). Broad stakeholders, inclusive of the Special Education State Advisory Panel, school administrators, special education teachers, and the State Systemic Improvement Plan (SSIP) Core Team reviewed current performance data compared to previous year's performance and national data, where applicable to CNMI's context. In addition, the FFY 2020-2025 SPP and FFY 2021 APR were provided to the newly elected board members for review and input.</w:t>
      </w:r>
      <w:r w:rsidRPr="00781112">
        <w:rPr>
          <w:color w:val="000000" w:themeColor="text1"/>
        </w:rPr>
        <w:br/>
      </w:r>
      <w:r w:rsidRPr="00781112">
        <w:rPr>
          <w:color w:val="000000" w:themeColor="text1"/>
        </w:rPr>
        <w:br/>
        <w:t xml:space="preserve">This FFY 2021 APR includes current performance data on 15 of the 17 Indicator measures: Indicators 1, 2, 3, 4, 5, 6, 7, 8, 11, 12, 13, 14, 15, 16 and 17. Per OSEP’s instructions, SPP Indicators 4B, 9 and 10 do not apply to the CNMI. For each applicable SPP Indicator measure, CNMI reports FFY 2021 progress data to determine if CNMI met its FFY 2021 targets. An explanation of slippage </w:t>
      </w:r>
      <w:proofErr w:type="gramStart"/>
      <w:r w:rsidRPr="00781112">
        <w:rPr>
          <w:color w:val="000000" w:themeColor="text1"/>
        </w:rPr>
        <w:t>is provided</w:t>
      </w:r>
      <w:proofErr w:type="gramEnd"/>
      <w:r w:rsidRPr="00781112">
        <w:rPr>
          <w:color w:val="000000" w:themeColor="text1"/>
        </w:rPr>
        <w:t xml:space="preserve"> if CNMI did not meet its target and did not demonstrate improvement from the previous year's performance. A response to any issue identified in the 2022 OSEP SPP/APR Determination letter for CNMI’s FFY 2020 SPP/APR </w:t>
      </w:r>
      <w:proofErr w:type="gramStart"/>
      <w:r w:rsidRPr="00781112">
        <w:rPr>
          <w:color w:val="000000" w:themeColor="text1"/>
        </w:rPr>
        <w:t>is also provided</w:t>
      </w:r>
      <w:proofErr w:type="gramEnd"/>
      <w:r w:rsidRPr="00781112">
        <w:rPr>
          <w:color w:val="000000" w:themeColor="text1"/>
        </w:rPr>
        <w:t xml:space="preserve"> within the related indicators.</w:t>
      </w:r>
      <w:r w:rsidRPr="00781112">
        <w:rPr>
          <w:color w:val="000000" w:themeColor="text1"/>
        </w:rPr>
        <w:br/>
      </w:r>
      <w:r w:rsidRPr="00781112">
        <w:rPr>
          <w:color w:val="000000" w:themeColor="text1"/>
        </w:rPr>
        <w:br/>
        <w:t>Per OSEP's instructions, this FFY 2021 APR includes re-establishing baseline for Indicator 2: Drop-Out Rates because of the change in the required data source. With stakeholder input, inclusive of the State Advisory Panel and secondary special education teachers, CNMI updated the Indicator 2 targets for FFY 2021-FFY 2025, as reflected in the Indicator 2 Data section of this APR.</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Conduct annual Parent Summit</w:t>
      </w:r>
      <w:r w:rsidRPr="00781112">
        <w:rPr>
          <w:color w:val="000000" w:themeColor="text1"/>
        </w:rPr>
        <w:br/>
        <w:t>- Gather input data from special education teachers</w:t>
      </w:r>
      <w:r w:rsidRPr="00781112">
        <w:rPr>
          <w:color w:val="000000" w:themeColor="text1"/>
        </w:rPr>
        <w:br/>
        <w:t>- Continue input sessions with advisory panel members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Chief State School Officer</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Alfred B. Ada, Ed.D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Commissioner of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alfred.ada@cnmipss.org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6702373061</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04/23/23  9:34:41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t>Determination Enclosures</w:t>
      </w:r>
    </w:p>
    <w:p w14:paraId="7F6A87DA" w14:textId="7873ABE7" w:rsidR="00BE0EEF" w:rsidRDefault="00BE0EEF" w:rsidP="00BE0EEF">
      <w:pPr>
        <w:pStyle w:val="Heading2"/>
      </w:pPr>
      <w:r w:rsidRPr="00395B6C">
        <w:t>RDA Matrix</w:t>
      </w:r>
    </w:p>
    <w:p w14:paraId="582A3D23" w14:textId="0AAE7F50" w:rsidR="000452B9" w:rsidRPr="000452B9" w:rsidRDefault="000452B9" w:rsidP="000452B9">
      <w:pPr>
        <w:rPr>
          <w:b/>
          <w:bCs/>
        </w:rPr>
      </w:pPr>
      <w:r w:rsidRPr="000452B9">
        <w:rPr>
          <w:b/>
          <w:bCs/>
          <w:sz w:val="20"/>
          <w:szCs w:val="28"/>
        </w:rPr>
        <w:t>Northern Mariana Islands</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09C95834" w14:textId="77777777" w:rsidR="00C7641D" w:rsidRDefault="00C7641D" w:rsidP="00BE0EEF">
      <w:pPr>
        <w:rPr>
          <w:rFonts w:cs="Arial"/>
          <w:b/>
          <w:bCs/>
          <w:szCs w:val="16"/>
        </w:rPr>
      </w:pPr>
    </w:p>
    <w:p w14:paraId="2A7E4326" w14:textId="6EECB42F"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9"/>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84.00%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7868D02A" w14:textId="77777777" w:rsidR="00C7641D" w:rsidRDefault="00C7641D" w:rsidP="00BE0EEF">
      <w:pPr>
        <w:rPr>
          <w:rFonts w:cs="Arial"/>
          <w:b/>
          <w:bCs/>
          <w:szCs w:val="16"/>
        </w:rPr>
      </w:pPr>
    </w:p>
    <w:p w14:paraId="3111276A" w14:textId="0C497060"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6</w:t>
            </w:r>
          </w:p>
        </w:tc>
        <w:tc>
          <w:tcPr>
            <w:tcW w:w="1218" w:type="pct"/>
          </w:tcPr>
          <w:p w14:paraId="0E3866D0" w14:textId="74D5D84B" w:rsidR="00E1330D" w:rsidRPr="00210AC6" w:rsidRDefault="00E1330D" w:rsidP="00E1330D">
            <w:pPr>
              <w:rPr>
                <w:rFonts w:cs="Arial"/>
                <w:szCs w:val="16"/>
              </w:rPr>
            </w:pPr>
            <w:r w:rsidRPr="00210AC6">
              <w:rPr>
                <w:rFonts w:cs="Arial"/>
                <w:szCs w:val="16"/>
              </w:rPr>
              <w:t>75.00%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10</w:t>
            </w:r>
          </w:p>
        </w:tc>
        <w:tc>
          <w:tcPr>
            <w:tcW w:w="1260" w:type="pct"/>
          </w:tcPr>
          <w:p w14:paraId="0A360C78" w14:textId="7DE98E29" w:rsidR="00E1330D" w:rsidRPr="00210AC6" w:rsidRDefault="00E1330D" w:rsidP="00E1330D">
            <w:pPr>
              <w:rPr>
                <w:rFonts w:cs="Arial"/>
                <w:szCs w:val="16"/>
              </w:rPr>
            </w:pPr>
            <w:r w:rsidRPr="00210AC6">
              <w:rPr>
                <w:rFonts w:cs="Arial"/>
                <w:szCs w:val="16"/>
              </w:rPr>
              <w:t>9</w:t>
            </w:r>
          </w:p>
        </w:tc>
        <w:tc>
          <w:tcPr>
            <w:tcW w:w="1218" w:type="pct"/>
          </w:tcPr>
          <w:p w14:paraId="568903BA" w14:textId="193CF7F1" w:rsidR="00E1330D" w:rsidRPr="00210AC6" w:rsidRDefault="00E1330D" w:rsidP="00E1330D">
            <w:pPr>
              <w:rPr>
                <w:rFonts w:cs="Arial"/>
                <w:szCs w:val="16"/>
              </w:rPr>
            </w:pPr>
            <w:r w:rsidRPr="00210AC6">
              <w:rPr>
                <w:rFonts w:cs="Arial"/>
                <w:szCs w:val="16"/>
              </w:rPr>
              <w:t>90.00%</w:t>
            </w:r>
          </w:p>
        </w:tc>
      </w:tr>
    </w:tbl>
    <w:p w14:paraId="681CFDFD" w14:textId="77777777" w:rsidR="00C7641D" w:rsidRDefault="00C7641D" w:rsidP="00BE0EEF">
      <w:pPr>
        <w:rPr>
          <w:rFonts w:cs="Arial"/>
          <w:b/>
          <w:bCs/>
          <w:szCs w:val="16"/>
        </w:rPr>
      </w:pPr>
    </w:p>
    <w:p w14:paraId="5A13FEB8" w14:textId="4F00ADEB" w:rsidR="00BE0EEF" w:rsidRDefault="00BE0EEF" w:rsidP="00BE0EEF">
      <w:pPr>
        <w:rPr>
          <w:rFonts w:cs="Arial"/>
          <w:b/>
          <w:bCs/>
          <w:szCs w:val="16"/>
        </w:rPr>
      </w:pPr>
      <w:r w:rsidRPr="00210AC6">
        <w:rPr>
          <w:rFonts w:cs="Arial"/>
          <w:b/>
          <w:bCs/>
          <w:szCs w:val="16"/>
        </w:rPr>
        <w:t>2023 Part B Results Matrix</w:t>
      </w:r>
    </w:p>
    <w:p w14:paraId="72598268" w14:textId="77777777" w:rsidR="00C7641D" w:rsidRDefault="00C7641D" w:rsidP="00353EB1">
      <w:pPr>
        <w:rPr>
          <w:rFonts w:cs="Arial"/>
          <w:b/>
          <w:bCs/>
          <w:szCs w:val="16"/>
        </w:rPr>
      </w:pPr>
    </w:p>
    <w:p w14:paraId="54FF45BF" w14:textId="3B48C926"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2BE40D83" w:rsidR="00416FE7" w:rsidRPr="00210AC6" w:rsidRDefault="00C7641D" w:rsidP="00416FE7">
            <w:pPr>
              <w:rPr>
                <w:rFonts w:cs="Arial"/>
                <w:szCs w:val="16"/>
              </w:rPr>
            </w:pPr>
            <w:r>
              <w:rPr>
                <w:rFonts w:cs="Arial"/>
                <w:szCs w:val="16"/>
              </w:rPr>
              <w:t>*</w:t>
            </w:r>
          </w:p>
        </w:tc>
        <w:tc>
          <w:tcPr>
            <w:tcW w:w="833" w:type="pct"/>
          </w:tcPr>
          <w:p w14:paraId="24CF081D" w14:textId="4C5055FB" w:rsidR="00416FE7" w:rsidRPr="00210AC6" w:rsidRDefault="00416FE7" w:rsidP="00416FE7">
            <w:pPr>
              <w:rPr>
                <w:rFonts w:cs="Arial"/>
                <w:szCs w:val="16"/>
              </w:rPr>
            </w:pPr>
            <w:r w:rsidRPr="00210AC6">
              <w:rPr>
                <w:rFonts w:cs="Arial"/>
                <w:szCs w:val="16"/>
              </w:rPr>
              <w:t>1</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73A05051" w14:textId="732B80EA" w:rsidR="00C7641D" w:rsidRDefault="00C7641D" w:rsidP="00C7641D">
      <w:pPr>
        <w:spacing w:before="0" w:after="200" w:line="276" w:lineRule="auto"/>
        <w:rPr>
          <w:rFonts w:cs="Arial"/>
          <w:b/>
          <w:bCs/>
          <w:szCs w:val="16"/>
        </w:rPr>
      </w:pPr>
      <w:r>
        <w:rPr>
          <w:rFonts w:cs="Arial"/>
          <w:szCs w:val="16"/>
        </w:rPr>
        <w:t>*Due to privacy concerns the Department has chosen to suppress this calculation.</w:t>
      </w:r>
    </w:p>
    <w:p w14:paraId="07CD2882" w14:textId="6A204913"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32F4885E" w:rsidR="00FB3CF2" w:rsidRPr="00210AC6" w:rsidRDefault="00C7641D" w:rsidP="00FB3CF2">
            <w:pPr>
              <w:rPr>
                <w:rFonts w:cs="Arial"/>
                <w:szCs w:val="16"/>
              </w:rPr>
            </w:pPr>
            <w:r>
              <w:rPr>
                <w:rFonts w:cs="Arial"/>
                <w:szCs w:val="16"/>
              </w:rPr>
              <w:t>*</w:t>
            </w:r>
          </w:p>
        </w:tc>
        <w:tc>
          <w:tcPr>
            <w:tcW w:w="833" w:type="pct"/>
          </w:tcPr>
          <w:p w14:paraId="0ABE3821" w14:textId="13CF98A7" w:rsidR="00FB3CF2" w:rsidRPr="00210AC6" w:rsidRDefault="00FB3CF2" w:rsidP="00FB3CF2">
            <w:pPr>
              <w:rPr>
                <w:rFonts w:cs="Arial"/>
                <w:szCs w:val="16"/>
              </w:rPr>
            </w:pPr>
            <w:r w:rsidRPr="00210AC6">
              <w:rPr>
                <w:rFonts w:cs="Arial"/>
                <w:szCs w:val="16"/>
              </w:rPr>
              <w:t>1</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1779A1DD" w14:textId="67B6EB4A" w:rsidR="00C7641D" w:rsidRDefault="00C7641D">
      <w:pPr>
        <w:spacing w:before="0" w:after="200" w:line="276" w:lineRule="auto"/>
        <w:rPr>
          <w:rFonts w:cs="Arial"/>
          <w:szCs w:val="16"/>
        </w:rPr>
      </w:pPr>
      <w:r>
        <w:rPr>
          <w:rFonts w:cs="Arial"/>
          <w:szCs w:val="16"/>
        </w:rPr>
        <w:t>*Due to privacy concerns the Department has chosen to suppress this calculation</w:t>
      </w:r>
    </w:p>
    <w:p w14:paraId="50811367" w14:textId="77777777" w:rsidR="00C7641D" w:rsidRDefault="00C7641D">
      <w:pPr>
        <w:spacing w:before="0" w:after="200" w:line="276" w:lineRule="auto"/>
        <w:rPr>
          <w:rFonts w:cs="Arial"/>
          <w:b/>
          <w:bCs/>
          <w:szCs w:val="16"/>
        </w:rPr>
      </w:pPr>
    </w:p>
    <w:p w14:paraId="23DD81BC" w14:textId="77777777" w:rsidR="00C7641D" w:rsidRDefault="00C7641D">
      <w:pPr>
        <w:spacing w:before="0" w:after="200" w:line="276" w:lineRule="auto"/>
        <w:rPr>
          <w:rFonts w:cs="Arial"/>
          <w:b/>
          <w:bCs/>
          <w:szCs w:val="16"/>
        </w:rPr>
      </w:pPr>
    </w:p>
    <w:p w14:paraId="7CB1ADAA" w14:textId="77777777" w:rsidR="00C7641D" w:rsidRDefault="00C7641D">
      <w:pPr>
        <w:spacing w:before="0" w:after="200" w:line="276" w:lineRule="auto"/>
        <w:rPr>
          <w:rFonts w:cs="Arial"/>
          <w:b/>
          <w:bCs/>
          <w:szCs w:val="16"/>
        </w:rPr>
      </w:pPr>
    </w:p>
    <w:p w14:paraId="541F4757" w14:textId="77777777" w:rsidR="00C7641D" w:rsidRDefault="00C7641D">
      <w:pPr>
        <w:spacing w:before="0" w:after="200" w:line="276" w:lineRule="auto"/>
        <w:rPr>
          <w:rFonts w:cs="Arial"/>
          <w:b/>
          <w:bCs/>
          <w:szCs w:val="16"/>
        </w:rPr>
      </w:pPr>
    </w:p>
    <w:p w14:paraId="575750B6" w14:textId="01189256" w:rsidR="004613BA" w:rsidRDefault="00BE0EEF" w:rsidP="00BE0EEF">
      <w:pPr>
        <w:rPr>
          <w:rFonts w:cs="Arial"/>
          <w:b/>
          <w:bCs/>
          <w:szCs w:val="16"/>
        </w:rPr>
      </w:pPr>
      <w:r w:rsidRPr="00210AC6">
        <w:rPr>
          <w:rFonts w:cs="Arial"/>
          <w:b/>
          <w:bCs/>
          <w:szCs w:val="16"/>
        </w:rPr>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7</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2</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77777777" w:rsidR="0075626F" w:rsidRDefault="0075626F" w:rsidP="0075626F">
            <w:pPr>
              <w:rPr>
                <w:rFonts w:cs="Arial"/>
                <w:szCs w:val="16"/>
              </w:rPr>
            </w:pPr>
            <w:r>
              <w:rPr>
                <w:rFonts w:cs="Arial"/>
                <w:szCs w:val="16"/>
              </w:rPr>
              <w:t>92</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0"/>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85.71%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1</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100.00%</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100.00%</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N/A</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t>Data Rubric</w:t>
      </w:r>
    </w:p>
    <w:p w14:paraId="4862A204" w14:textId="0AEE444E" w:rsidR="000452B9" w:rsidRPr="000452B9" w:rsidRDefault="000452B9" w:rsidP="000452B9">
      <w:r w:rsidRPr="000452B9">
        <w:rPr>
          <w:b/>
          <w:bCs/>
          <w:sz w:val="20"/>
          <w:szCs w:val="28"/>
        </w:rPr>
        <w:t>Northern Mariana Islands</w:t>
      </w:r>
    </w:p>
    <w:p w14:paraId="27E7D5D5" w14:textId="314242AE" w:rsidR="00110BB6" w:rsidRDefault="00110BB6" w:rsidP="00110BB6">
      <w:pPr>
        <w:jc w:val="center"/>
      </w:pPr>
      <w:r>
        <w:t>FFY 2021 APR</w:t>
      </w:r>
      <w:r w:rsidR="00A47134">
        <w:rPr>
          <w:rStyle w:val="FootnoteReference"/>
        </w:rPr>
        <w:footnoteReference w:id="11"/>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18</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23</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2"/>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23</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3</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49.00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t>Dispute Resolution</w:t>
      </w:r>
    </w:p>
    <w:p w14:paraId="506257C8" w14:textId="77777777" w:rsidR="000452B9" w:rsidRDefault="000452B9">
      <w:pPr>
        <w:spacing w:before="0" w:after="200" w:line="276" w:lineRule="auto"/>
      </w:pPr>
    </w:p>
    <w:p w14:paraId="10BA59E7" w14:textId="2DDA0BED" w:rsidR="0058254D" w:rsidRDefault="000452B9">
      <w:pPr>
        <w:spacing w:before="0" w:after="200" w:line="276" w:lineRule="auto"/>
      </w:pPr>
      <w:r>
        <w:object w:dxaOrig="1540" w:dyaOrig="997" w14:anchorId="63306E1A">
          <v:shape id="_x0000_i1026" type="#_x0000_t75" alt="MP-B-DR-2021-22" style="width:77.25pt;height:50.25pt" o:ole="">
            <v:imagedata r:id="rId12" o:title=""/>
          </v:shape>
          <o:OLEObject Type="Embed" ProgID="Acrobat.Document.DC" ShapeID="_x0000_i1026" DrawAspect="Icon" ObjectID="_1752308724" r:id="rId13"/>
        </w:object>
      </w:r>
      <w:r w:rsidR="0058254D">
        <w:br w:type="page"/>
      </w:r>
    </w:p>
    <w:p w14:paraId="1EB6A9F6" w14:textId="77777777" w:rsidR="00085B13" w:rsidRDefault="00085B13" w:rsidP="00085B13">
      <w:pPr>
        <w:pStyle w:val="Heading2"/>
      </w:pPr>
      <w:r>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92465D">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0" w:name="Introduction"/>
      <w:bookmarkStart w:id="91" w:name="_Hlk124349373"/>
      <w:bookmarkEnd w:id="3"/>
      <w:bookmarkEnd w:id="90"/>
      <w:bookmarkEnd w:id="91"/>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92465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404C84EE" w14:textId="3BAF7CB5" w:rsidR="0074272B" w:rsidRDefault="0074272B">
      <w:pPr>
        <w:pStyle w:val="FootnoteText"/>
      </w:pPr>
      <w:r w:rsidRPr="0074272B">
        <w:rPr>
          <w:rStyle w:val="FootnoteReference"/>
          <w:sz w:val="16"/>
          <w:szCs w:val="16"/>
        </w:rPr>
        <w:footnoteRef/>
      </w:r>
      <w:r w:rsidRPr="0074272B">
        <w:rPr>
          <w:sz w:val="16"/>
          <w:szCs w:val="16"/>
        </w:rPr>
        <w:t xml:space="preserve"> Data suppressed due to small cell size.</w:t>
      </w:r>
    </w:p>
  </w:footnote>
  <w:footnote w:id="3">
    <w:p w14:paraId="3BE30406" w14:textId="0F8FB5B0" w:rsidR="0074272B" w:rsidRDefault="0074272B">
      <w:pPr>
        <w:pStyle w:val="FootnoteText"/>
      </w:pPr>
      <w:r w:rsidRPr="0074272B">
        <w:rPr>
          <w:rStyle w:val="FootnoteReference"/>
          <w:sz w:val="16"/>
          <w:szCs w:val="16"/>
        </w:rPr>
        <w:footnoteRef/>
      </w:r>
      <w:r w:rsidRPr="0074272B">
        <w:rPr>
          <w:sz w:val="16"/>
          <w:szCs w:val="16"/>
        </w:rPr>
        <w:t xml:space="preserve"> Data suppressed due to small cell size.</w:t>
      </w:r>
    </w:p>
  </w:footnote>
  <w:footnote w:id="4">
    <w:p w14:paraId="2E54ACCB" w14:textId="59BA8C8C" w:rsidR="00E24F10" w:rsidRDefault="00E24F10">
      <w:pPr>
        <w:pStyle w:val="FootnoteText"/>
      </w:pPr>
      <w:r w:rsidRPr="00E24F10">
        <w:rPr>
          <w:rStyle w:val="FootnoteReference"/>
          <w:sz w:val="16"/>
          <w:szCs w:val="16"/>
        </w:rPr>
        <w:footnoteRef/>
      </w:r>
      <w:r w:rsidRPr="00E24F10">
        <w:rPr>
          <w:sz w:val="16"/>
          <w:szCs w:val="16"/>
        </w:rPr>
        <w:t xml:space="preserve"> Data suppressed due to smal cell size.</w:t>
      </w:r>
    </w:p>
  </w:footnote>
  <w:footnote w:id="5">
    <w:p w14:paraId="0CB2D64E" w14:textId="41A8CE74" w:rsidR="00E24F10" w:rsidRDefault="00E24F10">
      <w:pPr>
        <w:pStyle w:val="FootnoteText"/>
      </w:pPr>
      <w:r w:rsidRPr="00E24F10">
        <w:rPr>
          <w:rStyle w:val="FootnoteReference"/>
          <w:sz w:val="16"/>
          <w:szCs w:val="16"/>
        </w:rPr>
        <w:footnoteRef/>
      </w:r>
      <w:r w:rsidRPr="00E24F10">
        <w:rPr>
          <w:sz w:val="16"/>
          <w:szCs w:val="16"/>
        </w:rPr>
        <w:t xml:space="preserve"> Data suppressed due to small cell size.</w:t>
      </w:r>
    </w:p>
  </w:footnote>
  <w:footnote w:id="6">
    <w:p w14:paraId="5718DBA3" w14:textId="77777777" w:rsidR="0092465D" w:rsidRDefault="0092465D" w:rsidP="0092465D">
      <w:pPr>
        <w:pStyle w:val="FootnoteText"/>
      </w:pPr>
      <w:r w:rsidRPr="00E24F10">
        <w:rPr>
          <w:rStyle w:val="FootnoteReference"/>
          <w:sz w:val="16"/>
          <w:szCs w:val="16"/>
        </w:rPr>
        <w:footnoteRef/>
      </w:r>
      <w:r w:rsidRPr="00E24F10">
        <w:rPr>
          <w:sz w:val="16"/>
          <w:szCs w:val="16"/>
        </w:rPr>
        <w:t xml:space="preserve"> Data suppressed due to small cell size.</w:t>
      </w:r>
    </w:p>
  </w:footnote>
  <w:footnote w:id="7">
    <w:p w14:paraId="7D9AA6FF" w14:textId="7836A589" w:rsidR="007063C1" w:rsidRDefault="007063C1">
      <w:pPr>
        <w:pStyle w:val="FootnoteText"/>
      </w:pPr>
      <w:r w:rsidRPr="007063C1">
        <w:rPr>
          <w:rStyle w:val="FootnoteReference"/>
          <w:sz w:val="16"/>
          <w:szCs w:val="16"/>
        </w:rPr>
        <w:footnoteRef/>
      </w:r>
      <w:r w:rsidRPr="007063C1">
        <w:rPr>
          <w:sz w:val="16"/>
          <w:szCs w:val="16"/>
        </w:rPr>
        <w:t xml:space="preserve"> Data suppressed due to small cell size.</w:t>
      </w:r>
    </w:p>
  </w:footnote>
  <w:footnote w:id="8">
    <w:p w14:paraId="151591ED" w14:textId="2FAFF6F4" w:rsidR="007063C1" w:rsidRDefault="007063C1">
      <w:pPr>
        <w:pStyle w:val="FootnoteText"/>
      </w:pPr>
      <w:r w:rsidRPr="007063C1">
        <w:rPr>
          <w:rStyle w:val="FootnoteReference"/>
          <w:sz w:val="16"/>
          <w:szCs w:val="16"/>
        </w:rPr>
        <w:footnoteRef/>
      </w:r>
      <w:r w:rsidRPr="007063C1">
        <w:rPr>
          <w:sz w:val="16"/>
          <w:szCs w:val="16"/>
        </w:rPr>
        <w:t xml:space="preserve"> Data suppressed due to small cell size.</w:t>
      </w:r>
    </w:p>
  </w:footnote>
  <w:footnote w:id="9">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0">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1">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2">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9246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234E"/>
    <w:rsid w:val="0004359A"/>
    <w:rsid w:val="000437FD"/>
    <w:rsid w:val="00043AAB"/>
    <w:rsid w:val="00043AC9"/>
    <w:rsid w:val="000444E2"/>
    <w:rsid w:val="00044883"/>
    <w:rsid w:val="00044B5C"/>
    <w:rsid w:val="000452B9"/>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5C4A"/>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63C1"/>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72B"/>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0D2"/>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1F36"/>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65D"/>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41D"/>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10"/>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2BB"/>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A57F-F827-4824-9F68-83A6CF44A363}"/>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292db1e8-b3d0-4356-8ef3-2a6d7ed77883"/>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4f36bac4-6705-4a36-974b-7c07450fedf2"/>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21</TotalTime>
  <Pages>77</Pages>
  <Words>39072</Words>
  <Characters>222713</Characters>
  <Application>Microsoft Office Word</Application>
  <DocSecurity>0</DocSecurity>
  <Lines>1855</Lines>
  <Paragraphs>522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11</cp:revision>
  <cp:lastPrinted>2014-08-19T16:56:00Z</cp:lastPrinted>
  <dcterms:created xsi:type="dcterms:W3CDTF">2023-06-28T20:35:00Z</dcterms:created>
  <dcterms:modified xsi:type="dcterms:W3CDTF">2023-07-31T16:39:00Z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