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Michigan</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Lead Agency for Part C, or Early On®, is Michigan’s State Education Agency, the Michigan Department of Education (MDE). The MDE provides oversight to the 56 intermediate school districts (ISDs) responsible for the administration of Early On across the state. Each local early intervention system (LEIS) is required to have a Local Interagency Coordinating Council (LICC) to provide an advisory body for its system of services. The LICCs are patterned after the Michigan Interagency Coordinating Council (MICC) requiring representative stakeholders and parent membership.</w:t>
      </w:r>
      <w:r w:rsidRPr="00ED172B">
        <w:rPr>
          <w:color w:val="000000" w:themeColor="text1"/>
        </w:rPr>
        <w:br/>
      </w:r>
      <w:r w:rsidRPr="00ED172B">
        <w:rPr>
          <w:color w:val="000000" w:themeColor="text1"/>
        </w:rPr>
        <w:br/>
        <w:t xml:space="preserve">Since program inception, Michigan’s early intervention system has coordinated and collaborated with the Michigan Department of Human Services, the child well-being agency, and the Michigan Department of Community Health, which houses both mental health and public health, to implement the early intervention system for infants and toddlers with disabilities or developmental delays and their families. These state-level service partners are part of one agency, which is the Michigan Department of Health and Human Services (MDHHS). These state level partners coordinate and collaborate with the MDE to collect and analyze program data, as well as implement improvement activities to improve outcomes. </w:t>
      </w:r>
      <w:r w:rsidRPr="00ED172B">
        <w:rPr>
          <w:color w:val="000000" w:themeColor="text1"/>
        </w:rPr>
        <w:br/>
      </w:r>
      <w:r w:rsidRPr="00ED172B">
        <w:rPr>
          <w:color w:val="000000" w:themeColor="text1"/>
        </w:rPr>
        <w:br/>
        <w:t xml:space="preserve">The Annual Performance Report (APR) development process included input and analysis of data from MDE, MDHHS, program partners, families, and a review by the MICC. Contractors and MDE’s state-level data collection entity ensured that indicator-specific data were collected, certified, and submitted to MDE for final confirmation. LEIS submitted data to the Michigan Student Data System (MSDS), which were then analyzed by the Part C 618 data coordinator. Data were also collected and analyzed by Wayne State University. A series of meetings were held to review and utilize confirmed data to develop program improvement activities. Data coordination meetings have aligned efforts and decreased redundancy. New this year, the MDE developed a data ad hoc committee, which both worked to inform a state-level group of stakeholders on data collection and reporting elements and to inform the SPP/APR movement process moving forward. </w:t>
      </w:r>
      <w:r w:rsidRPr="00ED172B">
        <w:rPr>
          <w:color w:val="000000" w:themeColor="text1"/>
        </w:rPr>
        <w:br/>
      </w:r>
      <w:r w:rsidRPr="00ED172B">
        <w:rPr>
          <w:color w:val="000000" w:themeColor="text1"/>
        </w:rPr>
        <w:br/>
        <w:t>In Michigan, Parts B and C have been engaged in the development of Catamaran, a comprehensive online monitoring/accountability system. The monitoring system has gone through various iterations to respond to requirements within the 2004 Reauthorization of the Individuals with Disabilities Education Improvement Act. Continuous improvement is a constant goal, so enhancements were initiated to the monitoring/accountability system in response to needs of the users. There are three monitoring components to Catamaran: (1) focused monitoring; (2) data analysis, which includes a process for notifying LEISs of findings which require corrective action plans for compliance indicators; and (3) verification.</w:t>
      </w:r>
      <w:r w:rsidRPr="00ED172B">
        <w:rPr>
          <w:color w:val="000000" w:themeColor="text1"/>
        </w:rPr>
        <w:br/>
      </w:r>
      <w:r w:rsidRPr="00ED172B">
        <w:rPr>
          <w:color w:val="000000" w:themeColor="text1"/>
        </w:rPr>
        <w:br/>
        <w:t xml:space="preserve">Verification that each LEIS is correctly implementing a specific regulatory requirement starts with MDE reviewing MSDS data submitted by each LEIS. If data submitted and reviewed by MDE in response to corrective action plans indicate correction, then verification is complete. If a deeper analysis is required, MDE will request the LEIS submit a random sample of 10% of the most recent local child count or a minimum of ten records, whichever is greater, from the local program child files within the reporting period. MDE uses an indicator-specific checklist based upon the federal and state standards when reviewing each set of local program files. This ensures that local programs are correctly implementing the specific regulatory requirements. Notification of noncompliance is made in the Catamaran system. For all child-level noncompliance and/or related requirements, citations are provided to the LEIS through a child-level corrective action form in Catamaran. The LEISs are given a deadline by which they must correct the noncompliance for each child record. The state verifies child-level correction of noncompliance by reviewing individual child records using the same indicator-specific checklist noted earlier. This review certifies that the specific missing component that caused noncompliance has been provided to that child and/or family. </w:t>
      </w:r>
      <w:r w:rsidRPr="00ED172B">
        <w:rPr>
          <w:color w:val="000000" w:themeColor="text1"/>
        </w:rPr>
        <w:br/>
      </w:r>
      <w:r w:rsidRPr="00ED172B">
        <w:rPr>
          <w:color w:val="000000" w:themeColor="text1"/>
        </w:rPr>
        <w:br/>
        <w:t>A copy of the Michigan Part C of IDEA State Performance Plan/Annual Performance Report (SPP/APR) can be downloaded at www.michigan.gov/earlyon.</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When Michigan issued a stay-at-home order in March 2020 in response to COVID-19, local Part C service areas struggled with child find, child outcome data collection, and assessments in a virtual environment or when they could not meet with families in person. This pandemic had the potential to impact the completeness and validity of SPP/APR indicator data. If providers found themselves unable to collect data or complete assessments, both compliance and results indicator data were impacted. </w:t>
      </w:r>
      <w:r w:rsidRPr="00ED172B">
        <w:rPr>
          <w:color w:val="000000" w:themeColor="text1"/>
        </w:rPr>
        <w:br/>
      </w:r>
      <w:r w:rsidRPr="00ED172B">
        <w:rPr>
          <w:color w:val="000000" w:themeColor="text1"/>
        </w:rPr>
        <w:br/>
        <w:t>The following steps were taken to mitigate the impact of COVID-19:</w:t>
      </w:r>
      <w:r w:rsidRPr="00ED172B">
        <w:rPr>
          <w:color w:val="000000" w:themeColor="text1"/>
        </w:rPr>
        <w:br/>
        <w:t>• Webinars were offered either bi-weekly or monthly from the beginning of the pandemic to the end of the program year. The combined Early On and ECSE webinars provided a regular open two-way communication loop between Michigan’s IDEA Part C program staff, Early On Training and Technical Assistance (EOT&amp;TA), and local administrators and providers.</w:t>
      </w:r>
      <w:r w:rsidRPr="00ED172B">
        <w:rPr>
          <w:color w:val="000000" w:themeColor="text1"/>
        </w:rPr>
        <w:br/>
        <w:t>• Community of Practice (CoP) meetings held by EOT&amp;TA provided opportunities for local administrators to problem-solve with each other and with state technical assistance specialists.</w:t>
      </w:r>
      <w:r w:rsidRPr="00ED172B">
        <w:rPr>
          <w:color w:val="000000" w:themeColor="text1"/>
        </w:rPr>
        <w:br/>
        <w:t>• Technical assistance specialists attended national technical assistance offerings and gathered resources. Information and resources were then used to support local service areas during the pandemic.</w:t>
      </w:r>
      <w:r w:rsidRPr="00ED172B">
        <w:rPr>
          <w:color w:val="000000" w:themeColor="text1"/>
        </w:rPr>
        <w:br/>
        <w:t>• Resources were posted on EOT&amp;TA’s website to provide continuous access.</w:t>
      </w:r>
      <w:r w:rsidRPr="00ED172B">
        <w:rPr>
          <w:color w:val="000000" w:themeColor="text1"/>
        </w:rPr>
        <w:br/>
        <w:t>These strategies provided support to local early intervention service areas to avert the impact on completeness and validity of data. These proactive steps allowed Michigan to collect complete and valid data to the fullest extent possible.</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Michigan’s Part C comprehensive general supervision system is in place to assist in achieving improved results for infants and toddlers with disabilities and/or a developmental delay and their families. Various components of the system are briefly discussed below.</w:t>
      </w:r>
      <w:r w:rsidRPr="00ED172B">
        <w:rPr>
          <w:color w:val="000000" w:themeColor="text1"/>
          <w:szCs w:val="16"/>
        </w:rPr>
        <w:br/>
      </w:r>
      <w:r w:rsidRPr="00ED172B">
        <w:rPr>
          <w:color w:val="000000" w:themeColor="text1"/>
          <w:szCs w:val="16"/>
        </w:rPr>
        <w:br/>
        <w:t>MDE is the lead agency for the implementation of Part C of the Individuals with Disabilities Education Act (IDEA). Part C of IDEA is commonly known as Early On in Michigan. Leadership for Early On is located in the Office of Great Start/Early Childhood Development and Family Education (OGS/ECD&amp;FE). There are 56 ISDs responsible for the administration of Early On across the state. Each LEIS is required to have an LICC to provide advice for its system of services. The LICCs are patterned after the MICC, requiring representative stakeholders as well as parent membership.</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Early On partners and collaborates with the MICC, the state interagency coordinating council. MDE staff reviewed available data along with statewide contractors, members of the MICC Executive Committee, and the Parent Involvement Committee (PIC). After several data review meetings, target recommendations were presented to the MICC at their November 2014 meeting. Each November, the MICC reviews current data in comparison to the previously set targets. </w:t>
      </w:r>
      <w:r w:rsidRPr="00ED172B">
        <w:rPr>
          <w:color w:val="000000" w:themeColor="text1"/>
          <w:szCs w:val="16"/>
        </w:rPr>
        <w:br/>
      </w:r>
      <w:r w:rsidRPr="00ED172B">
        <w:rPr>
          <w:color w:val="000000" w:themeColor="text1"/>
          <w:szCs w:val="16"/>
        </w:rPr>
        <w:br/>
        <w:t>Data collection for Part C reporting requirements are collected from three sources: 1) the Michigan Electronic Grants System Plus (MEGS+); 2) the Michigan Student Data System (MSDS); and 3) the Qualitative Compliance Information Project (QCIP), Michigan's confidential system for reporting family outcomes. Local lead agencies collect basic demographic data on all children enrolled in Early On, assigning a unique identification code (UIC) to each child. Those data are then uploaded from individual local data management systems into MSDS. MSDS builds a secure, confidential record of elements needed for federal reporting.</w:t>
      </w:r>
      <w:r w:rsidRPr="00ED172B">
        <w:rPr>
          <w:color w:val="000000" w:themeColor="text1"/>
          <w:szCs w:val="16"/>
        </w:rPr>
        <w:br/>
      </w:r>
      <w:r w:rsidRPr="00ED172B">
        <w:rPr>
          <w:color w:val="000000" w:themeColor="text1"/>
          <w:szCs w:val="16"/>
        </w:rPr>
        <w:br/>
        <w:t>Fiscal management of LEIS and statewide contracts is controlled using MEGS+. All fiscal agents must apply for Part C funds through this system. Budgets and subsequent amendments are approved by lead agency staff. Distribution of reimbursement payments are conducted and final expenditure reports are filed via the Cash Management System.</w:t>
      </w:r>
      <w:r w:rsidRPr="00ED172B">
        <w:rPr>
          <w:color w:val="000000" w:themeColor="text1"/>
          <w:szCs w:val="16"/>
        </w:rPr>
        <w:br/>
      </w:r>
      <w:r w:rsidRPr="00ED172B">
        <w:rPr>
          <w:color w:val="000000" w:themeColor="text1"/>
          <w:szCs w:val="16"/>
        </w:rPr>
        <w:br/>
        <w:t>An effective dispute resolution system is in place with the support of Michigan's Office of Special Education (OSE), the lead office for Part B of IDEA. OSE provides oversight and administration for mediation, complaints, and due process hearings for both Part C and Part B of IDEA.</w:t>
      </w:r>
      <w:r w:rsidRPr="00ED172B">
        <w:rPr>
          <w:color w:val="000000" w:themeColor="text1"/>
          <w:szCs w:val="16"/>
        </w:rPr>
        <w:br/>
      </w:r>
      <w:r w:rsidRPr="00ED172B">
        <w:rPr>
          <w:color w:val="000000" w:themeColor="text1"/>
          <w:szCs w:val="16"/>
        </w:rPr>
        <w:br/>
        <w:t>State mediation requests are processed by Special Education Mediation Services (SEMS), formerly known as Michigan Special Education Mediation Program (mikids1st.org). SEMS provides mediation, facilitation, and training services for working through disagreements so that children with disabilities promptly receive the services they need to develop and succeed in school. SEMS provides services through a network of 18 conflict resolution centers across the state. The project uses mediation, facilitation, and training services for working through disputes. The mediation process is intended to resolve disputes by sharing ideas on what the child needs. The process helps participants find solutions for the good of the child and family in a non-legal way, thereby avoiding a lengthy and expensive court process. The use of mediation is voluntary and has to be agreed to by both the parent and the local early intervention system.</w:t>
      </w:r>
      <w:r w:rsidRPr="00ED172B">
        <w:rPr>
          <w:color w:val="000000" w:themeColor="text1"/>
          <w:szCs w:val="16"/>
        </w:rPr>
        <w:br/>
        <w:t xml:space="preserve"> </w:t>
      </w:r>
      <w:r w:rsidRPr="00ED172B">
        <w:rPr>
          <w:color w:val="000000" w:themeColor="text1"/>
          <w:szCs w:val="16"/>
        </w:rPr>
        <w:br/>
        <w:t>Complaints filed with the state are processed by OSE. OSE has a very organized system to track and process complaints. OSE utilizes a single-tier complaint system. All state complaints are completed using this system. This single-tier system allows the early intervention systems and OSE to jointly investigate complaints resulting in the opportunity to encourage and support the use of local resolution and methods of alternative dispute resolution.</w:t>
      </w:r>
      <w:r w:rsidRPr="00ED172B">
        <w:rPr>
          <w:color w:val="000000" w:themeColor="text1"/>
          <w:szCs w:val="16"/>
        </w:rPr>
        <w:br/>
      </w:r>
      <w:r w:rsidRPr="00ED172B">
        <w:rPr>
          <w:color w:val="000000" w:themeColor="text1"/>
          <w:szCs w:val="16"/>
        </w:rPr>
        <w:br/>
        <w:t xml:space="preserve">Due process hearings in Michigan are processed in a single-tier system that uses hearing officers who are administrative law judges. The hearing officers are salaried state employees employed by a state department separate from MDE. It is required that the hearing officers are knowledgeable and understand the provisions of IDEA, federal and state regulations, and all relevant legal interpretations. This separate agency is the Michigan Administrative Hearing System (MAHS). </w:t>
      </w:r>
      <w:r w:rsidRPr="00ED172B">
        <w:rPr>
          <w:color w:val="000000" w:themeColor="text1"/>
          <w:szCs w:val="16"/>
        </w:rPr>
        <w:br/>
      </w:r>
      <w:r w:rsidRPr="00ED172B">
        <w:rPr>
          <w:color w:val="000000" w:themeColor="text1"/>
          <w:szCs w:val="16"/>
        </w:rPr>
        <w:br/>
        <w:t>The monitoring system used by OSE and OGS/ECD&amp;FE is an interactive online system entitled Catamaran. The state uses this system to ensure compliance with IDEA and any state rule and to promote outcomes. This system was designed to help the state and ISDs analyze and interpret data, as well as record all monitoring activities in a single location. It reflects the priorities of IDEA and the State Performance Plan (SPP). In assessing the performance of its locals, the state monitors data collected through focused monitoring activities (on-site, state-verified desk audit or state-verified self-review), data reviews, and other activities.</w:t>
      </w:r>
      <w:r w:rsidRPr="00ED172B">
        <w:rPr>
          <w:color w:val="000000" w:themeColor="text1"/>
          <w:szCs w:val="16"/>
        </w:rPr>
        <w:br/>
      </w:r>
      <w:r w:rsidRPr="00ED172B">
        <w:rPr>
          <w:color w:val="000000" w:themeColor="text1"/>
          <w:szCs w:val="16"/>
        </w:rPr>
        <w:br/>
        <w:t xml:space="preserve">Michigan evaluates the performance of each local early intervention system, relative to the SPP indicator targets. If areas of noncompliance are identified, the state issues a finding of noncompliance to the LEIS. </w:t>
      </w:r>
      <w:r w:rsidRPr="00ED172B">
        <w:rPr>
          <w:color w:val="000000" w:themeColor="text1"/>
          <w:szCs w:val="16"/>
        </w:rPr>
        <w:br/>
      </w:r>
      <w:r w:rsidRPr="00ED172B">
        <w:rPr>
          <w:color w:val="000000" w:themeColor="text1"/>
          <w:szCs w:val="16"/>
        </w:rPr>
        <w:br/>
        <w:t>A finding is a dated, written notification that includes both the citation of the statute, rule or regulation, and a description of the data supporting the state's conclusion that there is noncompliance with that statute or regulation. There are two prongs of verification of correction used by the state: Prong 1 – The local has corrected each individual case of noncompliance, and Prong 2 – The local is correctly implementing the specific regulatory requirements (i.e., achieved 100% compliance) based on the state's review of new data per established indicator timeframes.</w:t>
      </w:r>
      <w:r w:rsidRPr="00ED172B">
        <w:rPr>
          <w:color w:val="000000" w:themeColor="text1"/>
          <w:szCs w:val="16"/>
        </w:rPr>
        <w:br/>
      </w:r>
      <w:r w:rsidRPr="00ED172B">
        <w:rPr>
          <w:color w:val="000000" w:themeColor="text1"/>
          <w:szCs w:val="16"/>
        </w:rPr>
        <w:br/>
        <w:t xml:space="preserve">All identified noncompliance must be corrected as soon as possible, but in no case later than one year, including verification. </w:t>
      </w:r>
      <w:r w:rsidRPr="00ED172B">
        <w:rPr>
          <w:color w:val="000000" w:themeColor="text1"/>
          <w:szCs w:val="16"/>
        </w:rPr>
        <w:br/>
      </w:r>
      <w:r w:rsidRPr="00ED172B">
        <w:rPr>
          <w:color w:val="000000" w:themeColor="text1"/>
          <w:szCs w:val="16"/>
        </w:rPr>
        <w:br/>
        <w:t>Policies, procedures, and the SPP/APR are in place to provide guidance to the field. A Michigan State Plan for Part C of IDEA provides a general overview to the federal requirements. The State Plan, additional guidance, and implementation can be found on the MDE, Early On, and Early On Training and Technical Assistance websites; which are available to the public. The three website addresses are below:</w:t>
      </w:r>
      <w:r w:rsidRPr="00ED172B">
        <w:rPr>
          <w:color w:val="000000" w:themeColor="text1"/>
          <w:szCs w:val="16"/>
        </w:rPr>
        <w:br/>
        <w:t>Michigan Department of Education: www.michigan.gov/earlyon</w:t>
      </w:r>
      <w:r w:rsidRPr="00ED172B">
        <w:rPr>
          <w:color w:val="000000" w:themeColor="text1"/>
          <w:szCs w:val="16"/>
        </w:rPr>
        <w:br/>
        <w:t xml:space="preserve">Early On: www.1800EarlyOn.org </w:t>
      </w:r>
      <w:r w:rsidRPr="00ED172B">
        <w:rPr>
          <w:color w:val="000000" w:themeColor="text1"/>
          <w:szCs w:val="16"/>
        </w:rPr>
        <w:br/>
        <w:t>Early On Training and Technical Assistance: www.eotta.ccresa.org</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Technical Assistance (TA) is provided by a statewide contractor, Early On Training and Technical Assistance (EOT&amp;TA), at Clinton County Regional Educational Service Agency. Technical assistance is a component of the comprehensive system of personnel development provided by this same contractor. Staff of EOT&amp;TA participate in numerous national initiatives and activities to stay abreast of current practices. The contractor provides TA to local early intervention systems through a variety of methods including guidance documents, phone contacts, email, one-on-one technical assistance for each of the local systems, and onsite meetings. A daily toll-free line is available for early intervention personnel to ask questions. This contractor also provides TA after state monitoring to assist the LEIS to come into compliance.</w:t>
      </w:r>
      <w:r w:rsidRPr="00ED172B">
        <w:rPr>
          <w:color w:val="000000" w:themeColor="text1"/>
          <w:szCs w:val="16"/>
        </w:rPr>
        <w:br/>
      </w:r>
      <w:r w:rsidRPr="00ED172B">
        <w:rPr>
          <w:color w:val="000000" w:themeColor="text1"/>
          <w:szCs w:val="16"/>
        </w:rPr>
        <w:br/>
        <w:t>Each LEIS also receives TA from state lead agency staff. Three state Education Consultants (Civil Service classification title for professional employees) are assigned a cohort of local systems to provide TA in addition to support from EOT&amp;TA. State staff and EOT&amp;TA work closely to coordinate support to the local systems. State staff technical assistance is at the policy level to clarify guidance where needed at the local level.</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Comprehensive system of personnel development: Through issuance of a mandated activities project contract, Michigan has developed a comprehensive system of personnel development, including the training of providers, paraprofessionals and the training of primary referral sources with respect to the basic components of an early intervention system available in the state that includes training personnel in implementing innovative </w:t>
      </w:r>
      <w:r w:rsidRPr="00ED172B">
        <w:rPr>
          <w:color w:val="000000" w:themeColor="text1"/>
          <w:szCs w:val="16"/>
        </w:rPr>
        <w:lastRenderedPageBreak/>
        <w:t>strategies and activities for the recruitment and retention of Early On service providers, promoting the preparation of Early On service providers who are fully and appropriately qualified to provide early intervention services under Part C, and training personnel to coordinate transition services for infants and toddlers in geographic areas throughout the state.</w:t>
      </w:r>
      <w:r w:rsidRPr="00ED172B">
        <w:rPr>
          <w:color w:val="000000" w:themeColor="text1"/>
          <w:szCs w:val="16"/>
        </w:rPr>
        <w:br/>
      </w:r>
      <w:r w:rsidRPr="00ED172B">
        <w:rPr>
          <w:color w:val="000000" w:themeColor="text1"/>
          <w:szCs w:val="16"/>
        </w:rPr>
        <w:br/>
        <w:t>This contractor also has the responsibility of providing timely delivery of high quality, evidenced-based technical assistance and support to LEIS. Supports to the field include a resourceful website, online and in-person trainings, webinars, system updates sessions, conferences, communities of practice, and book studies with national TA experts. Participation in national communities of practice and TA events provide contractors the most current and up-to-date information.</w:t>
      </w:r>
      <w:r w:rsidRPr="00ED172B">
        <w:rPr>
          <w:color w:val="000000" w:themeColor="text1"/>
          <w:szCs w:val="16"/>
        </w:rPr>
        <w:br/>
      </w:r>
      <w:r w:rsidRPr="00ED172B">
        <w:rPr>
          <w:color w:val="000000" w:themeColor="text1"/>
          <w:szCs w:val="16"/>
        </w:rPr>
        <w:br/>
        <w:t>A self-paced, five-part training module for personnel development entitled the Essentials for Early On is available to support providers in the field to understand expectations for those evaluating infants and toddlers. State staff worked to enable continuing education credits for those completing the on-line course.</w:t>
      </w:r>
      <w:r w:rsidRPr="00ED172B">
        <w:rPr>
          <w:color w:val="000000" w:themeColor="text1"/>
          <w:szCs w:val="16"/>
        </w:rPr>
        <w:br/>
      </w:r>
      <w:r w:rsidRPr="00ED172B">
        <w:rPr>
          <w:color w:val="000000" w:themeColor="text1"/>
          <w:szCs w:val="16"/>
        </w:rPr>
        <w:br/>
        <w:t>The Early On Center for Higher Education is Michigan's pre-service initiative to support the development of highly qualified early intervention personnel to work with infants and toddlers, birth to three, with disabilities and/or special needs, and their families. The Early On Center works with faculty to strengthen learning experiences for 2-year and 4-year college students so they are knowledgeable of Early On Michigan and competent in their future work with families of infants and toddlers.</w:t>
      </w:r>
      <w:r w:rsidRPr="00ED172B">
        <w:rPr>
          <w:color w:val="000000" w:themeColor="text1"/>
          <w:szCs w:val="16"/>
        </w:rPr>
        <w:br/>
      </w:r>
      <w:r w:rsidRPr="00ED172B">
        <w:rPr>
          <w:color w:val="000000" w:themeColor="text1"/>
          <w:szCs w:val="16"/>
        </w:rPr>
        <w:br/>
        <w:t>Each LEIS also receives TA from state staff. Three state consultants are assigned a cohort of ISDs to provide TA in addition to support from EOT&amp;TA. State staff and EOT&amp;TA work closely to coordinate support to the local systems. State staff TA is at the policy level to clarify guidance where needed at the local level.</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FFY 2018 public report on the performance of each LEIS for all of the required indicators was posted on the three websites for Early On listed below:</w:t>
      </w:r>
      <w:r w:rsidRPr="00ED172B">
        <w:rPr>
          <w:color w:val="000000" w:themeColor="text1"/>
          <w:szCs w:val="16"/>
        </w:rPr>
        <w:br/>
      </w:r>
      <w:r w:rsidRPr="00ED172B">
        <w:rPr>
          <w:color w:val="000000" w:themeColor="text1"/>
          <w:szCs w:val="16"/>
        </w:rPr>
        <w:br/>
        <w:t>Michigan Department of Education: www.michigan.gov/earlyon or www.MiSchoolData.org, and Early On: www.1800EarlyOn.org.</w:t>
      </w:r>
      <w:r w:rsidRPr="00ED172B">
        <w:rPr>
          <w:color w:val="000000" w:themeColor="text1"/>
          <w:szCs w:val="16"/>
        </w:rPr>
        <w:br/>
        <w:t>A communication was released by MDE’s Office of Public and Government Affairs directing stakeholders to MDE’s site.</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 xml:space="preserve">The State Interagency Coordinating Council (SICC) submitted to the Secretary its annual report that is required under IDEA section 641(e)(1)(D) and 34 </w:t>
      </w:r>
      <w:r w:rsidRPr="00ED172B">
        <w:rPr>
          <w:color w:val="000000" w:themeColor="text1"/>
        </w:rPr>
        <w:lastRenderedPageBreak/>
        <w:t>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2006</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47.80%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99.07%</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99.60%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99.84%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99.86%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99.89%</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18,010</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18,281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99.89%</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99.92%</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256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Thirty calendar days from consent for the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Full reporting period - July 1, 2019-June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Data from the full reporting period are included.</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Data were collected through the Michigan Student Data System (MSDS). All local early intervention systems (LEIS) submitted data regarding all children served to the state database at three designated points during the program year (July 1, 2019 - June 30, 2020). Data from the three collections were aggregated to provide data from the full reporting period. </w:t>
      </w:r>
      <w:r w:rsidRPr="00ED172B">
        <w:rPr>
          <w:color w:val="000000" w:themeColor="text1"/>
        </w:rPr>
        <w:br/>
      </w:r>
      <w:r w:rsidRPr="00ED172B">
        <w:rPr>
          <w:color w:val="000000" w:themeColor="text1"/>
        </w:rPr>
        <w:br/>
        <w:t xml:space="preserve">Data for this indicator reflect a total of 18,281 children's records include new services on either initial or subsequent IFSPs. This number was used as the denominator for calculation of Indicator 1 data. Reported data reflect that for 18,010 children all new services listed on their IFSP were initiated within the required timeline of 30 calendar days from consent for the services. An additional 256 records indicated delays to the initiation of services were attributable to documented exceptional family circumstances. The number of records with documented exceptional family circumstances (256) was added to the timely records (18,010) resulting in a total of 18,266 records. This number was used as the numerator for the calculation. The resulting percentage of compliance is 99.92%. </w:t>
      </w:r>
      <w:r w:rsidRPr="00ED172B">
        <w:rPr>
          <w:color w:val="000000" w:themeColor="text1"/>
        </w:rPr>
        <w:br/>
      </w:r>
      <w:r w:rsidRPr="00ED172B">
        <w:rPr>
          <w:color w:val="000000" w:themeColor="text1"/>
        </w:rPr>
        <w:br/>
        <w:t>(18,010+256)/18,281=.9992</w:t>
      </w:r>
      <w:r w:rsidRPr="00ED172B">
        <w:rPr>
          <w:color w:val="000000" w:themeColor="text1"/>
        </w:rPr>
        <w:br/>
      </w:r>
      <w:r w:rsidRPr="00ED172B">
        <w:rPr>
          <w:color w:val="000000" w:themeColor="text1"/>
        </w:rPr>
        <w:br/>
        <w:t xml:space="preserve">Both the numerator and denominator include 256 children for whom services were not timely, but whose records indicated that the delays were attributable to documented exceptional family circumstances. 99.92% compliance falls slightly below the target of 100% for this indicator. This compliance level is higher than the 99.89% compliance level reported in the FFY 2018 SPP/APR. </w:t>
      </w:r>
      <w:r w:rsidRPr="00ED172B">
        <w:rPr>
          <w:color w:val="000000" w:themeColor="text1"/>
        </w:rPr>
        <w:br/>
      </w:r>
      <w:r w:rsidRPr="00ED172B">
        <w:rPr>
          <w:color w:val="000000" w:themeColor="text1"/>
        </w:rPr>
        <w:br/>
        <w:t xml:space="preserve">Twenty-nine of the 56 LEISs had a total of 256 records with delays to the start of services that had documented exceptional family circumstances. Reasons for these delays include child or family illness, accommodating family schedules, appointments being cancelled and rescheduled by parents, documented multiple attempts to contact parents for scheduling, family not being at home at scheduled appointment times, family moving, parent not providing consent, and other child or parent reasons. </w:t>
      </w:r>
      <w:r w:rsidRPr="00ED172B">
        <w:rPr>
          <w:color w:val="000000" w:themeColor="text1"/>
        </w:rPr>
        <w:br/>
      </w:r>
      <w:r w:rsidRPr="00ED172B">
        <w:rPr>
          <w:color w:val="000000" w:themeColor="text1"/>
        </w:rPr>
        <w:br/>
        <w:t xml:space="preserve">Nine of the 56 LEISs had a total of 15 records with delays to the start of services for which exceptional family circumstances did not exist or were not documented. Reasons for these delays include provider availability, lack of training/knowledge on the part of personnel, and other provider reasons. </w:t>
      </w:r>
      <w:r w:rsidRPr="00ED172B">
        <w:rPr>
          <w:color w:val="000000" w:themeColor="text1"/>
        </w:rPr>
        <w:br/>
      </w:r>
      <w:r w:rsidRPr="00ED172B">
        <w:rPr>
          <w:color w:val="000000" w:themeColor="text1"/>
        </w:rPr>
        <w:br/>
        <w:t>Six of the nine LEISs with delays to the start of services for which exceptional family circumstances did not exist or were not documented were issued Findings of noncompliance and required to develop corrective action plans (CAPs) during FFY 2020 based on these FFY 2019 data. Three of the nine LEISs with delays to the start of services for which exceptional family circumstances did not exist or were not documented were not issued new findings, as they had open findings and CAPs for Indicator 1 or a review of more recent data during verification and closeout of previously issued findings and CAPs for Indicator 1 indicated 100% compliance.</w:t>
      </w:r>
      <w:r w:rsidRPr="00ED172B">
        <w:rPr>
          <w:color w:val="000000" w:themeColor="text1"/>
        </w:rPr>
        <w:br/>
        <w:t xml:space="preserve"> </w:t>
      </w:r>
      <w:r w:rsidRPr="00ED172B">
        <w:rPr>
          <w:color w:val="000000" w:themeColor="text1"/>
        </w:rPr>
        <w:br/>
        <w:t>Findings resulting from FFY 2019 data are based on the full reporting period; therefore, findings based on FFY 2019 data are issued in FFY 2020.</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The FFY2017 SPP/APR reported that nine of 56 LEISs had a total of 28 records with delays to the start of services for which exceptional family circumstances did not exist or were not documented. Three of the nine LEISs were issued findings in FFY2018 based on FFY2017 data. Six of the nine LEISs were not issued findings of noncompliance for this indicator because they were in their year of correction from findings issued in the previous data cycle. </w:t>
      </w:r>
      <w:r w:rsidRPr="00ED172B">
        <w:rPr>
          <w:color w:val="000000" w:themeColor="text1"/>
        </w:rPr>
        <w:br/>
      </w:r>
      <w:r w:rsidRPr="00ED172B">
        <w:rPr>
          <w:color w:val="000000" w:themeColor="text1"/>
        </w:rPr>
        <w:br/>
      </w:r>
      <w:r w:rsidRPr="00ED172B">
        <w:rPr>
          <w:color w:val="000000" w:themeColor="text1"/>
        </w:rPr>
        <w:lastRenderedPageBreak/>
        <w:t xml:space="preserve">Each of the three LEISs issued a finding for Indicator 1 in FFY 2018 developed a CAP in Catamaran that detailed strategies that the LEIS would take to correct noncompliance, as soon as possible, but no later than one year from notification of the finding, including verification by the State. As part of the corrective action planning process, progress reports were submitted. Progress reports required the LEIS to conduct file reviews. </w:t>
      </w:r>
      <w:r w:rsidRPr="00ED172B">
        <w:rPr>
          <w:color w:val="000000" w:themeColor="text1"/>
        </w:rPr>
        <w:br/>
      </w:r>
      <w:r w:rsidRPr="00ED172B">
        <w:rPr>
          <w:color w:val="000000" w:themeColor="text1"/>
        </w:rPr>
        <w:br/>
        <w:t xml:space="preserve">When CAP activities had been completed and local data indicated compliance had been achieved, the LEIS requested CAP closeout and MDE conducted verification activities. MDE reviewed the most recent data submitted to MSDS to determine whether the LEIS had achieved 100% compliance. All records for each LEIS were found to be in compliance resulting in a 100% compliance level. </w:t>
      </w:r>
      <w:r w:rsidRPr="00ED172B">
        <w:rPr>
          <w:color w:val="000000" w:themeColor="text1"/>
        </w:rPr>
        <w:br/>
      </w:r>
      <w:r w:rsidRPr="00ED172B">
        <w:rPr>
          <w:color w:val="000000" w:themeColor="text1"/>
        </w:rPr>
        <w:br/>
        <w:t>Documentation was also collected from the LEISs and from the state TA providers to demonstrate that all CAP activities had been completed. Each LEIS was notified of the verification of correction of noncompliance through a formal letter closing the CAP.</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For each of the children for whom services were not initiated within the 30-day timeline from consent for services, it was verified by the state as part of the verification of correction process that all services on the IFSP were indeed initiated, though not timely, or that the child was no longer under the jurisdiction of the local early intervention system. During the corrective action plan process within the Catamaran system, the LEIS was required to provide documentation for the initiation of all services on the IFSP for each of the children for whom services had not been initiated within the 30-day timeline from consent for services. For these children, no further child level correction was possible because timeliness cannot be corrected. The LEIS could also indicate that the child had been exited and was no longer under the jurisdiction of the LEIS. For these children, correction was not possible.</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In its FFY 2017 SPP/APR submission, the State reported it identified four findings of noncompliance for this indicator in FFY 2018 based on FFY 2017 data.  However, in its FFY 2019 SPP/APR submission, the State reported on the correction of three findings identified in FFY 2018.  Therefore OSEP cannot determine the number of findings the State made in FFY 2018.</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four uncorrected findings of noncompliance identified in FFY 2018, based on FFY 2017 data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based on FFY 2017 data: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84.20%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93.50%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93.50%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94.00%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94.00%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94.00%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95.28%</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96.47%</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97.10%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96.95%</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94.00%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11,221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11,615</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11,221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11,615</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96.95%</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94.00%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96.61%</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Provision of services in natural environments was impacted by the stay-at-home order and had the potential to be impacted further by both restrictions on in-person contact and comfort level of families for participation in in-person visits when the stay-at-home order was lifted.  Provision of services in natural environments through use of remote services was impacted by available technology and internet access for some families.  </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75.60%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75.90%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76.20%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76.50%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74.00%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74.82%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76.49%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75.19%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76.74%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60.60%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60.70%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60.80%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60.90%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59.20%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54.79%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54.26%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54.06%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52.15%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53.24%</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79.70%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79.90%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80.10%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80.30%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80.50%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79.10%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67.60%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79.08%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80.04%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78.72%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79.33%</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52.40%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53.60%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54.10%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54.00%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49.04%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48.79%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48.33%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47.27%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48.12%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79.20%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79.40%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79.60%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79.80%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78.10%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68.17%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78.24%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78.67%</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59.40%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59.60%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59.80%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60.20%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59.40%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51.95%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49.89%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50.29%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47.54%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50.65%</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76.50%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60.90%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80.50%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54.10%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79.80%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60.20%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6,492</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0.25%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1,161</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17.88%</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1,741</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26.82%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2,367</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36.46%</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1,207</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18.59%</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4,108</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5,285</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76.74%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76.50%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77.73%</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3,574</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6,492</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53.24%</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60.90%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55.05%</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0.22%</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1,158</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17.84%</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2,166</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33.36%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2,590</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39.90%</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564</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8.69%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4,756</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5,928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79.33%</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80.50%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80.23%</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3,154</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6,492</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48.12%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54.10%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48.58%</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18</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0.28%</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1,182</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18.21%</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2,016</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31.05%</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2,588</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39.86%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688</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10.60%</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lastRenderedPageBreak/>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4,604</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5,804</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78.67%</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79.80%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79.32%</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3,276</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6,492</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50.65%</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60.20%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50.46%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11,230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2,973</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Every child is rated on each of the three child outcome functional areas using the Child Outcome Summary (COS) seven-point rating scale. Impact is based upon the child’s progress by comparing his/her developmental status between the entry (collected within 90 days of the referral date) and the exit ratings (collected within 90 days prior to exit date and after at least six months of continuous service). Rating differences between the two data points measure change or progress. At exit, the service provider(s) not only rate the child on the seven-point rating scale, but also answer the question with a “yes” or “no” about whether the child acquired any new skills or behaviors. Entry ratings, exit ratings, and answers to the “new skill” questions are all required. If the child’s record is missing any of this information, the progress data will not be available for this child. Using the Early Childhood Outcomes (ECO) Center Calculator, progress for each child is then converted into one of the five OSEP categories (A-E), indicating the degree to which the child’s status has changed between the time he or she entered and exited Early On. Local service areas submitted demographic and assessment information on child entry or exit in Early On through the MSDS. Multiple sources of information, such as assessments, IFSPs, and parent input are collected to help determine the child’s functioning across the three outcomes to determine the COS ratings. The COS is a standardized method of reporting a child’s developmental status using the seven-point COS rating scale. Ongoing assessment information and/or state-approved assessment tool results are used when establishing COS ratings.</w:t>
      </w:r>
      <w:r w:rsidRPr="00ED172B">
        <w:rPr>
          <w:rFonts w:cs="Arial"/>
          <w:color w:val="000000" w:themeColor="text1"/>
          <w:szCs w:val="16"/>
        </w:rPr>
        <w:br/>
      </w:r>
      <w:r w:rsidRPr="00ED172B">
        <w:rPr>
          <w:rFonts w:cs="Arial"/>
          <w:color w:val="000000" w:themeColor="text1"/>
          <w:szCs w:val="16"/>
        </w:rPr>
        <w:br/>
        <w:t>A variety of tools are used to gather information to assist in determining entry and exit COS ratings.  Below is a list of the most common tools used.  This is not an exhaustive list.</w:t>
      </w:r>
      <w:r w:rsidRPr="00ED172B">
        <w:rPr>
          <w:rFonts w:cs="Arial"/>
          <w:color w:val="000000" w:themeColor="text1"/>
          <w:szCs w:val="16"/>
        </w:rPr>
        <w:br/>
      </w:r>
      <w:r w:rsidRPr="00ED172B">
        <w:rPr>
          <w:rFonts w:cs="Arial"/>
          <w:color w:val="000000" w:themeColor="text1"/>
          <w:szCs w:val="16"/>
        </w:rPr>
        <w:br/>
        <w:t>Assessment, Evaluation, and Programming System for Infants and Children (AEPS)</w:t>
      </w:r>
      <w:r w:rsidRPr="00ED172B">
        <w:rPr>
          <w:rFonts w:cs="Arial"/>
          <w:color w:val="000000" w:themeColor="text1"/>
          <w:szCs w:val="16"/>
        </w:rPr>
        <w:br/>
        <w:t xml:space="preserve">Battelle Developmental Inventory  </w:t>
      </w:r>
      <w:r w:rsidRPr="00ED172B">
        <w:rPr>
          <w:rFonts w:cs="Arial"/>
          <w:color w:val="000000" w:themeColor="text1"/>
          <w:szCs w:val="16"/>
        </w:rPr>
        <w:br/>
        <w:t>Bayley</w:t>
      </w:r>
      <w:r w:rsidRPr="00ED172B">
        <w:rPr>
          <w:rFonts w:cs="Arial"/>
          <w:color w:val="000000" w:themeColor="text1"/>
          <w:szCs w:val="16"/>
        </w:rPr>
        <w:br/>
        <w:t>Brigance</w:t>
      </w:r>
      <w:r w:rsidRPr="00ED172B">
        <w:rPr>
          <w:rFonts w:cs="Arial"/>
          <w:color w:val="000000" w:themeColor="text1"/>
          <w:szCs w:val="16"/>
        </w:rPr>
        <w:br/>
        <w:t>Carolina</w:t>
      </w:r>
      <w:r w:rsidRPr="00ED172B">
        <w:rPr>
          <w:rFonts w:cs="Arial"/>
          <w:color w:val="000000" w:themeColor="text1"/>
          <w:szCs w:val="16"/>
        </w:rPr>
        <w:br/>
        <w:t>Early Leaning Intervention Developmental Profile Revised Edition (EIDP)</w:t>
      </w:r>
      <w:r w:rsidRPr="00ED172B">
        <w:rPr>
          <w:rFonts w:cs="Arial"/>
          <w:color w:val="000000" w:themeColor="text1"/>
          <w:szCs w:val="16"/>
        </w:rPr>
        <w:br/>
        <w:t>Early Learning Accomplishment Profile Kit (E-LAP)</w:t>
      </w:r>
      <w:r w:rsidRPr="00ED172B">
        <w:rPr>
          <w:rFonts w:cs="Arial"/>
          <w:color w:val="000000" w:themeColor="text1"/>
          <w:szCs w:val="16"/>
        </w:rPr>
        <w:br/>
        <w:t>Hawaii Early Learning Profile (HELP)</w:t>
      </w:r>
      <w:r w:rsidRPr="00ED172B">
        <w:rPr>
          <w:rFonts w:cs="Arial"/>
          <w:color w:val="000000" w:themeColor="text1"/>
          <w:szCs w:val="16"/>
        </w:rPr>
        <w:br/>
        <w:t>Infant-Toddler Developmental Assessment Kit (IDA)</w:t>
      </w:r>
      <w:r w:rsidRPr="00ED172B">
        <w:rPr>
          <w:rFonts w:cs="Arial"/>
          <w:color w:val="000000" w:themeColor="text1"/>
          <w:szCs w:val="16"/>
        </w:rPr>
        <w:br/>
        <w:t>Other: An assessment tool not listed above</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When Michigan issued a stay-at-home order in March 2020 in response to COVID-19, local service areas struggled with how to complete COS ratings and assessments in a virtual environment or when they could not meet with families in person. This pandemic had the potential to impact the completeness and validity of COS rating data. If providers found themselves unable to complete the child outcomes assessments, the completeness of entry and exit ratings would be impacted. If providers did not have tools and procedures that provided valid and reliable ratings when completed with remote methods, the validity and reliability of data would be impacted.  </w:t>
      </w:r>
      <w:r w:rsidRPr="00ED172B">
        <w:rPr>
          <w:rFonts w:cs="Arial"/>
          <w:color w:val="000000" w:themeColor="text1"/>
          <w:szCs w:val="16"/>
        </w:rPr>
        <w:br/>
        <w:t>The following steps were taken to mitigate the impact of COVID-19:</w:t>
      </w:r>
      <w:r w:rsidRPr="00ED172B">
        <w:rPr>
          <w:rFonts w:cs="Arial"/>
          <w:color w:val="000000" w:themeColor="text1"/>
          <w:szCs w:val="16"/>
        </w:rPr>
        <w:br/>
        <w:t>• Bi-weekly or monthly webinars webinars starting at the beginning of program closures and for the remainder of the program year offered a regular open two-way communication loop between Michigan’s IDEA Part C program staff, Early On Training and Technical Assistance (EOT&amp;TA), and local administrators and providers.</w:t>
      </w:r>
      <w:r w:rsidRPr="00ED172B">
        <w:rPr>
          <w:rFonts w:cs="Arial"/>
          <w:color w:val="000000" w:themeColor="text1"/>
          <w:szCs w:val="16"/>
        </w:rPr>
        <w:br/>
        <w:t xml:space="preserve">• Community of Practice (CoP) meetings held by EOT&amp;TA provided opportunities for local administrators to problem-solve with each other and with state </w:t>
      </w:r>
      <w:r w:rsidRPr="00ED172B">
        <w:rPr>
          <w:rFonts w:cs="Arial"/>
          <w:color w:val="000000" w:themeColor="text1"/>
          <w:szCs w:val="16"/>
        </w:rPr>
        <w:lastRenderedPageBreak/>
        <w:t>technical assistance specialists.</w:t>
      </w:r>
      <w:r w:rsidRPr="00ED172B">
        <w:rPr>
          <w:rFonts w:cs="Arial"/>
          <w:color w:val="000000" w:themeColor="text1"/>
          <w:szCs w:val="16"/>
        </w:rPr>
        <w:br/>
        <w:t>• Technical assistance specialists attended national technical assistance offerings and gathered resources. Information and resources were then used to support local service areas during the pandemic.</w:t>
      </w:r>
      <w:r w:rsidRPr="00ED172B">
        <w:rPr>
          <w:rFonts w:cs="Arial"/>
          <w:color w:val="000000" w:themeColor="text1"/>
          <w:szCs w:val="16"/>
        </w:rPr>
        <w:br/>
        <w:t>• Resources were posted on EOT&amp;TA’s website to provide continuous access.</w:t>
      </w:r>
      <w:r w:rsidRPr="00ED172B">
        <w:rPr>
          <w:rFonts w:cs="Arial"/>
          <w:color w:val="000000" w:themeColor="text1"/>
          <w:szCs w:val="16"/>
        </w:rPr>
        <w:br/>
        <w:t>These strategies provided support to local early intervention service areas to avert the impact on completeness and validity of data. These proactive steps allowed Michigan to collect complete and valid data.</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58.60%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58.80%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59.00%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59.20%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59.40%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56.00%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70.65%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69.07%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69.21%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71.12%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71.20%</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53.60%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53.80%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54.00%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54.20%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54.40%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51.00%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63.75%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62.81%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62.73%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64.75%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64.86%</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77.60%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77.80%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78.00%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78.20%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78.40%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73.00%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84.05%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83.98%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84.14%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84.06%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85.33%</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59.40%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54.40%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78.40%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w:t>
      </w:r>
      <w:r w:rsidRPr="00ED172B">
        <w:rPr>
          <w:color w:val="000000" w:themeColor="text1"/>
        </w:rPr>
        <w:lastRenderedPageBreak/>
        <w:t>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7,702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2,957</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2,169</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2,957</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1,969</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2,957</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2,579</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2,957</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71.20%</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59.40%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73.35%</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64.86%</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54.40%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66.59%</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85.33%</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78.40%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87.22%</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This year’s data represent the state Part C population well in terms of children’s age, gender, and peer group but are not representative of the population in terms of ethnicity. White children were over-represented in the sample (70.8% of Part C population and 72.9% in the respondents), and all ethnic groups were slightly under-represented. </w:t>
      </w:r>
      <w:r w:rsidRPr="00ED172B">
        <w:rPr>
          <w:rFonts w:cs="Arial"/>
          <w:color w:val="000000" w:themeColor="text1"/>
          <w:szCs w:val="16"/>
        </w:rPr>
        <w:br/>
      </w:r>
      <w:r w:rsidRPr="00ED172B">
        <w:rPr>
          <w:rFonts w:cs="Arial"/>
          <w:color w:val="000000" w:themeColor="text1"/>
          <w:szCs w:val="16"/>
        </w:rPr>
        <w:br/>
        <w:t xml:space="preserve">African American children were under-represented (16.5% in Part C population and 15.6% in the respondents). </w:t>
      </w:r>
      <w:r w:rsidRPr="00ED172B">
        <w:rPr>
          <w:rFonts w:cs="Arial"/>
          <w:color w:val="000000" w:themeColor="text1"/>
          <w:szCs w:val="16"/>
        </w:rPr>
        <w:br/>
        <w:t>Hispanic children were under-represented (6.6% in Part C population and 6.1% in the respondents).</w:t>
      </w:r>
      <w:r w:rsidRPr="00ED172B">
        <w:rPr>
          <w:rFonts w:cs="Arial"/>
          <w:color w:val="000000" w:themeColor="text1"/>
          <w:szCs w:val="16"/>
        </w:rPr>
        <w:br/>
        <w:t>Asian children were under-represented (2.7% in Part C population and 2.3% in the respondents).</w:t>
      </w:r>
      <w:r w:rsidRPr="00ED172B">
        <w:rPr>
          <w:rFonts w:cs="Arial"/>
          <w:color w:val="000000" w:themeColor="text1"/>
          <w:szCs w:val="16"/>
        </w:rPr>
        <w:br/>
        <w:t>Two or more races were under-represented (2.7% in Part C population and 2.5% in the respondents).</w:t>
      </w:r>
      <w:r w:rsidRPr="00ED172B">
        <w:rPr>
          <w:rFonts w:cs="Arial"/>
          <w:color w:val="000000" w:themeColor="text1"/>
          <w:szCs w:val="16"/>
        </w:rPr>
        <w:br/>
      </w:r>
      <w:r w:rsidRPr="00ED172B">
        <w:rPr>
          <w:rFonts w:cs="Arial"/>
          <w:color w:val="000000" w:themeColor="text1"/>
          <w:szCs w:val="16"/>
        </w:rPr>
        <w:br/>
        <w:t xml:space="preserve">To improve the sample representativeness, several measures were undertaken this year and will be used again in future years, to maximize the number of respondents and to ensure adequate representation of ethnicity throughout the state. </w:t>
      </w:r>
      <w:r w:rsidRPr="00ED172B">
        <w:rPr>
          <w:rFonts w:cs="Arial"/>
          <w:color w:val="000000" w:themeColor="text1"/>
          <w:szCs w:val="16"/>
        </w:rPr>
        <w:br/>
      </w:r>
      <w:r w:rsidRPr="00ED172B">
        <w:rPr>
          <w:rFonts w:cs="Arial"/>
          <w:color w:val="000000" w:themeColor="text1"/>
          <w:szCs w:val="16"/>
        </w:rPr>
        <w:br/>
        <w:t xml:space="preserve">Past and current activities include: </w:t>
      </w:r>
      <w:r w:rsidRPr="00ED172B">
        <w:rPr>
          <w:rFonts w:cs="Arial"/>
          <w:color w:val="000000" w:themeColor="text1"/>
          <w:szCs w:val="16"/>
        </w:rPr>
        <w:br/>
        <w:t>Closely monitor the response rate to address any under-representation around ethnicity and to conduct additional follow up efforts with subgroups who are under-represented. 1-800 hotlines were created to help families who speak Spanish or Arabic, including phone follow up with interpreters speaking Spanish and Arabic to assist parents.</w:t>
      </w:r>
      <w:r w:rsidRPr="00ED172B">
        <w:rPr>
          <w:rFonts w:cs="Arial"/>
          <w:color w:val="000000" w:themeColor="text1"/>
          <w:szCs w:val="16"/>
        </w:rPr>
        <w:br/>
      </w:r>
      <w:r w:rsidRPr="00ED172B">
        <w:rPr>
          <w:rFonts w:cs="Arial"/>
          <w:color w:val="000000" w:themeColor="text1"/>
          <w:szCs w:val="16"/>
        </w:rPr>
        <w:lastRenderedPageBreak/>
        <w:t>Mail parents a survey notification brochure, sharing the family survey results from the previous year, and explaining the procedure of the current survey.</w:t>
      </w:r>
      <w:r w:rsidRPr="00ED172B">
        <w:rPr>
          <w:rFonts w:cs="Arial"/>
          <w:color w:val="000000" w:themeColor="text1"/>
          <w:szCs w:val="16"/>
        </w:rPr>
        <w:br/>
        <w:t>Offer an online option for completing the survey.</w:t>
      </w:r>
      <w:r w:rsidRPr="00ED172B">
        <w:rPr>
          <w:rFonts w:cs="Arial"/>
          <w:color w:val="000000" w:themeColor="text1"/>
          <w:szCs w:val="16"/>
        </w:rPr>
        <w:br/>
        <w:t>Mail postcard reminders, approximately two weeks after the survey was sent to families, to those who have not yet completed the survey. Hard copies of the survey and reminder postcards were also sent to under-represented groups as well as areas with low responding rates.</w:t>
      </w:r>
      <w:r w:rsidRPr="00ED172B">
        <w:rPr>
          <w:rFonts w:cs="Arial"/>
          <w:color w:val="000000" w:themeColor="text1"/>
          <w:szCs w:val="16"/>
        </w:rPr>
        <w:br/>
        <w:t>Phone calls to non-respondents were made at different times of the day and of the week, including evenings and weekends. Interviewers were trained to ensure that appropriate consideration was given to cultural and ethnic diversity, and that invasion of privacy for the family was minimal. Training also included measures to maintain the reliability of the data and to reduce bias in the data set.</w:t>
      </w:r>
      <w:r w:rsidRPr="00ED172B">
        <w:rPr>
          <w:rFonts w:cs="Arial"/>
          <w:color w:val="000000" w:themeColor="text1"/>
          <w:szCs w:val="16"/>
        </w:rPr>
        <w:br/>
        <w:t>Ideas to explore for upcoming year:</w:t>
      </w:r>
      <w:r w:rsidRPr="00ED172B">
        <w:rPr>
          <w:rFonts w:cs="Arial"/>
          <w:color w:val="000000" w:themeColor="text1"/>
          <w:szCs w:val="16"/>
        </w:rPr>
        <w:br/>
        <w:t>Consider the possibility of translating the online survey to Spanish and Arabic.</w:t>
      </w:r>
      <w:r w:rsidRPr="00ED172B">
        <w:rPr>
          <w:rFonts w:cs="Arial"/>
          <w:color w:val="000000" w:themeColor="text1"/>
          <w:szCs w:val="16"/>
        </w:rPr>
        <w:br/>
        <w:t>Work with a focus group consisting of members from the Parent Involvement Committee and additional families in under-represented ethnic groups to co-create a plan to ensure equitable representation within the survey responses.</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Survey data were collected through multiple modes: online, mail, and telephone interview. The online survey data were stored in a secure server as respondents completed the surveys via the web. Completed mail surveys were processed using a data scanning software, also stored in a secure server. Surveys completed by telephone were stored through the Computer Assisted Telephone Interview (CATI) software and in a secure server. All completed surveys were then merged into a statistical package database, and several levels of data quality control measures (audit, verification, deduping, etc.) were performed. </w:t>
      </w:r>
      <w:r w:rsidRPr="00ED172B">
        <w:rPr>
          <w:rFonts w:cs="Arial"/>
          <w:color w:val="000000" w:themeColor="text1"/>
          <w:szCs w:val="16"/>
        </w:rPr>
        <w:br/>
      </w:r>
      <w:r w:rsidRPr="00ED172B">
        <w:rPr>
          <w:rFonts w:cs="Arial"/>
          <w:color w:val="000000" w:themeColor="text1"/>
          <w:szCs w:val="16"/>
        </w:rPr>
        <w:br/>
        <w:t>This year’s data represent the State Part C population well in terms of children’s age, gender, and peer group but are not representative of the population in terms of ethnicity. To determine if the difference of sample representativeness made a significant impact on the results, statistical weights were applied to adjust the sample sizes for each subgroup. After weighting, there was virtually no difference in the results. It suggests that even if the sample is not representative in terms of eligibility and ethnicity, it does not measurably affect Indicator 4 results, so unweighted results are reported.</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Compared to other states that have also adopted the National Center for Special Education Accountability Monitoring (NCSEAM) 22-Item Scale, Rasch analysis, and the three standards, Michigan’s results have been consistent with those states.</w:t>
      </w:r>
      <w:r w:rsidRPr="00ED172B">
        <w:rPr>
          <w:rFonts w:cs="Arial"/>
          <w:color w:val="000000" w:themeColor="text1"/>
          <w:szCs w:val="16"/>
        </w:rPr>
        <w:br/>
      </w:r>
      <w:r w:rsidRPr="00ED172B">
        <w:rPr>
          <w:rFonts w:cs="Arial"/>
          <w:color w:val="000000" w:themeColor="text1"/>
          <w:szCs w:val="16"/>
        </w:rPr>
        <w:br/>
        <w:t xml:space="preserve">Michigan selected the NCSEAM Impact of Early Intervention Services on Your Family Scale to collect data on Indicator 4. The Scale has two important qualities necessary for use as a measure of Indicator 4: validity and high reliability. </w:t>
      </w:r>
      <w:r w:rsidRPr="00ED172B">
        <w:rPr>
          <w:rFonts w:cs="Arial"/>
          <w:color w:val="000000" w:themeColor="text1"/>
          <w:szCs w:val="16"/>
        </w:rPr>
        <w:br/>
      </w:r>
      <w:r w:rsidRPr="00ED172B">
        <w:rPr>
          <w:rFonts w:cs="Arial"/>
          <w:color w:val="000000" w:themeColor="text1"/>
          <w:szCs w:val="16"/>
        </w:rPr>
        <w:br/>
        <w:t xml:space="preserve">The Scale exhibits evidence of both content and construct validity. To ensure good content validity, the items in the scale were suggested by parents and other key stakeholders in early intervention and special education and then reviewed by experts in the field. Rasch analysis was used to ensure the items formed a unidimensional scale so that all items address the same construct. </w:t>
      </w:r>
      <w:r w:rsidRPr="00ED172B">
        <w:rPr>
          <w:rFonts w:cs="Arial"/>
          <w:color w:val="000000" w:themeColor="text1"/>
          <w:szCs w:val="16"/>
        </w:rPr>
        <w:br/>
      </w:r>
      <w:r w:rsidRPr="00ED172B">
        <w:rPr>
          <w:rFonts w:cs="Arial"/>
          <w:color w:val="000000" w:themeColor="text1"/>
          <w:szCs w:val="16"/>
        </w:rPr>
        <w:br/>
        <w:t xml:space="preserve">In the NCSEAM pilot study, the Impact on Family Scale (IFS) had a reliability coefficient of .90. The reliability coefficient found in Michigan’s administration of the scale was 0.93 for the 2020 survey (FFY 2019). Another form of reliability is assessed by the margin of error or confidence interval. Using a 95% confidence interval, the margin of error was ±1.43 for 2020 (FFY 2019). </w:t>
      </w:r>
      <w:r w:rsidRPr="00ED172B">
        <w:rPr>
          <w:rFonts w:cs="Arial"/>
          <w:color w:val="000000" w:themeColor="text1"/>
          <w:szCs w:val="16"/>
        </w:rPr>
        <w:br/>
      </w:r>
      <w:r w:rsidRPr="00ED172B">
        <w:rPr>
          <w:rFonts w:cs="Arial"/>
          <w:color w:val="000000" w:themeColor="text1"/>
          <w:szCs w:val="16"/>
        </w:rPr>
        <w:br/>
        <w:t>Per the recommendation of the NCSEAM researchers who developed the Scale, and since the Scale was constructed using the Rasch measurement framework, “a Rasch analysis provides an estimate of the reliability of both the calibration values (related to the items) and the measures (related to people’s responses).” In addition, the measure (average result based on Rasch) can be directly interpreted with respect to the items defining the Scale – that is, one can identify specific items to guide improvement activities.</w:t>
      </w:r>
      <w:r w:rsidRPr="00ED172B">
        <w:rPr>
          <w:rFonts w:cs="Arial"/>
          <w:color w:val="000000" w:themeColor="text1"/>
          <w:szCs w:val="16"/>
        </w:rPr>
        <w:br/>
      </w:r>
      <w:r w:rsidRPr="00ED172B">
        <w:rPr>
          <w:rFonts w:cs="Arial"/>
          <w:color w:val="000000" w:themeColor="text1"/>
          <w:szCs w:val="16"/>
        </w:rPr>
        <w:br/>
        <w:t xml:space="preserve">Implementation of the family survey was impacted by the stay-at-home order and had the potential to be impacted further by restrictions on in-person contact when the stay-at-home order was lifted.  The pandemic impacted the ability to achieve a desired response rate.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1.03%</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1.24%</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1.24%</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1.25%</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1.26%</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1.27%</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1.16%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1.13%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1.30%</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1.38%</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1.27%</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1.27%</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1,533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109,018</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1,533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109,018</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1.27%</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1.27%</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1.41%</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national average for FY 2019 was 1.37%, Michigan’s data for this indicator was .04 percentage points above the national average.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lastRenderedPageBreak/>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2.20%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2.80%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2.90%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2.62%</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2.60%</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2.86%</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3.08%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3.26%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3.00%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11,615</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333,798</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11,615</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333,798</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3.26%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3.00%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3.48%</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The national average for FY 2019 was 3.70%, Michigan’s data for this indicator was .22 percentage points below the national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lastRenderedPageBreak/>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2006</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63.10%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95.07%</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96.81%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99.12%</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98.97%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99.20%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7,617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9,654</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99.20%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99.62%</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2,000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Full reporting period - July 1, 2019 -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Data from the full reporting period are included.</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Data were collected through the Michigan Student Data System (MSDS). All local early intervention systems (LEISs) submitted data regarding all children served to the state database at three designated points during the program year (July 1, 2019 - June 30, 2020). Data from the three collections were aggregated to provide data for the full reporting period. </w:t>
      </w:r>
      <w:r w:rsidRPr="00ED172B">
        <w:rPr>
          <w:rFonts w:cs="Arial"/>
          <w:color w:val="000000" w:themeColor="text1"/>
          <w:szCs w:val="16"/>
        </w:rPr>
        <w:br/>
      </w:r>
      <w:r w:rsidRPr="00ED172B">
        <w:rPr>
          <w:rFonts w:cs="Arial"/>
          <w:color w:val="000000" w:themeColor="text1"/>
          <w:szCs w:val="16"/>
        </w:rPr>
        <w:br/>
        <w:t xml:space="preserve">Data reported for this indicator reflect that a total of 9,654 records included eligible infants and toddlers evaluated and assessed for whom an initial IFSP meeting was required to be conducted. This number was used as the denominator for calculation of Indicator 7 data. Data reported reflect that 7,617 of the records documented that an initial evaluation, an initial assessment, and the initial IFSP meeting were completed within the 45-day timeline. An additional 2,000 records contained documentation that the delays to the completion of the initial evaluation, initial assessment, and initial IFSP meeting were attributable to exceptional family circumstances. The number of records with documented exceptional family circumstances (2,000) was added to the timely records (7,617) resulting in a total of 9,617 records. This number was used as the numerator for the calculation. The resulting percentage compliance is 99.62%. </w:t>
      </w:r>
      <w:r w:rsidRPr="00ED172B">
        <w:rPr>
          <w:rFonts w:cs="Arial"/>
          <w:color w:val="000000" w:themeColor="text1"/>
          <w:szCs w:val="16"/>
        </w:rPr>
        <w:br/>
      </w:r>
      <w:r w:rsidRPr="00ED172B">
        <w:rPr>
          <w:rFonts w:cs="Arial"/>
          <w:color w:val="000000" w:themeColor="text1"/>
          <w:szCs w:val="16"/>
        </w:rPr>
        <w:br/>
        <w:t>(7,617+2,000)/9,654=.9962</w:t>
      </w:r>
      <w:r w:rsidRPr="00ED172B">
        <w:rPr>
          <w:rFonts w:cs="Arial"/>
          <w:color w:val="000000" w:themeColor="text1"/>
          <w:szCs w:val="16"/>
        </w:rPr>
        <w:br/>
      </w:r>
      <w:r w:rsidRPr="00ED172B">
        <w:rPr>
          <w:rFonts w:cs="Arial"/>
          <w:color w:val="000000" w:themeColor="text1"/>
          <w:szCs w:val="16"/>
        </w:rPr>
        <w:br/>
        <w:t xml:space="preserve">Both the numerator and the denominator include 2,000 children for whom completion of the initial evaluation, initial assessment, and initial IFSP meeting was not timely, but whose records contained documentation that the delays were attributable to exceptional family circumstances. 99.62% compliance falls below the target of 100% for this indicator. This compliance level is higher than the 99.20% compliance level reported in the FFY 2018 APR. </w:t>
      </w:r>
      <w:r w:rsidRPr="00ED172B">
        <w:rPr>
          <w:rFonts w:cs="Arial"/>
          <w:color w:val="000000" w:themeColor="text1"/>
          <w:szCs w:val="16"/>
        </w:rPr>
        <w:br/>
      </w:r>
      <w:r w:rsidRPr="00ED172B">
        <w:rPr>
          <w:rFonts w:cs="Arial"/>
          <w:color w:val="000000" w:themeColor="text1"/>
          <w:szCs w:val="16"/>
        </w:rPr>
        <w:br/>
        <w:t xml:space="preserve">Fifty-two of 56 LEISs had a total of 2,000 records with delays attributable to documented exceptional family circumstances. Reasons for these delays include illness of the child or a family member, appointments being cancelled and rescheduled by parents, parents requesting a delay to the evaluation or IFSP meeting to accommodate family schedules, documented multiple attempts to contact parents for scheduling, family moved, family not being at home at scheduled appointment times, or other child or family reasons. </w:t>
      </w:r>
      <w:r w:rsidRPr="00ED172B">
        <w:rPr>
          <w:rFonts w:cs="Arial"/>
          <w:color w:val="000000" w:themeColor="text1"/>
          <w:szCs w:val="16"/>
        </w:rPr>
        <w:br/>
      </w:r>
      <w:r w:rsidRPr="00ED172B">
        <w:rPr>
          <w:rFonts w:cs="Arial"/>
          <w:color w:val="000000" w:themeColor="text1"/>
          <w:szCs w:val="16"/>
        </w:rPr>
        <w:br/>
        <w:t xml:space="preserve">Thirteen of 56 LEISs had a total of 37 records with untimely completion of initial evaluations, initial assessments, and initial IFSP meetings for which exceptional family circumstances did not exist or were not documented. Reasons for these delays include provider availability, confusion regarding requirements, or other provider reasons. </w:t>
      </w:r>
      <w:r w:rsidRPr="00ED172B">
        <w:rPr>
          <w:rFonts w:cs="Arial"/>
          <w:color w:val="000000" w:themeColor="text1"/>
          <w:szCs w:val="16"/>
        </w:rPr>
        <w:br/>
      </w:r>
      <w:r w:rsidRPr="00ED172B">
        <w:rPr>
          <w:rFonts w:cs="Arial"/>
          <w:color w:val="000000" w:themeColor="text1"/>
          <w:szCs w:val="16"/>
        </w:rPr>
        <w:br/>
        <w:t xml:space="preserve">Eight of the 13 LEISs with untimely completion of initial evaluations, initial assessments, and initial IFSP meetings for which exceptional family circumstances did not exist or were not documented were issued Findings of noncompliance and were required to develop Corrective Action Plans (CAPs) during FFY 2020 based on this FFY 2019 data. The remaining five of the 13 local service areas were not issued new Findings, as they had open Findings and CAPs for Indicator 7, or a review of more recent data during verification and closeout of previously issued Findings and CAPs for Indicator 7 indicated 100% compliance. </w:t>
      </w:r>
      <w:r w:rsidRPr="00ED172B">
        <w:rPr>
          <w:rFonts w:cs="Arial"/>
          <w:color w:val="000000" w:themeColor="text1"/>
          <w:szCs w:val="16"/>
        </w:rPr>
        <w:br/>
      </w:r>
      <w:r w:rsidRPr="00ED172B">
        <w:rPr>
          <w:rFonts w:cs="Arial"/>
          <w:color w:val="000000" w:themeColor="text1"/>
          <w:szCs w:val="16"/>
        </w:rPr>
        <w:br/>
        <w:t>Findings resulting from FFY 2019 data are based on the full reporting period; therefore, Findings based on FFY 2019 data are issued in FFY 2020.</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Five of 56 LEISs were issued Findings for Indicator 7 in FFY 2018 based on a review of their data submitted within MSDS. </w:t>
      </w:r>
      <w:r w:rsidRPr="00ED172B">
        <w:rPr>
          <w:rFonts w:cs="Arial"/>
          <w:color w:val="000000" w:themeColor="text1"/>
          <w:szCs w:val="16"/>
        </w:rPr>
        <w:br/>
      </w:r>
      <w:r w:rsidRPr="00ED172B">
        <w:rPr>
          <w:rFonts w:cs="Arial"/>
          <w:color w:val="000000" w:themeColor="text1"/>
          <w:szCs w:val="16"/>
        </w:rPr>
        <w:br/>
        <w:t xml:space="preserve">Each of the 5 LEISs developed a CAP in Catamaran that detailed strategies that the LEIS would take to correct noncompliance, as soon as possible, but no later than one year from notification of the finding, including verification by the state. As part of the CAP planning process, progress reports were submitted. Progress reports required the LEIS to conduct file reviews. </w:t>
      </w:r>
      <w:r w:rsidRPr="00ED172B">
        <w:rPr>
          <w:rFonts w:cs="Arial"/>
          <w:color w:val="000000" w:themeColor="text1"/>
          <w:szCs w:val="16"/>
        </w:rPr>
        <w:br/>
      </w:r>
      <w:r w:rsidRPr="00ED172B">
        <w:rPr>
          <w:rFonts w:cs="Arial"/>
          <w:color w:val="000000" w:themeColor="text1"/>
          <w:szCs w:val="16"/>
        </w:rPr>
        <w:br/>
        <w:t xml:space="preserve">When CAP activities had been completed and local data indicated compliance, the LEIS requested CAP closeout and MDE conducted verification activities. MDE reviewed the most recent data submitted to MSDS to determine whether the LEIS had achieved 100% compliance. All records for each LEIS were found to be in compliance resulting in a 100% compliance level within one year of notification of the noncompliance. </w:t>
      </w:r>
      <w:r w:rsidRPr="00ED172B">
        <w:rPr>
          <w:rFonts w:cs="Arial"/>
          <w:color w:val="000000" w:themeColor="text1"/>
          <w:szCs w:val="16"/>
        </w:rPr>
        <w:br/>
      </w:r>
      <w:r w:rsidRPr="00ED172B">
        <w:rPr>
          <w:rFonts w:cs="Arial"/>
          <w:color w:val="000000" w:themeColor="text1"/>
          <w:szCs w:val="16"/>
        </w:rPr>
        <w:br/>
        <w:t>Documentation was also collected from each LEIS and from the state technical assistance providers to demonstrate that all CAP activities had been completed. Each LEIS was notified of the verification of correction of noncompliance through a formal letter closing the CAP.</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each of the children for whom MSDS data revealed that the IFSP was not completed within the 45 calendar-day timeline, it was verified as part of the data review that an IFSP was completed for each of the children, though not within the 45-day timeline. No further child level correction was possible because timeliness cannot be corrected.</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59.28%</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99.45%</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92.89%</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95.91%</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97.70%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98.96%</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7,639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8,436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98.96%</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99.25%</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734</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Full reporting period - July 1, 2019-June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Data from full reporting period are included.</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Data were collected through the Michigan Student Data System (MSDS). All local early intervention systems (LEISs) submitted data regarding all children served to the state database at three designated points during the program year (July 1, 2019 – June 30, 2020). Data from the three collections were aggregated to provide data from the full reporting period.</w:t>
      </w:r>
      <w:r w:rsidRPr="00ED172B">
        <w:rPr>
          <w:rFonts w:cs="Arial"/>
          <w:color w:val="000000" w:themeColor="text1"/>
          <w:szCs w:val="16"/>
        </w:rPr>
        <w:br/>
      </w:r>
      <w:r w:rsidRPr="00ED172B">
        <w:rPr>
          <w:rFonts w:cs="Arial"/>
          <w:color w:val="000000" w:themeColor="text1"/>
          <w:szCs w:val="16"/>
        </w:rPr>
        <w:br/>
        <w:t>Data reported for this indicator reflect that the total of 8,436 records included eligible infants and toddlers for whom transition planning, including an IFSP developed with transition steps and services, was required to be conducted. This number was used as the denominator for calculation of Indicator 8a data. Data reported for this indicator reflect that 7,639 of the records documented timely transition planning including an IFSP developed with transition steps and services. An additional 734 records contained documentation that delays to the completion of transition planning, including an IFSP developed with transition steps and services, were attributable to exceptional family circumstances. The number of records with documented exceptional family circumstances (734) was added to the timely records (7,639) resulting in a total of 8,373 records. This number was used as the numerator for the calculation. The resulting percentage of compliance is 99.25%.</w:t>
      </w:r>
      <w:r w:rsidRPr="00ED172B">
        <w:rPr>
          <w:rFonts w:cs="Arial"/>
          <w:color w:val="000000" w:themeColor="text1"/>
          <w:szCs w:val="16"/>
        </w:rPr>
        <w:br/>
      </w:r>
      <w:r w:rsidRPr="00ED172B">
        <w:rPr>
          <w:rFonts w:cs="Arial"/>
          <w:color w:val="000000" w:themeColor="text1"/>
          <w:szCs w:val="16"/>
        </w:rPr>
        <w:br/>
        <w:t xml:space="preserve">(7,639+734)/8,436=.9925 </w:t>
      </w:r>
      <w:r w:rsidRPr="00ED172B">
        <w:rPr>
          <w:rFonts w:cs="Arial"/>
          <w:color w:val="000000" w:themeColor="text1"/>
          <w:szCs w:val="16"/>
        </w:rPr>
        <w:br/>
      </w:r>
      <w:r w:rsidRPr="00ED172B">
        <w:rPr>
          <w:rFonts w:cs="Arial"/>
          <w:color w:val="000000" w:themeColor="text1"/>
          <w:szCs w:val="16"/>
        </w:rPr>
        <w:br/>
        <w:t xml:space="preserve">Both the numerator and the denominator include 734 children for whom IFSPs with transition steps and services were not timely, but whose records contained documentation that the delays were attributable to exceptional family circumstances. 99.25% compliance falls below the target of 100% compliance for this indicator. These data reflect an increase for this indicator from the 98.96% compliance level reported in the FFY 2018 APR. </w:t>
      </w:r>
      <w:r w:rsidRPr="00ED172B">
        <w:rPr>
          <w:rFonts w:cs="Arial"/>
          <w:color w:val="000000" w:themeColor="text1"/>
          <w:szCs w:val="16"/>
        </w:rPr>
        <w:br/>
      </w:r>
      <w:r w:rsidRPr="00ED172B">
        <w:rPr>
          <w:rFonts w:cs="Arial"/>
          <w:color w:val="000000" w:themeColor="text1"/>
          <w:szCs w:val="16"/>
        </w:rPr>
        <w:br/>
        <w:t xml:space="preserve">Forty-three of 56 LEISs reported delays attributable to exceptional family circumstances for a total of 734 children. Documented reasons for these delays include illness or hospitalization of child or family members, multiple unsuccessful attempts to contact family to set appointment, accommodating family schedule, meetings being rescheduled at parent request, cancellation or family not being home at scheduled appointment times, family moved, and other child or parent reasons. </w:t>
      </w:r>
      <w:r w:rsidRPr="00ED172B">
        <w:rPr>
          <w:rFonts w:cs="Arial"/>
          <w:color w:val="000000" w:themeColor="text1"/>
          <w:szCs w:val="16"/>
        </w:rPr>
        <w:br/>
      </w:r>
      <w:r w:rsidRPr="00ED172B">
        <w:rPr>
          <w:rFonts w:cs="Arial"/>
          <w:color w:val="000000" w:themeColor="text1"/>
          <w:szCs w:val="16"/>
        </w:rPr>
        <w:br/>
        <w:t xml:space="preserve">Twenty-two of 56 LEISs reported delays that were not attributable to exceptional family circumstances for a total of 63 children. Reasons for these delays include provider availability, lack of personnel training/knowledge, other provider reasons, and failure to report transition plan timeliness data. </w:t>
      </w:r>
      <w:r w:rsidRPr="00ED172B">
        <w:rPr>
          <w:rFonts w:cs="Arial"/>
          <w:color w:val="000000" w:themeColor="text1"/>
          <w:szCs w:val="16"/>
        </w:rPr>
        <w:br/>
      </w:r>
      <w:r w:rsidRPr="00ED172B">
        <w:rPr>
          <w:rFonts w:cs="Arial"/>
          <w:color w:val="000000" w:themeColor="text1"/>
          <w:szCs w:val="16"/>
        </w:rPr>
        <w:br/>
        <w:t xml:space="preserve">Nineteen of the 22 LEISs with reported delays that were not attributable to exceptional family circumstance were issued Findings of noncompliance and required to develop Corrective Action Plans (CAPs) during FFY 2020 based on this FFY 2019 data. The remaining three of the 22 LEISs were not issued new Findings, as they had open Findings and CAPs for Indicator 8a or a review of more recent data during verification and closeout of previously issued Findings and CAPs for Indicator 8a indicated 100% compliance. </w:t>
      </w:r>
      <w:r w:rsidRPr="00ED172B">
        <w:rPr>
          <w:rFonts w:cs="Arial"/>
          <w:color w:val="000000" w:themeColor="text1"/>
          <w:szCs w:val="16"/>
        </w:rPr>
        <w:br/>
      </w:r>
      <w:r w:rsidRPr="00ED172B">
        <w:rPr>
          <w:rFonts w:cs="Arial"/>
          <w:color w:val="000000" w:themeColor="text1"/>
          <w:szCs w:val="16"/>
        </w:rPr>
        <w:br/>
        <w:t>Findings resulting from FFY 2019 data are based on the full reporting period; therefore, Findings based on FFY 2019 data are issued in FFY 2020.</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17</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17</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lastRenderedPageBreak/>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Seventeen LEISs were issued a finding related to Indicator 8a in FFY 2018 based on a review of data submitted within MSDS. </w:t>
      </w:r>
      <w:r w:rsidRPr="00ED172B">
        <w:rPr>
          <w:color w:val="000000" w:themeColor="text1"/>
        </w:rPr>
        <w:br/>
      </w:r>
      <w:r w:rsidRPr="00ED172B">
        <w:rPr>
          <w:color w:val="000000" w:themeColor="text1"/>
        </w:rPr>
        <w:br/>
        <w:t xml:space="preserve">Each LEIS developed a CAP in Catamaran that detailed strategies the LEIS would take to correct noncompliance, as soon as possible, but no later than one year from notification of the finding, including verification by the state. As part of the corrective action planning process, progress reports were submitted. Progress reports required the LEIS to conduct file reviews. </w:t>
      </w:r>
      <w:r w:rsidRPr="00ED172B">
        <w:rPr>
          <w:color w:val="000000" w:themeColor="text1"/>
        </w:rPr>
        <w:br/>
      </w:r>
      <w:r w:rsidRPr="00ED172B">
        <w:rPr>
          <w:color w:val="000000" w:themeColor="text1"/>
        </w:rPr>
        <w:br/>
        <w:t xml:space="preserve">When CAP activities had been completed and local data indicated compliance, the LEIS requested CAP closeout and MDE conducted verification activities. MDE reviewed the most recent data submitted in MSDS to determine whether the LEIS had achieved 100% compliance. Records for all 17 LEISs were found to be in compliance resulting in a 100% compliance level within one year of notification of the noncompliance. </w:t>
      </w:r>
      <w:r w:rsidRPr="00ED172B">
        <w:rPr>
          <w:color w:val="000000" w:themeColor="text1"/>
        </w:rPr>
        <w:br/>
      </w:r>
      <w:r w:rsidRPr="00ED172B">
        <w:rPr>
          <w:color w:val="000000" w:themeColor="text1"/>
        </w:rPr>
        <w:br/>
        <w:t xml:space="preserve">Documentation was also collected from the LEISs and from the state technical assistance (TA) providers to demonstrate that all CAP activities had been completed. </w:t>
      </w:r>
      <w:r w:rsidRPr="00ED172B">
        <w:rPr>
          <w:color w:val="000000" w:themeColor="text1"/>
        </w:rPr>
        <w:br/>
      </w:r>
      <w:r w:rsidRPr="00ED172B">
        <w:rPr>
          <w:color w:val="000000" w:themeColor="text1"/>
        </w:rPr>
        <w:br/>
        <w:t>The LEISs were notified of the verification of correction of noncompliance through a formal letter closing the CAP.</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For some of the children, transition planning including an IFSP developed with transition steps and services did take place but not within the required timeline. For these children, the LEIS was required to provide documentation that transition planning including an IFSP developed with transition steps and services, was indeed completed. No further child level correction is possible because timeliness cannot be corrected. The other impacted children were no longer under the jurisdiction of the local early intervention system. Child level correction was not possible.</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2016</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2016</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 xml:space="preserve">One LEIS which was issued a Finding related to Indicator 8a in FFY 2016 based on a review of data submitted within MSDS had not corrected as of the FFY 2018 SPP/APR. </w:t>
      </w:r>
      <w:r w:rsidRPr="00ED172B">
        <w:rPr>
          <w:color w:val="000000" w:themeColor="text1"/>
        </w:rPr>
        <w:br/>
      </w:r>
      <w:r w:rsidRPr="00ED172B">
        <w:rPr>
          <w:color w:val="000000" w:themeColor="text1"/>
        </w:rPr>
        <w:br/>
        <w:t xml:space="preserve">At the time the Finding was identified, the LEIS developed a CAP in Catamaran that detailed strategies the LEIS would take to correct noncompliance, as soon as possible, but no later than one year from notification of the Finding, including verification by the state. As part of the corrective action planning process, progress reports were submitted. Progress reports required the LEIS to conduct file reviews. </w:t>
      </w:r>
      <w:r w:rsidRPr="00ED172B">
        <w:rPr>
          <w:color w:val="000000" w:themeColor="text1"/>
        </w:rPr>
        <w:br/>
      </w:r>
      <w:r w:rsidRPr="00ED172B">
        <w:rPr>
          <w:color w:val="000000" w:themeColor="text1"/>
        </w:rPr>
        <w:br/>
        <w:t>At the time the FFY 2018 SPP/APR was submitted, data demonstrated continued improvement but remained below the required 100% compliance level. This LEIS was provided additional TA and was required to develop additional CAP activities. Check-in calls were conducted between MDE and the LEIS coordinator periodically. Data submissions were reviewed to monitor compliance level.</w:t>
      </w:r>
      <w:r w:rsidRPr="00ED172B">
        <w:rPr>
          <w:color w:val="000000" w:themeColor="text1"/>
        </w:rPr>
        <w:br/>
      </w:r>
      <w:r w:rsidRPr="00ED172B">
        <w:rPr>
          <w:color w:val="000000" w:themeColor="text1"/>
        </w:rPr>
        <w:br/>
        <w:t xml:space="preserve">When the additional CAP activities had been completed and local data indicated compliance, the LEIS requested CAP closeout and MDE conducted verification activities. MDE reviewed the most recent data submitted in MSDS to determine whether the LEIS had achieved 100% compliance. Records for the LEIS were found to be in compliance resulting in a 100% compliance level though not within one year of notification of the noncompliance. </w:t>
      </w:r>
      <w:r w:rsidRPr="00ED172B">
        <w:rPr>
          <w:color w:val="000000" w:themeColor="text1"/>
        </w:rPr>
        <w:br/>
      </w:r>
      <w:r w:rsidRPr="00ED172B">
        <w:rPr>
          <w:color w:val="000000" w:themeColor="text1"/>
        </w:rPr>
        <w:br/>
        <w:t xml:space="preserve">Documentation was also collected from the LEIS and from the state technical assistance (TA) providers to demonstrate that all CAP activities had been completed. </w:t>
      </w:r>
      <w:r w:rsidRPr="00ED172B">
        <w:rPr>
          <w:color w:val="000000" w:themeColor="text1"/>
        </w:rPr>
        <w:br/>
      </w:r>
      <w:r w:rsidRPr="00ED172B">
        <w:rPr>
          <w:color w:val="000000" w:themeColor="text1"/>
        </w:rPr>
        <w:br/>
        <w:t>The LEIS was notified of the verification of correction of noncompliance through a formal letter closing the CAP.</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For some of the children, transition planning including an IFSP developed with transition steps and services did take place but not within the required timeline. For these children, the LEIS was required to provide documentation that transition planning including an IFSP developed with transition steps and services, was indeed completed. No further child level correction is possible because timeliness cannot be corrected. The other impacted children were no longer under the jurisdiction of the local early intervention system. Child level correction was not possible.</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r w:rsidRPr="00ED172B">
        <w:rPr>
          <w:color w:val="000000" w:themeColor="text1"/>
        </w:rPr>
        <w:lastRenderedPageBreak/>
        <w:t xml:space="preserve">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3,755</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3,755</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Michigan does not have an opt-out policy so no opt-out data is collected.</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Full reporting period - July 1, 2019-June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Data from full reporting period are included.</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In Michigan, the Michigan Department of Education (MDE) is the State Education Agency (SEA) with intermediate school districts (ISDs) acting as local lead agencies. Given that Michigan is a birth mandate state (the term used is Michigan Mandatory Special Education (MMSE)) and the Part C local lead agency is the ISD, notification from Part C to the SEA and local education agency (LEA) is internal and takes place as the child is identified as eligible for MMSE at any time from birth to age three. Michigan defines potentially eligible for Part B preschool services as any child found eligible and receiving MMSE prior to two years, nine months while receiving services under Part C. Any toddler potentially eligible for Part B preschool services is transitioned by age three. "The school district of residence is responsible for conducting the initial individualized education program team meeting involving a student in its district and shall conduct, or authorize the operating district to conduct, each subsequent individualized education program team meeting at a mutually agreed upon time and place." Michigan Special Education Rule R 340.1721c. As specified in the Transition Intra-agency Agreement, each resident LEA (or its designee) will act on behalf of the SEA for the receipt of SEA notifications regarding a toddler exiting Part C and potentially eligible for Part B section 619. Therefore, the SEA and LEAs are notified of 100% of children potentially eligible for Part B.</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84.40%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99.29%</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94.31%</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96.23%</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96.99%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98.52%</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3,457</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3,755</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98.52%</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98.58%</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24</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221</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Full reporting period - July 1, 2019-June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Data from full reporting period are included.</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Data were collected through the Michigan Student Data System (MSDS). All local early intervention systems (LEISs) submitted data regarding all children served to the state database at three designated points during the program year (July 1, 2019 - June 30, 2020). Data from the three collections were aggregated to provide data from the full reporting period. </w:t>
      </w:r>
      <w:r w:rsidRPr="00ED172B">
        <w:rPr>
          <w:rFonts w:cs="Arial"/>
          <w:color w:val="000000" w:themeColor="text1"/>
          <w:szCs w:val="16"/>
        </w:rPr>
        <w:br/>
      </w:r>
      <w:r w:rsidRPr="00ED172B">
        <w:rPr>
          <w:rFonts w:cs="Arial"/>
          <w:color w:val="000000" w:themeColor="text1"/>
          <w:szCs w:val="16"/>
        </w:rPr>
        <w:br/>
        <w:t xml:space="preserve">Data reported for this indicator reflect that a total of 3,755 records included toddlers potentially eligible for Part B preschool services for whom a transition conference was required to be conducted. Parents of 24 of these children did not provide approval for a transition conference. This number was subtracted from the 3,755 toddlers potentially eligible for Part B preschool services and the resulting 3,731 was used as the denominator for calculation of Indicator 8c data. Data reported for this indicator reflect that 3,457 of the records documented timely transition conferences. Two hundred twenty-one additional records contained documentation that the delay to the completion of a transition conference was attributable to exceptional family circumstances. The number of records with documented exceptional family circumstances (221) was added to the timely records (3,457) resulting in a total of 3,678 records. This number was used as the numerator for the calculation. The resulting percentage of compliance is 98.58%. </w:t>
      </w:r>
      <w:r w:rsidRPr="00ED172B">
        <w:rPr>
          <w:rFonts w:cs="Arial"/>
          <w:color w:val="000000" w:themeColor="text1"/>
          <w:szCs w:val="16"/>
        </w:rPr>
        <w:br/>
      </w:r>
      <w:r w:rsidRPr="00ED172B">
        <w:rPr>
          <w:rFonts w:cs="Arial"/>
          <w:color w:val="000000" w:themeColor="text1"/>
          <w:szCs w:val="16"/>
        </w:rPr>
        <w:br/>
        <w:t xml:space="preserve">(3,457+221)/(3,755-24)=.9858 </w:t>
      </w:r>
      <w:r w:rsidRPr="00ED172B">
        <w:rPr>
          <w:rFonts w:cs="Arial"/>
          <w:color w:val="000000" w:themeColor="text1"/>
          <w:szCs w:val="16"/>
        </w:rPr>
        <w:br/>
      </w:r>
      <w:r w:rsidRPr="00ED172B">
        <w:rPr>
          <w:rFonts w:cs="Arial"/>
          <w:color w:val="000000" w:themeColor="text1"/>
          <w:szCs w:val="16"/>
        </w:rPr>
        <w:br/>
        <w:t xml:space="preserve">Both the numerator and the denominator include 221 children for whom the transition conference was not timely, but whose file contained documentation that the delay was attributable to exceptional family circumstances. 98.58% compliance falls below the target of 100% compliance for this indicator. These data reflect a slightly increased level of compliance for this indicator from the 98.52% compliance level reported in the FFY 2018 APR. </w:t>
      </w:r>
      <w:r w:rsidRPr="00ED172B">
        <w:rPr>
          <w:rFonts w:cs="Arial"/>
          <w:color w:val="000000" w:themeColor="text1"/>
          <w:szCs w:val="16"/>
        </w:rPr>
        <w:br/>
      </w:r>
      <w:r w:rsidRPr="00ED172B">
        <w:rPr>
          <w:rFonts w:cs="Arial"/>
          <w:color w:val="000000" w:themeColor="text1"/>
          <w:szCs w:val="16"/>
        </w:rPr>
        <w:br/>
        <w:t xml:space="preserve">Twenty-nine of 56 LEISs reported delays attributable to exceptional family circumstances for 221 children. Documented reasons for these delays include sickness or hospitalization of child or family members, multiple unsuccessful attempts to contact family to set appointment, meeting cancellations or family not being home at scheduled appointment times, meetings being rescheduled to accommodate family schedules, family moved, and other child or parent reasons. </w:t>
      </w:r>
      <w:r w:rsidRPr="00ED172B">
        <w:rPr>
          <w:rFonts w:cs="Arial"/>
          <w:color w:val="000000" w:themeColor="text1"/>
          <w:szCs w:val="16"/>
        </w:rPr>
        <w:br/>
      </w:r>
      <w:r w:rsidRPr="00ED172B">
        <w:rPr>
          <w:rFonts w:cs="Arial"/>
          <w:color w:val="000000" w:themeColor="text1"/>
          <w:szCs w:val="16"/>
        </w:rPr>
        <w:br/>
        <w:t xml:space="preserve">Sixteen of 56 LEISs reported delays that were not attributable to exceptional family circumstances for a total of 53 children. Reasons for these delays include provider availability, personnel lack of training/knowledge, failure to report timeliness of transition conferences, or other provider reasons. </w:t>
      </w:r>
      <w:r w:rsidRPr="00ED172B">
        <w:rPr>
          <w:rFonts w:cs="Arial"/>
          <w:color w:val="000000" w:themeColor="text1"/>
          <w:szCs w:val="16"/>
        </w:rPr>
        <w:br/>
      </w:r>
      <w:r w:rsidRPr="00ED172B">
        <w:rPr>
          <w:rFonts w:cs="Arial"/>
          <w:color w:val="000000" w:themeColor="text1"/>
          <w:szCs w:val="16"/>
        </w:rPr>
        <w:br/>
        <w:t xml:space="preserve">Fifteen of the 16 LEISs with delays that were not attributable to exceptional family circumstances were issued Findings of noncompliance and required to develop Corrective Action Plans (CAPs) during FFY 2020 based on this FFY 2019 data. The remaining one of the 16 LEISs was not issued a new Finding, as they had open Findings and CAPs for Indicator 8c or a review of more recent data during verification and closeout of previously issued Findings and CAPs for Indicator 8c indicated 100% compliance. </w:t>
      </w:r>
      <w:r w:rsidRPr="00ED172B">
        <w:rPr>
          <w:rFonts w:cs="Arial"/>
          <w:color w:val="000000" w:themeColor="text1"/>
          <w:szCs w:val="16"/>
        </w:rPr>
        <w:br/>
      </w:r>
      <w:r w:rsidRPr="00ED172B">
        <w:rPr>
          <w:rFonts w:cs="Arial"/>
          <w:color w:val="000000" w:themeColor="text1"/>
          <w:szCs w:val="16"/>
        </w:rPr>
        <w:lastRenderedPageBreak/>
        <w:br/>
        <w:t>Findings resulting from FFY 2019 data are based on the full reporting period; therefore, Findings based on FFY 2019 data were issued in FFY 2020.</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18</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18</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Eighteen LEISs were issued a finding of noncompliance related to Indicator 8c in FFY 2018 based on a review of data submitted within MSDS. </w:t>
      </w:r>
      <w:r w:rsidRPr="00ED172B">
        <w:rPr>
          <w:color w:val="000000" w:themeColor="text1"/>
        </w:rPr>
        <w:br/>
      </w:r>
      <w:r w:rsidRPr="00ED172B">
        <w:rPr>
          <w:color w:val="000000" w:themeColor="text1"/>
        </w:rPr>
        <w:br/>
        <w:t xml:space="preserve">Each LEIS developed a CAP in the electronic monitoring system that detailed strategies that the LEIS would take to correct noncompliance, as soon as possible, but no later than one year from notification of the finding, including verification by the state. As part of the corrective action planning process, progress reports were submitted. Progress reports required the LEIS to conduct file reviews. </w:t>
      </w:r>
      <w:r w:rsidRPr="00ED172B">
        <w:rPr>
          <w:color w:val="000000" w:themeColor="text1"/>
        </w:rPr>
        <w:br/>
        <w:t>Data submissions were reviewed to monitor compliance level. When CAP activities had been completed and local data indicated compliance, the LEIS requested CAP closeout and MDE conducted verification activities. MDE reviewed the most recent data submitted to MSDS to determine whether the LEIS had achieved 100% compliance. Records for all 18 LEISs were found to be in compliance resulting in a 100% compliance level within one year of notification of the noncompliance.</w:t>
      </w:r>
      <w:r w:rsidRPr="00ED172B">
        <w:rPr>
          <w:color w:val="000000" w:themeColor="text1"/>
        </w:rPr>
        <w:br/>
        <w:t xml:space="preserve"> </w:t>
      </w:r>
      <w:r w:rsidRPr="00ED172B">
        <w:rPr>
          <w:color w:val="000000" w:themeColor="text1"/>
        </w:rPr>
        <w:br/>
        <w:t>Documentation was also collected from the LEIS and state technical assistance (TA) providers to demonstrate that all CAP activities had been completed.</w:t>
      </w:r>
      <w:r w:rsidRPr="00ED172B">
        <w:rPr>
          <w:color w:val="000000" w:themeColor="text1"/>
        </w:rPr>
        <w:br/>
        <w:t xml:space="preserve"> </w:t>
      </w:r>
      <w:r w:rsidRPr="00ED172B">
        <w:rPr>
          <w:color w:val="000000" w:themeColor="text1"/>
        </w:rPr>
        <w:br/>
        <w:t>The LEISs were notified of the verification of correction of noncompliance through a formal letter closing the CAP.</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For some of the children, a transition conference with all required participants was conducted but not at least 90 days prior to the child's third birthday. For these children, the LEIS was required to provide documentation that a transition conference with all required participants was indeed conducted. No further child level correction is possible because timeliness cannot be corrected. The other impacted children were no longer under the jurisdiction of the local early intervention system. Child level correction was not possible.</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lastRenderedPageBreak/>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The State reported fewer than ten resolution sessions held in FFY 2019. The State is not required to provide targets until any fiscal year in which ten or more resolution sessions were held</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Michigan Part C collaborates extensively with the MICC, a governor-appointed advisory council. The MICC includes multiple stakeholders from various perspectives around the state. Issues are addressed through various ad hoc and standing committees. The Executive and Parent Involvement committees provide a great deal of advice to the lead agency. When targets need to be established or revised, these committees, along with statewide contractors, review data and make recommendations for the targets. After several data review meetings, target recommendations were presented to the MICC at their November 2014 meeting. Each November the MICC reviews current data in comparison to the previously set targets. The MICC recommended the results indicator targets remain the same through FFY 2019. The MICC has also convened a Data Ad Hoc Committee to advise MDE around target setting through FFY 2025 and have held several meetings to establish common goals, visions, and to begin efforts in target setting for the FY 2020 SPP/APR.</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1984"/>
        <w:gridCol w:w="2051"/>
        <w:gridCol w:w="1390"/>
        <w:gridCol w:w="950"/>
        <w:gridCol w:w="871"/>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20806" w:rsidP="00320806">
            <w:pPr>
              <w:jc w:val="center"/>
              <w:rPr>
                <w:color w:val="000000" w:themeColor="text1"/>
              </w:rPr>
            </w:pPr>
            <w:r w:rsidRPr="00ED172B">
              <w:rPr>
                <w:color w:val="000000" w:themeColor="text1"/>
              </w:rPr>
              <w:t>100.00%</w:t>
            </w: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55E294DD" w14:textId="77777777" w:rsidR="0084594C" w:rsidRDefault="0084594C" w:rsidP="0084594C">
      <w:pPr>
        <w:pStyle w:val="Heading1"/>
        <w:rPr>
          <w:shd w:val="clear" w:color="auto" w:fill="FFFFFF"/>
        </w:rPr>
      </w:pPr>
      <w:bookmarkStart w:id="55" w:name="_Toc392159348"/>
      <w:r>
        <w:rPr>
          <w:shd w:val="clear" w:color="auto" w:fill="FFFFFF"/>
        </w:rPr>
        <w:lastRenderedPageBreak/>
        <w:t>Indicator 11: State Systemic Improvement Plan</w:t>
      </w:r>
    </w:p>
    <w:p w14:paraId="61A5A7A1" w14:textId="2E3337E2" w:rsidR="00A62D8E" w:rsidRDefault="0084594C" w:rsidP="0084594C">
      <w:pPr>
        <w:rPr>
          <w:rFonts w:cstheme="majorBidi"/>
          <w:b/>
          <w:bCs/>
          <w:color w:val="000000" w:themeColor="text1"/>
        </w:rPr>
      </w:pPr>
      <w:r>
        <w:object w:dxaOrig="1508" w:dyaOrig="984" w14:anchorId="7075D73F">
          <v:shape id="_x0000_i1033" type="#_x0000_t75" alt="FFY19_SSIP PartC Final Approved.pdf" style="width:75.5pt;height:49.5pt" o:ole="">
            <v:imagedata r:id="rId13" o:title=""/>
          </v:shape>
          <o:OLEObject Type="Embed" ProgID="Acrobat.Document.DC" ShapeID="_x0000_i1033" DrawAspect="Icon" ObjectID="_1688822417" r:id="rId14"/>
        </w:object>
      </w:r>
      <w:r w:rsidR="00A62D8E">
        <w:rPr>
          <w:color w:val="000000" w:themeColor="text1"/>
        </w:rPr>
        <w:br w:type="page"/>
      </w:r>
    </w:p>
    <w:p w14:paraId="059C92E8" w14:textId="293B43D2" w:rsidR="005F7CCF" w:rsidRDefault="005F7CCF">
      <w:pPr>
        <w:pStyle w:val="Heading1"/>
        <w:rPr>
          <w:color w:val="000000" w:themeColor="text1"/>
        </w:rPr>
      </w:pPr>
      <w:r>
        <w:rPr>
          <w:color w:val="000000" w:themeColor="text1"/>
        </w:rPr>
        <w:lastRenderedPageBreak/>
        <w:t>Overall State APR Attachments</w:t>
      </w:r>
    </w:p>
    <w:p w14:paraId="45D555F8" w14:textId="0CD7CC70" w:rsidR="005F7CCF" w:rsidRPr="005F7CCF" w:rsidRDefault="0084594C" w:rsidP="002F07E3">
      <w:r>
        <w:object w:dxaOrig="1508" w:dyaOrig="984" w14:anchorId="2D3B8EB2">
          <v:shape id="_x0000_i1026" type="#_x0000_t75" alt="SPPAPR FFY 2019NA-2Required Action_Michigan.1.27.2021" style="width:75.5pt;height:49.5pt" o:ole="">
            <v:imagedata r:id="rId15" o:title=""/>
          </v:shape>
          <o:OLEObject Type="Embed" ProgID="Acrobat.Document.DC" ShapeID="_x0000_i1026" DrawAspect="Icon" ObjectID="_1688822418" r:id="rId16"/>
        </w:object>
      </w:r>
      <w:r w:rsidR="00C36F22">
        <w:t xml:space="preserve"> </w:t>
      </w:r>
    </w:p>
    <w:p w14:paraId="06A0B632" w14:textId="77777777" w:rsidR="0084594C" w:rsidRDefault="0084594C">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7DF3A227"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Noel Kelty</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Director, Early Childhood Development and Family Education</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keltyn@michigan.gov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517-388-3431</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04/26/21  4:35:41 PM</w:t>
      </w:r>
    </w:p>
    <w:p w14:paraId="7B3F3D6E" w14:textId="3A1B48EB" w:rsidR="00FD047C" w:rsidRPr="00ED172B" w:rsidRDefault="00FD047C" w:rsidP="00D77E41">
      <w:pPr>
        <w:autoSpaceDE w:val="0"/>
        <w:autoSpaceDN w:val="0"/>
        <w:adjustRightInd w:val="0"/>
        <w:rPr>
          <w:rFonts w:cs="Arial"/>
          <w:b/>
          <w:color w:val="000000" w:themeColor="text1"/>
          <w:szCs w:val="16"/>
        </w:rPr>
      </w:pPr>
    </w:p>
    <w:p w14:paraId="4A32EBD7" w14:textId="77777777" w:rsidR="00F207B0" w:rsidRDefault="00F207B0">
      <w:pPr>
        <w:spacing w:before="0" w:after="200" w:line="276" w:lineRule="auto"/>
        <w:rPr>
          <w:rFonts w:eastAsiaTheme="majorEastAsia" w:cstheme="majorBidi"/>
          <w:b/>
          <w:bCs/>
          <w:sz w:val="22"/>
          <w:szCs w:val="28"/>
        </w:rPr>
      </w:pPr>
      <w:r>
        <w:br w:type="page"/>
      </w:r>
    </w:p>
    <w:p w14:paraId="0DE9299F" w14:textId="4D40CE30" w:rsidR="00DB6493" w:rsidRDefault="00DB6493">
      <w:pPr>
        <w:pStyle w:val="Heading1"/>
      </w:pPr>
      <w:r>
        <w:lastRenderedPageBreak/>
        <w:t>ED Attachments</w:t>
      </w:r>
    </w:p>
    <w:p w14:paraId="5078429F" w14:textId="33BD86E5" w:rsidR="00DB6493" w:rsidRPr="00DB6493" w:rsidRDefault="00F207B0" w:rsidP="002F07E3">
      <w:r>
        <w:object w:dxaOrig="1508" w:dyaOrig="984" w14:anchorId="748027B3">
          <v:shape id="_x0000_i1028" type="#_x0000_t75" alt="mi-resultsmatrix-2021c.pdf" style="width:75.5pt;height:49.5pt" o:ole="">
            <v:imagedata r:id="rId17" o:title=""/>
          </v:shape>
          <o:OLEObject Type="Embed" ProgID="Acrobat.Document.DC" ShapeID="_x0000_i1028" DrawAspect="Icon" ObjectID="_1688822419" r:id="rId18"/>
        </w:object>
      </w:r>
      <w:r w:rsidR="004E1B40">
        <w:t xml:space="preserve"> </w:t>
      </w:r>
      <w:r>
        <w:tab/>
      </w:r>
      <w:r w:rsidR="005431BD">
        <w:t xml:space="preserve"> </w:t>
      </w:r>
      <w:r>
        <w:object w:dxaOrig="1508" w:dyaOrig="984" w14:anchorId="64235597">
          <v:shape id="_x0000_i1030" type="#_x0000_t75" alt="MI-C-Dispute-Resolution-2019-20(1).pdf" style="width:75.5pt;height:49.5pt" o:ole="">
            <v:imagedata r:id="rId19" o:title=""/>
          </v:shape>
          <o:OLEObject Type="Embed" ProgID="Acrobat.Document.DC" ShapeID="_x0000_i1030" DrawAspect="Icon" ObjectID="_1688822420" r:id="rId20"/>
        </w:object>
      </w:r>
      <w:r>
        <w:tab/>
      </w:r>
      <w:r>
        <w:object w:dxaOrig="1508" w:dyaOrig="984" w14:anchorId="245FADD5">
          <v:shape id="_x0000_i1031" type="#_x0000_t75" alt="MI-2021DataRubricPartC.xlsx" style="width:75.5pt;height:49.5pt" o:ole="">
            <v:imagedata r:id="rId21" o:title=""/>
          </v:shape>
          <o:OLEObject Type="Embed" ProgID="Excel.Sheet.12" ShapeID="_x0000_i1031" DrawAspect="Icon" ObjectID="_1688822421" r:id="rId22"/>
        </w:object>
      </w:r>
    </w:p>
    <w:sectPr w:rsidR="00DB6493" w:rsidRPr="00DB6493"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FF54F" w14:textId="77777777" w:rsidR="006D376B" w:rsidRDefault="006D376B" w:rsidP="000802F7">
      <w:pPr>
        <w:spacing w:before="0" w:after="0"/>
      </w:pPr>
      <w:r>
        <w:separator/>
      </w:r>
    </w:p>
  </w:endnote>
  <w:endnote w:type="continuationSeparator" w:id="0">
    <w:p w14:paraId="19A6E069" w14:textId="77777777" w:rsidR="006D376B" w:rsidRDefault="006D376B" w:rsidP="000802F7">
      <w:pPr>
        <w:spacing w:before="0" w:after="0"/>
      </w:pPr>
      <w:r>
        <w:continuationSeparator/>
      </w:r>
    </w:p>
  </w:endnote>
  <w:endnote w:type="continuationNotice" w:id="1">
    <w:p w14:paraId="237B8265" w14:textId="77777777" w:rsidR="006D376B" w:rsidRDefault="006D37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A4DC5" w14:textId="77777777" w:rsidR="006D376B" w:rsidRDefault="006D376B" w:rsidP="000802F7">
      <w:pPr>
        <w:spacing w:before="0" w:after="0"/>
      </w:pPr>
      <w:r>
        <w:separator/>
      </w:r>
    </w:p>
  </w:footnote>
  <w:footnote w:type="continuationSeparator" w:id="0">
    <w:p w14:paraId="2C89DCED" w14:textId="77777777" w:rsidR="006D376B" w:rsidRDefault="006D376B" w:rsidP="000802F7">
      <w:pPr>
        <w:spacing w:before="0" w:after="0"/>
      </w:pPr>
      <w:r>
        <w:continuationSeparator/>
      </w:r>
    </w:p>
  </w:footnote>
  <w:footnote w:type="continuationNotice" w:id="1">
    <w:p w14:paraId="093DDBC6" w14:textId="77777777" w:rsidR="006D376B" w:rsidRDefault="006D376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pt;height:18.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1A9"/>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7E3"/>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E06"/>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1B40"/>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1BD"/>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0747"/>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5F7CCF"/>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376B"/>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594C"/>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D8E"/>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36F22"/>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B6493"/>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7B0"/>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Excel_Worksheet.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61AD8D5F-C8B2-4602-95F2-C6E5DEA4B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20692</Words>
  <Characters>117945</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5</cp:revision>
  <cp:lastPrinted>2014-08-19T16:56:00Z</cp:lastPrinted>
  <dcterms:created xsi:type="dcterms:W3CDTF">2021-07-22T21:47:00Z</dcterms:created>
  <dcterms:modified xsi:type="dcterms:W3CDTF">2021-07-26T20:33:00Z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68f38a67-3941-4d04-948a-f61a40efab40</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