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Marshall Islands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This Executive Summary includes a description of the Republic of the Marshall Islands (RMI) IDEA Part B State Performance Plan (SPP) and Annual Performance Report (APR) for FFY 2019. A description of RMI's General Supervision System, Technical Assistance System, Professional Development System, Stakeholder Involvement, and Reporting to the Public is provided in the following sections of this Introduction.</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r w:rsidRPr="005C29F8">
        <w:rPr>
          <w:rFonts w:cs="Arial"/>
          <w:color w:val="000000" w:themeColor="text1"/>
          <w:szCs w:val="16"/>
        </w:rPr>
        <w:br/>
      </w:r>
      <w:r w:rsidRPr="005C29F8">
        <w:rPr>
          <w:rFonts w:cs="Arial"/>
          <w:color w:val="000000" w:themeColor="text1"/>
          <w:szCs w:val="16"/>
        </w:rPr>
        <w:br/>
        <w:t>RMI's FFY 2019 APR includes performance for the above indicators with explanation of slippage where applicable. Indicator 17, RMI's Part B State Systemic Improvement Plan (SSIP), with SSIP Phase III, Year Five performance will be submitted by April 1, 2021.</w:t>
      </w:r>
      <w:r w:rsidRPr="005C29F8">
        <w:rPr>
          <w:rFonts w:cs="Arial"/>
          <w:color w:val="000000" w:themeColor="text1"/>
          <w:szCs w:val="16"/>
        </w:rPr>
        <w:br/>
      </w:r>
      <w:r w:rsidRPr="005C29F8">
        <w:rPr>
          <w:rFonts w:cs="Arial"/>
          <w:color w:val="000000" w:themeColor="text1"/>
          <w:szCs w:val="16"/>
        </w:rPr>
        <w:br/>
        <w:t>RMI has reviewed the results of this report and will address areas of concern.</w:t>
      </w:r>
      <w:r w:rsidRPr="005C29F8">
        <w:rPr>
          <w:rFonts w:cs="Arial"/>
          <w:color w:val="000000" w:themeColor="text1"/>
          <w:szCs w:val="16"/>
        </w:rPr>
        <w:br/>
      </w:r>
      <w:r w:rsidRPr="005C29F8">
        <w:rPr>
          <w:rFonts w:cs="Arial"/>
          <w:color w:val="000000" w:themeColor="text1"/>
          <w:szCs w:val="16"/>
        </w:rPr>
        <w:br/>
        <w:t>RMI appreciates OSEP's support through its Differentiated Monitoring and Support System (DMS) and monthly calls with OSEP's team lead for RMI. With the exceptional technical assistance being provided by the National Center for Systemic Improvement (NCSI) and the National Technical Assistance Center on Transition (NTACT), RMI intends to continue to improve results for children and youth with disabilities.</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Aside from indicator 3B and 3C, because RMI PSS did not implement its statewide assessments due to COVID-19, all other indicators' data were not impacted by the pandemic.  All data reported on the FFY 2019 SPP/APR are complete, valid and reliable.</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General supervision in the Marshall Islands, the responsibility of the Public School System (RMI PSS) Special Education Office, is comprised of the following eight components. Although each is a separate component, the components connect, interact, and articulate to form a comprehensive system with the objective of improving educational results and functional outcomes for all children with disabilities in the RMI and ensuring that the RMI PSS meets the program requirements under this part, with a particular emphasis on those requirements that are most closely related to improving educational results for children with disabilities.</w:t>
      </w:r>
      <w:r w:rsidRPr="005C29F8">
        <w:rPr>
          <w:rFonts w:cs="Arial"/>
          <w:color w:val="000000" w:themeColor="text1"/>
          <w:szCs w:val="16"/>
        </w:rPr>
        <w:br/>
      </w:r>
      <w:r w:rsidRPr="005C29F8">
        <w:rPr>
          <w:rFonts w:cs="Arial"/>
          <w:color w:val="000000" w:themeColor="text1"/>
          <w:szCs w:val="16"/>
        </w:rPr>
        <w:br/>
        <w:t>State performance and improvement plans</w:t>
      </w:r>
      <w:r w:rsidRPr="005C29F8">
        <w:rPr>
          <w:rFonts w:cs="Arial"/>
          <w:color w:val="000000" w:themeColor="text1"/>
          <w:szCs w:val="16"/>
        </w:rPr>
        <w:br/>
        <w:t>Policies, procedures, and effective implementation of IDEA</w:t>
      </w:r>
      <w:r w:rsidRPr="005C29F8">
        <w:rPr>
          <w:rFonts w:cs="Arial"/>
          <w:color w:val="000000" w:themeColor="text1"/>
          <w:szCs w:val="16"/>
        </w:rPr>
        <w:br/>
        <w:t>Dispute resolutions</w:t>
      </w:r>
      <w:r w:rsidRPr="005C29F8">
        <w:rPr>
          <w:rFonts w:cs="Arial"/>
          <w:color w:val="000000" w:themeColor="text1"/>
          <w:szCs w:val="16"/>
        </w:rPr>
        <w:br/>
        <w:t>Data on processes and results</w:t>
      </w:r>
      <w:r w:rsidRPr="005C29F8">
        <w:rPr>
          <w:rFonts w:cs="Arial"/>
          <w:color w:val="000000" w:themeColor="text1"/>
          <w:szCs w:val="16"/>
        </w:rPr>
        <w:br/>
        <w:t>Integrated monitoring and evaluation activities</w:t>
      </w:r>
      <w:r w:rsidRPr="005C29F8">
        <w:rPr>
          <w:rFonts w:cs="Arial"/>
          <w:color w:val="000000" w:themeColor="text1"/>
          <w:szCs w:val="16"/>
        </w:rPr>
        <w:br/>
        <w:t>Targeted technical assistance and personnel development</w:t>
      </w:r>
      <w:r w:rsidRPr="005C29F8">
        <w:rPr>
          <w:rFonts w:cs="Arial"/>
          <w:color w:val="000000" w:themeColor="text1"/>
          <w:szCs w:val="16"/>
        </w:rPr>
        <w:br/>
        <w:t>Improvement, correction, incentives, and sanctions</w:t>
      </w:r>
      <w:r w:rsidRPr="005C29F8">
        <w:rPr>
          <w:rFonts w:cs="Arial"/>
          <w:color w:val="000000" w:themeColor="text1"/>
          <w:szCs w:val="16"/>
        </w:rPr>
        <w:br/>
        <w:t>Fiscal management</w:t>
      </w:r>
      <w:r w:rsidRPr="005C29F8">
        <w:rPr>
          <w:rFonts w:cs="Arial"/>
          <w:color w:val="000000" w:themeColor="text1"/>
          <w:szCs w:val="16"/>
        </w:rPr>
        <w:br/>
      </w:r>
      <w:r w:rsidRPr="005C29F8">
        <w:rPr>
          <w:rFonts w:cs="Arial"/>
          <w:color w:val="000000" w:themeColor="text1"/>
          <w:szCs w:val="16"/>
        </w:rPr>
        <w:br/>
        <w:t xml:space="preserve"> Supervision in the Marshall Islands also includes:</w:t>
      </w:r>
      <w:r w:rsidRPr="005C29F8">
        <w:rPr>
          <w:rFonts w:cs="Arial"/>
          <w:color w:val="000000" w:themeColor="text1"/>
          <w:szCs w:val="16"/>
        </w:rPr>
        <w:br/>
      </w:r>
      <w:r w:rsidRPr="005C29F8">
        <w:rPr>
          <w:rFonts w:cs="Arial"/>
          <w:color w:val="000000" w:themeColor="text1"/>
          <w:szCs w:val="16"/>
        </w:rPr>
        <w:br/>
        <w:t xml:space="preserve">Direct supervision of all public schools, programs, and services; </w:t>
      </w:r>
      <w:r w:rsidRPr="005C29F8">
        <w:rPr>
          <w:rFonts w:cs="Arial"/>
          <w:color w:val="000000" w:themeColor="text1"/>
          <w:szCs w:val="16"/>
        </w:rPr>
        <w:br/>
        <w:t xml:space="preserve">Ongoing technical assistance to all schools and programs in the Marshall Islands; </w:t>
      </w:r>
      <w:r w:rsidRPr="005C29F8">
        <w:rPr>
          <w:rFonts w:cs="Arial"/>
          <w:color w:val="000000" w:themeColor="text1"/>
          <w:szCs w:val="16"/>
        </w:rPr>
        <w:br/>
        <w:t>Data collection through the Special Ed Information Management System (SEIMS);</w:t>
      </w:r>
      <w:r w:rsidRPr="005C29F8">
        <w:rPr>
          <w:rFonts w:cs="Arial"/>
          <w:color w:val="000000" w:themeColor="text1"/>
          <w:szCs w:val="16"/>
        </w:rPr>
        <w:br/>
        <w:t xml:space="preserve">PSS program assessment through self-evaluation and improvement planning (Integrated and Continuous Improvement Focused Monitoring Procedures and the State Systemic Improvement Plan - SSIP) involving the Special Education Advisory Council (SEAC); </w:t>
      </w:r>
      <w:r w:rsidRPr="005C29F8">
        <w:rPr>
          <w:rFonts w:cs="Arial"/>
          <w:color w:val="000000" w:themeColor="text1"/>
          <w:szCs w:val="16"/>
        </w:rPr>
        <w:br/>
        <w:t xml:space="preserve">Annual review and compliance determination; </w:t>
      </w:r>
      <w:r w:rsidRPr="005C29F8">
        <w:rPr>
          <w:rFonts w:cs="Arial"/>
          <w:color w:val="000000" w:themeColor="text1"/>
          <w:szCs w:val="16"/>
        </w:rPr>
        <w:br/>
        <w:t xml:space="preserve">Triennial (every 3 years) on-site monitoring; </w:t>
      </w:r>
      <w:r w:rsidRPr="005C29F8">
        <w:rPr>
          <w:rFonts w:cs="Arial"/>
          <w:color w:val="000000" w:themeColor="text1"/>
          <w:szCs w:val="16"/>
        </w:rPr>
        <w:br/>
        <w:t>Management of special education complaints, mediation, and due process hearings, including dissemination of rights and procedures; and</w:t>
      </w:r>
      <w:r w:rsidRPr="005C29F8">
        <w:rPr>
          <w:rFonts w:cs="Arial"/>
          <w:color w:val="000000" w:themeColor="text1"/>
          <w:szCs w:val="16"/>
        </w:rPr>
        <w:br/>
        <w:t>Resolution of issues through customary cultural practices, including disinterested parties.</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The Special Education Office provides ongoing and targeted technical assistance (TA) to schools.</w:t>
      </w:r>
      <w:r w:rsidRPr="005C29F8">
        <w:rPr>
          <w:rFonts w:cs="Arial"/>
          <w:color w:val="000000" w:themeColor="text1"/>
          <w:szCs w:val="16"/>
        </w:rPr>
        <w:br/>
      </w:r>
      <w:r w:rsidRPr="005C29F8">
        <w:rPr>
          <w:rFonts w:cs="Arial"/>
          <w:color w:val="000000" w:themeColor="text1"/>
          <w:szCs w:val="16"/>
        </w:rPr>
        <w:br/>
        <w:t xml:space="preserve">Ongoing TA is provided by a special education specialist from the Special Education Office assigned to a school. The assigned specialist maintains weekly contact with school personnel through on-site visits, telephone, short-wave radio, and/or web-based platforms. Targeted technical assistance to each of the 75 public elementary schools (grades K to 8) two public middle schools (on Majuro and Ebeye); and 5 public high schools (grades 9 to 12) located on 24 atolls in an area equivalent to the size of the United States east of the Mississippi River is provided based on the annual review and an annual special education school improvement plan. The process is described in the Marshall Islands Integrated and Continuous Improvement Focused </w:t>
      </w:r>
      <w:r w:rsidRPr="005C29F8">
        <w:rPr>
          <w:rFonts w:cs="Arial"/>
          <w:color w:val="000000" w:themeColor="text1"/>
          <w:szCs w:val="16"/>
        </w:rPr>
        <w:lastRenderedPageBreak/>
        <w:t>Monitoring Procedures (Revised September 2011), Attachment A to the RMI PSS Special Education Policies and Procedures. The State Systemic Improvement Plan (SSIP) also includes an important technical assistance component.</w:t>
      </w:r>
      <w:r w:rsidRPr="005C29F8">
        <w:rPr>
          <w:rFonts w:cs="Arial"/>
          <w:color w:val="000000" w:themeColor="text1"/>
          <w:szCs w:val="16"/>
        </w:rPr>
        <w:br/>
      </w:r>
      <w:r w:rsidRPr="005C29F8">
        <w:rPr>
          <w:rFonts w:cs="Arial"/>
          <w:color w:val="000000" w:themeColor="text1"/>
          <w:szCs w:val="16"/>
        </w:rPr>
        <w:br/>
        <w:t>RMI technical assistance has been supported by TA from the National Center for Systemic Improvement (NCSI), the National Technical Assistance Center on Transition (NTACT), and other OSEP-sponsored agencies.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The RMI PSS maintains an Individualized Development Plan (IDP) for each special education teacher and staff that is updated annually during the Special Education Summer Institute. The plan guides the personnel development of the individual through workshops; coursework provided by the College of the Marshall Islands, Brigham Young University of Hawaii, and other institutions; the MOE certification requirements; and degree progression of AA, BA, and MA. The IDP assists the Special Education Office in planning and arranging for workshops needed; part-time and full-time study; improvement leaves; financial assistance; etc.</w:t>
      </w:r>
      <w:r w:rsidRPr="005C29F8">
        <w:rPr>
          <w:rFonts w:cs="Arial"/>
          <w:color w:val="000000" w:themeColor="text1"/>
          <w:szCs w:val="16"/>
        </w:rPr>
        <w:br/>
      </w:r>
      <w:r w:rsidRPr="005C29F8">
        <w:rPr>
          <w:rFonts w:cs="Arial"/>
          <w:color w:val="000000" w:themeColor="text1"/>
          <w:szCs w:val="16"/>
        </w:rPr>
        <w:br/>
        <w:t>The RMI PSS has also maintained a Comprehensive System of Personnel Development (CSPD) Plan for system requirements of special education teachers; school administrators; related services personnel; and MOE staff.</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 xml:space="preserve">The RMI/PSS website at https://www.pss.edu.mh/ns/documents/ became functional in June 2015, and is now accessible to and from all atolls, schools, and communities. Please scroll down to a link for “special education documents” and click on “download” to access the documents. Or follow this other link https://www.pss.edu.mh/ns/documents/reports/ and scroll down to go directly to the special education documents. Within the special education documents section, please scroll down to “special education program documents” to locate the FFY 2018 APR. </w:t>
      </w:r>
      <w:r w:rsidRPr="005C29F8">
        <w:rPr>
          <w:rFonts w:cs="Arial"/>
          <w:color w:val="000000" w:themeColor="text1"/>
          <w:szCs w:val="16"/>
        </w:rPr>
        <w:br/>
      </w:r>
      <w:r w:rsidRPr="005C29F8">
        <w:rPr>
          <w:rFonts w:cs="Arial"/>
          <w:color w:val="000000" w:themeColor="text1"/>
          <w:szCs w:val="16"/>
        </w:rPr>
        <w:br/>
        <w:t>Please note that the Marshall Islands is a single district entity. The SEA and the LEA are the same entity. Therefore, the SPP/APR describes the performance of the LEA and the State with respect to its targets APR and it was reported no later than 120 days following the State’s submission of its FFY 2018 APR, as required by 34 CFR §300.602(b)(1)(i)(A). On this same link, visitors will locate previous APRs.</w:t>
      </w:r>
      <w:r w:rsidRPr="005C29F8">
        <w:rPr>
          <w:rFonts w:cs="Arial"/>
          <w:color w:val="000000" w:themeColor="text1"/>
          <w:szCs w:val="16"/>
        </w:rPr>
        <w:br/>
      </w:r>
      <w:r w:rsidRPr="005C29F8">
        <w:rPr>
          <w:rFonts w:cs="Arial"/>
          <w:color w:val="000000" w:themeColor="text1"/>
          <w:szCs w:val="16"/>
        </w:rPr>
        <w:br/>
        <w:t xml:space="preserve">Please also note that the RMI PSS also reported on its FFY 2018 performance to and through schools to communities and by government radio and the Marshall Islands Journal. </w:t>
      </w:r>
      <w:r w:rsidRPr="005C29F8">
        <w:rPr>
          <w:rFonts w:cs="Arial"/>
          <w:color w:val="000000" w:themeColor="text1"/>
          <w:szCs w:val="16"/>
        </w:rPr>
        <w:br/>
      </w:r>
      <w:r w:rsidRPr="005C29F8">
        <w:rPr>
          <w:rFonts w:cs="Arial"/>
          <w:color w:val="000000" w:themeColor="text1"/>
          <w:szCs w:val="16"/>
        </w:rPr>
        <w:br/>
        <w:t xml:space="preserve">The FFY 2019 APR will be on the PSS website, on the same location no later than 120 days following the state’s submission. Because internet can be unstable in the Marshall Islands, the APR information will be provided to the public via other media formats such as via government radio and the Marshall Islands Journal (main newspaper in the Marshall Islands) and paper copies will be provided to schools. </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lastRenderedPageBreak/>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RMI must report FFY 2019 data for the State-identified Measurable Result (SiMR).  Additionally, RMI must, consistent with its evaluation plan described in Phase II, assess and report on its progress in implementing the SSIP.  Specifically, RMI must provide: (1) a narrative or graphic representation of the principal activities implemented in Phase III, Year Five; (2) measures and outcomes that were implemented and achieved since the RMI's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0C24C2" w:rsidP="001F692C">
      <w:pPr>
        <w:rPr>
          <w:rFonts w:cs="Arial"/>
          <w:color w:val="000000" w:themeColor="text1"/>
          <w:szCs w:val="16"/>
        </w:rPr>
      </w:pP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OSEP notes that one or more of the Indicator 17 attachments included in the Republic of the Marshall Islands’ FFY 2019 SPP/APR submission are not in compliance with Section 508 of the Rehabilitation Act of 1973, as amended (Section 508), and will not be posted on the U.S. Department of Education’s IDEA website. Therefore, the Republic of the Marshall Islands must make the attachment(s) available to the public as soon as practicable, but no later than 120 days after the date of the determination letter.</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31.00%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37.00%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38.00%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40.00%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42.00%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44.00%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37.50%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33.33%</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46.15%</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25.00%</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80.00%</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46.00%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 xml:space="preserve">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w:t>
      </w:r>
      <w:r w:rsidRPr="005C29F8">
        <w:rPr>
          <w:rFonts w:cs="Arial"/>
          <w:color w:val="000000" w:themeColor="text1"/>
          <w:szCs w:val="16"/>
        </w:rPr>
        <w:lastRenderedPageBreak/>
        <w:t>there has been no meditations or hearing requests. Indicators 4B, 9, 10, and 12 were determined by OSEP as not applicable to RMI. The stakeholders will be convened in 2021 to set targets for FFY 2020-2025 for the indicators where setting targets is appropriate.</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25</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27</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92.59%</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27</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92.59%</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To receive the public high school diploma, students in grade twelve, seniors, shall meet the Public School System and school academic requirements.</w:t>
      </w:r>
      <w:r w:rsidRPr="005C29F8">
        <w:rPr>
          <w:rFonts w:cs="Arial"/>
          <w:color w:val="000000" w:themeColor="text1"/>
          <w:szCs w:val="16"/>
        </w:rPr>
        <w:br/>
        <w:t xml:space="preserve">(1) Each student (grades 9-12) must maintain a minimum grade point average of 2.00 each grading semester. A student who does not maintain the minimum grade point average of 2.00 for the first semester of the senior year shall be placed on academic probation for the remainder of the school year; </w:t>
      </w:r>
      <w:r w:rsidRPr="005C29F8">
        <w:rPr>
          <w:rFonts w:cs="Arial"/>
          <w:color w:val="000000" w:themeColor="text1"/>
          <w:szCs w:val="16"/>
        </w:rPr>
        <w:br/>
        <w:t xml:space="preserve">(2) Each student must complete twenty-one (21) credits, including eleven credits in the student’s required academic/vocational program and MLA and maintain 2.00 GPA in order to receive a “diploma” upon graduation; </w:t>
      </w:r>
      <w:r w:rsidRPr="005C29F8">
        <w:rPr>
          <w:rFonts w:cs="Arial"/>
          <w:color w:val="000000" w:themeColor="text1"/>
          <w:szCs w:val="16"/>
        </w:rPr>
        <w:br/>
        <w:t xml:space="preserve">(3) Twelve (12) graders who do not meet 2.00 GPA requirements but have completed all credits and course requirements for graduation shall be awarded a “certificate of completion” upon graduation; </w:t>
      </w:r>
      <w:r w:rsidRPr="005C29F8">
        <w:rPr>
          <w:rFonts w:cs="Arial"/>
          <w:color w:val="000000" w:themeColor="text1"/>
          <w:szCs w:val="16"/>
        </w:rPr>
        <w:br/>
        <w:t xml:space="preserve">(4) Each student must attend a public high school for at least one year prior to graduation. An exception may be granted by the Commissioner for transferring students from outside the Republic. </w:t>
      </w:r>
      <w:r w:rsidRPr="005C29F8">
        <w:rPr>
          <w:rFonts w:cs="Arial"/>
          <w:color w:val="000000" w:themeColor="text1"/>
          <w:szCs w:val="16"/>
        </w:rPr>
        <w:br/>
        <w:t xml:space="preserve">(5) Secondary school students shall be required to complete 20 hours of community service for each program year for a total of 80 hours for graduation. The high school office shall make necessary arrangements for students to meet community service requirements. </w:t>
      </w:r>
      <w:r w:rsidRPr="005C29F8">
        <w:rPr>
          <w:rFonts w:cs="Arial"/>
          <w:color w:val="000000" w:themeColor="text1"/>
          <w:szCs w:val="16"/>
        </w:rPr>
        <w:br/>
        <w:t xml:space="preserve">This information is available on the Marshall Islands Public School System Rules and Regulations, Chapter 29 (Page 54-56) </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2011</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0.00%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5.00%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2.28%</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0.92%</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0.00%</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23</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2</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RMI uses Option 2 to calculate its dropout rate. It is the dropout rate definition from its FFY 2010 APR, submitted on February 2012. It is calculated by dividing the number of youth with IEPs who exited special education due to dropping out (file C009) by the total number of youth with IEP (14-21) as measured by the child count (file C002) of the same school year as file C009. In this case, School Year 2018-19.</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The RMI PSS uses the OSEP 618 definition for "Dropped Out" which states the total number of students who were enrolled at the start of the reporting period but were not enrolled at the end of the reporting period and did not exit through any other method. This includes dropouts, runaways, GED </w:t>
      </w:r>
      <w:r w:rsidRPr="005C29F8">
        <w:rPr>
          <w:rFonts w:cs="Arial"/>
          <w:color w:val="000000" w:themeColor="text1"/>
          <w:szCs w:val="16"/>
          <w:shd w:val="clear" w:color="auto" w:fill="FFFFFF"/>
        </w:rPr>
        <w:lastRenderedPageBreak/>
        <w:t>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Aside from indicators 3B and 3C, because RMI PSS did not implement its statewide assessments due to COVID-19, all other indicators' data were not impacted by the pandemic.  All data reported on the FFY 2019 SPP/APR are complete, valid and reliable.</w:t>
      </w: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30.00%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35.00%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40.00%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45.00%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50.00%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27.80%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32.93%</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21.36%</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82.84%</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89.94%</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92.81%</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30.00%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35.00%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40.00%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45.00%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50.00%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27.80%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32.93%</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21.36%</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82.84%</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89.94%</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92.09%</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lastRenderedPageBreak/>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92.81%</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92.09%</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 xml:space="preserve">Due to the circumstances created by the COVID-19 pandemic, the Republic of the Marshall Islands did not report any FFY 2019 data for this indicator. </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12.00%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14.00%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16.00%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18.00%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20.00%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5.70%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5.56%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15.28%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16.22%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23.78%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8.53%</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2005</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12.00%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14.00%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16.00%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18.00%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20.00%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5.70%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8.33%</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15.28%</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14.41%</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20.98%</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6.25%</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20.00%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20.00%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r>
      <w:r w:rsidRPr="005C29F8">
        <w:rPr>
          <w:rFonts w:cs="Arial"/>
          <w:color w:val="000000" w:themeColor="text1"/>
          <w:szCs w:val="16"/>
        </w:rPr>
        <w:lastRenderedPageBreak/>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 xml:space="preserve">b. IEPs in regular assessment with no accommodations scored at or above </w:t>
            </w:r>
            <w:r w:rsidRPr="005C29F8">
              <w:rPr>
                <w:color w:val="000000" w:themeColor="text1"/>
              </w:rPr>
              <w:lastRenderedPageBreak/>
              <w:t>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8.53%</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20.00%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6.25%</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20.00%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 xml:space="preserve">Due to the circumstances created by the COVID-19 pandemic, the Republic of the Marshall Islands did not report any FFY 2019 data for this indicator. </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lastRenderedPageBreak/>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The RMI/PSS is a unitary system, serving as both the SEA and the only LEA in the Marshall Islands. The RMI/PSS status as a unitary system makes applying the actual measurement for Indicator 4a challenging.</w:t>
      </w:r>
      <w:r w:rsidRPr="005C29F8">
        <w:rPr>
          <w:rFonts w:cs="Arial"/>
          <w:color w:val="000000" w:themeColor="text1"/>
          <w:szCs w:val="16"/>
        </w:rPr>
        <w:br/>
        <w:t>Considering the two options for methodologies prescribed for this indicator (a) the rates of suspensions and expulsions for children with IEPs among LEAs within the State or b) the rates of suspensions and expulsions for children with IEPs to nondisabled children within the LEAs), the only one that can be implemented in RMI, as a unitary system, is option b) but with the adaptation of using statewide data to compare rates of suspensions and expulsions for children with IEPs to nondisabled children within the state. Similar methodology is used for other unitary systems such as Puerto Rico, Federated States of Micronesia, and Hawaii among other states and entities with unitary systems.</w:t>
      </w:r>
      <w:r w:rsidRPr="005C29F8">
        <w:rPr>
          <w:rFonts w:cs="Arial"/>
          <w:color w:val="000000" w:themeColor="text1"/>
          <w:szCs w:val="16"/>
        </w:rPr>
        <w:br/>
        <w:t>RMI/PSS methodology is a rate difference methodology, which compares rates for suspension/expulsion of students with disabilities to the statewide bar, which is defined as the state’s suspension expulsion rate for nondisabled children within the state (as a single LEA). This is one of the OSEP approved comparison methodologies that is used to determine whether significant discrepancies in the rates of long-term suspension and expulsion are occurring between children with disabilities and children without disabilities [34 CFR §300.170(a)].</w:t>
      </w:r>
      <w:r w:rsidRPr="005C29F8">
        <w:rPr>
          <w:rFonts w:cs="Arial"/>
          <w:color w:val="000000" w:themeColor="text1"/>
          <w:szCs w:val="16"/>
        </w:rPr>
        <w:br/>
        <w:t>The rate difference methodology used by RMI/PSS compares the rate of expulsions and suspensions of greater than ten days in a school year for children with IEPs compared to the rate for nondisabled children. The equation for the rate difference is: Rate difference = state suspension/expulsion (S/E) rate for children with disabilities minus (-) the state S/E rate for children without disabilities. RMI/PSS defines “significant discrepancy” when the suspension/expulsion rate for children with disabilities is at least three percentage points more than the State’s suspension/expulsion rate for all children without disabilities.</w:t>
      </w:r>
      <w:r w:rsidRPr="005C29F8">
        <w:rPr>
          <w:rFonts w:cs="Arial"/>
          <w:color w:val="000000" w:themeColor="text1"/>
          <w:szCs w:val="16"/>
        </w:rPr>
        <w:br/>
        <w:t xml:space="preserve">The RMI/PSS uses a minimum “n” size requirement to operate the calculation. Thus, if there are fewer than 10 students with disabilities who were suspended more than 10 school days during the data reporting year, the calculation does not take place. </w:t>
      </w:r>
      <w:r w:rsidRPr="005C29F8">
        <w:rPr>
          <w:rFonts w:cs="Arial"/>
          <w:color w:val="000000" w:themeColor="text1"/>
          <w:szCs w:val="16"/>
        </w:rPr>
        <w:br/>
      </w:r>
      <w:r w:rsidRPr="005C29F8">
        <w:rPr>
          <w:rFonts w:cs="Arial"/>
          <w:color w:val="000000" w:themeColor="text1"/>
          <w:szCs w:val="16"/>
        </w:rPr>
        <w:br/>
        <w:t>FFY 2019 Calculation</w:t>
      </w:r>
      <w:r w:rsidRPr="005C29F8">
        <w:rPr>
          <w:rFonts w:cs="Arial"/>
          <w:color w:val="000000" w:themeColor="text1"/>
          <w:szCs w:val="16"/>
        </w:rPr>
        <w:br/>
        <w:t>The suspension and expulsion rates for students with disabilities in RMI/PSS, using SY 2018-19 data from Section 618 File C005 as submitted on November of 2019, indicates zero students with disabilities were suspended. As such, no further analysis was required.  Therefore, in RMI/PSS, in FFY 2019, the number of “districts” that have a significant discrepancy is zero.</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D57DA" w:rsidP="00082667">
      <w:pPr>
        <w:rPr>
          <w:rFonts w:cs="Arial"/>
          <w:color w:val="000000" w:themeColor="text1"/>
          <w:szCs w:val="16"/>
        </w:rPr>
      </w:pP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RMI PSS student population is comprised of a single race-ethnicity, therefore this analysis is not applicable.</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This indicator is not applicable for the Republic of the Marshall Islands.</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85.00%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72.80%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95.73%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83.85%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73.24%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72.46%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74.58%</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10.00%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26.20%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0.26%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0.17%</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0.95%</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1.14%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0.51%</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85.00%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5.00%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0.95%</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620</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483</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5</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6</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483</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620</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74.58%</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77.90%</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620</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0.17%</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0.81%</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620</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0.51%</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0.95%</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0.97%</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tbl>
      <w:tblPr>
        <w:tblStyle w:val="TableGrid"/>
        <w:tblW w:w="10795" w:type="dxa"/>
        <w:shd w:val="clear" w:color="auto" w:fill="FBD4B4" w:themeFill="accent6" w:themeFillTint="66"/>
        <w:tblLook w:val="04A0" w:firstRow="1" w:lastRow="0" w:firstColumn="1" w:lastColumn="0" w:noHBand="0" w:noVBand="1"/>
        <w:tblCaption w:val="B05SLIPEXPLN"/>
      </w:tblPr>
      <w:tblGrid>
        <w:gridCol w:w="715"/>
        <w:gridCol w:w="10080"/>
      </w:tblGrid>
      <w:tr w:rsidR="005C29F8" w:rsidRPr="005C29F8" w14:paraId="3FDCF912" w14:textId="77777777" w:rsidTr="0033429D">
        <w:trPr>
          <w:tblHeader/>
        </w:trPr>
        <w:tc>
          <w:tcPr>
            <w:tcW w:w="715" w:type="dxa"/>
          </w:tcPr>
          <w:p w14:paraId="383E6F3C" w14:textId="77777777" w:rsidR="009569B8" w:rsidRPr="005C29F8" w:rsidRDefault="009569B8" w:rsidP="004369B2">
            <w:pPr>
              <w:jc w:val="center"/>
              <w:rPr>
                <w:color w:val="000000" w:themeColor="text1"/>
              </w:rPr>
            </w:pPr>
            <w:r w:rsidRPr="005C29F8">
              <w:rPr>
                <w:b/>
                <w:color w:val="000000" w:themeColor="text1"/>
              </w:rPr>
              <w:lastRenderedPageBreak/>
              <w:t>Part</w:t>
            </w:r>
          </w:p>
        </w:tc>
        <w:tc>
          <w:tcPr>
            <w:tcW w:w="10080" w:type="dxa"/>
            <w:shd w:val="clear" w:color="auto" w:fill="auto"/>
          </w:tcPr>
          <w:p w14:paraId="4E3E1CA0" w14:textId="77777777" w:rsidR="009569B8" w:rsidRPr="005C29F8" w:rsidRDefault="009569B8" w:rsidP="004369B2">
            <w:pPr>
              <w:jc w:val="center"/>
              <w:rPr>
                <w:color w:val="000000" w:themeColor="text1"/>
              </w:rPr>
            </w:pPr>
            <w:r w:rsidRPr="005C29F8">
              <w:rPr>
                <w:b/>
                <w:color w:val="000000" w:themeColor="text1"/>
              </w:rPr>
              <w:t>Reasons for slippage, if applicable</w:t>
            </w:r>
          </w:p>
        </w:tc>
      </w:tr>
      <w:tr w:rsidR="005C29F8" w:rsidRPr="005C29F8" w14:paraId="1EC086D8" w14:textId="77777777" w:rsidTr="00E21107">
        <w:tc>
          <w:tcPr>
            <w:tcW w:w="715" w:type="dxa"/>
            <w:vAlign w:val="center"/>
          </w:tcPr>
          <w:p w14:paraId="5AF2008F" w14:textId="77777777" w:rsidR="009569B8" w:rsidRPr="005C29F8" w:rsidRDefault="009569B8" w:rsidP="004369B2">
            <w:pPr>
              <w:jc w:val="center"/>
              <w:rPr>
                <w:b/>
                <w:color w:val="000000" w:themeColor="text1"/>
              </w:rPr>
            </w:pPr>
            <w:r w:rsidRPr="005C29F8">
              <w:rPr>
                <w:b/>
                <w:color w:val="000000" w:themeColor="text1"/>
              </w:rPr>
              <w:t>C</w:t>
            </w:r>
          </w:p>
        </w:tc>
        <w:tc>
          <w:tcPr>
            <w:tcW w:w="10080" w:type="dxa"/>
            <w:shd w:val="clear" w:color="auto" w:fill="auto"/>
          </w:tcPr>
          <w:p w14:paraId="110C4505" w14:textId="37ACAAFD" w:rsidR="009569B8" w:rsidRPr="005C29F8" w:rsidRDefault="009569B8" w:rsidP="00E21107">
            <w:pPr>
              <w:rPr>
                <w:rFonts w:cs="Arial"/>
                <w:color w:val="000000" w:themeColor="text1"/>
                <w:szCs w:val="16"/>
              </w:rPr>
            </w:pPr>
            <w:r w:rsidRPr="005C29F8">
              <w:rPr>
                <w:rFonts w:cs="Arial"/>
                <w:color w:val="000000" w:themeColor="text1"/>
                <w:szCs w:val="16"/>
              </w:rPr>
              <w:t>Last year RMI had three students in this setting. This year RMI has six students in this setting. The reason for slippage are three new students with DB, MD, and OI disabilities that require, per their IEP teams decision, to be in settings which were deemed appropriate for their disabilities in SY 2019-20.</w:t>
            </w:r>
          </w:p>
        </w:tc>
      </w:tr>
    </w:tbl>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95.00%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95.00%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96.00%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95.00%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97.44%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96.00%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4.00%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5.00%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2.56%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96.00%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4.00%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 xml:space="preserve">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w:t>
      </w:r>
      <w:r w:rsidRPr="005C29F8">
        <w:rPr>
          <w:rFonts w:cs="Arial"/>
          <w:color w:val="000000" w:themeColor="text1"/>
          <w:szCs w:val="16"/>
        </w:rPr>
        <w:lastRenderedPageBreak/>
        <w:t>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25</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14</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14</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25</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100.00%</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96.00%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56.00%</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25</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4.00%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tbl>
      <w:tblPr>
        <w:tblStyle w:val="TableGrid"/>
        <w:tblW w:w="10795" w:type="dxa"/>
        <w:shd w:val="clear" w:color="auto" w:fill="FBD4B4" w:themeFill="accent6" w:themeFillTint="66"/>
        <w:tblLook w:val="04A0" w:firstRow="1" w:lastRow="0" w:firstColumn="1" w:lastColumn="0" w:noHBand="0" w:noVBand="1"/>
        <w:tblCaption w:val="B06SLIPEXPLN"/>
      </w:tblPr>
      <w:tblGrid>
        <w:gridCol w:w="715"/>
        <w:gridCol w:w="10080"/>
      </w:tblGrid>
      <w:tr w:rsidR="005C29F8" w:rsidRPr="005C29F8" w14:paraId="69883CDC" w14:textId="77777777" w:rsidTr="0033429D">
        <w:trPr>
          <w:tblHeader/>
        </w:trPr>
        <w:tc>
          <w:tcPr>
            <w:tcW w:w="715" w:type="dxa"/>
          </w:tcPr>
          <w:p w14:paraId="378624F9" w14:textId="77777777" w:rsidR="00127FEE" w:rsidRPr="005C29F8" w:rsidRDefault="00127FEE" w:rsidP="004369B2">
            <w:pPr>
              <w:jc w:val="center"/>
              <w:rPr>
                <w:color w:val="000000" w:themeColor="text1"/>
              </w:rPr>
            </w:pPr>
            <w:r w:rsidRPr="005C29F8">
              <w:rPr>
                <w:b/>
                <w:color w:val="000000" w:themeColor="text1"/>
              </w:rPr>
              <w:t>Part</w:t>
            </w:r>
          </w:p>
        </w:tc>
        <w:tc>
          <w:tcPr>
            <w:tcW w:w="10080" w:type="dxa"/>
            <w:shd w:val="clear" w:color="auto" w:fill="auto"/>
          </w:tcPr>
          <w:p w14:paraId="3045317C" w14:textId="77777777" w:rsidR="00127FEE" w:rsidRPr="005C29F8" w:rsidRDefault="00127FEE" w:rsidP="004369B2">
            <w:pPr>
              <w:jc w:val="center"/>
              <w:rPr>
                <w:color w:val="000000" w:themeColor="text1"/>
              </w:rPr>
            </w:pPr>
            <w:r w:rsidRPr="005C29F8">
              <w:rPr>
                <w:b/>
                <w:color w:val="000000" w:themeColor="text1"/>
              </w:rPr>
              <w:t>Reasons for slippage, if applicable</w:t>
            </w:r>
          </w:p>
        </w:tc>
      </w:tr>
      <w:tr w:rsidR="005C29F8" w:rsidRPr="005C29F8" w14:paraId="7F98D1AB" w14:textId="77777777" w:rsidTr="00E21107">
        <w:tc>
          <w:tcPr>
            <w:tcW w:w="715" w:type="dxa"/>
            <w:vAlign w:val="center"/>
          </w:tcPr>
          <w:p w14:paraId="2A93A375" w14:textId="77777777" w:rsidR="00127FEE" w:rsidRPr="005C29F8" w:rsidRDefault="00127FEE" w:rsidP="004369B2">
            <w:pPr>
              <w:jc w:val="center"/>
              <w:rPr>
                <w:b/>
                <w:color w:val="000000" w:themeColor="text1"/>
              </w:rPr>
            </w:pPr>
            <w:r w:rsidRPr="005C29F8">
              <w:rPr>
                <w:b/>
                <w:color w:val="000000" w:themeColor="text1"/>
              </w:rPr>
              <w:t>A</w:t>
            </w:r>
          </w:p>
        </w:tc>
        <w:tc>
          <w:tcPr>
            <w:tcW w:w="10080" w:type="dxa"/>
            <w:shd w:val="clear" w:color="auto" w:fill="auto"/>
          </w:tcPr>
          <w:p w14:paraId="7CF289AE" w14:textId="68F3F153" w:rsidR="00127FEE" w:rsidRPr="005C29F8" w:rsidRDefault="00127FEE" w:rsidP="004369B2">
            <w:pPr>
              <w:rPr>
                <w:color w:val="000000" w:themeColor="text1"/>
              </w:rPr>
            </w:pPr>
            <w:r w:rsidRPr="005C29F8">
              <w:rPr>
                <w:rFonts w:cs="Arial"/>
                <w:color w:val="000000" w:themeColor="text1"/>
                <w:szCs w:val="16"/>
              </w:rPr>
              <w:t xml:space="preserve">11 students received services in other locations (separate special education class, separate school or residential facility) based on their IEP team decisions. Of these 11 students, seven are visually impaired or hearing impaired students. Of the remaining four, one student was temporarily receiving services at home, at the time of the child count data, and the student is currently receiving services on the regular location for the majority of the time. The other three students are autistic and multiple disabilities students. </w:t>
            </w:r>
          </w:p>
        </w:tc>
      </w:tr>
    </w:tbl>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lastRenderedPageBreak/>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81.82%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37.50%</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42.00%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44.00%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76.00%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72.73%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85.71%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78.95%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12.50%</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25.00%</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32.00%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34.00%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36.00%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72.73%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76.19%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84.21%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12.50%</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62.50%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62.50%</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22.00%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24.00%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26.00%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37.50%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63.64%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94.74%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37.50%</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40.00%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15.00%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27.50%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15.00%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65.00%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40.00%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11</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0.00%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lastRenderedPageBreak/>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4</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36.36%</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3</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27.27%</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4</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36.36%</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0.00%</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7</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11</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37.50%</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40.00%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63.64%</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4</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11</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12.50%</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15.00%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36.36%</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3</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27.27%</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54.55%</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27.50%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72.73%</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63.64%</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9</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62.50%</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65.00%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81.82%</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37.50%</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18.18%</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RMI met five of the six targets for this indicator. A small group of students was having progress toward meeting this target, and likely would be functioning within age expectations should they stayed longer in the program. RMI staff continues to improve service delivery so that the group of students ages 3-5 receiving services can meet all targets and show improvements on their pre-school outcomes.</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RMI used the MID (Micronesian Inventory of Development) scoring sheet to collect pre and post data from preschool students in Ebeye and Majuro preschools.  These data is then transferred/translated to the Child Outcomes Summary (COS) process for each preschool student which, when aggregated, provided the data for items a, b, c, d and e of outcomes A, B and C for indicator B7.</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lastRenderedPageBreak/>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lastRenderedPageBreak/>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92.00%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92.50%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92.71%</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91.89%</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93.75%</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91.94%</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94.12%</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95.00%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106</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114</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94.12%</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92.98%</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114</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100.00%</w:t>
      </w:r>
    </w:p>
    <w:p w14:paraId="2E31F6C1" w14:textId="49DD19A3" w:rsidR="006D77A0" w:rsidRPr="005C29F8" w:rsidRDefault="006D77A0" w:rsidP="00230EE6">
      <w:pPr>
        <w:rPr>
          <w:b/>
          <w:color w:val="000000" w:themeColor="text1"/>
        </w:rPr>
      </w:pPr>
      <w:r w:rsidRPr="005C29F8">
        <w:rPr>
          <w:b/>
          <w:color w:val="000000" w:themeColor="text1"/>
        </w:rPr>
        <w:t>Provide reasons for slippage, if applicable</w:t>
      </w:r>
    </w:p>
    <w:p w14:paraId="422D5396" w14:textId="68746AD2" w:rsidR="00230EE6" w:rsidRDefault="00230EE6" w:rsidP="004369B2">
      <w:pPr>
        <w:rPr>
          <w:rFonts w:cs="Arial"/>
          <w:color w:val="000000" w:themeColor="text1"/>
          <w:szCs w:val="16"/>
        </w:rPr>
      </w:pPr>
      <w:r w:rsidRPr="005C29F8">
        <w:rPr>
          <w:rFonts w:cs="Arial"/>
          <w:color w:val="000000" w:themeColor="text1"/>
          <w:szCs w:val="16"/>
        </w:rPr>
        <w:t>The reasons for slippage cannot be explained by comparing these two data sets from FFY 2018 and FFY 2019. As explained in the FFY 2018 APR report, the parent survey data was not representative of all RMI region, because data was not collected from the neighboring islands due to the Dengue Fever outbreak, resulting in low response rate. This year, RMI was no longer impacted by the Dengue Fever, and RMI remained COVID-19 free. Therefore, RMI staff was able to travel and collect Parent Survey data from the neighboring islands. Although data shows slippage, the FFY 2019 data is representative of the demographics, students, and regions of RMI.</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The procedures for collecting parent survey data from preschool children is the same as the procedures for collecting data from school age students. Parent survey data reported in the FFY 2019 APR is representative of the two groups.</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In RMI 100% of the students are Native Hawaiian or other Pacific Islanders, therefore, the response group was representative of the student race-ethnicity. RMI staff calculated data representativeness also based on the disability groups when the number of students allowed for this analysis.  Findings indicated that groups were representative based on learning disabilities and all other disabilities.  Because RMI was no longer impacted by the Dengue Fever, and RMI remained COVID-19 free. RMI staff was able to travel and collect Parent Survey data from the neighboring islands, making the FFY 2019 data also representative of the regions of RMI.</w:t>
      </w: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Republic of the Marshall Islands must report whether its FFY 2019 data are from a response group that is representative of the demographics of children receiving special education services, and, if not, the actions the Republic of the Marshall Islands is taking to address this </w:t>
      </w:r>
      <w:r w:rsidRPr="005C29F8">
        <w:rPr>
          <w:rFonts w:cs="Arial"/>
          <w:color w:val="000000" w:themeColor="text1"/>
          <w:szCs w:val="16"/>
        </w:rPr>
        <w:lastRenderedPageBreak/>
        <w:t xml:space="preserve">issue.  The Republic of the Marshall Islands must also include its analysis of the extent to which the demographics of the parents responding are representative of the demographics of children receiving special education services. </w:t>
      </w:r>
    </w:p>
    <w:p w14:paraId="5AB800FF" w14:textId="6C6FEA6C" w:rsidR="000A2C83" w:rsidRPr="005C29F8" w:rsidRDefault="000A2C83" w:rsidP="004369B2">
      <w:pPr>
        <w:rPr>
          <w:b/>
          <w:color w:val="000000" w:themeColor="text1"/>
        </w:rPr>
      </w:pPr>
      <w:r w:rsidRPr="005C29F8">
        <w:rPr>
          <w:b/>
          <w:color w:val="000000" w:themeColor="text1"/>
        </w:rPr>
        <w:t>Response to actions required in FFY 2018 SPP/APR</w:t>
      </w:r>
    </w:p>
    <w:p w14:paraId="03E9CB46" w14:textId="594F3FDD" w:rsidR="007757B1" w:rsidRPr="005C29F8" w:rsidRDefault="002B7490" w:rsidP="007757B1">
      <w:pPr>
        <w:rPr>
          <w:rFonts w:cs="Arial"/>
          <w:color w:val="000000" w:themeColor="text1"/>
          <w:szCs w:val="16"/>
        </w:rPr>
      </w:pPr>
      <w:r w:rsidRPr="005C29F8">
        <w:rPr>
          <w:rFonts w:cs="Arial"/>
          <w:color w:val="000000" w:themeColor="text1"/>
          <w:szCs w:val="16"/>
        </w:rPr>
        <w:t>In RMI 100% of the students are Native Hawaiian or other Pacific Islanders, therefore, the response group was representative of the student race-ethnicity. RMI staff calculated data representativeness also based on the disability groups when the number of students allowed for this analysis.  Findings indicated that groups were representative based on learning disabilities and all other disabilities.  Because RMI was no longer impacted by the Dengue Fever, and RMI remained COVID-19 free, RMI staff was able to travel and collect Parent Survey data from the neighboring islands, making the FFY 2019 data also representative of the regions of RMI.</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RMI PSS student population is comprised of a single race-ethnicity, therefore this analysis is not applicable.</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This indicator is not applicable for the Republic of the Marshall Islands.</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RMI PSS student population is comprised of a single race-ethnicity, therefore this analysis is not applicable.</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This indicator is not applicable for the Republic of the Marshall Islands.</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100.00%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64</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64</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0</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481536" w:rsidP="006A01BD">
      <w:pPr>
        <w:rPr>
          <w:color w:val="000000" w:themeColor="text1"/>
        </w:rPr>
      </w:pP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used the 60 day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Data Source: The child find data is located in the Special Education Information Management System (SEIMS), administered and maintained by the PSS Special Education Office. Schools submit semi-annual reports of special education programs and services provided during the report period and on an on-going basis, submit copies of special education forms related to referral (Form SE-1), child study (SE-2), consent for evaluation (SE-4), integrated evaluation and determination (report on SE-5), program and placement (attachments of each student's current Individualized Educaption Program (IEP/SE-7)) Plan and reevaluation. Data from school reports and student IEP are summarized into the SEIMS. The information collected are validated through on-site visits and through off-site monitoring. The above information is provided through a report that summarizes the timeframe from consent for evaluation (SE-4) to completion of the evaluation (SE-5).</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9A755E" w:rsidP="00A018D4">
            <w:pPr>
              <w:jc w:val="center"/>
              <w:rPr>
                <w:rFonts w:cs="Arial"/>
                <w:color w:val="000000" w:themeColor="text1"/>
                <w:szCs w:val="16"/>
              </w:rPr>
            </w:pPr>
          </w:p>
        </w:tc>
        <w:tc>
          <w:tcPr>
            <w:tcW w:w="1288" w:type="pct"/>
            <w:shd w:val="clear" w:color="auto" w:fill="auto"/>
          </w:tcPr>
          <w:p w14:paraId="4AEC445C" w14:textId="6396B491" w:rsidR="009A755E" w:rsidRPr="005C29F8"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9A755E" w:rsidP="00A018D4">
            <w:pPr>
              <w:jc w:val="center"/>
              <w:rPr>
                <w:rFonts w:cs="Arial"/>
                <w:color w:val="000000" w:themeColor="text1"/>
                <w:szCs w:val="16"/>
              </w:rPr>
            </w:pPr>
          </w:p>
        </w:tc>
      </w:tr>
    </w:tbl>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326C0B" w:rsidP="00212954">
      <w:pPr>
        <w:rPr>
          <w:rFonts w:cs="Arial"/>
          <w:color w:val="000000" w:themeColor="text1"/>
          <w:szCs w:val="16"/>
        </w:rPr>
      </w:pP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51"/>
    <w:bookmarkEnd w:id="52"/>
    <w:p w14:paraId="79824C1D" w14:textId="3C301685" w:rsidR="00FE7D29" w:rsidRPr="0033429D" w:rsidRDefault="00056350" w:rsidP="00123D76">
      <w:pPr>
        <w:pStyle w:val="Heading2"/>
      </w:pPr>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YES</w:t>
      </w:r>
    </w:p>
    <w:p w14:paraId="27D98FA0" w14:textId="2B00F8EB" w:rsidR="00043AC9" w:rsidRPr="005C29F8" w:rsidRDefault="00CB482B" w:rsidP="004369B2">
      <w:pPr>
        <w:rPr>
          <w:b/>
          <w:color w:val="000000" w:themeColor="text1"/>
        </w:rPr>
      </w:pPr>
      <w:r w:rsidRPr="005C29F8">
        <w:rPr>
          <w:b/>
          <w:color w:val="000000" w:themeColor="text1"/>
        </w:rPr>
        <w:t xml:space="preserve">Provide an explanation of why it is not applicable below. </w:t>
      </w:r>
    </w:p>
    <w:p w14:paraId="6067BAAD" w14:textId="4CE13AD0" w:rsidR="00043AC9" w:rsidRDefault="00043AC9" w:rsidP="004369B2">
      <w:pPr>
        <w:rPr>
          <w:color w:val="000000" w:themeColor="text1"/>
        </w:rPr>
      </w:pPr>
      <w:r w:rsidRPr="005C29F8">
        <w:rPr>
          <w:color w:val="000000" w:themeColor="text1"/>
        </w:rPr>
        <w:t>RMI does not implement an IDEA Part C program, therefore this indicator is not applicable.</w:t>
      </w:r>
    </w:p>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2B7490" w:rsidP="00212954">
      <w:pPr>
        <w:rPr>
          <w:rFonts w:cs="Arial"/>
          <w:color w:val="000000" w:themeColor="text1"/>
          <w:szCs w:val="16"/>
        </w:rPr>
      </w:pPr>
      <w:r w:rsidRPr="005C29F8">
        <w:rPr>
          <w:rFonts w:cs="Arial"/>
          <w:color w:val="000000" w:themeColor="text1"/>
          <w:szCs w:val="16"/>
        </w:rPr>
        <w:t>This indicator is not applicable for the Republic of the Marshall Islands.</w:t>
      </w: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3" w:name="_Toc384383363"/>
      <w:bookmarkStart w:id="5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5" w:name="_Toc384383364"/>
      <w:bookmarkStart w:id="56" w:name="_Toc392159332"/>
      <w:bookmarkEnd w:id="53"/>
      <w:bookmarkEnd w:id="5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100.00%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55</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55</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monitoring</w:t>
      </w:r>
    </w:p>
    <w:p w14:paraId="68493AF0" w14:textId="77777777" w:rsidR="00070D9E" w:rsidRPr="005C29F8" w:rsidRDefault="00070D9E" w:rsidP="004369B2">
      <w:pPr>
        <w:rPr>
          <w:b/>
          <w:color w:val="000000" w:themeColor="text1"/>
        </w:rPr>
      </w:pPr>
      <w:r w:rsidRPr="005C29F8">
        <w:rPr>
          <w:b/>
          <w:color w:val="000000" w:themeColor="text1"/>
        </w:rPr>
        <w:lastRenderedPageBreak/>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Each year, all schools submit IEPs for students to the PSS. Data from IEPs are entered into the special education information management system for review and analysis regarding placement, appropriate accommodations, etc. For secondary transition, during onsite monitoring visits, PSS requested one IEP file of students ages 16 and above per case manager (n=55) to review. Each IEP was reviewed using the RMI Quality IEP Rubric which includes items included in the National Secondary Transition and Technical Assistance Center (NSTTAC) Part B Indicator 13 Checklist A.</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57"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5C29F8"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9A755E" w:rsidP="004369B2">
            <w:pPr>
              <w:jc w:val="center"/>
              <w:rPr>
                <w:rFonts w:cs="Arial"/>
                <w:color w:val="000000" w:themeColor="text1"/>
                <w:szCs w:val="16"/>
              </w:rPr>
            </w:pP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93C7E" w:rsidP="00212954">
      <w:pPr>
        <w:rPr>
          <w:rFonts w:cs="Arial"/>
          <w:color w:val="000000" w:themeColor="text1"/>
          <w:szCs w:val="16"/>
        </w:rPr>
      </w:pP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57"/>
    </w:p>
    <w:p w14:paraId="22761492" w14:textId="77777777" w:rsidR="005C50DB" w:rsidRPr="00D37503" w:rsidRDefault="005C50DB" w:rsidP="00A018D4">
      <w:pPr>
        <w:rPr>
          <w:szCs w:val="20"/>
        </w:rPr>
      </w:pPr>
      <w:bookmarkStart w:id="5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5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18.18%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21.43%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12.50%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30.00%</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15.00%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45.45%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100.00%</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15.00%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15.00%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75.00%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lastRenderedPageBreak/>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5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25</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5</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11</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9</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16</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15.00%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A5381A2" w14:textId="3787227C" w:rsidR="001773E7" w:rsidRDefault="001773E7" w:rsidP="00C66181">
      <w:pPr>
        <w:rPr>
          <w:rFonts w:cs="Arial"/>
          <w:i/>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lastRenderedPageBreak/>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25 of the 25 students who exited PSS in SY 2018-19 were contacted. 100% of their responses were received about their status after leaving school, making their response 100% representative of the demographics of youth who are no longer in school and had IEPs in effect at the time they left school.</w:t>
      </w:r>
      <w:r w:rsidRPr="005C29F8">
        <w:rPr>
          <w:rFonts w:cs="Arial"/>
          <w:color w:val="000000" w:themeColor="text1"/>
          <w:szCs w:val="16"/>
        </w:rPr>
        <w:br/>
      </w:r>
      <w:r w:rsidRPr="005C29F8">
        <w:rPr>
          <w:rFonts w:cs="Arial"/>
          <w:color w:val="000000" w:themeColor="text1"/>
          <w:szCs w:val="16"/>
        </w:rPr>
        <w:br/>
        <w:t>Data is 100% representative of the population because ALL the 25 students (100%) who exited in SY 2018-19 responded to the interview. That is, it is 100% representative based on gender, race, and the disability of the exiting population.</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0"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61" w:name="_Toc382082390"/>
      <w:bookmarkStart w:id="62" w:name="_Toc392159339"/>
      <w:bookmarkEnd w:id="60"/>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Aside from indicators 3B and 3C, because RMI PSS did not implement its statewide assessments due to COVID-19, all other indicators' data were not impacted by the pandemic. All data reported on the FFY 2019 SPP/APR are complete, valid and reliable.</w:t>
      </w:r>
      <w:r w:rsidRPr="005C29F8">
        <w:rPr>
          <w:rFonts w:cs="Arial"/>
          <w:color w:val="000000" w:themeColor="text1"/>
          <w:szCs w:val="16"/>
        </w:rPr>
        <w:br/>
      </w:r>
      <w:r w:rsidRPr="005C29F8">
        <w:rPr>
          <w:rFonts w:cs="Arial"/>
          <w:color w:val="000000" w:themeColor="text1"/>
          <w:szCs w:val="16"/>
        </w:rPr>
        <w:br/>
        <w:t>PLEASE NOTE: The algorithm of the APR tool does not indicate slippage for all B14 items. However, in comparing FFY 2019 data to the previous year's data we identified slippage for B14 item A. There were fewer students enrolled in higher education in FFY 2019. In discussing this with the local college leadership, they informed us that enrollment was lower overall for the college.  In particular, they mentioned they haven't recruited aggressively this year. However, as part of the college strategic plan, they formed new partnerships with the schools to create a pipeline from schools to college, which would include students with disabilities.</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1"/>
      <w:bookmarkEnd w:id="62"/>
    </w:p>
    <w:p w14:paraId="7EA31497" w14:textId="77777777" w:rsidR="005B0B58" w:rsidRPr="005C29F8" w:rsidRDefault="005B0B58" w:rsidP="00A018D4">
      <w:pPr>
        <w:rPr>
          <w:color w:val="000000" w:themeColor="text1"/>
          <w:szCs w:val="20"/>
        </w:rPr>
      </w:pPr>
      <w:bookmarkStart w:id="63" w:name="_Toc381786822"/>
      <w:bookmarkStart w:id="64" w:name="_Toc382731911"/>
      <w:bookmarkStart w:id="65" w:name="_Toc382731912"/>
      <w:bookmarkStart w:id="66" w:name="_Toc392159340"/>
      <w:bookmarkEnd w:id="63"/>
      <w:bookmarkEnd w:id="6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5"/>
    <w:bookmarkEnd w:id="6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67" w:name="_Toc382731913"/>
      <w:bookmarkStart w:id="6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there has been no meditations or hearing requests. Indicators 4B, 9, 10, and 12 were determined by OSEP as not applicable to RMI. The stakeholders will be convened in 2021 to set targets for FFY 2020-2025 for the indicators where setting targets is appropriate.</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lastRenderedPageBreak/>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bookmarkEnd w:id="67"/>
    <w:bookmarkEnd w:id="6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06890" w:rsidP="00A018D4">
            <w:pPr>
              <w:jc w:val="center"/>
              <w:rPr>
                <w:rFonts w:cs="Arial"/>
                <w:color w:val="000000" w:themeColor="text1"/>
                <w:szCs w:val="16"/>
              </w:rPr>
            </w:pP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The Republic of the Marshall Islands reported fewer than ten resolution sessions held in FFY 2019. The Republic of the Marshall Islands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69" w:name="_Toc382731916"/>
      <w:bookmarkStart w:id="70"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69"/>
    <w:bookmarkEnd w:id="70"/>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The Special Education Advisory Council (SEAC) has been and will continue to be the primary means of stakeholder involvement related to special education and to the State Performance Plan (SPP) Annual Performance Report (APR), State Systemic Improvement Plan (SSIP), and to targets in the SPP. Other stakeholder groups include and have included special education parent groups on Majuro and on Ebeye, the two most populous atolls in the Marshall Islands, and a recently established SSIP Expanded Core Team of public and private school educators, parents, and other agency representatives.</w:t>
      </w:r>
      <w:r w:rsidRPr="005C29F8">
        <w:rPr>
          <w:rFonts w:cs="Arial"/>
          <w:color w:val="000000" w:themeColor="text1"/>
          <w:szCs w:val="16"/>
        </w:rPr>
        <w:br/>
      </w:r>
      <w:r w:rsidRPr="005C29F8">
        <w:rPr>
          <w:rFonts w:cs="Arial"/>
          <w:color w:val="000000" w:themeColor="text1"/>
          <w:szCs w:val="16"/>
        </w:rPr>
        <w:br/>
        <w:t>The SEAC Is the PSS's advisory panel for the purpose of providing advice and guidance with respect to special education and related services for children with disabilities as required by the Individuals with Disabilities Education Improvement Act of 2004 (IDEA) and its implementing federal regulations at 34 CFR §§300.167-169.</w:t>
      </w:r>
      <w:r w:rsidRPr="005C29F8">
        <w:rPr>
          <w:rFonts w:cs="Arial"/>
          <w:color w:val="000000" w:themeColor="text1"/>
          <w:szCs w:val="16"/>
        </w:rPr>
        <w:br/>
      </w:r>
      <w:r w:rsidRPr="005C29F8">
        <w:rPr>
          <w:rFonts w:cs="Arial"/>
          <w:color w:val="000000" w:themeColor="text1"/>
          <w:szCs w:val="16"/>
        </w:rPr>
        <w:br/>
        <w:t>The advisory panel pursuant to CFR §§300.167-169 performs the following duties and functions:</w:t>
      </w:r>
      <w:r w:rsidRPr="005C29F8">
        <w:rPr>
          <w:rFonts w:cs="Arial"/>
          <w:color w:val="000000" w:themeColor="text1"/>
          <w:szCs w:val="16"/>
        </w:rPr>
        <w:br/>
      </w:r>
      <w:r w:rsidRPr="005C29F8">
        <w:rPr>
          <w:rFonts w:cs="Arial"/>
          <w:color w:val="000000" w:themeColor="text1"/>
          <w:szCs w:val="16"/>
        </w:rPr>
        <w:br/>
        <w:t xml:space="preserve"> Advise the PSS of unmet needs within the Republic of the Marshall Islands (RMI) in the education of children with disabilities;?</w:t>
      </w:r>
      <w:r w:rsidRPr="005C29F8">
        <w:rPr>
          <w:rFonts w:cs="Arial"/>
          <w:color w:val="000000" w:themeColor="text1"/>
          <w:szCs w:val="16"/>
        </w:rPr>
        <w:br/>
        <w:t xml:space="preserve"> Comment publicly on any rules or regulations proposed by RMI regarding the education of children with disabilities;?</w:t>
      </w:r>
      <w:r w:rsidRPr="005C29F8">
        <w:rPr>
          <w:rFonts w:cs="Arial"/>
          <w:color w:val="000000" w:themeColor="text1"/>
          <w:szCs w:val="16"/>
        </w:rPr>
        <w:br/>
        <w:t xml:space="preserve"> Advise the PSS in developing evaluations and reporting on data to the U.S. Department of Education under section 618 of IDEA;</w:t>
      </w:r>
      <w:r w:rsidRPr="005C29F8">
        <w:rPr>
          <w:rFonts w:cs="Arial"/>
          <w:color w:val="000000" w:themeColor="text1"/>
          <w:szCs w:val="16"/>
        </w:rPr>
        <w:br/>
        <w:t xml:space="preserve"> Advise the PSS in developing corrective action plans to address findings identified in monitoring reports under Part B of IDEA; and</w:t>
      </w:r>
      <w:r w:rsidRPr="005C29F8">
        <w:rPr>
          <w:rFonts w:cs="Arial"/>
          <w:color w:val="000000" w:themeColor="text1"/>
          <w:szCs w:val="16"/>
        </w:rPr>
        <w:br/>
        <w:t xml:space="preserve"> Advise the PSS in developing and implementing policies related to the coordination of services for children with disabilities.</w:t>
      </w:r>
      <w:r w:rsidRPr="005C29F8">
        <w:rPr>
          <w:rFonts w:cs="Arial"/>
          <w:color w:val="000000" w:themeColor="text1"/>
          <w:szCs w:val="16"/>
        </w:rPr>
        <w:br/>
      </w:r>
      <w:r w:rsidRPr="005C29F8">
        <w:rPr>
          <w:rFonts w:cs="Arial"/>
          <w:color w:val="000000" w:themeColor="text1"/>
          <w:szCs w:val="16"/>
        </w:rPr>
        <w:br/>
        <w:t>Marshall Islands plans and reports are developed by the PSS staff with input and involvement of the SEAC.</w:t>
      </w:r>
      <w:r w:rsidRPr="005C29F8">
        <w:rPr>
          <w:rFonts w:cs="Arial"/>
          <w:color w:val="000000" w:themeColor="text1"/>
          <w:szCs w:val="16"/>
        </w:rPr>
        <w:br/>
      </w:r>
      <w:r w:rsidRPr="005C29F8">
        <w:rPr>
          <w:rFonts w:cs="Arial"/>
          <w:color w:val="000000" w:themeColor="text1"/>
          <w:szCs w:val="16"/>
        </w:rPr>
        <w:br/>
        <w:t>The SEAC is comprised of majority parents and individuals with disabilities; teachers; school and MOEST (Ministry of Education, Sport and Training) officials; public health, mental health, judiciary, community college, and other agency personnel; and community representatives appointed by the Minister of Education. The APR is available for review at schools and on the PSS website; and the information in the document is disseminated through the government radio, in the Marshall Islands Journal, and at school meetings.</w:t>
      </w:r>
      <w:r w:rsidRPr="005C29F8">
        <w:rPr>
          <w:rFonts w:cs="Arial"/>
          <w:color w:val="000000" w:themeColor="text1"/>
          <w:szCs w:val="16"/>
        </w:rPr>
        <w:br/>
      </w:r>
      <w:r w:rsidRPr="005C29F8">
        <w:rPr>
          <w:rFonts w:cs="Arial"/>
          <w:color w:val="000000" w:themeColor="text1"/>
          <w:szCs w:val="16"/>
        </w:rPr>
        <w:br/>
        <w:t xml:space="preserve">With input from stakeholders, RMI identified in FFY 2013 SPP targets for Indicators 1 to 8, and 14 for FFY 2014 to FFY 2018. Because of the one-year extension of the SPP, RMI gathered input from stakeholders on January 28, 2020 to determine targets for these indicators for the FFY 2019 APR. Indicators B11 and B13, which are compliance indicators, have targets set by OSEP at 100%. RMI has not set targets for Indicators 15 and 16 because </w:t>
      </w:r>
      <w:r w:rsidRPr="005C29F8">
        <w:rPr>
          <w:rFonts w:cs="Arial"/>
          <w:color w:val="000000" w:themeColor="text1"/>
          <w:szCs w:val="16"/>
        </w:rPr>
        <w:lastRenderedPageBreak/>
        <w:t>there has been no meditations or hearing requests. Indicators 4B, 9, 10, and 12 were determined by OSEP as not applicable to RMI. The stakeholders will be convened in 2021 to set targets for FFY 2020-2025 for the indicators where setting targets is appropriate.</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The Republic of the Marshall Islands reported fewer than ten mediations held in FFY 2019. The Republic of the Marshall Islands is not required to provide targets until any fiscal year in which ten or more mediations were held. </w:t>
      </w:r>
    </w:p>
    <w:p w14:paraId="55A8CDDB" w14:textId="18EA15B9" w:rsidR="00913A33" w:rsidRDefault="001C46DC" w:rsidP="00123D76">
      <w:pPr>
        <w:pStyle w:val="Heading2"/>
      </w:pPr>
      <w:r w:rsidRPr="0033429D">
        <w:t>16 - Required Actions</w:t>
      </w:r>
    </w:p>
    <w:p w14:paraId="6750127A" w14:textId="05E1BBF9" w:rsidR="009D4FD9" w:rsidRDefault="009D4FD9" w:rsidP="009D4FD9"/>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1"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Frank Horiuchi</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Special Education Director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fhoriuchi@pss.edu.mh</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(692) 625-3656</w:t>
      </w:r>
    </w:p>
    <w:bookmarkEnd w:id="71"/>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04/29/21  1:30:37 PM</w:t>
      </w:r>
    </w:p>
    <w:p w14:paraId="596B3C30" w14:textId="09465E6F" w:rsidR="00755AF7" w:rsidRPr="005C29F8" w:rsidRDefault="00755AF7" w:rsidP="00EE4B59">
      <w:pPr>
        <w:rPr>
          <w:rFonts w:cs="Arial"/>
          <w:color w:val="000000" w:themeColor="text1"/>
          <w:szCs w:val="16"/>
        </w:rPr>
      </w:pPr>
    </w:p>
    <w:p w14:paraId="7C4C212B" w14:textId="77777777" w:rsidR="00676B43" w:rsidRDefault="00676B43">
      <w:pPr>
        <w:spacing w:before="0" w:after="200" w:line="276" w:lineRule="auto"/>
        <w:rPr>
          <w:rFonts w:eastAsiaTheme="majorEastAsia" w:cstheme="majorBidi"/>
          <w:b/>
          <w:bCs/>
          <w:sz w:val="20"/>
          <w:szCs w:val="28"/>
        </w:rPr>
      </w:pPr>
      <w:r>
        <w:br w:type="page"/>
      </w:r>
    </w:p>
    <w:p w14:paraId="3F5E2B40" w14:textId="14618586" w:rsidR="009D4FD9" w:rsidRDefault="009D4FD9" w:rsidP="009D4FD9">
      <w:pPr>
        <w:pStyle w:val="Heading1"/>
      </w:pPr>
      <w:r>
        <w:lastRenderedPageBreak/>
        <w:t xml:space="preserve">ED </w:t>
      </w:r>
      <w:r w:rsidRPr="009D4FD9">
        <w:t>Attachments</w:t>
      </w:r>
    </w:p>
    <w:p w14:paraId="37B09E58" w14:textId="0DB76579" w:rsidR="009D4FD9" w:rsidRDefault="009D4FD9" w:rsidP="009D4FD9"/>
    <w:p w14:paraId="4FBC7BB8" w14:textId="3D301D09" w:rsidR="009D4FD9" w:rsidRPr="009D4FD9" w:rsidRDefault="008C3261" w:rsidP="00D46996">
      <w:r>
        <w:object w:dxaOrig="1508" w:dyaOrig="983" w14:anchorId="73770444">
          <v:shape id="_x0000_i1026" type="#_x0000_t75" alt="MH-2021DataRubricPartB" style="width:75.75pt;height:48.75pt" o:ole="">
            <v:imagedata r:id="rId12" o:title=""/>
          </v:shape>
          <o:OLEObject Type="Embed" ProgID="Excel.Sheet.12" ShapeID="_x0000_i1026" DrawAspect="Icon" ObjectID="_1689087315" r:id="rId13"/>
        </w:object>
      </w:r>
      <w:r>
        <w:tab/>
      </w:r>
      <w:r w:rsidR="0039611B">
        <w:object w:dxaOrig="1376" w:dyaOrig="893" w14:anchorId="0B895F79">
          <v:shape id="_x0000_i1033" type="#_x0000_t75" alt="mh-resultsmatrix-2021bent-supp" style="width:69pt;height:44.25pt" o:ole="">
            <v:imagedata r:id="rId14" o:title=""/>
          </v:shape>
          <o:OLEObject Type="Embed" ProgID="Acrobat.Document.DC" ShapeID="_x0000_i1033" DrawAspect="Icon" ObjectID="_1689087316" r:id="rId15"/>
        </w:object>
      </w:r>
      <w:r>
        <w:tab/>
      </w:r>
      <w:r w:rsidR="0039611B">
        <w:tab/>
      </w:r>
      <w:r w:rsidR="00D46996">
        <w:object w:dxaOrig="1508" w:dyaOrig="983" w14:anchorId="05EAD66C">
          <v:shape id="_x0000_i1028" type="#_x0000_t75" alt="MH-B-Dispute-Resolution-2019-20" style="width:75.75pt;height:48.75pt" o:ole="">
            <v:imagedata r:id="rId16" o:title=""/>
          </v:shape>
          <o:OLEObject Type="Embed" ProgID="Acrobat.Document.DC" ShapeID="_x0000_i1028" DrawAspect="Icon" ObjectID="_1689087317" r:id="rId17"/>
        </w:object>
      </w:r>
    </w:p>
    <w:sectPr w:rsidR="009D4FD9" w:rsidRPr="009D4FD9"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9352" w14:textId="77777777" w:rsidR="00354307" w:rsidRDefault="00354307" w:rsidP="000802F7">
      <w:pPr>
        <w:spacing w:before="0" w:after="0"/>
      </w:pPr>
      <w:r>
        <w:separator/>
      </w:r>
    </w:p>
  </w:endnote>
  <w:endnote w:type="continuationSeparator" w:id="0">
    <w:p w14:paraId="586A7383" w14:textId="77777777" w:rsidR="00354307" w:rsidRDefault="00354307" w:rsidP="000802F7">
      <w:pPr>
        <w:spacing w:before="0" w:after="0"/>
      </w:pPr>
      <w:r>
        <w:continuationSeparator/>
      </w:r>
    </w:p>
  </w:endnote>
  <w:endnote w:type="continuationNotice" w:id="1">
    <w:p w14:paraId="1A3F49C3" w14:textId="77777777" w:rsidR="00354307" w:rsidRDefault="003543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5515" w14:textId="77777777" w:rsidR="00354307" w:rsidRDefault="00354307" w:rsidP="000802F7">
      <w:pPr>
        <w:spacing w:before="0" w:after="0"/>
      </w:pPr>
      <w:r>
        <w:separator/>
      </w:r>
    </w:p>
  </w:footnote>
  <w:footnote w:type="continuationSeparator" w:id="0">
    <w:p w14:paraId="77E9CAB1" w14:textId="77777777" w:rsidR="00354307" w:rsidRDefault="00354307" w:rsidP="000802F7">
      <w:pPr>
        <w:spacing w:before="0" w:after="0"/>
      </w:pPr>
      <w:r>
        <w:continuationSeparator/>
      </w:r>
    </w:p>
  </w:footnote>
  <w:footnote w:type="continuationNotice" w:id="1">
    <w:p w14:paraId="4D258DC7" w14:textId="77777777" w:rsidR="00354307" w:rsidRDefault="0035430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1D2F"/>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307"/>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11B"/>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6B43"/>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474"/>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069"/>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261"/>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4FD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6996"/>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ffcb171c-5eb6-4b7e-bff7-850b4441ed9e"/>
    <ds:schemaRef ds:uri="http://purl.org/dc/elements/1.1/"/>
    <ds:schemaRef ds:uri="http://schemas.microsoft.com/office/infopath/2007/PartnerControls"/>
    <ds:schemaRef ds:uri="dd23999d-55bb-4b1f-885e-83712e5c49df"/>
  </ds:schemaRefs>
</ds:datastoreItem>
</file>

<file path=customXml/itemProps2.xml><?xml version="1.0" encoding="utf-8"?>
<ds:datastoreItem xmlns:ds="http://schemas.openxmlformats.org/officeDocument/2006/customXml" ds:itemID="{20572E1B-CF58-449F-84B1-E7BC8DF3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23895</Words>
  <Characters>136207</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5</cp:revision>
  <cp:lastPrinted>2014-08-19T16:56:00Z</cp:lastPrinted>
  <dcterms:created xsi:type="dcterms:W3CDTF">2021-07-23T19:09:00Z</dcterms:created>
  <dcterms:modified xsi:type="dcterms:W3CDTF">2021-07-29T22:00:00Z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b39f879d-7106-4601-bdb9-c8980d36acf3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