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6ED974B4"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Marshall Islands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This Executive Summary includes a description of the Republic of the Marshall Islands (RMI) IDEA Part B State Performance Plan (SPP) and Annual Performance Report (APR) for FFY 2021. A description of RMI's General Supervision System, Technical Assistance System, Professional Development System, Stakeholder Involvement, and Reporting to the Public is provided in the following sections of this Introduction.</w:t>
      </w:r>
      <w:r w:rsidRPr="00781112">
        <w:rPr>
          <w:rFonts w:cs="Arial"/>
          <w:color w:val="000000" w:themeColor="text1"/>
          <w:szCs w:val="16"/>
        </w:rPr>
        <w:br/>
      </w:r>
      <w:r w:rsidRPr="00781112">
        <w:rPr>
          <w:rFonts w:cs="Arial"/>
          <w:color w:val="000000" w:themeColor="text1"/>
          <w:szCs w:val="16"/>
        </w:rPr>
        <w:br/>
        <w:t>Together with stakeholders, RMI reviewed all baselines and generated targets for Indicators 1 to 8, and 14 and 17 in FFY 2020. RMI's FFY 2021 APR includes performance for the above indicators with explanation of slippage where applicable. Stakeholders agreed to maintain targets for all these indicators as they were set in FFY 2020.</w:t>
      </w:r>
      <w:r w:rsidRPr="00781112">
        <w:rPr>
          <w:rFonts w:cs="Arial"/>
          <w:color w:val="000000" w:themeColor="text1"/>
          <w:szCs w:val="16"/>
        </w:rPr>
        <w:br/>
      </w:r>
      <w:r w:rsidRPr="00781112">
        <w:rPr>
          <w:rFonts w:cs="Arial"/>
          <w:color w:val="000000" w:themeColor="text1"/>
          <w:szCs w:val="16"/>
        </w:rPr>
        <w:br/>
        <w:t>RMI appreciates OSEP's support through its monthly TA calls to all states, and monthly calls with OSEP's team lead for RMI. With the exceptional technical assistance being provided by the National Center for Systemic Improvement (NCSI) and the National Technical Assistance Center on Transition: The Collaborative (NTACT:C), RMI continues to improve its implementation of IDEA and improve the results for Marshallese children and youth with disabilities.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RMI reported data for all indicators applicable to RMI in this report. All data reported on RMI's FFY 2021 SPP/APR are complete, </w:t>
      </w:r>
      <w:proofErr w:type="gramStart"/>
      <w:r w:rsidRPr="00781112">
        <w:rPr>
          <w:color w:val="000000" w:themeColor="text1"/>
        </w:rPr>
        <w:t>valid</w:t>
      </w:r>
      <w:proofErr w:type="gramEnd"/>
      <w:r w:rsidRPr="00781112">
        <w:rPr>
          <w:color w:val="000000" w:themeColor="text1"/>
        </w:rPr>
        <w:t xml:space="preserve"> and reliable.</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General supervision in the Marshall Islands, the responsibility of the Public School System (RMI PSS) Special Education Office, is comprised of the following eight components. </w:t>
      </w:r>
      <w:r w:rsidRPr="00781112">
        <w:rPr>
          <w:rFonts w:cs="Arial"/>
          <w:color w:val="000000" w:themeColor="text1"/>
          <w:szCs w:val="16"/>
        </w:rPr>
        <w:br/>
      </w:r>
      <w:r w:rsidRPr="00781112">
        <w:rPr>
          <w:rFonts w:cs="Arial"/>
          <w:color w:val="000000" w:themeColor="text1"/>
          <w:szCs w:val="16"/>
        </w:rPr>
        <w:br/>
        <w:t>State performance and improvement plans</w:t>
      </w:r>
      <w:r w:rsidRPr="00781112">
        <w:rPr>
          <w:rFonts w:cs="Arial"/>
          <w:color w:val="000000" w:themeColor="text1"/>
          <w:szCs w:val="16"/>
        </w:rPr>
        <w:br/>
        <w:t>Policies, procedures, and effective implementation of IDEA</w:t>
      </w:r>
      <w:r w:rsidRPr="00781112">
        <w:rPr>
          <w:rFonts w:cs="Arial"/>
          <w:color w:val="000000" w:themeColor="text1"/>
          <w:szCs w:val="16"/>
        </w:rPr>
        <w:br/>
        <w:t>Dispute resolutions</w:t>
      </w:r>
      <w:r w:rsidRPr="00781112">
        <w:rPr>
          <w:rFonts w:cs="Arial"/>
          <w:color w:val="000000" w:themeColor="text1"/>
          <w:szCs w:val="16"/>
        </w:rPr>
        <w:br/>
        <w:t>Data on processes and results</w:t>
      </w:r>
      <w:r w:rsidRPr="00781112">
        <w:rPr>
          <w:rFonts w:cs="Arial"/>
          <w:color w:val="000000" w:themeColor="text1"/>
          <w:szCs w:val="16"/>
        </w:rPr>
        <w:br/>
        <w:t>Integrated monitoring and evaluation activities</w:t>
      </w:r>
      <w:r w:rsidRPr="00781112">
        <w:rPr>
          <w:rFonts w:cs="Arial"/>
          <w:color w:val="000000" w:themeColor="text1"/>
          <w:szCs w:val="16"/>
        </w:rPr>
        <w:br/>
        <w:t>Targeted technical assistance and personnel development</w:t>
      </w:r>
      <w:r w:rsidRPr="00781112">
        <w:rPr>
          <w:rFonts w:cs="Arial"/>
          <w:color w:val="000000" w:themeColor="text1"/>
          <w:szCs w:val="16"/>
        </w:rPr>
        <w:br/>
        <w:t>Improvement, correction, incentives, and sanctions</w:t>
      </w:r>
      <w:r w:rsidRPr="00781112">
        <w:rPr>
          <w:rFonts w:cs="Arial"/>
          <w:color w:val="000000" w:themeColor="text1"/>
          <w:szCs w:val="16"/>
        </w:rPr>
        <w:br/>
        <w:t>Fiscal management</w:t>
      </w:r>
      <w:r w:rsidRPr="00781112">
        <w:rPr>
          <w:rFonts w:cs="Arial"/>
          <w:color w:val="000000" w:themeColor="text1"/>
          <w:szCs w:val="16"/>
        </w:rPr>
        <w:br/>
      </w:r>
      <w:r w:rsidRPr="00781112">
        <w:rPr>
          <w:rFonts w:cs="Arial"/>
          <w:color w:val="000000" w:themeColor="text1"/>
          <w:szCs w:val="16"/>
        </w:rPr>
        <w:br/>
        <w:t>Although each is a separate component, the components connect, interact, and articulate to form a comprehensive system with the objective of improving educational results and functional outcomes for all children with disabilities in the RMI and ensuring that the RMI PSS meets the program requirements under this part, with a particular emphasis on those requirements that are most closely related to improving educational results for children with disabilities.</w:t>
      </w:r>
      <w:r w:rsidRPr="00781112">
        <w:rPr>
          <w:rFonts w:cs="Arial"/>
          <w:color w:val="000000" w:themeColor="text1"/>
          <w:szCs w:val="16"/>
        </w:rPr>
        <w:br/>
      </w:r>
      <w:r w:rsidRPr="00781112">
        <w:rPr>
          <w:rFonts w:cs="Arial"/>
          <w:color w:val="000000" w:themeColor="text1"/>
          <w:szCs w:val="16"/>
        </w:rPr>
        <w:br/>
        <w:t>Supervision in the Marshall Islands also includes:</w:t>
      </w:r>
      <w:r w:rsidRPr="00781112">
        <w:rPr>
          <w:rFonts w:cs="Arial"/>
          <w:color w:val="000000" w:themeColor="text1"/>
          <w:szCs w:val="16"/>
        </w:rPr>
        <w:br/>
      </w:r>
      <w:r w:rsidRPr="00781112">
        <w:rPr>
          <w:rFonts w:cs="Arial"/>
          <w:color w:val="000000" w:themeColor="text1"/>
          <w:szCs w:val="16"/>
        </w:rPr>
        <w:br/>
        <w:t xml:space="preserve">Direct supervision of all public schools, programs, and services; </w:t>
      </w:r>
      <w:r w:rsidRPr="00781112">
        <w:rPr>
          <w:rFonts w:cs="Arial"/>
          <w:color w:val="000000" w:themeColor="text1"/>
          <w:szCs w:val="16"/>
        </w:rPr>
        <w:br/>
        <w:t xml:space="preserve">Ongoing technical assistance to all schools and programs in the Marshall Islands; </w:t>
      </w:r>
      <w:r w:rsidRPr="00781112">
        <w:rPr>
          <w:rFonts w:cs="Arial"/>
          <w:color w:val="000000" w:themeColor="text1"/>
          <w:szCs w:val="16"/>
        </w:rPr>
        <w:br/>
        <w:t>Data collection through an information management system;</w:t>
      </w:r>
      <w:r w:rsidRPr="00781112">
        <w:rPr>
          <w:rFonts w:cs="Arial"/>
          <w:color w:val="000000" w:themeColor="text1"/>
          <w:szCs w:val="16"/>
        </w:rPr>
        <w:br/>
        <w:t xml:space="preserve">PSS program assessment through self-evaluation and improvement planning involving the Special Education Advisory Council (SEAC); </w:t>
      </w:r>
      <w:r w:rsidRPr="00781112">
        <w:rPr>
          <w:rFonts w:cs="Arial"/>
          <w:color w:val="000000" w:themeColor="text1"/>
          <w:szCs w:val="16"/>
        </w:rPr>
        <w:br/>
        <w:t xml:space="preserve">Annual review and compliance determination; </w:t>
      </w:r>
      <w:r w:rsidRPr="00781112">
        <w:rPr>
          <w:rFonts w:cs="Arial"/>
          <w:color w:val="000000" w:themeColor="text1"/>
          <w:szCs w:val="16"/>
        </w:rPr>
        <w:br/>
        <w:t xml:space="preserve">Triennial (every 3 years) on-site monitoring to all schools; </w:t>
      </w:r>
      <w:r w:rsidRPr="00781112">
        <w:rPr>
          <w:rFonts w:cs="Arial"/>
          <w:color w:val="000000" w:themeColor="text1"/>
          <w:szCs w:val="16"/>
        </w:rPr>
        <w:br/>
        <w:t>Management of special education complaints, mediation, and due process hearings, including dissemination of rights and procedures; and</w:t>
      </w:r>
      <w:r w:rsidRPr="00781112">
        <w:rPr>
          <w:rFonts w:cs="Arial"/>
          <w:color w:val="000000" w:themeColor="text1"/>
          <w:szCs w:val="16"/>
        </w:rPr>
        <w:br/>
        <w:t>Resolution of issues through customary cultural practices, including disinterested parties.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Special Education Office provides ongoing and targeted technical assistance (TA) to schools.</w:t>
      </w:r>
      <w:r w:rsidRPr="00781112">
        <w:rPr>
          <w:rFonts w:cs="Arial"/>
          <w:color w:val="000000" w:themeColor="text1"/>
          <w:szCs w:val="16"/>
        </w:rPr>
        <w:br/>
      </w:r>
      <w:r w:rsidRPr="00781112">
        <w:rPr>
          <w:rFonts w:cs="Arial"/>
          <w:color w:val="000000" w:themeColor="text1"/>
          <w:szCs w:val="16"/>
        </w:rPr>
        <w:br/>
        <w:t>Ongoing TA is provided by special education specialists from the Special Education Office assigned to groups of schools. The assigned specialists maintain weekly contact with school personnel through on-site visits, telephone, short-wave radio, and/or web-based platforms. Targeted technical assistance to each of the 75 public elementary schools (grades K to 8); two public middle schools (on Majuro and Ebeye); and five public high schools (grades 9 to 12) located on 24 atolls in an area equivalent to the size of the United States east of the Mississippi River is provided based on the annual review and an annual special education school improvement plan. The process is described in the Marshall Islands Integrated and Continuous Improvement Focused Monitoring Procedures (Revised September 2011 and in 2020). The State Systemic Improvement Plan (SSIP) also includes an important intensive technical assistance component to middle and high schools, and targeted technical assistance to elementary schools.</w:t>
      </w:r>
      <w:r w:rsidRPr="00781112">
        <w:rPr>
          <w:rFonts w:cs="Arial"/>
          <w:color w:val="000000" w:themeColor="text1"/>
          <w:szCs w:val="16"/>
        </w:rPr>
        <w:br/>
      </w:r>
      <w:r w:rsidRPr="00781112">
        <w:rPr>
          <w:rFonts w:cs="Arial"/>
          <w:color w:val="000000" w:themeColor="text1"/>
          <w:szCs w:val="16"/>
        </w:rPr>
        <w:br/>
        <w:t>RMI technical assistance has been supported by TA from the National Center for Systemic Improvement (NCSI), the National Technical Assistance Center on Transition (NTACT), and other OSEP-sponsored agencies.</w:t>
      </w:r>
    </w:p>
    <w:p w14:paraId="31C31C58" w14:textId="6D9367D0" w:rsidR="00AF5649" w:rsidRPr="00781112" w:rsidRDefault="00AF5649" w:rsidP="004369B2">
      <w:pPr>
        <w:rPr>
          <w:color w:val="000000" w:themeColor="text1"/>
        </w:rPr>
      </w:pPr>
      <w:r w:rsidRPr="00781112">
        <w:rPr>
          <w:b/>
          <w:color w:val="000000" w:themeColor="text1"/>
        </w:rPr>
        <w:lastRenderedPageBreak/>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RMI PSS maintains an Individualized Development Plan (IDP) for each special education teacher and staff that is updated annually during the Special Education Summer Institute (annual PSS staff professional development and training session). The plan guides the personnel development of the individual through workshops; coursework provided by the College of the Marshall Islands, Brigham Young University of Hawaii, and other institutions; the MOE certification requirements; and degree progression of AA, BA, and MA. The IDP assists the Special Education Office in planning and arranging for workshops needed; part-time and full-time study; improvement leaves; financial assistance; etc.</w:t>
      </w:r>
      <w:r w:rsidRPr="00781112">
        <w:rPr>
          <w:rFonts w:cs="Arial"/>
          <w:color w:val="000000" w:themeColor="text1"/>
          <w:szCs w:val="16"/>
        </w:rPr>
        <w:br/>
      </w:r>
      <w:r w:rsidRPr="00781112">
        <w:rPr>
          <w:rFonts w:cs="Arial"/>
          <w:color w:val="000000" w:themeColor="text1"/>
          <w:szCs w:val="16"/>
        </w:rPr>
        <w:br/>
        <w:t xml:space="preserve">In FFY 2020 RMI successfully bid for a grant to implement a personnel development project. Titled "Personnel Development to Improve Services and Results for Children with Disabilities- Improving Retention of Special Education Teachers and Early Intervention Personnel". The purpose of this project is to develop a comprehensive retention plan for special education teachers in the Republic of the Marshall Islands Public School System. The specific goals of this project are to create a comprehensive retention plan for special educators, collectively with our partners at the College of the Marshall Islands and other stakeholders, develop meaningful pathways for professional development that will lead to special education licensure, effectively implement and evaluate the retention plan, and recruit more teachers and coaches annually to improve special education across RMI. </w:t>
      </w:r>
      <w:r w:rsidRPr="00781112">
        <w:rPr>
          <w:rFonts w:cs="Arial"/>
          <w:color w:val="000000" w:themeColor="text1"/>
          <w:szCs w:val="16"/>
        </w:rPr>
        <w:br/>
      </w:r>
      <w:r w:rsidRPr="00781112">
        <w:rPr>
          <w:rFonts w:cs="Arial"/>
          <w:color w:val="000000" w:themeColor="text1"/>
          <w:szCs w:val="16"/>
        </w:rPr>
        <w:br/>
        <w:t xml:space="preserve">In FFY 2021 the Teacher Retention Project collected needs assessment data from teachers and principals across all schools. The data from these surveys was used to draft a Teacher Retention Plan.  This plan includes several strands of action, some of them are going to be implemented in FFY 2022. </w:t>
      </w:r>
      <w:r w:rsidRPr="00781112">
        <w:rPr>
          <w:rFonts w:cs="Arial"/>
          <w:color w:val="000000" w:themeColor="text1"/>
          <w:szCs w:val="16"/>
        </w:rPr>
        <w:br/>
      </w:r>
      <w:r w:rsidRPr="00781112">
        <w:rPr>
          <w:rFonts w:cs="Arial"/>
          <w:color w:val="000000" w:themeColor="text1"/>
          <w:szCs w:val="16"/>
        </w:rPr>
        <w:br/>
        <w:t>RMI PSS staff and leadership strongly believe this five-year plan will improve the mechanisms RMI PSS has in place to ensure that teachers and service providers have the skills to effectively provide services that improve results for children with disabilities in Marshall Islands schools.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The RMI PSS team organized a </w:t>
      </w:r>
      <w:proofErr w:type="spellStart"/>
      <w:r w:rsidRPr="00781112">
        <w:rPr>
          <w:color w:val="000000" w:themeColor="text1"/>
          <w:szCs w:val="16"/>
        </w:rPr>
        <w:t>Powerpoint</w:t>
      </w:r>
      <w:proofErr w:type="spellEnd"/>
      <w:r w:rsidRPr="00781112">
        <w:rPr>
          <w:color w:val="000000" w:themeColor="text1"/>
          <w:szCs w:val="16"/>
        </w:rPr>
        <w:t xml:space="preserve"> presentation to guide the discussion. The PPT included a refresher on what is the SPP/APR, what are all the special education indicators applicable to RMI schools, and the targets for results indicators. Stakeholders were able to review the data for each indicator, with historic trends for indicators where data was available. The RMI PSS also participates on meetings with its Advisory Panel where progress on RMI's implementation of IDEA is presented and discussed.</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Stakeholders in the Republic of the Marshall Islands serve a fundamental role in the development, implementation, and ongoing evaluation of the RMI Public School System (PSS) SPP/APR, including the SSIP. Stakeholders provide feedback on targets, progress and assist with the dissemination of results to the general </w:t>
      </w:r>
      <w:proofErr w:type="gramStart"/>
      <w:r w:rsidRPr="00781112">
        <w:rPr>
          <w:color w:val="000000" w:themeColor="text1"/>
          <w:szCs w:val="16"/>
        </w:rPr>
        <w:t>public, and</w:t>
      </w:r>
      <w:proofErr w:type="gramEnd"/>
      <w:r w:rsidRPr="00781112">
        <w:rPr>
          <w:color w:val="000000" w:themeColor="text1"/>
          <w:szCs w:val="16"/>
        </w:rPr>
        <w:t xml:space="preserve"> are part of the implementation team. Stakeholders are informed on the SPP/APR/SSIP progress via online publication of the APR and SSIP and via meetings. Stakeholders network with the PSS team, meeting twice a year with the implementation teams. In specific for the SSIP, stakeholders collaborate with the SSIP team, participating on the SSIP Plan-Do-Study-Act (PDSA), helping evaluate, planning the implementation of SSIP activities. The stakeholders play a transforming role, they co-developed the school improvement plans, they work with the core team on the implementation of these plans. </w:t>
      </w:r>
      <w:r w:rsidRPr="00781112">
        <w:rPr>
          <w:color w:val="000000" w:themeColor="text1"/>
          <w:szCs w:val="16"/>
        </w:rPr>
        <w:br/>
      </w:r>
      <w:r w:rsidRPr="00781112">
        <w:rPr>
          <w:color w:val="000000" w:themeColor="text1"/>
          <w:szCs w:val="16"/>
        </w:rPr>
        <w:br/>
        <w:t>Here are examples of stakeholder engagement in the SSIP (using this same structure, stakeholders also receive professional development and provide input):</w:t>
      </w:r>
      <w:r w:rsidRPr="00781112">
        <w:rPr>
          <w:color w:val="000000" w:themeColor="text1"/>
          <w:szCs w:val="16"/>
        </w:rPr>
        <w:br/>
      </w:r>
      <w:r w:rsidRPr="00781112">
        <w:rPr>
          <w:color w:val="000000" w:themeColor="text1"/>
          <w:szCs w:val="16"/>
        </w:rPr>
        <w:br/>
        <w:t xml:space="preserve">Stakeholders (middle and high school teachers, principals, representatives from the College of Marshall Islands, parent groups, Special Education Advisory Council) remain on the SSIP team for implementation, partnering with high schools and community agencies to evaluate efforts of the SSIP. These stakeholders provided input into the design and development of the evaluation and have ensured the RMI PSS continues to (a) ask the right evaluation questions, (b) collect sufficient data to answer the evaluation questions, (c) analyze the data appropriately, and (d) use the data for secondary transition program improvement. </w:t>
      </w:r>
      <w:r w:rsidRPr="00781112">
        <w:rPr>
          <w:color w:val="000000" w:themeColor="text1"/>
          <w:szCs w:val="16"/>
        </w:rPr>
        <w:br/>
      </w:r>
      <w:r w:rsidRPr="00781112">
        <w:rPr>
          <w:color w:val="000000" w:themeColor="text1"/>
          <w:szCs w:val="16"/>
        </w:rPr>
        <w:br/>
        <w:t xml:space="preserve">In July 2022 we convened stakeholders to (a) update stakeholders on SSIP implementation and outcomes identified in the previous reporting period, and (b) reaffirm SSIP plan (including activities, evaluation, and responsibilities). Stakeholders began the meeting celebrating outcomes achieved during the last year of implementation of the SSIP, including continuing to surpass the </w:t>
      </w:r>
      <w:proofErr w:type="spellStart"/>
      <w:r w:rsidRPr="00781112">
        <w:rPr>
          <w:color w:val="000000" w:themeColor="text1"/>
          <w:szCs w:val="16"/>
        </w:rPr>
        <w:t>SiMR</w:t>
      </w:r>
      <w:proofErr w:type="spellEnd"/>
      <w:r w:rsidRPr="00781112">
        <w:rPr>
          <w:color w:val="000000" w:themeColor="text1"/>
          <w:szCs w:val="16"/>
        </w:rPr>
        <w:t xml:space="preserve"> target, and an improvement on the percent of youth with disabilities graduating with a high school diploma. </w:t>
      </w:r>
      <w:r w:rsidRPr="00781112">
        <w:rPr>
          <w:color w:val="000000" w:themeColor="text1"/>
          <w:szCs w:val="16"/>
        </w:rPr>
        <w:br/>
      </w:r>
      <w:r w:rsidRPr="00781112">
        <w:rPr>
          <w:color w:val="000000" w:themeColor="text1"/>
          <w:szCs w:val="16"/>
        </w:rPr>
        <w:lastRenderedPageBreak/>
        <w:br/>
        <w:t xml:space="preserve">As we moved into our seventh PDSA cycle, stakeholders supported PSS in building capacity to deliver quality PD and coaching needed to support teachers in sustained implementation of evidence-based practices in schools. We continued to engage all stakeholders in the implementation and evaluation of the face-to-face meetings or online via Zoom. Stakeholders continued to reiterate the need for ongoing communication and training regarding transition topics to support their work in schools and insisted it be included as an ongoing activity in the SSIP.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RMI/PSS works closely with the Special Education Advisory Council (SEAC) to solicit public input on all its activities, including the SPP/APR and the SSIP. The RMI PSS uses the two annual meetings to convene these group, together with other stakeholders and other PSS staff to solicit public input for activities such as setting targets, analyzing data, developing improvement strategies, and evaluating progress. These meetings take pace in January and July of each year. In January 2022 and in July 2022 we met with the SEAC to confirm roles and responsibilities in relation to SPP/APR activities. </w:t>
      </w:r>
      <w:r w:rsidRPr="00781112">
        <w:rPr>
          <w:color w:val="000000" w:themeColor="text1"/>
          <w:szCs w:val="16"/>
        </w:rPr>
        <w:br/>
      </w:r>
      <w:r w:rsidRPr="00781112">
        <w:rPr>
          <w:color w:val="000000" w:themeColor="text1"/>
          <w:szCs w:val="16"/>
        </w:rPr>
        <w:br/>
        <w:t xml:space="preserve">Our principals also attend these bi-annual meetings and are responsible for ensuring the implementation of several SPP/APR activities. For example, they were instrumental in improving the participation of students with disabilities in the RMI statewide assessment (MISAT). For the SSIP, they are responsible for ensuring the implementation of the school improvement plans, the accurate collection of attendance data and fidelity data as teachers begin implementing some evidence-based practices in which they have been trained. Parent groups attend these meetings </w:t>
      </w:r>
      <w:proofErr w:type="gramStart"/>
      <w:r w:rsidRPr="00781112">
        <w:rPr>
          <w:color w:val="000000" w:themeColor="text1"/>
          <w:szCs w:val="16"/>
        </w:rPr>
        <w:t>and also</w:t>
      </w:r>
      <w:proofErr w:type="gramEnd"/>
      <w:r w:rsidRPr="00781112">
        <w:rPr>
          <w:color w:val="000000" w:themeColor="text1"/>
          <w:szCs w:val="16"/>
        </w:rPr>
        <w:t xml:space="preserve"> play a key role in providing and soliciting public input. Organizations such as the MIDPO, WUTMI, and the LDAH (parents and PTI groups), collected data on parent participation in parent workshops as well as parent knowledge and parent satisfaction data. They summarize these data and provide to the team to inform </w:t>
      </w:r>
      <w:proofErr w:type="gramStart"/>
      <w:r w:rsidRPr="00781112">
        <w:rPr>
          <w:color w:val="000000" w:themeColor="text1"/>
          <w:szCs w:val="16"/>
        </w:rPr>
        <w:t>future plans</w:t>
      </w:r>
      <w:proofErr w:type="gramEnd"/>
      <w:r w:rsidRPr="00781112">
        <w:rPr>
          <w:color w:val="000000" w:themeColor="text1"/>
          <w:szCs w:val="16"/>
        </w:rPr>
        <w:t>.</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During the two annual meetings (January and July) described in other sessions of this report, the RMI PSS prepares summary reports of progress to the stakeholders and to the public in general. Whenever possible, during these two times of the year, RMI staff summarizes progress reports in a press release format which is submitted to the Marshall Islands Journal for </w:t>
      </w:r>
      <w:proofErr w:type="gramStart"/>
      <w:r w:rsidRPr="00781112">
        <w:rPr>
          <w:color w:val="000000" w:themeColor="text1"/>
          <w:szCs w:val="16"/>
        </w:rPr>
        <w:t>general public</w:t>
      </w:r>
      <w:proofErr w:type="gramEnd"/>
      <w:r w:rsidRPr="00781112">
        <w:rPr>
          <w:color w:val="000000" w:themeColor="text1"/>
          <w:szCs w:val="16"/>
        </w:rPr>
        <w:t xml:space="preserve"> availability. The editor of the newspaper publishes the press releases. </w:t>
      </w:r>
      <w:r w:rsidRPr="00781112">
        <w:rPr>
          <w:color w:val="000000" w:themeColor="text1"/>
          <w:szCs w:val="16"/>
        </w:rPr>
        <w:br/>
      </w:r>
      <w:r w:rsidRPr="00781112">
        <w:rPr>
          <w:color w:val="000000" w:themeColor="text1"/>
          <w:szCs w:val="16"/>
        </w:rPr>
        <w:br/>
        <w:t xml:space="preserve">Information that is summarized and provided both to the public on press releases and in more detail to the stakeholders attending the two annual meetings include: RMI's submission of the IDEA Grant, RMI's progress in implementing IDEA (determination status and RDA results matrix), and in more detail, it includes individual progress on each SPP/APR indicator, and in specific progress on the implementation of the SSIP. Stakeholders have opportunities to discuss the progress on all these reports, and in each specific indicator. In general, when an indicator requires more intensive attention, such as was the case for the participation of special education students in the MISAT, stakeholders are invited to work more closely with PSS staff to engage in a PDSA activity. This includes an activity to understand the issue, be involved on a root cause analysis process, </w:t>
      </w:r>
      <w:proofErr w:type="gramStart"/>
      <w:r w:rsidRPr="00781112">
        <w:rPr>
          <w:color w:val="000000" w:themeColor="text1"/>
          <w:szCs w:val="16"/>
        </w:rPr>
        <w:t>provide</w:t>
      </w:r>
      <w:proofErr w:type="gramEnd"/>
      <w:r w:rsidRPr="00781112">
        <w:rPr>
          <w:color w:val="000000" w:themeColor="text1"/>
          <w:szCs w:val="16"/>
        </w:rPr>
        <w:t xml:space="preserve"> or suggest strategies for improvement and be part of the implementation team where applicable. This activity generated a very positive impact on the participation of students with disabilities in the MISAT, which is reflected in moving from a 20% participation rate (in FFY 2016) to almost 100% (in FFY 2021) participation rate in several years of intensive support from PSS staff and implementation of improvement strategies. </w:t>
      </w:r>
      <w:r w:rsidRPr="00781112">
        <w:rPr>
          <w:color w:val="000000" w:themeColor="text1"/>
          <w:szCs w:val="16"/>
        </w:rPr>
        <w:br/>
      </w:r>
      <w:r w:rsidRPr="00781112">
        <w:rPr>
          <w:color w:val="000000" w:themeColor="text1"/>
          <w:szCs w:val="16"/>
        </w:rPr>
        <w:br/>
        <w:t>All RMI PSS reports are also available in the RMI PSS website for the public to review and provide input. These reports are made available to the public shortly after being submitted to the United States Department of Education.</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All RMI PSS reports, including the FFY 2020 SPP/APR and the SSIP are available in the RMI PSS website for the public to review and provide input. These reports are made available to the public shortly after being submitted to the United States Department of Education. Whenever revisions are made to the SPP/APR and the SSIP, the report with revisions is re-uploaded in a timely fashion (shortly after changes are made).</w:t>
      </w:r>
      <w:r w:rsidRPr="00781112">
        <w:rPr>
          <w:rFonts w:cs="Arial"/>
          <w:color w:val="000000" w:themeColor="text1"/>
          <w:szCs w:val="16"/>
        </w:rPr>
        <w:br/>
      </w:r>
      <w:r w:rsidRPr="00781112">
        <w:rPr>
          <w:rFonts w:cs="Arial"/>
          <w:color w:val="000000" w:themeColor="text1"/>
          <w:szCs w:val="16"/>
        </w:rPr>
        <w:br/>
        <w:t>Here is the link to the FFY 2020 SPP/APR and the SSIP and all other reports:</w:t>
      </w:r>
      <w:r w:rsidRPr="00781112">
        <w:rPr>
          <w:rFonts w:cs="Arial"/>
          <w:color w:val="000000" w:themeColor="text1"/>
          <w:szCs w:val="16"/>
        </w:rPr>
        <w:br/>
      </w:r>
      <w:r w:rsidRPr="00781112">
        <w:rPr>
          <w:rFonts w:cs="Arial"/>
          <w:color w:val="000000" w:themeColor="text1"/>
          <w:szCs w:val="16"/>
        </w:rPr>
        <w:br/>
        <w:t>https://pss.edu.mh/documents/special-education-documents/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2011</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31.00%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40.00%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42.00%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44.00%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46.00%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48.00%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46.15%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25.00%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92.59%</w:t>
            </w:r>
          </w:p>
        </w:tc>
        <w:tc>
          <w:tcPr>
            <w:tcW w:w="834" w:type="pct"/>
            <w:tcBorders>
              <w:bottom w:val="single" w:sz="4" w:space="0" w:color="auto"/>
            </w:tcBorders>
            <w:shd w:val="clear" w:color="auto" w:fill="auto"/>
            <w:vAlign w:val="center"/>
          </w:tcPr>
          <w:p w14:paraId="3C2AFA14" w14:textId="2A05112F" w:rsidR="007F24E2" w:rsidRPr="00781112" w:rsidRDefault="00190135" w:rsidP="00E0321D">
            <w:pPr>
              <w:jc w:val="center"/>
              <w:rPr>
                <w:rFonts w:cs="Arial"/>
                <w:color w:val="000000" w:themeColor="text1"/>
                <w:szCs w:val="16"/>
              </w:rPr>
            </w:pPr>
            <w:r>
              <w:rPr>
                <w:rFonts w:cs="Arial"/>
                <w:color w:val="000000" w:themeColor="text1"/>
                <w:szCs w:val="16"/>
              </w:rPr>
              <w:t>x</w:t>
            </w:r>
            <w:bookmarkStart w:id="5" w:name="_Ref141185069"/>
            <w:r>
              <w:rPr>
                <w:rStyle w:val="FootnoteReference"/>
                <w:rFonts w:cs="Arial"/>
                <w:color w:val="000000" w:themeColor="text1"/>
                <w:szCs w:val="16"/>
              </w:rPr>
              <w:footnoteReference w:id="2"/>
            </w:r>
            <w:bookmarkEnd w:id="5"/>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50.00%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52.00%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54.00%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56.00%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58.00%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17</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4</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623" w:type="pct"/>
            <w:shd w:val="clear" w:color="auto" w:fill="auto"/>
          </w:tcPr>
          <w:p w14:paraId="02406DF0" w14:textId="5AF2D6B7" w:rsidR="0098478C" w:rsidRPr="00781112" w:rsidRDefault="00190135" w:rsidP="00A018D4">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3"/>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80.95%</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To receive the public high school diploma, students in grade twelve, seniors, shall meet the Public School System and school academic requirements:</w:t>
      </w:r>
      <w:r w:rsidRPr="00781112">
        <w:rPr>
          <w:rFonts w:cs="Arial"/>
          <w:color w:val="000000" w:themeColor="text1"/>
          <w:szCs w:val="16"/>
        </w:rPr>
        <w:br/>
      </w:r>
      <w:r w:rsidRPr="00781112">
        <w:rPr>
          <w:rFonts w:cs="Arial"/>
          <w:color w:val="000000" w:themeColor="text1"/>
          <w:szCs w:val="16"/>
        </w:rPr>
        <w:br/>
        <w:t xml:space="preserve">(1) Each student (grades 9-12) must maintain a minimum grade point average of 2.00 each grading semester. A student who does not maintain the minimum grade point average of 2.00 for the first semester of the senior year shall be placed on academic probation for the remainder of the school year; </w:t>
      </w:r>
      <w:r w:rsidRPr="00781112">
        <w:rPr>
          <w:rFonts w:cs="Arial"/>
          <w:color w:val="000000" w:themeColor="text1"/>
          <w:szCs w:val="16"/>
        </w:rPr>
        <w:br/>
        <w:t xml:space="preserve">(2) Each student must complete twenty-one (21) credits, including eleven credits in the student’s required academic/vocational program and MLA and maintain 2.00 GPA in order to receive a “diploma” upon graduation; </w:t>
      </w:r>
      <w:r w:rsidRPr="00781112">
        <w:rPr>
          <w:rFonts w:cs="Arial"/>
          <w:color w:val="000000" w:themeColor="text1"/>
          <w:szCs w:val="16"/>
        </w:rPr>
        <w:br/>
        <w:t xml:space="preserve">(3) Twelve (12) graders who do not meet 2.00 GPA requirements but have completed all credits and course requirements for graduation shall be awarded a “certificate of completion” upon graduation; </w:t>
      </w:r>
      <w:r w:rsidRPr="00781112">
        <w:rPr>
          <w:rFonts w:cs="Arial"/>
          <w:color w:val="000000" w:themeColor="text1"/>
          <w:szCs w:val="16"/>
        </w:rPr>
        <w:br/>
        <w:t xml:space="preserve">(4) Each student must attend a public high school for at least one year prior to graduation. An exception may be granted by the Commissioner for transferring students from outside the Republic. </w:t>
      </w:r>
      <w:r w:rsidRPr="00781112">
        <w:rPr>
          <w:rFonts w:cs="Arial"/>
          <w:color w:val="000000" w:themeColor="text1"/>
          <w:szCs w:val="16"/>
        </w:rPr>
        <w:br/>
        <w:t xml:space="preserve">(5) Secondary school students shall be required to complete 20 hours of community service for each program year for a total of 80 hours for graduation. The high school office shall make necessary arrangements for students to meet community service requirements. </w:t>
      </w:r>
      <w:r w:rsidRPr="00781112">
        <w:rPr>
          <w:rFonts w:cs="Arial"/>
          <w:color w:val="000000" w:themeColor="text1"/>
          <w:szCs w:val="16"/>
        </w:rPr>
        <w:br/>
      </w:r>
      <w:r w:rsidRPr="00781112">
        <w:rPr>
          <w:rFonts w:cs="Arial"/>
          <w:color w:val="000000" w:themeColor="text1"/>
          <w:szCs w:val="16"/>
        </w:rPr>
        <w:br/>
        <w:t xml:space="preserve">This information is available on the Marshall Islands Public School System Rules and Regulations, Chapter 29 (Page 54-56).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F375C6E" w:rsidR="00907A35" w:rsidRPr="00781112" w:rsidRDefault="00907A35" w:rsidP="004369B2">
      <w:pPr>
        <w:rPr>
          <w:b/>
          <w:color w:val="000000" w:themeColor="text1"/>
        </w:rPr>
      </w:pPr>
      <w:r w:rsidRPr="00781112">
        <w:rPr>
          <w:b/>
          <w:color w:val="000000" w:themeColor="text1"/>
        </w:rPr>
        <w:t>Historical Data</w:t>
      </w:r>
      <w:r w:rsidR="00596296">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530D617E" w:rsidR="008F3F33" w:rsidRPr="00781112" w:rsidRDefault="0086526B" w:rsidP="002B6965">
            <w:pPr>
              <w:jc w:val="center"/>
              <w:rPr>
                <w:bCs/>
                <w:color w:val="000000" w:themeColor="text1"/>
              </w:rPr>
            </w:pPr>
            <w:r>
              <w:rPr>
                <w:bCs/>
                <w:color w:val="000000" w:themeColor="text1"/>
              </w:rPr>
              <w:t>x</w:t>
            </w:r>
            <w:bookmarkStart w:id="12" w:name="_Ref141100107"/>
            <w:r>
              <w:rPr>
                <w:rStyle w:val="FootnoteReference"/>
                <w:bCs/>
                <w:color w:val="000000" w:themeColor="text1"/>
              </w:rPr>
              <w:footnoteReference w:id="5"/>
            </w:r>
            <w:bookmarkEnd w:id="12"/>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C69FBF7" w14:textId="43E5C836" w:rsidR="00907A35" w:rsidRPr="00781112" w:rsidRDefault="0086526B" w:rsidP="00E0321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_Ref141100107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4</w:t>
            </w:r>
            <w:r>
              <w:rPr>
                <w:rFonts w:cs="Arial"/>
                <w:color w:val="000000" w:themeColor="text1"/>
                <w:szCs w:val="16"/>
              </w:rPr>
              <w:fldChar w:fldCharType="end"/>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2.28%</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0.92%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32A53100" w14:textId="3C2151B1" w:rsidR="00907A35" w:rsidRPr="00781112" w:rsidRDefault="0086526B" w:rsidP="00E0321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_Ref141100107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4</w:t>
            </w:r>
            <w:r>
              <w:rPr>
                <w:rFonts w:cs="Arial"/>
                <w:color w:val="000000" w:themeColor="text1"/>
                <w:szCs w:val="16"/>
              </w:rPr>
              <w:fldChar w:fldCharType="end"/>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631420">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20" w:type="pct"/>
            <w:vAlign w:val="center"/>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20" w:type="pct"/>
            <w:vAlign w:val="center"/>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20" w:type="pct"/>
            <w:vAlign w:val="center"/>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20" w:type="pct"/>
            <w:vAlign w:val="center"/>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17</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4</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0</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633" w:type="pct"/>
            <w:shd w:val="clear" w:color="auto" w:fill="auto"/>
          </w:tcPr>
          <w:p w14:paraId="77541D8A" w14:textId="5D62C1EE" w:rsidR="00C96339" w:rsidRPr="00781112" w:rsidRDefault="0086526B" w:rsidP="00A018D4">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6"/>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RMI PSS uses the OSEP 618 definition for "Dropped Out" which states the total number of students who were enrolled at the start of the reporting period but were not enrolled at the end of the reporting period and did not exit through any other method. This includes dropouts, runaways, GED recipients, expulsions, status unknown, students who moved and are unknown to be continuing in another educational program, and students exiting the system in other ways. This method of collecting dropout data is consistent for all students.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3" w:name="_Toc382082362"/>
      <w:bookmarkStart w:id="14" w:name="_Toc392159270"/>
      <w:bookmarkStart w:id="15"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91.11%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96.00%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81.13%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91.11%</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96.00%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271898A" w14:textId="2BB33077" w:rsidR="00312480" w:rsidRPr="00781112" w:rsidRDefault="00B02B88" w:rsidP="00312480">
            <w:pPr>
              <w:spacing w:before="0" w:after="0"/>
              <w:jc w:val="center"/>
              <w:rPr>
                <w:rFonts w:cs="Arial"/>
                <w:color w:val="000000" w:themeColor="text1"/>
                <w:szCs w:val="16"/>
              </w:rPr>
            </w:pPr>
            <w:r>
              <w:rPr>
                <w:rFonts w:cs="Arial"/>
                <w:color w:val="000000" w:themeColor="text1"/>
                <w:szCs w:val="16"/>
              </w:rPr>
              <w:t>x</w:t>
            </w:r>
            <w:bookmarkStart w:id="16" w:name="_Ref141112983"/>
            <w:r>
              <w:rPr>
                <w:rStyle w:val="FootnoteReference"/>
                <w:rFonts w:cs="Arial"/>
                <w:color w:val="000000" w:themeColor="text1"/>
                <w:szCs w:val="16"/>
              </w:rPr>
              <w:footnoteReference w:id="7"/>
            </w:r>
            <w:bookmarkEnd w:id="16"/>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3</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91.50%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92.00%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92.50%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93.00%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90.00%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91.00%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92.00%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93.00%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3</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91.50%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92.00%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92.50%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93.00%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96.50%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0BB0111F" w:rsidR="00B14519" w:rsidRPr="00781112" w:rsidRDefault="00B02B88" w:rsidP="00C362C0">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_Ref141112983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6</w:t>
            </w:r>
            <w:r>
              <w:rPr>
                <w:rFonts w:cs="Arial"/>
                <w:color w:val="000000" w:themeColor="text1"/>
                <w:szCs w:val="16"/>
              </w:rPr>
              <w:fldChar w:fldCharType="end"/>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r>
    </w:tbl>
    <w:p w14:paraId="4FED9CA8" w14:textId="44F264E8" w:rsidR="007765EF" w:rsidRDefault="007765EF" w:rsidP="00480083">
      <w:pPr>
        <w:rPr>
          <w:b/>
          <w:color w:val="000000" w:themeColor="text1"/>
        </w:rPr>
      </w:pPr>
    </w:p>
    <w:p w14:paraId="361B382C" w14:textId="7A0BCC6C" w:rsidR="00480083" w:rsidRPr="0036112A" w:rsidRDefault="00480083" w:rsidP="0036112A">
      <w:pPr>
        <w:spacing w:before="0" w:after="200" w:line="276" w:lineRule="auto"/>
        <w:rPr>
          <w:b/>
          <w:color w:val="000000" w:themeColor="text1"/>
        </w:rPr>
      </w:pPr>
      <w:r w:rsidRPr="00781112">
        <w:rPr>
          <w:b/>
          <w:color w:val="000000" w:themeColor="text1"/>
        </w:rPr>
        <w:t xml:space="preserve">Targets: Description of Stakeholder Input </w:t>
      </w:r>
      <w:r w:rsidR="0036112A">
        <w:rPr>
          <w:b/>
          <w:color w:val="000000" w:themeColor="text1"/>
        </w:rPr>
        <w:br/>
      </w: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4B8B8032" w14:textId="3D6147D5" w:rsidR="0034094E" w:rsidRDefault="00480083" w:rsidP="00B02B88">
      <w:pPr>
        <w:rPr>
          <w:rFonts w:cs="Arial"/>
          <w:color w:val="000000" w:themeColor="text1"/>
          <w:szCs w:val="16"/>
        </w:rPr>
      </w:pPr>
      <w:r w:rsidRPr="00781112">
        <w:rPr>
          <w:rFonts w:cs="Arial"/>
          <w:color w:val="000000" w:themeColor="text1"/>
          <w:szCs w:val="16"/>
        </w:rPr>
        <w:t xml:space="preserve">RMI did not assess High School students in FFY 2020, when stakeholders provided input on targets for all other grades (reading and math). Therefore, FFY 2021 is the new baseline. Because the baseline is </w:t>
      </w:r>
      <w:r w:rsidR="001B2168">
        <w:rPr>
          <w:rFonts w:cs="Arial"/>
          <w:color w:val="000000" w:themeColor="text1"/>
          <w:szCs w:val="16"/>
        </w:rPr>
        <w:t>x</w:t>
      </w:r>
      <w:r w:rsidRPr="00781112">
        <w:rPr>
          <w:rFonts w:cs="Arial"/>
          <w:color w:val="000000" w:themeColor="text1"/>
          <w:szCs w:val="16"/>
        </w:rPr>
        <w:t>%</w:t>
      </w:r>
      <w:r w:rsidR="001B2168">
        <w:rPr>
          <w:rStyle w:val="FootnoteReference"/>
          <w:rFonts w:cs="Arial"/>
          <w:color w:val="000000" w:themeColor="text1"/>
          <w:szCs w:val="16"/>
        </w:rPr>
        <w:footnoteReference w:id="8"/>
      </w:r>
      <w:r w:rsidRPr="00781112">
        <w:rPr>
          <w:rFonts w:cs="Arial"/>
          <w:color w:val="000000" w:themeColor="text1"/>
          <w:szCs w:val="16"/>
        </w:rPr>
        <w:t xml:space="preserve">, and the FFY 2025 targets needs to be higher than the baseline, the targets for math assessments, for High School were set at 100%. </w:t>
      </w:r>
    </w:p>
    <w:p w14:paraId="3F9679CB" w14:textId="77777777" w:rsidR="00B02B88" w:rsidRDefault="00B02B88" w:rsidP="00B02B88">
      <w:pPr>
        <w:rPr>
          <w:rFonts w:cs="Arial"/>
          <w:color w:val="000000" w:themeColor="text1"/>
          <w:szCs w:val="16"/>
        </w:rPr>
      </w:pPr>
    </w:p>
    <w:p w14:paraId="2674A5DB" w14:textId="77777777" w:rsidR="00B02B88" w:rsidRPr="00B02B88" w:rsidRDefault="00B02B88" w:rsidP="00B02B88">
      <w:pPr>
        <w:rPr>
          <w:rFonts w:cs="Arial"/>
          <w:color w:val="000000" w:themeColor="text1"/>
          <w:szCs w:val="16"/>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60203808" w14:textId="77777777" w:rsidR="0036112A" w:rsidRPr="00781112" w:rsidRDefault="0036112A"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3</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42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56</w:t>
            </w:r>
          </w:p>
        </w:tc>
        <w:tc>
          <w:tcPr>
            <w:tcW w:w="1153" w:type="pct"/>
            <w:shd w:val="clear" w:color="auto" w:fill="auto"/>
            <w:vAlign w:val="center"/>
          </w:tcPr>
          <w:p w14:paraId="052A06A3" w14:textId="5A9B88FD" w:rsidR="00DD7CEF" w:rsidRPr="00781112" w:rsidRDefault="00B02B88"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_Ref141113072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7</w:t>
            </w:r>
            <w:r>
              <w:rPr>
                <w:rFonts w:cs="Arial"/>
                <w:color w:val="000000" w:themeColor="text1"/>
                <w:szCs w:val="16"/>
              </w:rPr>
              <w:fldChar w:fldCharType="end"/>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56</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39</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37AA75C1" w14:textId="76E9A136" w:rsidR="00DD7CEF" w:rsidRPr="00781112" w:rsidRDefault="00B02B88"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_Ref141113072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7</w:t>
            </w:r>
            <w:r>
              <w:rPr>
                <w:rFonts w:cs="Arial"/>
                <w:color w:val="000000" w:themeColor="text1"/>
                <w:szCs w:val="16"/>
              </w:rPr>
              <w:fldChar w:fldCharType="end"/>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11229461" w14:textId="77777777" w:rsidR="0036112A" w:rsidRPr="00781112" w:rsidRDefault="0036112A"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3</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42</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56</w:t>
            </w:r>
          </w:p>
        </w:tc>
        <w:tc>
          <w:tcPr>
            <w:tcW w:w="1153" w:type="pct"/>
            <w:shd w:val="clear" w:color="auto" w:fill="auto"/>
            <w:vAlign w:val="center"/>
          </w:tcPr>
          <w:p w14:paraId="07D0BC24" w14:textId="7D494D7A" w:rsidR="00BA0CFF" w:rsidRPr="00781112" w:rsidRDefault="00B02B88" w:rsidP="00360DD6">
            <w:pPr>
              <w:jc w:val="center"/>
              <w:rPr>
                <w:rFonts w:cs="Arial"/>
                <w:color w:val="000000" w:themeColor="text1"/>
                <w:szCs w:val="16"/>
              </w:rPr>
            </w:pPr>
            <w:r>
              <w:rPr>
                <w:rFonts w:cs="Arial"/>
                <w:color w:val="000000" w:themeColor="text1"/>
                <w:szCs w:val="16"/>
              </w:rPr>
              <w:t>x</w:t>
            </w:r>
            <w:bookmarkStart w:id="17" w:name="_Ref141113072"/>
            <w:r>
              <w:rPr>
                <w:rStyle w:val="FootnoteReference"/>
                <w:rFonts w:cs="Arial"/>
                <w:color w:val="000000" w:themeColor="text1"/>
                <w:szCs w:val="16"/>
              </w:rPr>
              <w:footnoteReference w:id="9"/>
            </w:r>
            <w:bookmarkEnd w:id="17"/>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39</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79C22C84" w14:textId="07EE77AF" w:rsidR="003A67B1" w:rsidRPr="00781112" w:rsidRDefault="00B02B88" w:rsidP="003A67B1">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_Ref141113072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7</w:t>
            </w:r>
            <w:r>
              <w:rPr>
                <w:rFonts w:cs="Arial"/>
                <w:color w:val="000000" w:themeColor="text1"/>
                <w:szCs w:val="16"/>
              </w:rPr>
              <w:fldChar w:fldCharType="end"/>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02F34315" w:rsidR="004F4016" w:rsidRPr="00781112" w:rsidRDefault="0047313F" w:rsidP="0036112A">
      <w:pPr>
        <w:spacing w:before="0" w:after="0" w:line="276" w:lineRule="auto"/>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3</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40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42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91.11%</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91.50%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95.24%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56</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56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96.00%</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96.00%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4F189C2C" w:rsidR="00892DD7" w:rsidRPr="00781112" w:rsidRDefault="00B02B88" w:rsidP="00892DD7">
            <w:pPr>
              <w:jc w:val="center"/>
              <w:rPr>
                <w:rFonts w:cs="Arial"/>
                <w:color w:val="000000" w:themeColor="text1"/>
                <w:szCs w:val="16"/>
              </w:rPr>
            </w:pPr>
            <w:r>
              <w:rPr>
                <w:rFonts w:cs="Arial"/>
                <w:color w:val="000000"/>
                <w:szCs w:val="16"/>
              </w:rPr>
              <w:t>x</w:t>
            </w:r>
            <w:r w:rsidR="0036112A">
              <w:fldChar w:fldCharType="begin"/>
            </w:r>
            <w:r w:rsidR="0036112A">
              <w:rPr>
                <w:rFonts w:cs="Arial"/>
                <w:color w:val="000000"/>
                <w:szCs w:val="16"/>
              </w:rPr>
              <w:instrText xml:space="preserve"> NOTEREF _Ref141113072 \f \h </w:instrText>
            </w:r>
            <w:r w:rsidR="0036112A">
              <w:fldChar w:fldCharType="separate"/>
            </w:r>
            <w:r w:rsidR="0036112A" w:rsidRPr="0036112A">
              <w:rPr>
                <w:rStyle w:val="FootnoteReference"/>
              </w:rPr>
              <w:t>7</w:t>
            </w:r>
            <w:r w:rsidR="0036112A">
              <w:fldChar w:fldCharType="end"/>
            </w:r>
          </w:p>
        </w:tc>
        <w:tc>
          <w:tcPr>
            <w:tcW w:w="918" w:type="pct"/>
            <w:shd w:val="clear" w:color="auto" w:fill="auto"/>
            <w:vAlign w:val="center"/>
          </w:tcPr>
          <w:p w14:paraId="7C38F4A3" w14:textId="7E0AF31D" w:rsidR="00892DD7" w:rsidRPr="00781112" w:rsidRDefault="00B02B88" w:rsidP="00892DD7">
            <w:pPr>
              <w:jc w:val="center"/>
              <w:rPr>
                <w:rFonts w:cs="Arial"/>
                <w:color w:val="000000" w:themeColor="text1"/>
                <w:szCs w:val="16"/>
              </w:rPr>
            </w:pPr>
            <w:r>
              <w:rPr>
                <w:rFonts w:cs="Arial"/>
                <w:color w:val="000000" w:themeColor="text1"/>
                <w:szCs w:val="16"/>
              </w:rPr>
              <w:t>x</w:t>
            </w:r>
            <w:r w:rsidR="0036112A">
              <w:fldChar w:fldCharType="begin"/>
            </w:r>
            <w:r w:rsidR="0036112A">
              <w:rPr>
                <w:rFonts w:cs="Arial"/>
                <w:color w:val="000000"/>
                <w:szCs w:val="16"/>
              </w:rPr>
              <w:instrText xml:space="preserve"> NOTEREF _Ref141113072 \f \h </w:instrText>
            </w:r>
            <w:r w:rsidR="0036112A">
              <w:fldChar w:fldCharType="separate"/>
            </w:r>
            <w:r w:rsidR="0036112A" w:rsidRPr="0036112A">
              <w:rPr>
                <w:rStyle w:val="FootnoteReference"/>
              </w:rPr>
              <w:t>7</w:t>
            </w:r>
            <w:r w:rsidR="0036112A">
              <w:fldChar w:fldCharType="end"/>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81.13%</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90.00%</w:t>
            </w:r>
          </w:p>
        </w:tc>
        <w:tc>
          <w:tcPr>
            <w:tcW w:w="467" w:type="pct"/>
            <w:shd w:val="clear" w:color="auto" w:fill="auto"/>
            <w:vAlign w:val="center"/>
          </w:tcPr>
          <w:p w14:paraId="1760C9A2" w14:textId="5B947245" w:rsidR="00892DD7" w:rsidRPr="00781112" w:rsidRDefault="00B02B88" w:rsidP="00892DD7">
            <w:pPr>
              <w:jc w:val="center"/>
              <w:rPr>
                <w:rFonts w:cs="Arial"/>
                <w:color w:val="000000" w:themeColor="text1"/>
                <w:szCs w:val="16"/>
              </w:rPr>
            </w:pPr>
            <w:r>
              <w:rPr>
                <w:rFonts w:cs="Arial"/>
                <w:color w:val="000000" w:themeColor="text1"/>
                <w:szCs w:val="16"/>
              </w:rPr>
              <w:t>x</w:t>
            </w:r>
            <w:r w:rsidR="0036112A">
              <w:fldChar w:fldCharType="begin"/>
            </w:r>
            <w:r w:rsidR="0036112A">
              <w:rPr>
                <w:rFonts w:cs="Arial"/>
                <w:color w:val="000000"/>
                <w:szCs w:val="16"/>
              </w:rPr>
              <w:instrText xml:space="preserve"> NOTEREF _Ref141113072 \f \h </w:instrText>
            </w:r>
            <w:r w:rsidR="0036112A">
              <w:fldChar w:fldCharType="separate"/>
            </w:r>
            <w:r w:rsidR="0036112A" w:rsidRPr="0036112A">
              <w:rPr>
                <w:rStyle w:val="FootnoteReference"/>
              </w:rPr>
              <w:t>7</w:t>
            </w:r>
            <w:r w:rsidR="0036112A">
              <w:fldChar w:fldCharType="end"/>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280DB513" w14:textId="77777777" w:rsidR="0036112A" w:rsidRDefault="0036112A">
      <w:pPr>
        <w:spacing w:before="0" w:after="200" w:line="276" w:lineRule="auto"/>
        <w:rPr>
          <w:b/>
          <w:color w:val="000000" w:themeColor="text1"/>
        </w:rPr>
      </w:pPr>
      <w:r>
        <w:rPr>
          <w:b/>
          <w:color w:val="000000" w:themeColor="text1"/>
        </w:rPr>
        <w:lastRenderedPageBreak/>
        <w:br w:type="page"/>
      </w:r>
    </w:p>
    <w:p w14:paraId="68F24FCA" w14:textId="10A51470" w:rsidR="00F17D5E" w:rsidRPr="00781112" w:rsidRDefault="0047313F" w:rsidP="00F17D5E">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3</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40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42</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91.11%</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91.50%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95.24%</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56</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56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96.00%</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96.00%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69A1F34E" w:rsidR="002C43CF" w:rsidRPr="00781112" w:rsidRDefault="00B02B88" w:rsidP="002C43CF">
            <w:pPr>
              <w:jc w:val="center"/>
              <w:rPr>
                <w:rFonts w:cs="Arial"/>
                <w:color w:val="000000" w:themeColor="text1"/>
                <w:szCs w:val="16"/>
              </w:rPr>
            </w:pPr>
            <w:r>
              <w:rPr>
                <w:rFonts w:cs="Arial"/>
                <w:color w:val="000000" w:themeColor="text1"/>
                <w:szCs w:val="16"/>
              </w:rPr>
              <w:t>x</w:t>
            </w:r>
            <w:bookmarkStart w:id="18" w:name="_Ref141693887"/>
            <w:r w:rsidR="0036112A">
              <w:rPr>
                <w:rStyle w:val="FootnoteReference"/>
                <w:rFonts w:cs="Arial"/>
                <w:color w:val="000000"/>
                <w:szCs w:val="16"/>
              </w:rPr>
              <w:footnoteReference w:id="10"/>
            </w:r>
            <w:bookmarkEnd w:id="18"/>
          </w:p>
        </w:tc>
        <w:tc>
          <w:tcPr>
            <w:tcW w:w="908" w:type="pct"/>
            <w:shd w:val="clear" w:color="auto" w:fill="auto"/>
            <w:vAlign w:val="center"/>
          </w:tcPr>
          <w:p w14:paraId="6B5854E5" w14:textId="72901B26" w:rsidR="002C43CF" w:rsidRPr="00781112" w:rsidRDefault="00B02B88" w:rsidP="002C43CF">
            <w:pPr>
              <w:jc w:val="center"/>
              <w:rPr>
                <w:rFonts w:cs="Arial"/>
                <w:color w:val="000000" w:themeColor="text1"/>
                <w:szCs w:val="16"/>
              </w:rPr>
            </w:pPr>
            <w:r>
              <w:rPr>
                <w:rFonts w:cs="Arial"/>
                <w:color w:val="000000" w:themeColor="text1"/>
                <w:szCs w:val="16"/>
              </w:rPr>
              <w:t>x</w:t>
            </w:r>
            <w:r w:rsidR="0036112A">
              <w:rPr>
                <w:rFonts w:cs="Arial"/>
                <w:color w:val="000000" w:themeColor="text1"/>
                <w:szCs w:val="16"/>
              </w:rPr>
              <w:fldChar w:fldCharType="begin"/>
            </w:r>
            <w:r w:rsidR="0036112A">
              <w:rPr>
                <w:rFonts w:cs="Arial"/>
                <w:color w:val="000000" w:themeColor="text1"/>
                <w:szCs w:val="16"/>
              </w:rPr>
              <w:instrText xml:space="preserve"> NOTEREF _Ref141693887 \f \h </w:instrText>
            </w:r>
            <w:r w:rsidR="0036112A">
              <w:rPr>
                <w:rFonts w:cs="Arial"/>
                <w:color w:val="000000" w:themeColor="text1"/>
                <w:szCs w:val="16"/>
              </w:rPr>
            </w:r>
            <w:r w:rsidR="0036112A">
              <w:rPr>
                <w:rFonts w:cs="Arial"/>
                <w:color w:val="000000" w:themeColor="text1"/>
                <w:szCs w:val="16"/>
              </w:rPr>
              <w:fldChar w:fldCharType="separate"/>
            </w:r>
            <w:r w:rsidR="0036112A" w:rsidRPr="0036112A">
              <w:rPr>
                <w:rStyle w:val="FootnoteReference"/>
              </w:rPr>
              <w:t>8</w:t>
            </w:r>
            <w:r w:rsidR="0036112A">
              <w:rPr>
                <w:rFonts w:cs="Arial"/>
                <w:color w:val="000000" w:themeColor="text1"/>
                <w:szCs w:val="16"/>
              </w:rPr>
              <w:fldChar w:fldCharType="end"/>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2FA08635" w:rsidR="002C43CF" w:rsidRPr="00781112" w:rsidRDefault="00B02B88" w:rsidP="002C43CF">
            <w:pPr>
              <w:jc w:val="center"/>
              <w:rPr>
                <w:rFonts w:cs="Arial"/>
                <w:color w:val="000000" w:themeColor="text1"/>
                <w:szCs w:val="16"/>
              </w:rPr>
            </w:pPr>
            <w:r>
              <w:rPr>
                <w:rFonts w:cs="Arial"/>
                <w:color w:val="000000" w:themeColor="text1"/>
                <w:szCs w:val="16"/>
              </w:rPr>
              <w:t>x</w:t>
            </w:r>
            <w:r w:rsidR="0036112A">
              <w:rPr>
                <w:rFonts w:cs="Arial"/>
                <w:color w:val="000000" w:themeColor="text1"/>
                <w:szCs w:val="16"/>
              </w:rPr>
              <w:fldChar w:fldCharType="begin"/>
            </w:r>
            <w:r w:rsidR="0036112A">
              <w:rPr>
                <w:rFonts w:cs="Arial"/>
                <w:color w:val="000000" w:themeColor="text1"/>
                <w:szCs w:val="16"/>
              </w:rPr>
              <w:instrText xml:space="preserve"> NOTEREF _Ref141693887 \f \h </w:instrText>
            </w:r>
            <w:r w:rsidR="0036112A">
              <w:rPr>
                <w:rFonts w:cs="Arial"/>
                <w:color w:val="000000" w:themeColor="text1"/>
                <w:szCs w:val="16"/>
              </w:rPr>
            </w:r>
            <w:r w:rsidR="0036112A">
              <w:rPr>
                <w:rFonts w:cs="Arial"/>
                <w:color w:val="000000" w:themeColor="text1"/>
                <w:szCs w:val="16"/>
              </w:rPr>
              <w:fldChar w:fldCharType="separate"/>
            </w:r>
            <w:r w:rsidR="0036112A" w:rsidRPr="0036112A">
              <w:rPr>
                <w:rStyle w:val="FootnoteReference"/>
              </w:rPr>
              <w:t>8</w:t>
            </w:r>
            <w:r w:rsidR="0036112A">
              <w:rPr>
                <w:rFonts w:cs="Arial"/>
                <w:color w:val="000000" w:themeColor="text1"/>
                <w:szCs w:val="16"/>
              </w:rPr>
              <w:fldChar w:fldCharType="end"/>
            </w:r>
          </w:p>
        </w:tc>
        <w:tc>
          <w:tcPr>
            <w:tcW w:w="468" w:type="pct"/>
            <w:shd w:val="clear" w:color="auto" w:fill="auto"/>
            <w:vAlign w:val="center"/>
          </w:tcPr>
          <w:p w14:paraId="3A8A2153" w14:textId="67199D85" w:rsidR="002C43CF" w:rsidRPr="00781112" w:rsidRDefault="00B02B88" w:rsidP="002C43CF">
            <w:pPr>
              <w:jc w:val="center"/>
              <w:rPr>
                <w:rFonts w:cs="Arial"/>
                <w:color w:val="000000" w:themeColor="text1"/>
                <w:szCs w:val="16"/>
              </w:rPr>
            </w:pPr>
            <w:r>
              <w:rPr>
                <w:rFonts w:cs="Arial"/>
                <w:color w:val="000000" w:themeColor="text1"/>
                <w:szCs w:val="16"/>
              </w:rPr>
              <w:t>x</w:t>
            </w:r>
            <w:r w:rsidR="0036112A">
              <w:rPr>
                <w:rFonts w:cs="Arial"/>
                <w:color w:val="000000" w:themeColor="text1"/>
                <w:szCs w:val="16"/>
              </w:rPr>
              <w:fldChar w:fldCharType="begin"/>
            </w:r>
            <w:r w:rsidR="0036112A">
              <w:rPr>
                <w:rFonts w:cs="Arial"/>
                <w:color w:val="000000" w:themeColor="text1"/>
                <w:szCs w:val="16"/>
              </w:rPr>
              <w:instrText xml:space="preserve"> NOTEREF _Ref141693887 \f \h </w:instrText>
            </w:r>
            <w:r w:rsidR="0036112A">
              <w:rPr>
                <w:rFonts w:cs="Arial"/>
                <w:color w:val="000000" w:themeColor="text1"/>
                <w:szCs w:val="16"/>
              </w:rPr>
            </w:r>
            <w:r w:rsidR="0036112A">
              <w:rPr>
                <w:rFonts w:cs="Arial"/>
                <w:color w:val="000000" w:themeColor="text1"/>
                <w:szCs w:val="16"/>
              </w:rPr>
              <w:fldChar w:fldCharType="separate"/>
            </w:r>
            <w:r w:rsidR="0036112A" w:rsidRPr="0036112A">
              <w:rPr>
                <w:rStyle w:val="FootnoteReference"/>
              </w:rPr>
              <w:t>8</w:t>
            </w:r>
            <w:r w:rsidR="0036112A">
              <w:rPr>
                <w:rFonts w:cs="Arial"/>
                <w:color w:val="000000" w:themeColor="text1"/>
                <w:szCs w:val="16"/>
              </w:rPr>
              <w:fldChar w:fldCharType="end"/>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https://drive.google.com/drive/folders/1WXnsh8zUfRXQMAiP18ggZR5-YX9j_dwg</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663D5F8C" w:rsidR="00A134AA" w:rsidRPr="00781112" w:rsidRDefault="00A134AA" w:rsidP="00A134AA">
      <w:pPr>
        <w:rPr>
          <w:rFonts w:cs="Arial"/>
          <w:color w:val="000000" w:themeColor="text1"/>
          <w:szCs w:val="16"/>
        </w:rPr>
      </w:pPr>
      <w:r w:rsidRPr="00781112">
        <w:rPr>
          <w:rFonts w:cs="Arial"/>
          <w:color w:val="000000" w:themeColor="text1"/>
          <w:szCs w:val="16"/>
        </w:rPr>
        <w:t xml:space="preserve">RMI did not assess High School students in FFY 2020, when stakeholders provided input on targets for all other grades (reading and math). Therefore, FFY 2021 is the new baseline. Because the baseline is </w:t>
      </w:r>
      <w:r w:rsidR="005C3392">
        <w:rPr>
          <w:rFonts w:cs="Arial"/>
          <w:color w:val="000000" w:themeColor="text1"/>
          <w:szCs w:val="16"/>
        </w:rPr>
        <w:t>x</w:t>
      </w:r>
      <w:r w:rsidRPr="00781112">
        <w:rPr>
          <w:rFonts w:cs="Arial"/>
          <w:color w:val="000000" w:themeColor="text1"/>
          <w:szCs w:val="16"/>
        </w:rPr>
        <w:t>%</w:t>
      </w:r>
      <w:r w:rsidR="00317CD4">
        <w:rPr>
          <w:rStyle w:val="FootnoteReference"/>
        </w:rPr>
        <w:t>9</w:t>
      </w:r>
      <w:r w:rsidRPr="00781112">
        <w:rPr>
          <w:rFonts w:cs="Arial"/>
          <w:color w:val="000000" w:themeColor="text1"/>
          <w:szCs w:val="16"/>
        </w:rPr>
        <w:t xml:space="preserve">, and the FFY 2025 targets needs to be higher than the baseline, the targets for math assessments, for High School were set at 100%.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OSEP's response to RMI's FFY 2019 SPP/APR required RMI to provide OSEP with a Web link that demonstrates that it has reported, for FFY 2019, to the public, on the statewide assessments of children with disabilities in accordance with 34 C.F.R. § 300.160(f). RMI provided the required information.</w:t>
      </w:r>
      <w:r w:rsidRPr="00781112">
        <w:rPr>
          <w:rFonts w:cs="Arial"/>
          <w:color w:val="000000" w:themeColor="text1"/>
          <w:szCs w:val="16"/>
        </w:rPr>
        <w:br/>
      </w:r>
      <w:r w:rsidRPr="00781112">
        <w:rPr>
          <w:rFonts w:cs="Arial"/>
          <w:color w:val="000000" w:themeColor="text1"/>
          <w:szCs w:val="16"/>
        </w:rPr>
        <w:br/>
        <w:t>Within 90 days of the receipt of RMI's 2022 determination letter, RMI must provide to OSEP a Web link that demonstrates that it has reported, for FFY 2020, to the public, on the statewide assessments of children with disabilities in accordance with 34 C.F.R. § 300.160(f). In addition, OSEP reminds RMI that in the FFY 2021 SPP/APR, RMI must include a Web link that demonstrates compliance with 34 C.F.R. § 300.160(f) for FFY 2021.</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Republic of the Marshall Islands has revised the baseline for this indicator for High School Math by providing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Republic of the Marshall Islands added targets for High School Math Assessments for FFY 2021 through FFY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3"/>
      <w:bookmarkEnd w:id="14"/>
    </w:p>
    <w:p w14:paraId="66C662B8" w14:textId="77777777" w:rsidR="007C3C89" w:rsidRPr="00781112" w:rsidRDefault="007C3C89" w:rsidP="00A018D4">
      <w:pPr>
        <w:rPr>
          <w:color w:val="000000" w:themeColor="text1"/>
          <w:szCs w:val="20"/>
        </w:rPr>
      </w:pPr>
      <w:bookmarkStart w:id="19"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9"/>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21.95%</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8.33%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6.98%</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24.39%</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8.33%</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6C96CFB" w14:textId="4E47BF4F" w:rsidR="00E87854" w:rsidRPr="00781112" w:rsidRDefault="00B04DC7" w:rsidP="00827FF4">
            <w:pPr>
              <w:spacing w:before="0" w:after="0"/>
              <w:jc w:val="center"/>
              <w:rPr>
                <w:rFonts w:cs="Arial"/>
                <w:color w:val="000000" w:themeColor="text1"/>
                <w:szCs w:val="16"/>
              </w:rPr>
            </w:pPr>
            <w:r>
              <w:rPr>
                <w:rFonts w:cs="Arial"/>
                <w:color w:val="000000" w:themeColor="text1"/>
                <w:szCs w:val="16"/>
              </w:rPr>
              <w:t>x</w:t>
            </w:r>
            <w:bookmarkStart w:id="20" w:name="_Ref141250905"/>
            <w:r w:rsidR="00CC0B83">
              <w:rPr>
                <w:rStyle w:val="FootnoteReference"/>
                <w:rFonts w:cs="Arial"/>
                <w:color w:val="000000" w:themeColor="text1"/>
                <w:szCs w:val="16"/>
              </w:rPr>
              <w:footnoteReference w:id="11"/>
            </w:r>
            <w:bookmarkEnd w:id="20"/>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3</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22.00%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22.50%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23.50%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24.00%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8.50%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9.50%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10.50%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7.50%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8.50%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3</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24.50%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25.50%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26.00%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26.50%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8.50%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9.50%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10.50%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588A59D3" w:rsidR="00B14519" w:rsidRPr="00781112" w:rsidRDefault="00CC0B83" w:rsidP="004E5C74">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_Ref141250905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9</w:t>
            </w:r>
            <w:r>
              <w:rPr>
                <w:rFonts w:cs="Arial"/>
                <w:color w:val="000000" w:themeColor="text1"/>
                <w:szCs w:val="16"/>
              </w:rPr>
              <w:fldChar w:fldCharType="end"/>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2.00%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w:t>
      </w:r>
      <w:r w:rsidRPr="00781112">
        <w:rPr>
          <w:rFonts w:cs="Arial"/>
          <w:color w:val="000000" w:themeColor="text1"/>
          <w:szCs w:val="16"/>
        </w:rPr>
        <w:lastRenderedPageBreak/>
        <w:t xml:space="preserve">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2C104549" w14:textId="3F65576A" w:rsidR="002D145D" w:rsidRPr="00781112" w:rsidRDefault="002B7490" w:rsidP="002D145D">
      <w:pPr>
        <w:rPr>
          <w:rFonts w:cs="Arial"/>
          <w:color w:val="000000" w:themeColor="text1"/>
          <w:szCs w:val="16"/>
        </w:rPr>
      </w:pPr>
      <w:r w:rsidRPr="00781112">
        <w:rPr>
          <w:rFonts w:cs="Arial"/>
          <w:color w:val="000000" w:themeColor="text1"/>
          <w:szCs w:val="16"/>
        </w:rPr>
        <w:t xml:space="preserve">RMI did not assess Mathematics for High School students in FFY 2020. In FFY 2020 stakeholders provided input on targets for all other grades (reading and math). Therefore, FFY 2021 is the new baseline for Math assessments for High School students. Because the baseline is </w:t>
      </w:r>
      <w:r w:rsidR="00E7740C">
        <w:rPr>
          <w:rFonts w:cs="Arial"/>
          <w:color w:val="000000" w:themeColor="text1"/>
          <w:szCs w:val="16"/>
        </w:rPr>
        <w:t>x</w:t>
      </w:r>
      <w:r w:rsidRPr="00781112">
        <w:rPr>
          <w:rFonts w:cs="Arial"/>
          <w:color w:val="000000" w:themeColor="text1"/>
          <w:szCs w:val="16"/>
        </w:rPr>
        <w:t>%</w:t>
      </w:r>
      <w:r w:rsidR="00AE18EF">
        <w:rPr>
          <w:rStyle w:val="FootnoteReference"/>
          <w:rFonts w:cs="Arial"/>
          <w:color w:val="000000" w:themeColor="text1"/>
          <w:szCs w:val="16"/>
        </w:rPr>
        <w:footnoteReference w:id="12"/>
      </w:r>
      <w:r w:rsidRPr="00781112">
        <w:rPr>
          <w:rFonts w:cs="Arial"/>
          <w:color w:val="000000" w:themeColor="text1"/>
          <w:szCs w:val="16"/>
        </w:rPr>
        <w:t>, stakeholders agreed to targets representing incremental increase in performance leading to a performance of 8% in FFY 2025.</w:t>
      </w:r>
    </w:p>
    <w:p w14:paraId="2446B7C2" w14:textId="77777777" w:rsidR="00F20369" w:rsidRPr="00781112" w:rsidRDefault="00F20369" w:rsidP="004369B2">
      <w:pPr>
        <w:rPr>
          <w:color w:val="000000" w:themeColor="text1"/>
        </w:rPr>
      </w:pPr>
      <w:bookmarkStart w:id="21"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3</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40</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3DEFF8FC" w:rsidR="003B0C91" w:rsidRPr="00781112" w:rsidRDefault="00B04DC7" w:rsidP="00360DD6">
            <w:pPr>
              <w:jc w:val="center"/>
              <w:rPr>
                <w:rFonts w:cs="Arial"/>
                <w:color w:val="000000" w:themeColor="text1"/>
                <w:szCs w:val="16"/>
              </w:rPr>
            </w:pPr>
            <w:r>
              <w:rPr>
                <w:rFonts w:cs="Arial"/>
                <w:color w:val="000000" w:themeColor="text1"/>
                <w:szCs w:val="16"/>
              </w:rPr>
              <w:t>x</w:t>
            </w:r>
            <w:bookmarkStart w:id="22" w:name="_Ref141250942"/>
            <w:r w:rsidR="00CC0B83">
              <w:rPr>
                <w:rStyle w:val="FootnoteReference"/>
                <w:rFonts w:cs="Arial"/>
                <w:color w:val="000000" w:themeColor="text1"/>
                <w:szCs w:val="16"/>
              </w:rPr>
              <w:footnoteReference w:id="13"/>
            </w:r>
            <w:bookmarkEnd w:id="22"/>
          </w:p>
        </w:tc>
        <w:tc>
          <w:tcPr>
            <w:tcW w:w="1292" w:type="pct"/>
            <w:shd w:val="clear" w:color="auto" w:fill="auto"/>
            <w:vAlign w:val="center"/>
          </w:tcPr>
          <w:p w14:paraId="74B7B6E9" w14:textId="238BCB06" w:rsidR="003B0C91" w:rsidRPr="00781112" w:rsidRDefault="00CC0B8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c>
          <w:tcPr>
            <w:tcW w:w="1292" w:type="pct"/>
            <w:shd w:val="clear" w:color="auto" w:fill="auto"/>
            <w:vAlign w:val="center"/>
          </w:tcPr>
          <w:p w14:paraId="46F10147" w14:textId="0B11214C" w:rsidR="003B0C91" w:rsidRPr="00781112" w:rsidRDefault="00CC0B8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w:t>
            </w:r>
          </w:p>
        </w:tc>
        <w:tc>
          <w:tcPr>
            <w:tcW w:w="1292" w:type="pct"/>
            <w:shd w:val="clear" w:color="auto" w:fill="auto"/>
            <w:vAlign w:val="center"/>
          </w:tcPr>
          <w:p w14:paraId="47F69679" w14:textId="78DF9A9F" w:rsidR="003B0C91" w:rsidRPr="00781112" w:rsidRDefault="00CC0B8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c>
          <w:tcPr>
            <w:tcW w:w="1292" w:type="pct"/>
            <w:shd w:val="clear" w:color="auto" w:fill="auto"/>
            <w:vAlign w:val="center"/>
          </w:tcPr>
          <w:p w14:paraId="59F768C9" w14:textId="4F8B58E5" w:rsidR="003B0C91" w:rsidRPr="00781112" w:rsidRDefault="00CC0B8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3</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56</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39</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79F5446D" w:rsidR="00EB6900" w:rsidRPr="00781112" w:rsidRDefault="00CC0B8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c>
          <w:tcPr>
            <w:tcW w:w="1292" w:type="pct"/>
            <w:shd w:val="clear" w:color="auto" w:fill="auto"/>
            <w:vAlign w:val="center"/>
          </w:tcPr>
          <w:p w14:paraId="0501C27C" w14:textId="5ED63F0D" w:rsidR="00EB6900" w:rsidRPr="00781112" w:rsidRDefault="00CC0B8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c>
          <w:tcPr>
            <w:tcW w:w="1292" w:type="pct"/>
            <w:shd w:val="clear" w:color="auto" w:fill="auto"/>
            <w:vAlign w:val="center"/>
          </w:tcPr>
          <w:p w14:paraId="2F8ECC6A" w14:textId="46AD0BAA" w:rsidR="00EB6900" w:rsidRPr="00781112" w:rsidRDefault="00CC0B8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8</w:t>
            </w:r>
          </w:p>
        </w:tc>
        <w:tc>
          <w:tcPr>
            <w:tcW w:w="1292" w:type="pct"/>
            <w:shd w:val="clear" w:color="auto" w:fill="auto"/>
            <w:vAlign w:val="center"/>
          </w:tcPr>
          <w:p w14:paraId="3148F449" w14:textId="1BEE6E4D" w:rsidR="00EB6900" w:rsidRPr="00781112" w:rsidRDefault="00CC0B8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c>
          <w:tcPr>
            <w:tcW w:w="1292" w:type="pct"/>
            <w:shd w:val="clear" w:color="auto" w:fill="auto"/>
            <w:vAlign w:val="center"/>
          </w:tcPr>
          <w:p w14:paraId="56D05BB3" w14:textId="146D088E" w:rsidR="00EB6900" w:rsidRPr="00781112" w:rsidRDefault="00CC0B8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r>
      <w:bookmarkEnd w:id="21"/>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3</w:t>
            </w:r>
          </w:p>
        </w:tc>
        <w:tc>
          <w:tcPr>
            <w:tcW w:w="939" w:type="pct"/>
            <w:shd w:val="clear" w:color="auto" w:fill="auto"/>
            <w:vAlign w:val="center"/>
          </w:tcPr>
          <w:p w14:paraId="0D75EC1C" w14:textId="02C7E781" w:rsidR="00AD0E97" w:rsidRPr="00781112" w:rsidRDefault="00CC0B8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40</w:t>
            </w:r>
          </w:p>
        </w:tc>
        <w:tc>
          <w:tcPr>
            <w:tcW w:w="503" w:type="pct"/>
            <w:shd w:val="clear" w:color="auto" w:fill="auto"/>
            <w:vAlign w:val="center"/>
          </w:tcPr>
          <w:p w14:paraId="69FD37B5" w14:textId="558015DD" w:rsidR="00AD0E97" w:rsidRPr="00781112" w:rsidRDefault="00CC0B8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22.00%</w:t>
            </w:r>
          </w:p>
        </w:tc>
        <w:tc>
          <w:tcPr>
            <w:tcW w:w="503" w:type="pct"/>
            <w:shd w:val="clear" w:color="auto" w:fill="auto"/>
            <w:vAlign w:val="center"/>
          </w:tcPr>
          <w:p w14:paraId="120D94C1" w14:textId="2B3B8010" w:rsidR="00AD0E97" w:rsidRPr="00781112" w:rsidRDefault="00CC0B8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_Ref141250942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10</w:t>
            </w:r>
            <w:r>
              <w:rPr>
                <w:rFonts w:cs="Arial"/>
                <w:color w:val="000000" w:themeColor="text1"/>
                <w:szCs w:val="16"/>
              </w:rPr>
              <w:fldChar w:fldCharType="end"/>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79892BA5" w:rsidR="00AD0E97" w:rsidRPr="00781112" w:rsidRDefault="00B04DC7" w:rsidP="00AD0E97">
            <w:pPr>
              <w:jc w:val="center"/>
              <w:rPr>
                <w:rFonts w:cs="Arial"/>
                <w:color w:val="000000" w:themeColor="text1"/>
                <w:szCs w:val="16"/>
              </w:rPr>
            </w:pPr>
            <w:r>
              <w:rPr>
                <w:rFonts w:cs="Arial"/>
                <w:color w:val="000000" w:themeColor="text1"/>
                <w:szCs w:val="16"/>
              </w:rPr>
              <w:t>x</w:t>
            </w:r>
            <w:bookmarkStart w:id="23" w:name="_Ref141251011"/>
            <w:r w:rsidR="00CC0B83">
              <w:rPr>
                <w:rStyle w:val="FootnoteReference"/>
                <w:rFonts w:cs="Arial"/>
                <w:color w:val="000000" w:themeColor="text1"/>
                <w:szCs w:val="16"/>
              </w:rPr>
              <w:footnoteReference w:id="14"/>
            </w:r>
            <w:bookmarkEnd w:id="23"/>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56</w:t>
            </w:r>
          </w:p>
        </w:tc>
        <w:tc>
          <w:tcPr>
            <w:tcW w:w="503" w:type="pct"/>
            <w:shd w:val="clear" w:color="auto" w:fill="auto"/>
            <w:vAlign w:val="center"/>
          </w:tcPr>
          <w:p w14:paraId="3FB80D14" w14:textId="115865D2" w:rsidR="00AD0E97" w:rsidRPr="00781112" w:rsidRDefault="00CC0B8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8.50%</w:t>
            </w:r>
          </w:p>
        </w:tc>
        <w:tc>
          <w:tcPr>
            <w:tcW w:w="503" w:type="pct"/>
            <w:shd w:val="clear" w:color="auto" w:fill="auto"/>
            <w:vAlign w:val="center"/>
          </w:tcPr>
          <w:p w14:paraId="65C7EB9E" w14:textId="42C71170" w:rsidR="00AD0E97" w:rsidRPr="00781112" w:rsidRDefault="00CC0B8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702EDB30" w:rsidR="00AD0E97" w:rsidRPr="00781112" w:rsidRDefault="00CC0B8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39</w:t>
            </w:r>
          </w:p>
        </w:tc>
        <w:tc>
          <w:tcPr>
            <w:tcW w:w="503" w:type="pct"/>
            <w:shd w:val="clear" w:color="auto" w:fill="auto"/>
            <w:vAlign w:val="center"/>
          </w:tcPr>
          <w:p w14:paraId="039885F2" w14:textId="7DCAB855" w:rsidR="00AD0E97" w:rsidRPr="00781112" w:rsidRDefault="00CC0B8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7.00%</w:t>
            </w:r>
          </w:p>
        </w:tc>
        <w:tc>
          <w:tcPr>
            <w:tcW w:w="503" w:type="pct"/>
            <w:shd w:val="clear" w:color="auto" w:fill="auto"/>
            <w:vAlign w:val="center"/>
          </w:tcPr>
          <w:p w14:paraId="68757684" w14:textId="78245EDB" w:rsidR="00AD0E97" w:rsidRPr="00781112" w:rsidRDefault="00CC0B8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76631636" w14:textId="7429D556" w:rsidR="00C04118" w:rsidRPr="00781112" w:rsidRDefault="00C04118" w:rsidP="00C04118">
      <w:pPr>
        <w:rPr>
          <w:b/>
          <w:color w:val="000000" w:themeColor="text1"/>
        </w:rPr>
      </w:pPr>
      <w:r w:rsidRPr="00781112">
        <w:rPr>
          <w:b/>
          <w:color w:val="000000" w:themeColor="text1"/>
        </w:rPr>
        <w:t>Provide reasons for slippage for Group A, if applicable</w:t>
      </w:r>
    </w:p>
    <w:p w14:paraId="5258161E" w14:textId="43B991B5" w:rsidR="00C04118" w:rsidRPr="00781112" w:rsidRDefault="00C04118" w:rsidP="00C04118">
      <w:pPr>
        <w:rPr>
          <w:rFonts w:cs="Arial"/>
          <w:color w:val="000000" w:themeColor="text1"/>
          <w:szCs w:val="16"/>
        </w:rPr>
      </w:pPr>
      <w:r w:rsidRPr="00781112">
        <w:rPr>
          <w:rFonts w:cs="Arial"/>
          <w:color w:val="000000" w:themeColor="text1"/>
          <w:szCs w:val="16"/>
        </w:rPr>
        <w:t xml:space="preserve">During FFY 2021, the RMI was impacted by COVID19. COVID hit the RMI starting in early March. Although participation rates on assessments were very high in FFY 2021, the RMI preparations for dealing with the approaching COVID were a distraction for administrators, teachers, students, and families. This could have been a potential impact on the performance of students with disabilities </w:t>
      </w:r>
      <w:proofErr w:type="gramStart"/>
      <w:r w:rsidRPr="00781112">
        <w:rPr>
          <w:rFonts w:cs="Arial"/>
          <w:color w:val="000000" w:themeColor="text1"/>
          <w:szCs w:val="16"/>
        </w:rPr>
        <w:t>in particular in</w:t>
      </w:r>
      <w:proofErr w:type="gramEnd"/>
      <w:r w:rsidRPr="00781112">
        <w:rPr>
          <w:rFonts w:cs="Arial"/>
          <w:color w:val="000000" w:themeColor="text1"/>
          <w:szCs w:val="16"/>
        </w:rPr>
        <w:t xml:space="preserve"> the MISAT (statewide assessments). </w:t>
      </w:r>
    </w:p>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 xml:space="preserve">During FFY 2021, the RMI was impacted by COVID19. COVID hit the RMI starting in early March. Although participation rates on assessments were very high in FFY 2021, the RMI preparations for dealing with the approaching COVID were a distraction for administrators, teachers, students, and families. This could have been a potential impact on the performance of students with disabilities </w:t>
      </w:r>
      <w:proofErr w:type="gramStart"/>
      <w:r w:rsidRPr="00781112">
        <w:rPr>
          <w:rFonts w:cs="Arial"/>
          <w:color w:val="000000" w:themeColor="text1"/>
          <w:szCs w:val="16"/>
        </w:rPr>
        <w:t>in particular in</w:t>
      </w:r>
      <w:proofErr w:type="gramEnd"/>
      <w:r w:rsidRPr="00781112">
        <w:rPr>
          <w:rFonts w:cs="Arial"/>
          <w:color w:val="000000" w:themeColor="text1"/>
          <w:szCs w:val="16"/>
        </w:rPr>
        <w:t xml:space="preserve"> the MISAT (statewide assessments). </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 xml:space="preserve">During FFY 2021, the RMI was impacted by COVID19. COVID hit the RMI starting in early March. Although participation rates on assessments were very high in FFY 2021, the RMI preparations for dealing with the approaching COVID were a distraction for administrators, teachers, students, and families. This could have been a potential impact on the performance of students with disabilities </w:t>
      </w:r>
      <w:proofErr w:type="gramStart"/>
      <w:r w:rsidRPr="00781112">
        <w:rPr>
          <w:rFonts w:cs="Arial"/>
          <w:color w:val="000000" w:themeColor="text1"/>
          <w:szCs w:val="16"/>
        </w:rPr>
        <w:t>in particular in</w:t>
      </w:r>
      <w:proofErr w:type="gramEnd"/>
      <w:r w:rsidRPr="00781112">
        <w:rPr>
          <w:rFonts w:cs="Arial"/>
          <w:color w:val="000000" w:themeColor="text1"/>
          <w:szCs w:val="16"/>
        </w:rPr>
        <w:t xml:space="preserve"> the MISAT (statewide assessments). </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3</w:t>
            </w:r>
          </w:p>
        </w:tc>
        <w:tc>
          <w:tcPr>
            <w:tcW w:w="896" w:type="pct"/>
            <w:shd w:val="clear" w:color="auto" w:fill="auto"/>
            <w:vAlign w:val="center"/>
          </w:tcPr>
          <w:p w14:paraId="0B49B780" w14:textId="194154B9" w:rsidR="00242D8A" w:rsidRPr="00781112" w:rsidRDefault="00CC0B8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40</w:t>
            </w:r>
          </w:p>
        </w:tc>
        <w:tc>
          <w:tcPr>
            <w:tcW w:w="500" w:type="pct"/>
            <w:shd w:val="clear" w:color="auto" w:fill="auto"/>
            <w:vAlign w:val="center"/>
          </w:tcPr>
          <w:p w14:paraId="044B076F" w14:textId="35C848C1" w:rsidR="00242D8A" w:rsidRPr="00781112" w:rsidRDefault="00CC0B8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24.50%</w:t>
            </w:r>
          </w:p>
        </w:tc>
        <w:tc>
          <w:tcPr>
            <w:tcW w:w="500" w:type="pct"/>
            <w:shd w:val="clear" w:color="auto" w:fill="auto"/>
            <w:vAlign w:val="center"/>
          </w:tcPr>
          <w:p w14:paraId="4C5100F6" w14:textId="79E253E2" w:rsidR="00242D8A" w:rsidRPr="00781112" w:rsidRDefault="00CC0B8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397FAEB" w:rsidR="00242D8A" w:rsidRPr="00781112" w:rsidRDefault="00CC0B8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56</w:t>
            </w:r>
          </w:p>
        </w:tc>
        <w:tc>
          <w:tcPr>
            <w:tcW w:w="500" w:type="pct"/>
            <w:shd w:val="clear" w:color="auto" w:fill="auto"/>
            <w:vAlign w:val="center"/>
          </w:tcPr>
          <w:p w14:paraId="272455FD" w14:textId="45B2116F" w:rsidR="00242D8A" w:rsidRPr="00781112" w:rsidRDefault="00CC0B8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8.50%</w:t>
            </w:r>
          </w:p>
        </w:tc>
        <w:tc>
          <w:tcPr>
            <w:tcW w:w="500" w:type="pct"/>
            <w:shd w:val="clear" w:color="auto" w:fill="auto"/>
            <w:vAlign w:val="center"/>
          </w:tcPr>
          <w:p w14:paraId="7DB4B85A" w14:textId="3273CE9B" w:rsidR="00242D8A" w:rsidRPr="00781112" w:rsidRDefault="00CC0B8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1D5FA58D" w:rsidR="00242D8A" w:rsidRPr="00781112" w:rsidRDefault="00CC0B8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39</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4770CC0E" w:rsidR="00242D8A" w:rsidRPr="00781112" w:rsidRDefault="00CC0B8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500" w:type="pct"/>
            <w:shd w:val="clear" w:color="auto" w:fill="auto"/>
            <w:vAlign w:val="center"/>
          </w:tcPr>
          <w:p w14:paraId="581F32CD" w14:textId="3C00D163" w:rsidR="00242D8A" w:rsidRPr="00781112" w:rsidRDefault="00CC0B8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_Ref141251011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11</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3DEB6F95" w14:textId="77777777" w:rsidR="00CF57A2" w:rsidRPr="00781112" w:rsidRDefault="00CF57A2" w:rsidP="00CF57A2">
      <w:pPr>
        <w:rPr>
          <w:b/>
          <w:color w:val="000000" w:themeColor="text1"/>
        </w:rPr>
      </w:pPr>
      <w:r w:rsidRPr="00781112">
        <w:rPr>
          <w:b/>
          <w:color w:val="000000" w:themeColor="text1"/>
        </w:rPr>
        <w:t>Provide reasons for slippage for Group A, if applicable</w:t>
      </w:r>
    </w:p>
    <w:p w14:paraId="0C24835E" w14:textId="01253115" w:rsidR="00CF57A2" w:rsidRPr="00781112" w:rsidRDefault="00CF57A2" w:rsidP="00CF57A2">
      <w:pPr>
        <w:rPr>
          <w:rFonts w:cs="Arial"/>
          <w:color w:val="000000" w:themeColor="text1"/>
          <w:szCs w:val="16"/>
        </w:rPr>
      </w:pPr>
      <w:r w:rsidRPr="00781112">
        <w:rPr>
          <w:rFonts w:cs="Arial"/>
          <w:color w:val="000000" w:themeColor="text1"/>
          <w:szCs w:val="16"/>
        </w:rPr>
        <w:t xml:space="preserve">During FFY 2021, the RMI was impacted by COVID19. COVID hit the RMI starting in early March. Although participation rates on assessments were very high in FFY 2021, the RMI preparations for dealing with the approaching COVID were a distraction for administrators, teachers, students, and families. This could have been a potential impact on the performance of students with disabilities </w:t>
      </w:r>
      <w:proofErr w:type="gramStart"/>
      <w:r w:rsidRPr="00781112">
        <w:rPr>
          <w:rFonts w:cs="Arial"/>
          <w:color w:val="000000" w:themeColor="text1"/>
          <w:szCs w:val="16"/>
        </w:rPr>
        <w:t>in particular in</w:t>
      </w:r>
      <w:proofErr w:type="gramEnd"/>
      <w:r w:rsidRPr="00781112">
        <w:rPr>
          <w:rFonts w:cs="Arial"/>
          <w:color w:val="000000" w:themeColor="text1"/>
          <w:szCs w:val="16"/>
        </w:rPr>
        <w:t xml:space="preserve"> the MISAT (statewide assessments). </w:t>
      </w:r>
    </w:p>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 xml:space="preserve">During FFY 2021, the RMI was impacted by COVID19. COVID hit the RMI starting in early March. Although participation rates on assessments were very high in FFY 2021, the RMI preparations for dealing with the approaching COVID were a distraction for administrators, teachers, students, and families. This could have been a potential impact on the performance of students with disabilities </w:t>
      </w:r>
      <w:proofErr w:type="gramStart"/>
      <w:r w:rsidRPr="00781112">
        <w:rPr>
          <w:rFonts w:cs="Arial"/>
          <w:color w:val="000000" w:themeColor="text1"/>
          <w:szCs w:val="16"/>
        </w:rPr>
        <w:t>in particular in</w:t>
      </w:r>
      <w:proofErr w:type="gramEnd"/>
      <w:r w:rsidRPr="00781112">
        <w:rPr>
          <w:rFonts w:cs="Arial"/>
          <w:color w:val="000000" w:themeColor="text1"/>
          <w:szCs w:val="16"/>
        </w:rPr>
        <w:t xml:space="preserve"> the MISAT (statewide assessments). </w:t>
      </w:r>
    </w:p>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https://drive.google.com/drive/folders/1WXnsh8zUfRXQMAiP18ggZR5-YX9j_dwg</w:t>
      </w:r>
    </w:p>
    <w:p w14:paraId="2BE473B4" w14:textId="77777777" w:rsidR="00053391" w:rsidRPr="00781112" w:rsidRDefault="00053391" w:rsidP="004369B2">
      <w:pPr>
        <w:rPr>
          <w:b/>
          <w:color w:val="000000" w:themeColor="text1"/>
        </w:rPr>
      </w:pPr>
      <w:bookmarkStart w:id="24" w:name="_Toc382082367"/>
      <w:bookmarkStart w:id="25" w:name="_Toc392159276"/>
      <w:r w:rsidRPr="00781112">
        <w:rPr>
          <w:b/>
          <w:color w:val="000000" w:themeColor="text1"/>
        </w:rPr>
        <w:t>Provide additional information about this indicator (optional)</w:t>
      </w:r>
    </w:p>
    <w:p w14:paraId="3E9E8793" w14:textId="76656572" w:rsidR="00A869E9" w:rsidRPr="00781112" w:rsidRDefault="002B7490" w:rsidP="000E33D0">
      <w:pPr>
        <w:rPr>
          <w:rFonts w:cs="Arial"/>
          <w:color w:val="000000" w:themeColor="text1"/>
          <w:szCs w:val="16"/>
        </w:rPr>
      </w:pPr>
      <w:r w:rsidRPr="00781112">
        <w:rPr>
          <w:rFonts w:cs="Arial"/>
          <w:color w:val="000000" w:themeColor="text1"/>
          <w:szCs w:val="16"/>
        </w:rPr>
        <w:t xml:space="preserve">RMI did not assess Mathematics for High School students in FFY 2020. In FFY 2020 stakeholders provided input on targets for all other grades (reading and math). Therefore, FFY 2021 is the new baseline for Math assessments for High School students. Because the baseline is </w:t>
      </w:r>
      <w:r w:rsidR="000C12D5">
        <w:rPr>
          <w:rFonts w:cs="Arial"/>
          <w:color w:val="000000" w:themeColor="text1"/>
          <w:szCs w:val="16"/>
        </w:rPr>
        <w:t>x</w:t>
      </w:r>
      <w:r w:rsidRPr="00781112">
        <w:rPr>
          <w:rFonts w:cs="Arial"/>
          <w:color w:val="000000" w:themeColor="text1"/>
          <w:szCs w:val="16"/>
        </w:rPr>
        <w:t>%</w:t>
      </w:r>
      <w:r w:rsidR="000C12D5">
        <w:rPr>
          <w:rStyle w:val="FootnoteReference"/>
          <w:rFonts w:cs="Arial"/>
          <w:color w:val="000000" w:themeColor="text1"/>
          <w:szCs w:val="16"/>
        </w:rPr>
        <w:footnoteReference w:id="15"/>
      </w:r>
      <w:r w:rsidRPr="00781112">
        <w:rPr>
          <w:rFonts w:cs="Arial"/>
          <w:color w:val="000000" w:themeColor="text1"/>
          <w:szCs w:val="16"/>
        </w:rPr>
        <w:t>, stakeholders agreed to targets representing incremental increase in performance leading to a performance of 8% in FFY 2025.</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OSEP's response to the State's FFY 2019 SPP/APR required the State to provide OSEP with a Web link that demonstrates that it has reported, for FFY 2019, to the public, on the statewide assessments of children with disabilities in accordance with 34 C.F.R. § 300.160(f). The RMI provided the required information.</w:t>
      </w:r>
      <w:r w:rsidRPr="00781112">
        <w:rPr>
          <w:rFonts w:cs="Arial"/>
          <w:color w:val="000000" w:themeColor="text1"/>
          <w:szCs w:val="16"/>
        </w:rPr>
        <w:br/>
      </w:r>
      <w:r w:rsidRPr="00781112">
        <w:rPr>
          <w:rFonts w:cs="Arial"/>
          <w:color w:val="000000" w:themeColor="text1"/>
          <w:szCs w:val="16"/>
        </w:rPr>
        <w:br/>
        <w:t>Within 90 days of the receipt of the State's 2022 determination letter, the RMI must provide to OSEP a Web link that demonstrates that it has reported, for FFY 2020, to the public, on the statewide assessments of children with disabilities in accordance with 34 C.F.R. § 300.160(f). In addition, OSEP reminds the RMI that in the FFY 2021 SPP/APR, the RMI must include a Web link that demonstrates compliance with 34 C.F.R. § 300.160(f) for FFY 2021.</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0A2C83" w:rsidP="000A2C83">
      <w:pPr>
        <w:rPr>
          <w:rFonts w:cs="Arial"/>
          <w:color w:val="000000" w:themeColor="text1"/>
          <w:szCs w:val="16"/>
        </w:rPr>
      </w:pP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Republic of the Marshall Islands has revised the baseline for this indicator, using data from FFY 2021 for High School Math,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Republic of the Marshall Islands revised its targets for High School Math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24"/>
      <w:bookmarkEnd w:id="25"/>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6" w:name="_Toc384383330"/>
      <w:bookmarkStart w:id="27" w:name="_Toc392159282"/>
      <w:bookmarkStart w:id="28"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p>
        </w:tc>
        <w:tc>
          <w:tcPr>
            <w:tcW w:w="1176" w:type="pct"/>
            <w:vAlign w:val="center"/>
          </w:tcPr>
          <w:p w14:paraId="2281A612" w14:textId="23CB1591" w:rsidR="00537221" w:rsidRPr="00781112" w:rsidRDefault="00537221" w:rsidP="00827FF4">
            <w:pPr>
              <w:spacing w:before="0" w:after="0"/>
              <w:jc w:val="center"/>
              <w:rPr>
                <w:color w:val="000000" w:themeColor="text1"/>
              </w:rPr>
            </w:pP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3</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p>
        </w:tc>
        <w:tc>
          <w:tcPr>
            <w:tcW w:w="659" w:type="pct"/>
            <w:vAlign w:val="center"/>
          </w:tcPr>
          <w:p w14:paraId="1A23D563" w14:textId="56F68959" w:rsidR="00B14519" w:rsidRPr="00781112" w:rsidRDefault="00B14519" w:rsidP="00D13592">
            <w:pPr>
              <w:jc w:val="center"/>
              <w:rPr>
                <w:rFonts w:cs="Arial"/>
                <w:color w:val="000000" w:themeColor="text1"/>
                <w:szCs w:val="16"/>
              </w:rPr>
            </w:pPr>
          </w:p>
        </w:tc>
        <w:tc>
          <w:tcPr>
            <w:tcW w:w="659" w:type="pct"/>
            <w:vAlign w:val="center"/>
          </w:tcPr>
          <w:p w14:paraId="6BBDE651" w14:textId="47B65FE0" w:rsidR="00B14519" w:rsidRPr="00781112" w:rsidRDefault="00B14519" w:rsidP="00D13592">
            <w:pPr>
              <w:jc w:val="center"/>
              <w:rPr>
                <w:rFonts w:cs="Arial"/>
                <w:color w:val="000000" w:themeColor="text1"/>
                <w:szCs w:val="16"/>
              </w:rPr>
            </w:pPr>
          </w:p>
        </w:tc>
        <w:tc>
          <w:tcPr>
            <w:tcW w:w="659" w:type="pct"/>
            <w:vAlign w:val="center"/>
          </w:tcPr>
          <w:p w14:paraId="5A275577" w14:textId="6DCA94CB" w:rsidR="00B14519" w:rsidRPr="00781112" w:rsidRDefault="00B14519" w:rsidP="00D13592">
            <w:pPr>
              <w:jc w:val="center"/>
              <w:rPr>
                <w:rFonts w:cs="Arial"/>
                <w:color w:val="000000" w:themeColor="text1"/>
                <w:szCs w:val="16"/>
              </w:rPr>
            </w:pPr>
          </w:p>
        </w:tc>
        <w:tc>
          <w:tcPr>
            <w:tcW w:w="659" w:type="pct"/>
            <w:vAlign w:val="center"/>
          </w:tcPr>
          <w:p w14:paraId="3206928B" w14:textId="11EAF098" w:rsidR="00B14519" w:rsidRPr="00781112" w:rsidRDefault="00B14519" w:rsidP="00D13592">
            <w:pPr>
              <w:jc w:val="center"/>
              <w:rPr>
                <w:rFonts w:cs="Arial"/>
                <w:color w:val="000000" w:themeColor="text1"/>
                <w:szCs w:val="16"/>
              </w:rPr>
            </w:pP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p>
        </w:tc>
        <w:tc>
          <w:tcPr>
            <w:tcW w:w="659" w:type="pct"/>
            <w:vAlign w:val="center"/>
          </w:tcPr>
          <w:p w14:paraId="200F306C" w14:textId="40F15380" w:rsidR="00B14519" w:rsidRPr="00781112" w:rsidRDefault="00B14519" w:rsidP="00D13592">
            <w:pPr>
              <w:jc w:val="center"/>
              <w:rPr>
                <w:rFonts w:cs="Arial"/>
                <w:color w:val="000000" w:themeColor="text1"/>
                <w:szCs w:val="16"/>
              </w:rPr>
            </w:pPr>
          </w:p>
        </w:tc>
        <w:tc>
          <w:tcPr>
            <w:tcW w:w="659" w:type="pct"/>
            <w:vAlign w:val="center"/>
          </w:tcPr>
          <w:p w14:paraId="01C155DC" w14:textId="32FC3C15" w:rsidR="00B14519" w:rsidRPr="00781112" w:rsidRDefault="00B14519" w:rsidP="00D13592">
            <w:pPr>
              <w:jc w:val="center"/>
              <w:rPr>
                <w:rFonts w:cs="Arial"/>
                <w:color w:val="000000" w:themeColor="text1"/>
                <w:szCs w:val="16"/>
              </w:rPr>
            </w:pPr>
          </w:p>
        </w:tc>
        <w:tc>
          <w:tcPr>
            <w:tcW w:w="659" w:type="pct"/>
            <w:vAlign w:val="center"/>
          </w:tcPr>
          <w:p w14:paraId="31A2EE92" w14:textId="183FF0A7" w:rsidR="00B14519" w:rsidRPr="00781112" w:rsidRDefault="00B14519" w:rsidP="00D13592">
            <w:pPr>
              <w:jc w:val="center"/>
              <w:rPr>
                <w:rFonts w:cs="Arial"/>
                <w:color w:val="000000" w:themeColor="text1"/>
                <w:szCs w:val="16"/>
              </w:rPr>
            </w:pPr>
          </w:p>
        </w:tc>
        <w:tc>
          <w:tcPr>
            <w:tcW w:w="659" w:type="pct"/>
            <w:vAlign w:val="center"/>
          </w:tcPr>
          <w:p w14:paraId="52A72D95" w14:textId="51822CAD" w:rsidR="00B14519" w:rsidRPr="00781112" w:rsidRDefault="00B14519" w:rsidP="00D13592">
            <w:pPr>
              <w:jc w:val="center"/>
              <w:rPr>
                <w:rFonts w:cs="Arial"/>
                <w:color w:val="000000" w:themeColor="text1"/>
                <w:szCs w:val="16"/>
              </w:rPr>
            </w:pP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p>
        </w:tc>
        <w:tc>
          <w:tcPr>
            <w:tcW w:w="659" w:type="pct"/>
            <w:vAlign w:val="center"/>
          </w:tcPr>
          <w:p w14:paraId="3305DD14" w14:textId="4DBBF69C" w:rsidR="00B14519" w:rsidRPr="00781112" w:rsidRDefault="00B14519" w:rsidP="00D13592">
            <w:pPr>
              <w:jc w:val="center"/>
              <w:rPr>
                <w:rFonts w:cs="Arial"/>
                <w:color w:val="000000" w:themeColor="text1"/>
                <w:szCs w:val="16"/>
              </w:rPr>
            </w:pPr>
          </w:p>
        </w:tc>
        <w:tc>
          <w:tcPr>
            <w:tcW w:w="659" w:type="pct"/>
            <w:vAlign w:val="center"/>
          </w:tcPr>
          <w:p w14:paraId="02FF2601" w14:textId="545909AE" w:rsidR="00B14519" w:rsidRPr="00781112" w:rsidRDefault="00B14519" w:rsidP="00D13592">
            <w:pPr>
              <w:jc w:val="center"/>
              <w:rPr>
                <w:rFonts w:cs="Arial"/>
                <w:color w:val="000000" w:themeColor="text1"/>
                <w:szCs w:val="16"/>
              </w:rPr>
            </w:pPr>
          </w:p>
        </w:tc>
        <w:tc>
          <w:tcPr>
            <w:tcW w:w="659" w:type="pct"/>
            <w:vAlign w:val="center"/>
          </w:tcPr>
          <w:p w14:paraId="607B9906" w14:textId="6058F884" w:rsidR="00B14519" w:rsidRPr="00781112" w:rsidRDefault="00B14519" w:rsidP="00D13592">
            <w:pPr>
              <w:jc w:val="center"/>
              <w:rPr>
                <w:rFonts w:cs="Arial"/>
                <w:color w:val="000000" w:themeColor="text1"/>
                <w:szCs w:val="16"/>
              </w:rPr>
            </w:pPr>
          </w:p>
        </w:tc>
        <w:tc>
          <w:tcPr>
            <w:tcW w:w="659" w:type="pct"/>
            <w:vAlign w:val="center"/>
          </w:tcPr>
          <w:p w14:paraId="00AA5B51" w14:textId="2B22FFA4" w:rsidR="00B14519" w:rsidRPr="00781112" w:rsidRDefault="00B14519" w:rsidP="00D13592">
            <w:pPr>
              <w:jc w:val="center"/>
              <w:rPr>
                <w:rFonts w:cs="Arial"/>
                <w:color w:val="000000" w:themeColor="text1"/>
                <w:szCs w:val="16"/>
              </w:rPr>
            </w:pP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3</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p>
        </w:tc>
        <w:tc>
          <w:tcPr>
            <w:tcW w:w="659" w:type="pct"/>
            <w:vAlign w:val="center"/>
          </w:tcPr>
          <w:p w14:paraId="5BCC413B" w14:textId="09A05E02" w:rsidR="00B14519" w:rsidRPr="00781112" w:rsidRDefault="00B14519" w:rsidP="00D13592">
            <w:pPr>
              <w:jc w:val="center"/>
              <w:rPr>
                <w:rFonts w:cs="Arial"/>
                <w:color w:val="000000" w:themeColor="text1"/>
                <w:szCs w:val="16"/>
              </w:rPr>
            </w:pPr>
          </w:p>
        </w:tc>
        <w:tc>
          <w:tcPr>
            <w:tcW w:w="659" w:type="pct"/>
            <w:vAlign w:val="center"/>
          </w:tcPr>
          <w:p w14:paraId="45EF5FCE" w14:textId="00D7D29B" w:rsidR="00B14519" w:rsidRPr="00781112" w:rsidRDefault="00B14519" w:rsidP="00D13592">
            <w:pPr>
              <w:jc w:val="center"/>
              <w:rPr>
                <w:rFonts w:cs="Arial"/>
                <w:color w:val="000000" w:themeColor="text1"/>
                <w:szCs w:val="16"/>
              </w:rPr>
            </w:pPr>
          </w:p>
        </w:tc>
        <w:tc>
          <w:tcPr>
            <w:tcW w:w="659" w:type="pct"/>
            <w:vAlign w:val="center"/>
          </w:tcPr>
          <w:p w14:paraId="68AE213E" w14:textId="4ECF4085" w:rsidR="00B14519" w:rsidRPr="00781112" w:rsidRDefault="00B14519" w:rsidP="00D13592">
            <w:pPr>
              <w:jc w:val="center"/>
              <w:rPr>
                <w:rFonts w:cs="Arial"/>
                <w:color w:val="000000" w:themeColor="text1"/>
                <w:szCs w:val="16"/>
              </w:rPr>
            </w:pPr>
          </w:p>
        </w:tc>
        <w:tc>
          <w:tcPr>
            <w:tcW w:w="659" w:type="pct"/>
            <w:vAlign w:val="center"/>
          </w:tcPr>
          <w:p w14:paraId="7B3E2D7F" w14:textId="73124E34" w:rsidR="00B14519" w:rsidRPr="00781112" w:rsidRDefault="00B14519" w:rsidP="00D13592">
            <w:pPr>
              <w:jc w:val="center"/>
              <w:rPr>
                <w:rFonts w:cs="Arial"/>
                <w:color w:val="000000" w:themeColor="text1"/>
                <w:szCs w:val="16"/>
              </w:rPr>
            </w:pP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p>
        </w:tc>
        <w:tc>
          <w:tcPr>
            <w:tcW w:w="659" w:type="pct"/>
            <w:vAlign w:val="center"/>
          </w:tcPr>
          <w:p w14:paraId="0BF63C58" w14:textId="72F24C80" w:rsidR="00B14519" w:rsidRPr="00781112" w:rsidRDefault="00B14519" w:rsidP="00D13592">
            <w:pPr>
              <w:jc w:val="center"/>
              <w:rPr>
                <w:rFonts w:cs="Arial"/>
                <w:color w:val="000000" w:themeColor="text1"/>
                <w:szCs w:val="16"/>
              </w:rPr>
            </w:pPr>
          </w:p>
        </w:tc>
        <w:tc>
          <w:tcPr>
            <w:tcW w:w="659" w:type="pct"/>
            <w:vAlign w:val="center"/>
          </w:tcPr>
          <w:p w14:paraId="0075BBBD" w14:textId="7AFABF25" w:rsidR="00B14519" w:rsidRPr="00781112" w:rsidRDefault="00B14519" w:rsidP="00D13592">
            <w:pPr>
              <w:jc w:val="center"/>
              <w:rPr>
                <w:rFonts w:cs="Arial"/>
                <w:color w:val="000000" w:themeColor="text1"/>
                <w:szCs w:val="16"/>
              </w:rPr>
            </w:pPr>
          </w:p>
        </w:tc>
        <w:tc>
          <w:tcPr>
            <w:tcW w:w="659" w:type="pct"/>
            <w:vAlign w:val="center"/>
          </w:tcPr>
          <w:p w14:paraId="0162408E" w14:textId="763A5CFC" w:rsidR="00B14519" w:rsidRPr="00781112" w:rsidRDefault="00B14519" w:rsidP="00D13592">
            <w:pPr>
              <w:jc w:val="center"/>
              <w:rPr>
                <w:rFonts w:cs="Arial"/>
                <w:color w:val="000000" w:themeColor="text1"/>
                <w:szCs w:val="16"/>
              </w:rPr>
            </w:pPr>
          </w:p>
        </w:tc>
        <w:tc>
          <w:tcPr>
            <w:tcW w:w="659" w:type="pct"/>
            <w:vAlign w:val="center"/>
          </w:tcPr>
          <w:p w14:paraId="31533AB0" w14:textId="168489BE" w:rsidR="00B14519" w:rsidRPr="00781112" w:rsidRDefault="00B14519" w:rsidP="00D13592">
            <w:pPr>
              <w:jc w:val="center"/>
              <w:rPr>
                <w:rFonts w:cs="Arial"/>
                <w:color w:val="000000" w:themeColor="text1"/>
                <w:szCs w:val="16"/>
              </w:rPr>
            </w:pP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p>
        </w:tc>
        <w:tc>
          <w:tcPr>
            <w:tcW w:w="659" w:type="pct"/>
            <w:vAlign w:val="center"/>
          </w:tcPr>
          <w:p w14:paraId="72012D7E" w14:textId="10B8E7BA" w:rsidR="00B14519" w:rsidRPr="00781112" w:rsidRDefault="00B14519" w:rsidP="00D13592">
            <w:pPr>
              <w:jc w:val="center"/>
              <w:rPr>
                <w:rFonts w:cs="Arial"/>
                <w:color w:val="000000" w:themeColor="text1"/>
                <w:szCs w:val="16"/>
              </w:rPr>
            </w:pPr>
          </w:p>
        </w:tc>
        <w:tc>
          <w:tcPr>
            <w:tcW w:w="659" w:type="pct"/>
            <w:vAlign w:val="center"/>
          </w:tcPr>
          <w:p w14:paraId="323B3F79" w14:textId="5FA94A39" w:rsidR="00B14519" w:rsidRPr="00781112" w:rsidRDefault="00B14519" w:rsidP="00D13592">
            <w:pPr>
              <w:jc w:val="center"/>
              <w:rPr>
                <w:rFonts w:cs="Arial"/>
                <w:color w:val="000000" w:themeColor="text1"/>
                <w:szCs w:val="16"/>
              </w:rPr>
            </w:pPr>
          </w:p>
        </w:tc>
        <w:tc>
          <w:tcPr>
            <w:tcW w:w="659" w:type="pct"/>
            <w:vAlign w:val="center"/>
          </w:tcPr>
          <w:p w14:paraId="4A1DD032" w14:textId="1316ECD4" w:rsidR="00B14519" w:rsidRPr="00781112" w:rsidRDefault="00B14519" w:rsidP="00D13592">
            <w:pPr>
              <w:jc w:val="center"/>
              <w:rPr>
                <w:rFonts w:cs="Arial"/>
                <w:color w:val="000000" w:themeColor="text1"/>
                <w:szCs w:val="16"/>
              </w:rPr>
            </w:pPr>
          </w:p>
        </w:tc>
        <w:tc>
          <w:tcPr>
            <w:tcW w:w="659" w:type="pct"/>
            <w:vAlign w:val="center"/>
          </w:tcPr>
          <w:p w14:paraId="74C8F676" w14:textId="54D72167" w:rsidR="00B14519" w:rsidRPr="00781112" w:rsidRDefault="00B14519" w:rsidP="00D13592">
            <w:pPr>
              <w:jc w:val="center"/>
              <w:rPr>
                <w:rFonts w:cs="Arial"/>
                <w:color w:val="000000" w:themeColor="text1"/>
                <w:szCs w:val="16"/>
              </w:rPr>
            </w:pPr>
          </w:p>
        </w:tc>
      </w:tr>
    </w:tbl>
    <w:p w14:paraId="75A0DA27" w14:textId="77777777" w:rsidR="0036112A" w:rsidRDefault="0036112A" w:rsidP="0036112A">
      <w:pPr>
        <w:spacing w:before="0" w:after="200" w:line="276" w:lineRule="auto"/>
        <w:rPr>
          <w:b/>
          <w:color w:val="000000" w:themeColor="text1"/>
        </w:rPr>
      </w:pPr>
    </w:p>
    <w:p w14:paraId="08B1A70A" w14:textId="7E241CFC" w:rsidR="002D145D" w:rsidRPr="0036112A" w:rsidRDefault="002D145D" w:rsidP="0036112A">
      <w:pPr>
        <w:spacing w:before="0" w:after="200" w:line="276" w:lineRule="auto"/>
        <w:rPr>
          <w:b/>
          <w:color w:val="000000" w:themeColor="text1"/>
        </w:rPr>
      </w:pPr>
      <w:r w:rsidRPr="00781112">
        <w:rPr>
          <w:b/>
          <w:color w:val="000000" w:themeColor="text1"/>
        </w:rPr>
        <w:t xml:space="preserve">Targets: Description of Stakeholder Input </w:t>
      </w:r>
      <w:r w:rsidR="0036112A">
        <w:rPr>
          <w:b/>
          <w:color w:val="000000" w:themeColor="text1"/>
        </w:rPr>
        <w:br/>
      </w:r>
      <w:r w:rsidR="002B7490"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002B7490" w:rsidRPr="00781112">
        <w:rPr>
          <w:rFonts w:cs="Arial"/>
          <w:color w:val="000000" w:themeColor="text1"/>
          <w:szCs w:val="16"/>
        </w:rPr>
        <w:br/>
      </w:r>
      <w:r w:rsidR="002B7490"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002B7490" w:rsidRPr="00781112">
        <w:rPr>
          <w:rFonts w:cs="Arial"/>
          <w:color w:val="000000" w:themeColor="text1"/>
          <w:szCs w:val="16"/>
        </w:rPr>
        <w:br/>
      </w:r>
      <w:r w:rsidR="002B7490" w:rsidRPr="00781112">
        <w:rPr>
          <w:rFonts w:cs="Arial"/>
          <w:color w:val="000000" w:themeColor="text1"/>
          <w:szCs w:val="16"/>
        </w:rPr>
        <w:br/>
        <w:t xml:space="preserve">The group of stakeholders who attended the two days included four parents, two of them being parents who are representatives of parent groups, a </w:t>
      </w:r>
      <w:r w:rsidR="002B7490" w:rsidRPr="00781112">
        <w:rPr>
          <w:rFonts w:cs="Arial"/>
          <w:color w:val="000000" w:themeColor="text1"/>
          <w:szCs w:val="16"/>
        </w:rPr>
        <w:lastRenderedPageBreak/>
        <w:t xml:space="preserve">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002B7490" w:rsidRPr="00781112">
        <w:rPr>
          <w:rFonts w:cs="Arial"/>
          <w:color w:val="000000" w:themeColor="text1"/>
          <w:szCs w:val="16"/>
        </w:rPr>
        <w:t>continue on</w:t>
      </w:r>
      <w:proofErr w:type="gramEnd"/>
      <w:r w:rsidR="002B7490" w:rsidRPr="00781112">
        <w:rPr>
          <w:rFonts w:cs="Arial"/>
          <w:color w:val="000000" w:themeColor="text1"/>
          <w:szCs w:val="16"/>
        </w:rPr>
        <w:t xml:space="preserve"> its SSIP implementation.</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3</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AB6745" w:rsidRPr="00781112" w14:paraId="15C4E2F5" w14:textId="23A18F5A" w:rsidTr="00112C33">
        <w:tc>
          <w:tcPr>
            <w:tcW w:w="2695" w:type="dxa"/>
            <w:shd w:val="clear" w:color="auto" w:fill="auto"/>
          </w:tcPr>
          <w:p w14:paraId="1D84B931" w14:textId="3EFA8778" w:rsidR="00AB6745" w:rsidRPr="00781112" w:rsidRDefault="00AB6745" w:rsidP="00AB6745">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tcPr>
          <w:p w14:paraId="07C14EE4" w14:textId="70529CAC" w:rsidR="00AB6745" w:rsidRPr="00781112" w:rsidRDefault="00AB6745" w:rsidP="00AB6745">
            <w:pPr>
              <w:jc w:val="center"/>
              <w:rPr>
                <w:b/>
                <w:color w:val="000000" w:themeColor="text1"/>
              </w:rPr>
            </w:pPr>
            <w:r w:rsidRPr="004124B3">
              <w:rPr>
                <w:color w:val="000000" w:themeColor="text1"/>
              </w:rPr>
              <w:t>x</w:t>
            </w:r>
            <w:bookmarkStart w:id="29" w:name="_Ref141181750"/>
            <w:r>
              <w:rPr>
                <w:rStyle w:val="FootnoteReference"/>
                <w:color w:val="000000" w:themeColor="text1"/>
              </w:rPr>
              <w:footnoteReference w:id="16"/>
            </w:r>
            <w:bookmarkEnd w:id="29"/>
          </w:p>
        </w:tc>
        <w:tc>
          <w:tcPr>
            <w:tcW w:w="2700" w:type="dxa"/>
            <w:shd w:val="clear" w:color="auto" w:fill="auto"/>
          </w:tcPr>
          <w:p w14:paraId="1DFC3C40" w14:textId="36929798" w:rsidR="00AB6745" w:rsidRPr="00781112" w:rsidRDefault="00AB6745" w:rsidP="00AB6745">
            <w:pPr>
              <w:jc w:val="center"/>
              <w:rPr>
                <w:b/>
                <w:color w:val="000000" w:themeColor="text1"/>
              </w:rPr>
            </w:pPr>
            <w:r w:rsidRPr="004124B3">
              <w:rPr>
                <w:color w:val="000000" w:themeColor="text1"/>
              </w:rPr>
              <w:t>x</w:t>
            </w:r>
            <w:r>
              <w:rPr>
                <w:color w:val="000000" w:themeColor="text1"/>
              </w:rPr>
              <w:fldChar w:fldCharType="begin"/>
            </w:r>
            <w:r>
              <w:rPr>
                <w:color w:val="000000" w:themeColor="text1"/>
              </w:rPr>
              <w:instrText xml:space="preserve"> NOTEREF _Ref141181750 \f \h </w:instrText>
            </w:r>
            <w:r>
              <w:rPr>
                <w:color w:val="000000" w:themeColor="text1"/>
              </w:rPr>
            </w:r>
            <w:r>
              <w:rPr>
                <w:color w:val="000000" w:themeColor="text1"/>
              </w:rPr>
              <w:fldChar w:fldCharType="separate"/>
            </w:r>
            <w:r w:rsidR="0036112A" w:rsidRPr="0036112A">
              <w:rPr>
                <w:rStyle w:val="FootnoteReference"/>
              </w:rPr>
              <w:t>12</w:t>
            </w:r>
            <w:r>
              <w:rPr>
                <w:color w:val="000000" w:themeColor="text1"/>
              </w:rPr>
              <w:fldChar w:fldCharType="end"/>
            </w:r>
          </w:p>
        </w:tc>
        <w:tc>
          <w:tcPr>
            <w:tcW w:w="2700" w:type="dxa"/>
            <w:shd w:val="clear" w:color="auto" w:fill="auto"/>
          </w:tcPr>
          <w:p w14:paraId="70A0184C" w14:textId="7BF02353" w:rsidR="00AB6745" w:rsidRPr="00781112" w:rsidRDefault="00AB6745" w:rsidP="00AB6745">
            <w:pPr>
              <w:jc w:val="center"/>
              <w:rPr>
                <w:b/>
                <w:color w:val="000000" w:themeColor="text1"/>
              </w:rPr>
            </w:pPr>
            <w:r w:rsidRPr="00147386">
              <w:rPr>
                <w:color w:val="000000" w:themeColor="text1"/>
              </w:rPr>
              <w:t>x</w:t>
            </w:r>
            <w:r w:rsidRPr="00147386">
              <w:rPr>
                <w:color w:val="000000" w:themeColor="text1"/>
              </w:rPr>
              <w:fldChar w:fldCharType="begin"/>
            </w:r>
            <w:r w:rsidRPr="00147386">
              <w:rPr>
                <w:color w:val="000000" w:themeColor="text1"/>
              </w:rPr>
              <w:instrText xml:space="preserve"> NOTEREF _Ref141181750 \f \h </w:instrText>
            </w:r>
            <w:r w:rsidRPr="00147386">
              <w:rPr>
                <w:color w:val="000000" w:themeColor="text1"/>
              </w:rPr>
            </w:r>
            <w:r w:rsidRPr="00147386">
              <w:rPr>
                <w:color w:val="000000" w:themeColor="text1"/>
              </w:rPr>
              <w:fldChar w:fldCharType="separate"/>
            </w:r>
            <w:r w:rsidR="0036112A" w:rsidRPr="0036112A">
              <w:rPr>
                <w:rStyle w:val="FootnoteReference"/>
              </w:rPr>
              <w:t>12</w:t>
            </w:r>
            <w:r w:rsidRPr="00147386">
              <w:rPr>
                <w:color w:val="000000" w:themeColor="text1"/>
              </w:rPr>
              <w:fldChar w:fldCharType="end"/>
            </w:r>
          </w:p>
        </w:tc>
      </w:tr>
      <w:tr w:rsidR="00AB6745" w:rsidRPr="00781112" w14:paraId="3BE009FE" w14:textId="48A19AF7" w:rsidTr="00112C33">
        <w:tc>
          <w:tcPr>
            <w:tcW w:w="2695" w:type="dxa"/>
            <w:shd w:val="clear" w:color="auto" w:fill="auto"/>
          </w:tcPr>
          <w:p w14:paraId="3D43994F" w14:textId="3B46415A" w:rsidR="00AB6745" w:rsidRPr="00781112" w:rsidRDefault="00AB6745" w:rsidP="00AB6745">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tcPr>
          <w:p w14:paraId="655D5067" w14:textId="712F563C" w:rsidR="00AB6745" w:rsidRPr="00781112" w:rsidRDefault="00AB6745" w:rsidP="00AB6745">
            <w:pPr>
              <w:jc w:val="center"/>
              <w:rPr>
                <w:b/>
                <w:color w:val="000000" w:themeColor="text1"/>
              </w:rPr>
            </w:pPr>
            <w:r w:rsidRPr="00DB5A34">
              <w:rPr>
                <w:color w:val="000000" w:themeColor="text1"/>
              </w:rPr>
              <w:t>x</w:t>
            </w:r>
            <w:r w:rsidRPr="00DB5A34">
              <w:rPr>
                <w:color w:val="000000" w:themeColor="text1"/>
              </w:rPr>
              <w:fldChar w:fldCharType="begin"/>
            </w:r>
            <w:r w:rsidRPr="00DB5A34">
              <w:rPr>
                <w:color w:val="000000" w:themeColor="text1"/>
              </w:rPr>
              <w:instrText xml:space="preserve"> NOTEREF _Ref141181750 \f \h </w:instrText>
            </w:r>
            <w:r w:rsidRPr="00DB5A34">
              <w:rPr>
                <w:color w:val="000000" w:themeColor="text1"/>
              </w:rPr>
            </w:r>
            <w:r w:rsidRPr="00DB5A34">
              <w:rPr>
                <w:color w:val="000000" w:themeColor="text1"/>
              </w:rPr>
              <w:fldChar w:fldCharType="separate"/>
            </w:r>
            <w:r w:rsidR="0036112A" w:rsidRPr="0036112A">
              <w:rPr>
                <w:rStyle w:val="FootnoteReference"/>
              </w:rPr>
              <w:t>12</w:t>
            </w:r>
            <w:r w:rsidRPr="00DB5A34">
              <w:rPr>
                <w:color w:val="000000" w:themeColor="text1"/>
              </w:rPr>
              <w:fldChar w:fldCharType="end"/>
            </w:r>
          </w:p>
        </w:tc>
        <w:tc>
          <w:tcPr>
            <w:tcW w:w="2700" w:type="dxa"/>
            <w:shd w:val="clear" w:color="auto" w:fill="auto"/>
          </w:tcPr>
          <w:p w14:paraId="47E25E0D" w14:textId="2BEBB146" w:rsidR="00AB6745" w:rsidRPr="00781112" w:rsidRDefault="00AB6745" w:rsidP="00AB6745">
            <w:pPr>
              <w:jc w:val="center"/>
              <w:rPr>
                <w:b/>
                <w:color w:val="000000" w:themeColor="text1"/>
              </w:rPr>
            </w:pPr>
            <w:r w:rsidRPr="00DB5A34">
              <w:rPr>
                <w:color w:val="000000" w:themeColor="text1"/>
              </w:rPr>
              <w:t>x</w:t>
            </w:r>
            <w:r w:rsidRPr="00DB5A34">
              <w:rPr>
                <w:color w:val="000000" w:themeColor="text1"/>
              </w:rPr>
              <w:fldChar w:fldCharType="begin"/>
            </w:r>
            <w:r w:rsidRPr="00DB5A34">
              <w:rPr>
                <w:color w:val="000000" w:themeColor="text1"/>
              </w:rPr>
              <w:instrText xml:space="preserve"> NOTEREF _Ref141181750 \f \h </w:instrText>
            </w:r>
            <w:r w:rsidRPr="00DB5A34">
              <w:rPr>
                <w:color w:val="000000" w:themeColor="text1"/>
              </w:rPr>
            </w:r>
            <w:r w:rsidRPr="00DB5A34">
              <w:rPr>
                <w:color w:val="000000" w:themeColor="text1"/>
              </w:rPr>
              <w:fldChar w:fldCharType="separate"/>
            </w:r>
            <w:r w:rsidR="0036112A" w:rsidRPr="0036112A">
              <w:rPr>
                <w:rStyle w:val="FootnoteReference"/>
              </w:rPr>
              <w:t>12</w:t>
            </w:r>
            <w:r w:rsidRPr="00DB5A34">
              <w:rPr>
                <w:color w:val="000000" w:themeColor="text1"/>
              </w:rPr>
              <w:fldChar w:fldCharType="end"/>
            </w:r>
          </w:p>
        </w:tc>
        <w:tc>
          <w:tcPr>
            <w:tcW w:w="2700" w:type="dxa"/>
            <w:shd w:val="clear" w:color="auto" w:fill="auto"/>
          </w:tcPr>
          <w:p w14:paraId="523F025F" w14:textId="755966B2" w:rsidR="00AB6745" w:rsidRPr="00781112" w:rsidRDefault="00AB6745" w:rsidP="00AB6745">
            <w:pPr>
              <w:jc w:val="center"/>
              <w:rPr>
                <w:b/>
                <w:color w:val="000000" w:themeColor="text1"/>
              </w:rPr>
            </w:pPr>
            <w:r w:rsidRPr="00147386">
              <w:rPr>
                <w:color w:val="000000" w:themeColor="text1"/>
              </w:rPr>
              <w:t>x</w:t>
            </w:r>
            <w:r w:rsidRPr="00147386">
              <w:rPr>
                <w:color w:val="000000" w:themeColor="text1"/>
              </w:rPr>
              <w:fldChar w:fldCharType="begin"/>
            </w:r>
            <w:r w:rsidRPr="00147386">
              <w:rPr>
                <w:color w:val="000000" w:themeColor="text1"/>
              </w:rPr>
              <w:instrText xml:space="preserve"> NOTEREF _Ref141181750 \f \h </w:instrText>
            </w:r>
            <w:r w:rsidRPr="00147386">
              <w:rPr>
                <w:color w:val="000000" w:themeColor="text1"/>
              </w:rPr>
            </w:r>
            <w:r w:rsidRPr="00147386">
              <w:rPr>
                <w:color w:val="000000" w:themeColor="text1"/>
              </w:rPr>
              <w:fldChar w:fldCharType="separate"/>
            </w:r>
            <w:r w:rsidR="0036112A" w:rsidRPr="0036112A">
              <w:rPr>
                <w:rStyle w:val="FootnoteReference"/>
              </w:rPr>
              <w:t>12</w:t>
            </w:r>
            <w:r w:rsidRPr="00147386">
              <w:rPr>
                <w:color w:val="000000" w:themeColor="text1"/>
              </w:rPr>
              <w:fldChar w:fldCharType="end"/>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3</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AB6745" w:rsidRPr="00781112" w14:paraId="33333988" w14:textId="77777777" w:rsidTr="000F2A98">
        <w:tc>
          <w:tcPr>
            <w:tcW w:w="2695" w:type="dxa"/>
            <w:shd w:val="clear" w:color="auto" w:fill="auto"/>
          </w:tcPr>
          <w:p w14:paraId="7DC36ACB" w14:textId="0A898DD0" w:rsidR="00AB6745" w:rsidRPr="00781112" w:rsidRDefault="00AB6745" w:rsidP="00AB6745">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tcPr>
          <w:p w14:paraId="4CE4FB96" w14:textId="155D3956" w:rsidR="00AB6745" w:rsidRPr="00781112" w:rsidRDefault="00AB6745" w:rsidP="00AB6745">
            <w:pPr>
              <w:jc w:val="center"/>
              <w:rPr>
                <w:b/>
                <w:color w:val="000000" w:themeColor="text1"/>
              </w:rPr>
            </w:pPr>
            <w:r w:rsidRPr="0063763A">
              <w:rPr>
                <w:color w:val="000000" w:themeColor="text1"/>
              </w:rPr>
              <w:t>x</w:t>
            </w:r>
            <w:r w:rsidRPr="0063763A">
              <w:rPr>
                <w:color w:val="000000" w:themeColor="text1"/>
              </w:rPr>
              <w:fldChar w:fldCharType="begin"/>
            </w:r>
            <w:r w:rsidRPr="0063763A">
              <w:rPr>
                <w:color w:val="000000" w:themeColor="text1"/>
              </w:rPr>
              <w:instrText xml:space="preserve"> NOTEREF _Ref141181750 \f \h </w:instrText>
            </w:r>
            <w:r w:rsidRPr="0063763A">
              <w:rPr>
                <w:color w:val="000000" w:themeColor="text1"/>
              </w:rPr>
            </w:r>
            <w:r w:rsidRPr="0063763A">
              <w:rPr>
                <w:color w:val="000000" w:themeColor="text1"/>
              </w:rPr>
              <w:fldChar w:fldCharType="separate"/>
            </w:r>
            <w:r w:rsidR="0036112A" w:rsidRPr="0036112A">
              <w:rPr>
                <w:rStyle w:val="FootnoteReference"/>
              </w:rPr>
              <w:t>12</w:t>
            </w:r>
            <w:r w:rsidRPr="0063763A">
              <w:rPr>
                <w:color w:val="000000" w:themeColor="text1"/>
              </w:rPr>
              <w:fldChar w:fldCharType="end"/>
            </w:r>
          </w:p>
        </w:tc>
        <w:tc>
          <w:tcPr>
            <w:tcW w:w="2700" w:type="dxa"/>
            <w:shd w:val="clear" w:color="auto" w:fill="auto"/>
          </w:tcPr>
          <w:p w14:paraId="07947D7E" w14:textId="6406AC17" w:rsidR="00AB6745" w:rsidRPr="00781112" w:rsidRDefault="00AB6745" w:rsidP="00AB6745">
            <w:pPr>
              <w:jc w:val="center"/>
              <w:rPr>
                <w:b/>
                <w:color w:val="000000" w:themeColor="text1"/>
              </w:rPr>
            </w:pPr>
            <w:r w:rsidRPr="0063763A">
              <w:rPr>
                <w:color w:val="000000" w:themeColor="text1"/>
              </w:rPr>
              <w:t>x</w:t>
            </w:r>
            <w:r w:rsidRPr="0063763A">
              <w:rPr>
                <w:color w:val="000000" w:themeColor="text1"/>
              </w:rPr>
              <w:fldChar w:fldCharType="begin"/>
            </w:r>
            <w:r w:rsidRPr="0063763A">
              <w:rPr>
                <w:color w:val="000000" w:themeColor="text1"/>
              </w:rPr>
              <w:instrText xml:space="preserve"> NOTEREF _Ref141181750 \f \h </w:instrText>
            </w:r>
            <w:r w:rsidRPr="0063763A">
              <w:rPr>
                <w:color w:val="000000" w:themeColor="text1"/>
              </w:rPr>
            </w:r>
            <w:r w:rsidRPr="0063763A">
              <w:rPr>
                <w:color w:val="000000" w:themeColor="text1"/>
              </w:rPr>
              <w:fldChar w:fldCharType="separate"/>
            </w:r>
            <w:r w:rsidR="0036112A" w:rsidRPr="0036112A">
              <w:rPr>
                <w:rStyle w:val="FootnoteReference"/>
              </w:rPr>
              <w:t>12</w:t>
            </w:r>
            <w:r w:rsidRPr="0063763A">
              <w:rPr>
                <w:color w:val="000000" w:themeColor="text1"/>
              </w:rPr>
              <w:fldChar w:fldCharType="end"/>
            </w:r>
          </w:p>
        </w:tc>
        <w:tc>
          <w:tcPr>
            <w:tcW w:w="2700" w:type="dxa"/>
            <w:shd w:val="clear" w:color="auto" w:fill="auto"/>
          </w:tcPr>
          <w:p w14:paraId="669EEFA3" w14:textId="2694EB6C" w:rsidR="00AB6745" w:rsidRPr="00781112" w:rsidRDefault="00AB6745" w:rsidP="00AB6745">
            <w:pPr>
              <w:jc w:val="center"/>
              <w:rPr>
                <w:b/>
                <w:color w:val="000000" w:themeColor="text1"/>
              </w:rPr>
            </w:pPr>
            <w:r w:rsidRPr="0063763A">
              <w:rPr>
                <w:color w:val="000000" w:themeColor="text1"/>
              </w:rPr>
              <w:t>x</w:t>
            </w:r>
            <w:r w:rsidRPr="0063763A">
              <w:rPr>
                <w:color w:val="000000" w:themeColor="text1"/>
              </w:rPr>
              <w:fldChar w:fldCharType="begin"/>
            </w:r>
            <w:r w:rsidRPr="0063763A">
              <w:rPr>
                <w:color w:val="000000" w:themeColor="text1"/>
              </w:rPr>
              <w:instrText xml:space="preserve"> NOTEREF _Ref141181750 \f \h </w:instrText>
            </w:r>
            <w:r w:rsidRPr="0063763A">
              <w:rPr>
                <w:color w:val="000000" w:themeColor="text1"/>
              </w:rPr>
            </w:r>
            <w:r w:rsidRPr="0063763A">
              <w:rPr>
                <w:color w:val="000000" w:themeColor="text1"/>
              </w:rPr>
              <w:fldChar w:fldCharType="separate"/>
            </w:r>
            <w:r w:rsidR="0036112A" w:rsidRPr="0036112A">
              <w:rPr>
                <w:rStyle w:val="FootnoteReference"/>
              </w:rPr>
              <w:t>12</w:t>
            </w:r>
            <w:r w:rsidRPr="0063763A">
              <w:rPr>
                <w:color w:val="000000" w:themeColor="text1"/>
              </w:rPr>
              <w:fldChar w:fldCharType="end"/>
            </w:r>
          </w:p>
        </w:tc>
      </w:tr>
      <w:tr w:rsidR="00AB6745" w:rsidRPr="00781112" w14:paraId="7E58498F" w14:textId="77777777" w:rsidTr="000F2A98">
        <w:tc>
          <w:tcPr>
            <w:tcW w:w="2695" w:type="dxa"/>
            <w:shd w:val="clear" w:color="auto" w:fill="auto"/>
          </w:tcPr>
          <w:p w14:paraId="4F32E0BC" w14:textId="3249207F" w:rsidR="00AB6745" w:rsidRPr="00781112" w:rsidRDefault="00AB6745" w:rsidP="00AB6745">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tcPr>
          <w:p w14:paraId="6DE46D54" w14:textId="538607C8" w:rsidR="00AB6745" w:rsidRPr="00781112" w:rsidRDefault="00AB6745" w:rsidP="00AB6745">
            <w:pPr>
              <w:jc w:val="center"/>
              <w:rPr>
                <w:b/>
                <w:color w:val="000000" w:themeColor="text1"/>
              </w:rPr>
            </w:pPr>
            <w:r w:rsidRPr="0063763A">
              <w:rPr>
                <w:color w:val="000000" w:themeColor="text1"/>
              </w:rPr>
              <w:t>x</w:t>
            </w:r>
            <w:r w:rsidRPr="0063763A">
              <w:rPr>
                <w:color w:val="000000" w:themeColor="text1"/>
              </w:rPr>
              <w:fldChar w:fldCharType="begin"/>
            </w:r>
            <w:r w:rsidRPr="0063763A">
              <w:rPr>
                <w:color w:val="000000" w:themeColor="text1"/>
              </w:rPr>
              <w:instrText xml:space="preserve"> NOTEREF _Ref141181750 \f \h </w:instrText>
            </w:r>
            <w:r w:rsidRPr="0063763A">
              <w:rPr>
                <w:color w:val="000000" w:themeColor="text1"/>
              </w:rPr>
            </w:r>
            <w:r w:rsidRPr="0063763A">
              <w:rPr>
                <w:color w:val="000000" w:themeColor="text1"/>
              </w:rPr>
              <w:fldChar w:fldCharType="separate"/>
            </w:r>
            <w:r w:rsidR="0036112A" w:rsidRPr="0036112A">
              <w:rPr>
                <w:rStyle w:val="FootnoteReference"/>
              </w:rPr>
              <w:t>12</w:t>
            </w:r>
            <w:r w:rsidRPr="0063763A">
              <w:rPr>
                <w:color w:val="000000" w:themeColor="text1"/>
              </w:rPr>
              <w:fldChar w:fldCharType="end"/>
            </w:r>
          </w:p>
        </w:tc>
        <w:tc>
          <w:tcPr>
            <w:tcW w:w="2700" w:type="dxa"/>
            <w:shd w:val="clear" w:color="auto" w:fill="auto"/>
          </w:tcPr>
          <w:p w14:paraId="6F4311F8" w14:textId="18BBBAB8" w:rsidR="00AB6745" w:rsidRPr="00781112" w:rsidRDefault="00AB6745" w:rsidP="00AB6745">
            <w:pPr>
              <w:jc w:val="center"/>
              <w:rPr>
                <w:b/>
                <w:color w:val="000000" w:themeColor="text1"/>
              </w:rPr>
            </w:pPr>
            <w:r w:rsidRPr="0063763A">
              <w:rPr>
                <w:color w:val="000000" w:themeColor="text1"/>
              </w:rPr>
              <w:t>x</w:t>
            </w:r>
            <w:r w:rsidRPr="0063763A">
              <w:rPr>
                <w:color w:val="000000" w:themeColor="text1"/>
              </w:rPr>
              <w:fldChar w:fldCharType="begin"/>
            </w:r>
            <w:r w:rsidRPr="0063763A">
              <w:rPr>
                <w:color w:val="000000" w:themeColor="text1"/>
              </w:rPr>
              <w:instrText xml:space="preserve"> NOTEREF _Ref141181750 \f \h </w:instrText>
            </w:r>
            <w:r w:rsidRPr="0063763A">
              <w:rPr>
                <w:color w:val="000000" w:themeColor="text1"/>
              </w:rPr>
            </w:r>
            <w:r w:rsidRPr="0063763A">
              <w:rPr>
                <w:color w:val="000000" w:themeColor="text1"/>
              </w:rPr>
              <w:fldChar w:fldCharType="separate"/>
            </w:r>
            <w:r w:rsidR="0036112A" w:rsidRPr="0036112A">
              <w:rPr>
                <w:rStyle w:val="FootnoteReference"/>
              </w:rPr>
              <w:t>12</w:t>
            </w:r>
            <w:r w:rsidRPr="0063763A">
              <w:rPr>
                <w:color w:val="000000" w:themeColor="text1"/>
              </w:rPr>
              <w:fldChar w:fldCharType="end"/>
            </w:r>
          </w:p>
        </w:tc>
        <w:tc>
          <w:tcPr>
            <w:tcW w:w="2700" w:type="dxa"/>
            <w:shd w:val="clear" w:color="auto" w:fill="auto"/>
          </w:tcPr>
          <w:p w14:paraId="7B154B01" w14:textId="40C965F0" w:rsidR="00AB6745" w:rsidRPr="00781112" w:rsidRDefault="00AB6745" w:rsidP="00AB6745">
            <w:pPr>
              <w:jc w:val="center"/>
              <w:rPr>
                <w:b/>
                <w:color w:val="000000" w:themeColor="text1"/>
              </w:rPr>
            </w:pPr>
            <w:r w:rsidRPr="0063763A">
              <w:rPr>
                <w:color w:val="000000" w:themeColor="text1"/>
              </w:rPr>
              <w:t>x</w:t>
            </w:r>
            <w:r w:rsidRPr="0063763A">
              <w:rPr>
                <w:color w:val="000000" w:themeColor="text1"/>
              </w:rPr>
              <w:fldChar w:fldCharType="begin"/>
            </w:r>
            <w:r w:rsidRPr="0063763A">
              <w:rPr>
                <w:color w:val="000000" w:themeColor="text1"/>
              </w:rPr>
              <w:instrText xml:space="preserve"> NOTEREF _Ref141181750 \f \h </w:instrText>
            </w:r>
            <w:r w:rsidRPr="0063763A">
              <w:rPr>
                <w:color w:val="000000" w:themeColor="text1"/>
              </w:rPr>
            </w:r>
            <w:r w:rsidRPr="0063763A">
              <w:rPr>
                <w:color w:val="000000" w:themeColor="text1"/>
              </w:rPr>
              <w:fldChar w:fldCharType="separate"/>
            </w:r>
            <w:r w:rsidR="0036112A" w:rsidRPr="0036112A">
              <w:rPr>
                <w:rStyle w:val="FootnoteReference"/>
              </w:rPr>
              <w:t>12</w:t>
            </w:r>
            <w:r w:rsidRPr="0063763A">
              <w:rPr>
                <w:color w:val="000000" w:themeColor="text1"/>
              </w:rPr>
              <w:fldChar w:fldCharType="end"/>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FA33C9" w:rsidRPr="00781112" w14:paraId="73241F59" w14:textId="77777777" w:rsidTr="00AB6745">
        <w:trPr>
          <w:tblHeader/>
        </w:trPr>
        <w:tc>
          <w:tcPr>
            <w:tcW w:w="323"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41"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73"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AB6745" w:rsidRPr="00781112" w14:paraId="318B8AAD" w14:textId="77777777" w:rsidTr="00AB6745">
        <w:tc>
          <w:tcPr>
            <w:tcW w:w="323" w:type="pct"/>
            <w:shd w:val="clear" w:color="auto" w:fill="auto"/>
            <w:vAlign w:val="center"/>
          </w:tcPr>
          <w:p w14:paraId="4BD3A1A0" w14:textId="77777777" w:rsidR="00AB6745" w:rsidRPr="00781112" w:rsidRDefault="00AB6745" w:rsidP="00AB6745">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AB6745" w:rsidRPr="00781112" w:rsidDel="00DE5045" w:rsidRDefault="00AB6745" w:rsidP="00AB6745">
            <w:pPr>
              <w:jc w:val="center"/>
              <w:rPr>
                <w:rFonts w:cs="Arial"/>
                <w:color w:val="000000" w:themeColor="text1"/>
                <w:szCs w:val="16"/>
              </w:rPr>
            </w:pPr>
            <w:r w:rsidRPr="00781112">
              <w:rPr>
                <w:rFonts w:cs="Arial"/>
                <w:color w:val="000000" w:themeColor="text1"/>
                <w:szCs w:val="16"/>
              </w:rPr>
              <w:t>Grade 3</w:t>
            </w:r>
          </w:p>
        </w:tc>
        <w:tc>
          <w:tcPr>
            <w:tcW w:w="577" w:type="pct"/>
            <w:shd w:val="clear" w:color="auto" w:fill="auto"/>
          </w:tcPr>
          <w:p w14:paraId="10EC608D" w14:textId="24898C52" w:rsidR="00AB6745" w:rsidRPr="00781112" w:rsidRDefault="00AB6745" w:rsidP="00AB6745">
            <w:pPr>
              <w:jc w:val="center"/>
              <w:rPr>
                <w:rFonts w:cs="Arial"/>
                <w:color w:val="000000" w:themeColor="text1"/>
                <w:szCs w:val="16"/>
              </w:rPr>
            </w:pPr>
            <w:r w:rsidRPr="009D096A">
              <w:rPr>
                <w:color w:val="000000" w:themeColor="text1"/>
              </w:rPr>
              <w:t>x</w:t>
            </w:r>
            <w:r w:rsidRPr="009D096A">
              <w:rPr>
                <w:color w:val="000000" w:themeColor="text1"/>
              </w:rPr>
              <w:fldChar w:fldCharType="begin"/>
            </w:r>
            <w:r w:rsidRPr="009D096A">
              <w:rPr>
                <w:color w:val="000000" w:themeColor="text1"/>
              </w:rPr>
              <w:instrText xml:space="preserve"> NOTEREF _Ref141181750 \f \h </w:instrText>
            </w:r>
            <w:r w:rsidRPr="009D096A">
              <w:rPr>
                <w:color w:val="000000" w:themeColor="text1"/>
              </w:rPr>
            </w:r>
            <w:r w:rsidRPr="009D096A">
              <w:rPr>
                <w:color w:val="000000" w:themeColor="text1"/>
              </w:rPr>
              <w:fldChar w:fldCharType="separate"/>
            </w:r>
            <w:r w:rsidR="0036112A" w:rsidRPr="0036112A">
              <w:rPr>
                <w:rStyle w:val="FootnoteReference"/>
              </w:rPr>
              <w:t>12</w:t>
            </w:r>
            <w:r w:rsidRPr="009D096A">
              <w:rPr>
                <w:color w:val="000000" w:themeColor="text1"/>
              </w:rPr>
              <w:fldChar w:fldCharType="end"/>
            </w:r>
          </w:p>
        </w:tc>
        <w:tc>
          <w:tcPr>
            <w:tcW w:w="636" w:type="pct"/>
            <w:shd w:val="clear" w:color="auto" w:fill="auto"/>
          </w:tcPr>
          <w:p w14:paraId="5740CA80" w14:textId="59AF1064" w:rsidR="00AB6745" w:rsidRPr="00781112" w:rsidRDefault="00AB6745" w:rsidP="00AB6745">
            <w:pPr>
              <w:jc w:val="center"/>
              <w:rPr>
                <w:rFonts w:cs="Arial"/>
                <w:color w:val="000000" w:themeColor="text1"/>
                <w:szCs w:val="16"/>
              </w:rPr>
            </w:pPr>
            <w:r w:rsidRPr="009D096A">
              <w:rPr>
                <w:color w:val="000000" w:themeColor="text1"/>
              </w:rPr>
              <w:t>x</w:t>
            </w:r>
            <w:r w:rsidRPr="009D096A">
              <w:rPr>
                <w:color w:val="000000" w:themeColor="text1"/>
              </w:rPr>
              <w:fldChar w:fldCharType="begin"/>
            </w:r>
            <w:r w:rsidRPr="009D096A">
              <w:rPr>
                <w:color w:val="000000" w:themeColor="text1"/>
              </w:rPr>
              <w:instrText xml:space="preserve"> NOTEREF _Ref141181750 \f \h </w:instrText>
            </w:r>
            <w:r w:rsidRPr="009D096A">
              <w:rPr>
                <w:color w:val="000000" w:themeColor="text1"/>
              </w:rPr>
            </w:r>
            <w:r w:rsidRPr="009D096A">
              <w:rPr>
                <w:color w:val="000000" w:themeColor="text1"/>
              </w:rPr>
              <w:fldChar w:fldCharType="separate"/>
            </w:r>
            <w:r w:rsidR="0036112A" w:rsidRPr="0036112A">
              <w:rPr>
                <w:rStyle w:val="FootnoteReference"/>
              </w:rPr>
              <w:t>12</w:t>
            </w:r>
            <w:r w:rsidRPr="009D096A">
              <w:rPr>
                <w:color w:val="000000" w:themeColor="text1"/>
              </w:rPr>
              <w:fldChar w:fldCharType="end"/>
            </w:r>
          </w:p>
        </w:tc>
        <w:tc>
          <w:tcPr>
            <w:tcW w:w="528" w:type="pct"/>
            <w:shd w:val="clear" w:color="auto" w:fill="auto"/>
          </w:tcPr>
          <w:p w14:paraId="6BA58310" w14:textId="304B84E1" w:rsidR="00AB6745" w:rsidRPr="00781112" w:rsidRDefault="00AB6745" w:rsidP="00AB6745">
            <w:pPr>
              <w:jc w:val="center"/>
              <w:rPr>
                <w:rFonts w:cs="Arial"/>
                <w:color w:val="000000" w:themeColor="text1"/>
                <w:szCs w:val="16"/>
              </w:rPr>
            </w:pPr>
            <w:r w:rsidRPr="009D096A">
              <w:rPr>
                <w:color w:val="000000" w:themeColor="text1"/>
              </w:rPr>
              <w:t>x</w:t>
            </w:r>
            <w:r w:rsidRPr="009D096A">
              <w:rPr>
                <w:color w:val="000000" w:themeColor="text1"/>
              </w:rPr>
              <w:fldChar w:fldCharType="begin"/>
            </w:r>
            <w:r w:rsidRPr="009D096A">
              <w:rPr>
                <w:color w:val="000000" w:themeColor="text1"/>
              </w:rPr>
              <w:instrText xml:space="preserve"> NOTEREF _Ref141181750 \f \h </w:instrText>
            </w:r>
            <w:r w:rsidRPr="009D096A">
              <w:rPr>
                <w:color w:val="000000" w:themeColor="text1"/>
              </w:rPr>
            </w:r>
            <w:r w:rsidRPr="009D096A">
              <w:rPr>
                <w:color w:val="000000" w:themeColor="text1"/>
              </w:rPr>
              <w:fldChar w:fldCharType="separate"/>
            </w:r>
            <w:r w:rsidR="0036112A" w:rsidRPr="0036112A">
              <w:rPr>
                <w:rStyle w:val="FootnoteReference"/>
              </w:rPr>
              <w:t>12</w:t>
            </w:r>
            <w:r w:rsidRPr="009D096A">
              <w:rPr>
                <w:color w:val="000000" w:themeColor="text1"/>
              </w:rPr>
              <w:fldChar w:fldCharType="end"/>
            </w:r>
          </w:p>
        </w:tc>
        <w:tc>
          <w:tcPr>
            <w:tcW w:w="741" w:type="pct"/>
            <w:shd w:val="clear" w:color="auto" w:fill="auto"/>
          </w:tcPr>
          <w:p w14:paraId="47A1F29A" w14:textId="0E923F64" w:rsidR="00AB6745" w:rsidRPr="00781112" w:rsidRDefault="00AB6745" w:rsidP="00AB6745">
            <w:pPr>
              <w:jc w:val="center"/>
              <w:rPr>
                <w:rFonts w:cs="Arial"/>
                <w:color w:val="000000" w:themeColor="text1"/>
                <w:szCs w:val="16"/>
              </w:rPr>
            </w:pPr>
          </w:p>
        </w:tc>
        <w:tc>
          <w:tcPr>
            <w:tcW w:w="487" w:type="pct"/>
            <w:shd w:val="clear" w:color="auto" w:fill="auto"/>
          </w:tcPr>
          <w:p w14:paraId="2AE4C61A" w14:textId="0A7525E9" w:rsidR="00AB6745" w:rsidRPr="00781112" w:rsidRDefault="00AB6745" w:rsidP="00AB6745">
            <w:pPr>
              <w:jc w:val="center"/>
              <w:rPr>
                <w:rFonts w:cs="Arial"/>
                <w:color w:val="000000" w:themeColor="text1"/>
                <w:szCs w:val="16"/>
              </w:rPr>
            </w:pPr>
            <w:r w:rsidRPr="0000590D">
              <w:rPr>
                <w:color w:val="000000" w:themeColor="text1"/>
              </w:rPr>
              <w:t>x</w:t>
            </w:r>
            <w:r w:rsidRPr="0000590D">
              <w:rPr>
                <w:color w:val="000000" w:themeColor="text1"/>
              </w:rPr>
              <w:fldChar w:fldCharType="begin"/>
            </w:r>
            <w:r w:rsidRPr="0000590D">
              <w:rPr>
                <w:color w:val="000000" w:themeColor="text1"/>
              </w:rPr>
              <w:instrText xml:space="preserve"> NOTEREF _Ref141181750 \f \h </w:instrText>
            </w:r>
            <w:r w:rsidRPr="0000590D">
              <w:rPr>
                <w:color w:val="000000" w:themeColor="text1"/>
              </w:rPr>
            </w:r>
            <w:r w:rsidRPr="0000590D">
              <w:rPr>
                <w:color w:val="000000" w:themeColor="text1"/>
              </w:rPr>
              <w:fldChar w:fldCharType="separate"/>
            </w:r>
            <w:r w:rsidR="0036112A" w:rsidRPr="0036112A">
              <w:rPr>
                <w:rStyle w:val="FootnoteReference"/>
              </w:rPr>
              <w:t>12</w:t>
            </w:r>
            <w:r w:rsidRPr="0000590D">
              <w:rPr>
                <w:color w:val="000000" w:themeColor="text1"/>
              </w:rPr>
              <w:fldChar w:fldCharType="end"/>
            </w:r>
          </w:p>
        </w:tc>
        <w:tc>
          <w:tcPr>
            <w:tcW w:w="589" w:type="pct"/>
            <w:shd w:val="clear" w:color="auto" w:fill="auto"/>
          </w:tcPr>
          <w:p w14:paraId="2590AA37" w14:textId="2B2E3DAE"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39DEC07F" w14:textId="70B28667"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r>
      <w:tr w:rsidR="00AB6745" w:rsidRPr="00781112" w14:paraId="52B173E5" w14:textId="77777777" w:rsidTr="00AB6745">
        <w:tc>
          <w:tcPr>
            <w:tcW w:w="323" w:type="pct"/>
            <w:shd w:val="clear" w:color="auto" w:fill="auto"/>
            <w:vAlign w:val="center"/>
          </w:tcPr>
          <w:p w14:paraId="5153CDB6" w14:textId="77777777" w:rsidR="00AB6745" w:rsidRPr="00781112" w:rsidRDefault="00AB6745" w:rsidP="00AB6745">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AB6745" w:rsidRPr="00781112" w:rsidDel="00DE5045" w:rsidRDefault="00AB6745" w:rsidP="00AB6745">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591475D5" w:rsidR="00AB6745" w:rsidRPr="00781112" w:rsidRDefault="00AB6745" w:rsidP="00AB6745">
            <w:pPr>
              <w:jc w:val="center"/>
              <w:rPr>
                <w:rFonts w:cs="Arial"/>
                <w:color w:val="000000" w:themeColor="text1"/>
                <w:szCs w:val="16"/>
              </w:rPr>
            </w:pPr>
            <w:r w:rsidRPr="009D096A">
              <w:rPr>
                <w:color w:val="000000" w:themeColor="text1"/>
              </w:rPr>
              <w:t>x</w:t>
            </w:r>
            <w:r w:rsidRPr="009D096A">
              <w:rPr>
                <w:color w:val="000000" w:themeColor="text1"/>
              </w:rPr>
              <w:fldChar w:fldCharType="begin"/>
            </w:r>
            <w:r w:rsidRPr="009D096A">
              <w:rPr>
                <w:color w:val="000000" w:themeColor="text1"/>
              </w:rPr>
              <w:instrText xml:space="preserve"> NOTEREF _Ref141181750 \f \h </w:instrText>
            </w:r>
            <w:r w:rsidRPr="009D096A">
              <w:rPr>
                <w:color w:val="000000" w:themeColor="text1"/>
              </w:rPr>
            </w:r>
            <w:r w:rsidRPr="009D096A">
              <w:rPr>
                <w:color w:val="000000" w:themeColor="text1"/>
              </w:rPr>
              <w:fldChar w:fldCharType="separate"/>
            </w:r>
            <w:r w:rsidR="0036112A" w:rsidRPr="0036112A">
              <w:rPr>
                <w:rStyle w:val="FootnoteReference"/>
              </w:rPr>
              <w:t>12</w:t>
            </w:r>
            <w:r w:rsidRPr="009D096A">
              <w:rPr>
                <w:color w:val="000000" w:themeColor="text1"/>
              </w:rPr>
              <w:fldChar w:fldCharType="end"/>
            </w:r>
          </w:p>
        </w:tc>
        <w:tc>
          <w:tcPr>
            <w:tcW w:w="636" w:type="pct"/>
            <w:shd w:val="clear" w:color="auto" w:fill="auto"/>
          </w:tcPr>
          <w:p w14:paraId="1BCB466D" w14:textId="7549EC8C" w:rsidR="00AB6745" w:rsidRPr="00781112" w:rsidRDefault="00AB6745" w:rsidP="00AB6745">
            <w:pPr>
              <w:jc w:val="center"/>
              <w:rPr>
                <w:rFonts w:cs="Arial"/>
                <w:color w:val="000000" w:themeColor="text1"/>
                <w:szCs w:val="16"/>
              </w:rPr>
            </w:pPr>
            <w:r w:rsidRPr="009D096A">
              <w:rPr>
                <w:color w:val="000000" w:themeColor="text1"/>
              </w:rPr>
              <w:t>x</w:t>
            </w:r>
            <w:r w:rsidRPr="009D096A">
              <w:rPr>
                <w:color w:val="000000" w:themeColor="text1"/>
              </w:rPr>
              <w:fldChar w:fldCharType="begin"/>
            </w:r>
            <w:r w:rsidRPr="009D096A">
              <w:rPr>
                <w:color w:val="000000" w:themeColor="text1"/>
              </w:rPr>
              <w:instrText xml:space="preserve"> NOTEREF _Ref141181750 \f \h </w:instrText>
            </w:r>
            <w:r w:rsidRPr="009D096A">
              <w:rPr>
                <w:color w:val="000000" w:themeColor="text1"/>
              </w:rPr>
            </w:r>
            <w:r w:rsidRPr="009D096A">
              <w:rPr>
                <w:color w:val="000000" w:themeColor="text1"/>
              </w:rPr>
              <w:fldChar w:fldCharType="separate"/>
            </w:r>
            <w:r w:rsidR="0036112A" w:rsidRPr="0036112A">
              <w:rPr>
                <w:rStyle w:val="FootnoteReference"/>
              </w:rPr>
              <w:t>12</w:t>
            </w:r>
            <w:r w:rsidRPr="009D096A">
              <w:rPr>
                <w:color w:val="000000" w:themeColor="text1"/>
              </w:rPr>
              <w:fldChar w:fldCharType="end"/>
            </w:r>
          </w:p>
        </w:tc>
        <w:tc>
          <w:tcPr>
            <w:tcW w:w="528" w:type="pct"/>
            <w:shd w:val="clear" w:color="auto" w:fill="auto"/>
          </w:tcPr>
          <w:p w14:paraId="60597E0A" w14:textId="4062B8ED" w:rsidR="00AB6745" w:rsidRPr="00781112" w:rsidRDefault="00AB6745" w:rsidP="00AB6745">
            <w:pPr>
              <w:jc w:val="center"/>
              <w:rPr>
                <w:rFonts w:cs="Arial"/>
                <w:color w:val="000000" w:themeColor="text1"/>
                <w:szCs w:val="16"/>
              </w:rPr>
            </w:pPr>
            <w:r w:rsidRPr="009D096A">
              <w:rPr>
                <w:color w:val="000000" w:themeColor="text1"/>
              </w:rPr>
              <w:t>x</w:t>
            </w:r>
            <w:r w:rsidRPr="009D096A">
              <w:rPr>
                <w:color w:val="000000" w:themeColor="text1"/>
              </w:rPr>
              <w:fldChar w:fldCharType="begin"/>
            </w:r>
            <w:r w:rsidRPr="009D096A">
              <w:rPr>
                <w:color w:val="000000" w:themeColor="text1"/>
              </w:rPr>
              <w:instrText xml:space="preserve"> NOTEREF _Ref141181750 \f \h </w:instrText>
            </w:r>
            <w:r w:rsidRPr="009D096A">
              <w:rPr>
                <w:color w:val="000000" w:themeColor="text1"/>
              </w:rPr>
            </w:r>
            <w:r w:rsidRPr="009D096A">
              <w:rPr>
                <w:color w:val="000000" w:themeColor="text1"/>
              </w:rPr>
              <w:fldChar w:fldCharType="separate"/>
            </w:r>
            <w:r w:rsidR="0036112A" w:rsidRPr="0036112A">
              <w:rPr>
                <w:rStyle w:val="FootnoteReference"/>
              </w:rPr>
              <w:t>12</w:t>
            </w:r>
            <w:r w:rsidRPr="009D096A">
              <w:rPr>
                <w:color w:val="000000" w:themeColor="text1"/>
              </w:rPr>
              <w:fldChar w:fldCharType="end"/>
            </w:r>
          </w:p>
        </w:tc>
        <w:tc>
          <w:tcPr>
            <w:tcW w:w="741" w:type="pct"/>
            <w:shd w:val="clear" w:color="auto" w:fill="auto"/>
          </w:tcPr>
          <w:p w14:paraId="6445398C" w14:textId="393A6DFD" w:rsidR="00AB6745" w:rsidRPr="00781112" w:rsidRDefault="00AB6745" w:rsidP="00AB6745">
            <w:pPr>
              <w:jc w:val="center"/>
              <w:rPr>
                <w:rFonts w:cs="Arial"/>
                <w:color w:val="000000" w:themeColor="text1"/>
                <w:szCs w:val="16"/>
              </w:rPr>
            </w:pPr>
          </w:p>
        </w:tc>
        <w:tc>
          <w:tcPr>
            <w:tcW w:w="487" w:type="pct"/>
            <w:shd w:val="clear" w:color="auto" w:fill="auto"/>
          </w:tcPr>
          <w:p w14:paraId="4EBD899F" w14:textId="6007F413" w:rsidR="00AB6745" w:rsidRPr="00781112" w:rsidRDefault="00AB6745" w:rsidP="00AB6745">
            <w:pPr>
              <w:jc w:val="center"/>
              <w:rPr>
                <w:rFonts w:cs="Arial"/>
                <w:color w:val="000000" w:themeColor="text1"/>
                <w:szCs w:val="16"/>
              </w:rPr>
            </w:pPr>
            <w:r w:rsidRPr="0000590D">
              <w:rPr>
                <w:color w:val="000000" w:themeColor="text1"/>
              </w:rPr>
              <w:t>x</w:t>
            </w:r>
            <w:r w:rsidRPr="0000590D">
              <w:rPr>
                <w:color w:val="000000" w:themeColor="text1"/>
              </w:rPr>
              <w:fldChar w:fldCharType="begin"/>
            </w:r>
            <w:r w:rsidRPr="0000590D">
              <w:rPr>
                <w:color w:val="000000" w:themeColor="text1"/>
              </w:rPr>
              <w:instrText xml:space="preserve"> NOTEREF _Ref141181750 \f \h </w:instrText>
            </w:r>
            <w:r w:rsidRPr="0000590D">
              <w:rPr>
                <w:color w:val="000000" w:themeColor="text1"/>
              </w:rPr>
            </w:r>
            <w:r w:rsidRPr="0000590D">
              <w:rPr>
                <w:color w:val="000000" w:themeColor="text1"/>
              </w:rPr>
              <w:fldChar w:fldCharType="separate"/>
            </w:r>
            <w:r w:rsidR="0036112A" w:rsidRPr="0036112A">
              <w:rPr>
                <w:rStyle w:val="FootnoteReference"/>
              </w:rPr>
              <w:t>12</w:t>
            </w:r>
            <w:r w:rsidRPr="0000590D">
              <w:rPr>
                <w:color w:val="000000" w:themeColor="text1"/>
              </w:rPr>
              <w:fldChar w:fldCharType="end"/>
            </w:r>
          </w:p>
        </w:tc>
        <w:tc>
          <w:tcPr>
            <w:tcW w:w="589" w:type="pct"/>
            <w:shd w:val="clear" w:color="auto" w:fill="auto"/>
          </w:tcPr>
          <w:p w14:paraId="585589D4" w14:textId="6C3ED8A0"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64956786" w14:textId="4047CECE"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r>
      <w:tr w:rsidR="00AB6745" w:rsidRPr="00781112" w14:paraId="3EA2EA1E" w14:textId="77777777" w:rsidTr="00AB6745">
        <w:tc>
          <w:tcPr>
            <w:tcW w:w="323" w:type="pct"/>
            <w:shd w:val="clear" w:color="auto" w:fill="auto"/>
            <w:vAlign w:val="center"/>
          </w:tcPr>
          <w:p w14:paraId="7CB7E776" w14:textId="77777777" w:rsidR="00AB6745" w:rsidRPr="00781112" w:rsidRDefault="00AB6745" w:rsidP="00AB6745">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AB6745" w:rsidRPr="00781112" w:rsidDel="00DE5045" w:rsidRDefault="00AB6745" w:rsidP="00AB6745">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18660946" w:rsidR="00AB6745" w:rsidRPr="00781112" w:rsidRDefault="00AB6745" w:rsidP="00AB6745">
            <w:pPr>
              <w:jc w:val="center"/>
              <w:rPr>
                <w:rFonts w:cs="Arial"/>
                <w:color w:val="000000" w:themeColor="text1"/>
                <w:szCs w:val="16"/>
              </w:rPr>
            </w:pPr>
            <w:r w:rsidRPr="009D096A">
              <w:rPr>
                <w:color w:val="000000" w:themeColor="text1"/>
              </w:rPr>
              <w:t>x</w:t>
            </w:r>
            <w:r w:rsidRPr="009D096A">
              <w:rPr>
                <w:color w:val="000000" w:themeColor="text1"/>
              </w:rPr>
              <w:fldChar w:fldCharType="begin"/>
            </w:r>
            <w:r w:rsidRPr="009D096A">
              <w:rPr>
                <w:color w:val="000000" w:themeColor="text1"/>
              </w:rPr>
              <w:instrText xml:space="preserve"> NOTEREF _Ref141181750 \f \h </w:instrText>
            </w:r>
            <w:r w:rsidRPr="009D096A">
              <w:rPr>
                <w:color w:val="000000" w:themeColor="text1"/>
              </w:rPr>
            </w:r>
            <w:r w:rsidRPr="009D096A">
              <w:rPr>
                <w:color w:val="000000" w:themeColor="text1"/>
              </w:rPr>
              <w:fldChar w:fldCharType="separate"/>
            </w:r>
            <w:r w:rsidR="0036112A" w:rsidRPr="0036112A">
              <w:rPr>
                <w:rStyle w:val="FootnoteReference"/>
              </w:rPr>
              <w:t>12</w:t>
            </w:r>
            <w:r w:rsidRPr="009D096A">
              <w:rPr>
                <w:color w:val="000000" w:themeColor="text1"/>
              </w:rPr>
              <w:fldChar w:fldCharType="end"/>
            </w:r>
          </w:p>
        </w:tc>
        <w:tc>
          <w:tcPr>
            <w:tcW w:w="636" w:type="pct"/>
            <w:shd w:val="clear" w:color="auto" w:fill="auto"/>
          </w:tcPr>
          <w:p w14:paraId="0F212AA6" w14:textId="16D47E96" w:rsidR="00AB6745" w:rsidRPr="00781112" w:rsidRDefault="00AB6745" w:rsidP="00AB6745">
            <w:pPr>
              <w:jc w:val="center"/>
              <w:rPr>
                <w:rFonts w:cs="Arial"/>
                <w:color w:val="000000" w:themeColor="text1"/>
                <w:szCs w:val="16"/>
              </w:rPr>
            </w:pPr>
            <w:r w:rsidRPr="009D096A">
              <w:rPr>
                <w:color w:val="000000" w:themeColor="text1"/>
              </w:rPr>
              <w:t>x</w:t>
            </w:r>
            <w:r w:rsidRPr="009D096A">
              <w:rPr>
                <w:color w:val="000000" w:themeColor="text1"/>
              </w:rPr>
              <w:fldChar w:fldCharType="begin"/>
            </w:r>
            <w:r w:rsidRPr="009D096A">
              <w:rPr>
                <w:color w:val="000000" w:themeColor="text1"/>
              </w:rPr>
              <w:instrText xml:space="preserve"> NOTEREF _Ref141181750 \f \h </w:instrText>
            </w:r>
            <w:r w:rsidRPr="009D096A">
              <w:rPr>
                <w:color w:val="000000" w:themeColor="text1"/>
              </w:rPr>
            </w:r>
            <w:r w:rsidRPr="009D096A">
              <w:rPr>
                <w:color w:val="000000" w:themeColor="text1"/>
              </w:rPr>
              <w:fldChar w:fldCharType="separate"/>
            </w:r>
            <w:r w:rsidR="0036112A" w:rsidRPr="0036112A">
              <w:rPr>
                <w:rStyle w:val="FootnoteReference"/>
              </w:rPr>
              <w:t>12</w:t>
            </w:r>
            <w:r w:rsidRPr="009D096A">
              <w:rPr>
                <w:color w:val="000000" w:themeColor="text1"/>
              </w:rPr>
              <w:fldChar w:fldCharType="end"/>
            </w:r>
          </w:p>
        </w:tc>
        <w:tc>
          <w:tcPr>
            <w:tcW w:w="528" w:type="pct"/>
            <w:shd w:val="clear" w:color="auto" w:fill="auto"/>
          </w:tcPr>
          <w:p w14:paraId="066DE90A" w14:textId="01644D2C" w:rsidR="00AB6745" w:rsidRPr="00781112" w:rsidRDefault="00AB6745" w:rsidP="00AB6745">
            <w:pPr>
              <w:jc w:val="center"/>
              <w:rPr>
                <w:rFonts w:cs="Arial"/>
                <w:color w:val="000000" w:themeColor="text1"/>
                <w:szCs w:val="16"/>
              </w:rPr>
            </w:pPr>
            <w:r w:rsidRPr="009D096A">
              <w:rPr>
                <w:color w:val="000000" w:themeColor="text1"/>
              </w:rPr>
              <w:t>x</w:t>
            </w:r>
            <w:r w:rsidRPr="009D096A">
              <w:rPr>
                <w:color w:val="000000" w:themeColor="text1"/>
              </w:rPr>
              <w:fldChar w:fldCharType="begin"/>
            </w:r>
            <w:r w:rsidRPr="009D096A">
              <w:rPr>
                <w:color w:val="000000" w:themeColor="text1"/>
              </w:rPr>
              <w:instrText xml:space="preserve"> NOTEREF _Ref141181750 \f \h </w:instrText>
            </w:r>
            <w:r w:rsidRPr="009D096A">
              <w:rPr>
                <w:color w:val="000000" w:themeColor="text1"/>
              </w:rPr>
            </w:r>
            <w:r w:rsidRPr="009D096A">
              <w:rPr>
                <w:color w:val="000000" w:themeColor="text1"/>
              </w:rPr>
              <w:fldChar w:fldCharType="separate"/>
            </w:r>
            <w:r w:rsidR="0036112A" w:rsidRPr="0036112A">
              <w:rPr>
                <w:rStyle w:val="FootnoteReference"/>
              </w:rPr>
              <w:t>12</w:t>
            </w:r>
            <w:r w:rsidRPr="009D096A">
              <w:rPr>
                <w:color w:val="000000" w:themeColor="text1"/>
              </w:rPr>
              <w:fldChar w:fldCharType="end"/>
            </w:r>
          </w:p>
        </w:tc>
        <w:tc>
          <w:tcPr>
            <w:tcW w:w="741" w:type="pct"/>
            <w:shd w:val="clear" w:color="auto" w:fill="auto"/>
          </w:tcPr>
          <w:p w14:paraId="4191EA17" w14:textId="17F82057" w:rsidR="00AB6745" w:rsidRPr="00781112" w:rsidRDefault="00AB6745" w:rsidP="00AB6745">
            <w:pPr>
              <w:jc w:val="center"/>
              <w:rPr>
                <w:rFonts w:cs="Arial"/>
                <w:color w:val="000000" w:themeColor="text1"/>
                <w:szCs w:val="16"/>
              </w:rPr>
            </w:pPr>
          </w:p>
        </w:tc>
        <w:tc>
          <w:tcPr>
            <w:tcW w:w="487" w:type="pct"/>
            <w:shd w:val="clear" w:color="auto" w:fill="auto"/>
          </w:tcPr>
          <w:p w14:paraId="15CE5CCF" w14:textId="6626F12D" w:rsidR="00AB6745" w:rsidRPr="00781112" w:rsidRDefault="00AB6745" w:rsidP="00AB6745">
            <w:pPr>
              <w:jc w:val="center"/>
              <w:rPr>
                <w:rFonts w:cs="Arial"/>
                <w:color w:val="000000" w:themeColor="text1"/>
                <w:szCs w:val="16"/>
              </w:rPr>
            </w:pPr>
            <w:r w:rsidRPr="0000590D">
              <w:rPr>
                <w:color w:val="000000" w:themeColor="text1"/>
              </w:rPr>
              <w:t>x</w:t>
            </w:r>
            <w:r w:rsidRPr="0000590D">
              <w:rPr>
                <w:color w:val="000000" w:themeColor="text1"/>
              </w:rPr>
              <w:fldChar w:fldCharType="begin"/>
            </w:r>
            <w:r w:rsidRPr="0000590D">
              <w:rPr>
                <w:color w:val="000000" w:themeColor="text1"/>
              </w:rPr>
              <w:instrText xml:space="preserve"> NOTEREF _Ref141181750 \f \h </w:instrText>
            </w:r>
            <w:r w:rsidRPr="0000590D">
              <w:rPr>
                <w:color w:val="000000" w:themeColor="text1"/>
              </w:rPr>
            </w:r>
            <w:r w:rsidRPr="0000590D">
              <w:rPr>
                <w:color w:val="000000" w:themeColor="text1"/>
              </w:rPr>
              <w:fldChar w:fldCharType="separate"/>
            </w:r>
            <w:r w:rsidR="0036112A" w:rsidRPr="0036112A">
              <w:rPr>
                <w:rStyle w:val="FootnoteReference"/>
              </w:rPr>
              <w:t>12</w:t>
            </w:r>
            <w:r w:rsidRPr="0000590D">
              <w:rPr>
                <w:color w:val="000000" w:themeColor="text1"/>
              </w:rPr>
              <w:fldChar w:fldCharType="end"/>
            </w:r>
          </w:p>
        </w:tc>
        <w:tc>
          <w:tcPr>
            <w:tcW w:w="589" w:type="pct"/>
            <w:shd w:val="clear" w:color="auto" w:fill="auto"/>
          </w:tcPr>
          <w:p w14:paraId="28CB2C9E" w14:textId="4F0EF91A"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157B84D0" w14:textId="0B58E631"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1A67A389" w14:textId="77777777" w:rsidR="0036112A" w:rsidRDefault="0036112A">
      <w:pPr>
        <w:spacing w:before="0" w:after="200" w:line="276" w:lineRule="auto"/>
        <w:rPr>
          <w:b/>
          <w:color w:val="000000" w:themeColor="text1"/>
        </w:rPr>
      </w:pPr>
      <w:r>
        <w:rPr>
          <w:b/>
          <w:color w:val="000000" w:themeColor="text1"/>
        </w:rPr>
        <w:br w:type="page"/>
      </w:r>
    </w:p>
    <w:p w14:paraId="73E73F7F" w14:textId="4A78E14A"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FA33C9" w:rsidRPr="00781112" w14:paraId="2361B602" w14:textId="77777777" w:rsidTr="00AB6745">
        <w:trPr>
          <w:tblHeader/>
        </w:trPr>
        <w:tc>
          <w:tcPr>
            <w:tcW w:w="323"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5"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39"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72"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B6745" w:rsidRPr="00781112" w14:paraId="08D65837" w14:textId="77777777" w:rsidTr="00AB6745">
        <w:tc>
          <w:tcPr>
            <w:tcW w:w="323" w:type="pct"/>
            <w:shd w:val="clear" w:color="auto" w:fill="auto"/>
            <w:vAlign w:val="center"/>
          </w:tcPr>
          <w:p w14:paraId="76903C3F" w14:textId="77777777" w:rsidR="00AB6745" w:rsidRPr="00781112" w:rsidRDefault="00AB6745" w:rsidP="00AB6745">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AB6745" w:rsidRPr="00781112" w:rsidDel="00DE5045" w:rsidRDefault="00AB6745" w:rsidP="00AB6745">
            <w:pPr>
              <w:jc w:val="center"/>
              <w:rPr>
                <w:rFonts w:cs="Arial"/>
                <w:color w:val="000000" w:themeColor="text1"/>
                <w:szCs w:val="16"/>
              </w:rPr>
            </w:pPr>
            <w:r w:rsidRPr="00781112">
              <w:rPr>
                <w:rFonts w:cs="Arial"/>
                <w:color w:val="000000" w:themeColor="text1"/>
                <w:szCs w:val="16"/>
              </w:rPr>
              <w:t>Grade 3</w:t>
            </w:r>
          </w:p>
        </w:tc>
        <w:tc>
          <w:tcPr>
            <w:tcW w:w="577" w:type="pct"/>
            <w:shd w:val="clear" w:color="auto" w:fill="auto"/>
          </w:tcPr>
          <w:p w14:paraId="16642EB5" w14:textId="7331E75F" w:rsidR="00AB6745" w:rsidRPr="00781112" w:rsidRDefault="00AB6745" w:rsidP="00AB6745">
            <w:pPr>
              <w:jc w:val="center"/>
              <w:rPr>
                <w:rFonts w:cs="Arial"/>
                <w:color w:val="000000" w:themeColor="text1"/>
                <w:szCs w:val="16"/>
              </w:rPr>
            </w:pPr>
            <w:r w:rsidRPr="00684C07">
              <w:rPr>
                <w:color w:val="000000" w:themeColor="text1"/>
              </w:rPr>
              <w:t>x</w:t>
            </w:r>
            <w:bookmarkStart w:id="30" w:name="_Ref141181798"/>
            <w:r>
              <w:rPr>
                <w:rStyle w:val="FootnoteReference"/>
                <w:color w:val="000000" w:themeColor="text1"/>
              </w:rPr>
              <w:footnoteReference w:id="17"/>
            </w:r>
            <w:bookmarkEnd w:id="30"/>
          </w:p>
        </w:tc>
        <w:tc>
          <w:tcPr>
            <w:tcW w:w="635" w:type="pct"/>
            <w:shd w:val="clear" w:color="auto" w:fill="auto"/>
          </w:tcPr>
          <w:p w14:paraId="1C6085EF" w14:textId="201C9343" w:rsidR="00AB6745" w:rsidRPr="00781112" w:rsidRDefault="00AB6745" w:rsidP="00AB6745">
            <w:pPr>
              <w:jc w:val="center"/>
              <w:rPr>
                <w:rFonts w:cs="Arial"/>
                <w:color w:val="000000" w:themeColor="text1"/>
                <w:szCs w:val="16"/>
              </w:rPr>
            </w:pPr>
            <w:r w:rsidRPr="00684C07">
              <w:rPr>
                <w:color w:val="000000" w:themeColor="text1"/>
              </w:rPr>
              <w:t>x</w:t>
            </w:r>
            <w:r>
              <w:rPr>
                <w:color w:val="000000" w:themeColor="text1"/>
              </w:rPr>
              <w:fldChar w:fldCharType="begin"/>
            </w:r>
            <w:r>
              <w:rPr>
                <w:color w:val="000000" w:themeColor="text1"/>
              </w:rPr>
              <w:instrText xml:space="preserve"> NOTEREF _Ref141181798 \f \h </w:instrText>
            </w:r>
            <w:r>
              <w:rPr>
                <w:color w:val="000000" w:themeColor="text1"/>
              </w:rPr>
            </w:r>
            <w:r>
              <w:rPr>
                <w:color w:val="000000" w:themeColor="text1"/>
              </w:rPr>
              <w:fldChar w:fldCharType="separate"/>
            </w:r>
            <w:r w:rsidR="0036112A" w:rsidRPr="0036112A">
              <w:rPr>
                <w:rStyle w:val="FootnoteReference"/>
              </w:rPr>
              <w:t>13</w:t>
            </w:r>
            <w:r>
              <w:rPr>
                <w:color w:val="000000" w:themeColor="text1"/>
              </w:rPr>
              <w:fldChar w:fldCharType="end"/>
            </w:r>
          </w:p>
        </w:tc>
        <w:tc>
          <w:tcPr>
            <w:tcW w:w="528" w:type="pct"/>
            <w:shd w:val="clear" w:color="auto" w:fill="auto"/>
          </w:tcPr>
          <w:p w14:paraId="3DFEF3CC" w14:textId="527E090A" w:rsidR="00AB6745" w:rsidRPr="00781112" w:rsidRDefault="00AB6745" w:rsidP="00AB6745">
            <w:pPr>
              <w:jc w:val="center"/>
              <w:rPr>
                <w:rFonts w:cs="Arial"/>
                <w:color w:val="000000" w:themeColor="text1"/>
                <w:szCs w:val="16"/>
              </w:rPr>
            </w:pPr>
            <w:r w:rsidRPr="002549DC">
              <w:rPr>
                <w:color w:val="000000" w:themeColor="text1"/>
              </w:rPr>
              <w:t>x</w:t>
            </w:r>
            <w:r w:rsidRPr="002549DC">
              <w:rPr>
                <w:color w:val="000000" w:themeColor="text1"/>
              </w:rPr>
              <w:fldChar w:fldCharType="begin"/>
            </w:r>
            <w:r w:rsidRPr="002549DC">
              <w:rPr>
                <w:color w:val="000000" w:themeColor="text1"/>
              </w:rPr>
              <w:instrText xml:space="preserve"> NOTEREF _Ref141181798 \f \h </w:instrText>
            </w:r>
            <w:r w:rsidRPr="002549DC">
              <w:rPr>
                <w:color w:val="000000" w:themeColor="text1"/>
              </w:rPr>
            </w:r>
            <w:r w:rsidRPr="002549DC">
              <w:rPr>
                <w:color w:val="000000" w:themeColor="text1"/>
              </w:rPr>
              <w:fldChar w:fldCharType="separate"/>
            </w:r>
            <w:r w:rsidR="0036112A" w:rsidRPr="0036112A">
              <w:rPr>
                <w:rStyle w:val="FootnoteReference"/>
              </w:rPr>
              <w:t>13</w:t>
            </w:r>
            <w:r w:rsidRPr="002549DC">
              <w:rPr>
                <w:color w:val="000000" w:themeColor="text1"/>
              </w:rPr>
              <w:fldChar w:fldCharType="end"/>
            </w:r>
          </w:p>
        </w:tc>
        <w:tc>
          <w:tcPr>
            <w:tcW w:w="739" w:type="pct"/>
            <w:shd w:val="clear" w:color="auto" w:fill="auto"/>
            <w:vAlign w:val="center"/>
          </w:tcPr>
          <w:p w14:paraId="78DBA801" w14:textId="0BA3B321" w:rsidR="00AB6745" w:rsidRPr="00781112" w:rsidRDefault="00AB6745" w:rsidP="00AB6745">
            <w:pPr>
              <w:jc w:val="center"/>
              <w:rPr>
                <w:rFonts w:cs="Arial"/>
                <w:color w:val="000000" w:themeColor="text1"/>
                <w:szCs w:val="16"/>
              </w:rPr>
            </w:pPr>
          </w:p>
        </w:tc>
        <w:tc>
          <w:tcPr>
            <w:tcW w:w="487" w:type="pct"/>
            <w:shd w:val="clear" w:color="auto" w:fill="auto"/>
          </w:tcPr>
          <w:p w14:paraId="1DC938D5" w14:textId="1AF71BAF" w:rsidR="00AB6745" w:rsidRPr="00781112" w:rsidRDefault="00AB6745" w:rsidP="00AB6745">
            <w:pPr>
              <w:jc w:val="center"/>
              <w:rPr>
                <w:rFonts w:cs="Arial"/>
                <w:color w:val="000000" w:themeColor="text1"/>
                <w:szCs w:val="16"/>
              </w:rPr>
            </w:pPr>
            <w:r w:rsidRPr="00CF5D42">
              <w:rPr>
                <w:color w:val="000000" w:themeColor="text1"/>
              </w:rPr>
              <w:t>x</w:t>
            </w:r>
            <w:r w:rsidRPr="00CF5D42">
              <w:rPr>
                <w:color w:val="000000" w:themeColor="text1"/>
              </w:rPr>
              <w:fldChar w:fldCharType="begin"/>
            </w:r>
            <w:r w:rsidRPr="00CF5D42">
              <w:rPr>
                <w:color w:val="000000" w:themeColor="text1"/>
              </w:rPr>
              <w:instrText xml:space="preserve"> NOTEREF _Ref141181798 \f \h </w:instrText>
            </w:r>
            <w:r w:rsidRPr="00CF5D42">
              <w:rPr>
                <w:color w:val="000000" w:themeColor="text1"/>
              </w:rPr>
            </w:r>
            <w:r w:rsidRPr="00CF5D42">
              <w:rPr>
                <w:color w:val="000000" w:themeColor="text1"/>
              </w:rPr>
              <w:fldChar w:fldCharType="separate"/>
            </w:r>
            <w:r w:rsidR="0036112A" w:rsidRPr="0036112A">
              <w:rPr>
                <w:rStyle w:val="FootnoteReference"/>
              </w:rPr>
              <w:t>13</w:t>
            </w:r>
            <w:r w:rsidRPr="00CF5D42">
              <w:rPr>
                <w:color w:val="000000" w:themeColor="text1"/>
              </w:rPr>
              <w:fldChar w:fldCharType="end"/>
            </w:r>
          </w:p>
        </w:tc>
        <w:tc>
          <w:tcPr>
            <w:tcW w:w="589" w:type="pct"/>
            <w:shd w:val="clear" w:color="auto" w:fill="auto"/>
            <w:vAlign w:val="center"/>
          </w:tcPr>
          <w:p w14:paraId="4B9610A1" w14:textId="71C9791E"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5708D4BE" w14:textId="328B6097"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r>
      <w:tr w:rsidR="00AB6745" w:rsidRPr="00781112" w14:paraId="5E0D5724" w14:textId="77777777" w:rsidTr="00AB6745">
        <w:tc>
          <w:tcPr>
            <w:tcW w:w="323" w:type="pct"/>
            <w:shd w:val="clear" w:color="auto" w:fill="auto"/>
            <w:vAlign w:val="center"/>
          </w:tcPr>
          <w:p w14:paraId="2202EBA2" w14:textId="77777777" w:rsidR="00AB6745" w:rsidRPr="00781112" w:rsidRDefault="00AB6745" w:rsidP="00AB6745">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AB6745" w:rsidRPr="00781112" w:rsidDel="00DE5045" w:rsidRDefault="00AB6745" w:rsidP="00AB6745">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65165B6C" w14:textId="01569940" w:rsidR="00AB6745" w:rsidRPr="00781112" w:rsidRDefault="00AB6745" w:rsidP="00AB6745">
            <w:pPr>
              <w:jc w:val="center"/>
              <w:rPr>
                <w:rFonts w:cs="Arial"/>
                <w:color w:val="000000" w:themeColor="text1"/>
                <w:szCs w:val="16"/>
              </w:rPr>
            </w:pPr>
            <w:r w:rsidRPr="00D47A1A">
              <w:rPr>
                <w:color w:val="000000" w:themeColor="text1"/>
              </w:rPr>
              <w:t>x</w:t>
            </w:r>
            <w:r w:rsidRPr="00D47A1A">
              <w:rPr>
                <w:color w:val="000000" w:themeColor="text1"/>
              </w:rPr>
              <w:fldChar w:fldCharType="begin"/>
            </w:r>
            <w:r w:rsidRPr="00D47A1A">
              <w:rPr>
                <w:color w:val="000000" w:themeColor="text1"/>
              </w:rPr>
              <w:instrText xml:space="preserve"> NOTEREF _Ref141181798 \f \h </w:instrText>
            </w:r>
            <w:r w:rsidRPr="00D47A1A">
              <w:rPr>
                <w:color w:val="000000" w:themeColor="text1"/>
              </w:rPr>
            </w:r>
            <w:r w:rsidRPr="00D47A1A">
              <w:rPr>
                <w:color w:val="000000" w:themeColor="text1"/>
              </w:rPr>
              <w:fldChar w:fldCharType="separate"/>
            </w:r>
            <w:r w:rsidR="0036112A" w:rsidRPr="0036112A">
              <w:rPr>
                <w:rStyle w:val="FootnoteReference"/>
              </w:rPr>
              <w:t>13</w:t>
            </w:r>
            <w:r w:rsidRPr="00D47A1A">
              <w:rPr>
                <w:color w:val="000000" w:themeColor="text1"/>
              </w:rPr>
              <w:fldChar w:fldCharType="end"/>
            </w:r>
          </w:p>
        </w:tc>
        <w:tc>
          <w:tcPr>
            <w:tcW w:w="635" w:type="pct"/>
            <w:shd w:val="clear" w:color="auto" w:fill="auto"/>
          </w:tcPr>
          <w:p w14:paraId="25BE3991" w14:textId="62CF2426" w:rsidR="00AB6745" w:rsidRPr="00781112" w:rsidRDefault="00AB6745" w:rsidP="00AB6745">
            <w:pPr>
              <w:jc w:val="center"/>
              <w:rPr>
                <w:rFonts w:cs="Arial"/>
                <w:color w:val="000000" w:themeColor="text1"/>
                <w:szCs w:val="16"/>
              </w:rPr>
            </w:pPr>
            <w:r w:rsidRPr="00D47A1A">
              <w:rPr>
                <w:color w:val="000000" w:themeColor="text1"/>
              </w:rPr>
              <w:t>x</w:t>
            </w:r>
            <w:r w:rsidRPr="00D47A1A">
              <w:rPr>
                <w:color w:val="000000" w:themeColor="text1"/>
              </w:rPr>
              <w:fldChar w:fldCharType="begin"/>
            </w:r>
            <w:r w:rsidRPr="00D47A1A">
              <w:rPr>
                <w:color w:val="000000" w:themeColor="text1"/>
              </w:rPr>
              <w:instrText xml:space="preserve"> NOTEREF _Ref141181798 \f \h </w:instrText>
            </w:r>
            <w:r w:rsidRPr="00D47A1A">
              <w:rPr>
                <w:color w:val="000000" w:themeColor="text1"/>
              </w:rPr>
            </w:r>
            <w:r w:rsidRPr="00D47A1A">
              <w:rPr>
                <w:color w:val="000000" w:themeColor="text1"/>
              </w:rPr>
              <w:fldChar w:fldCharType="separate"/>
            </w:r>
            <w:r w:rsidR="0036112A" w:rsidRPr="0036112A">
              <w:rPr>
                <w:rStyle w:val="FootnoteReference"/>
              </w:rPr>
              <w:t>13</w:t>
            </w:r>
            <w:r w:rsidRPr="00D47A1A">
              <w:rPr>
                <w:color w:val="000000" w:themeColor="text1"/>
              </w:rPr>
              <w:fldChar w:fldCharType="end"/>
            </w:r>
          </w:p>
        </w:tc>
        <w:tc>
          <w:tcPr>
            <w:tcW w:w="528" w:type="pct"/>
            <w:shd w:val="clear" w:color="auto" w:fill="auto"/>
          </w:tcPr>
          <w:p w14:paraId="0DB348C5" w14:textId="12A0ED40" w:rsidR="00AB6745" w:rsidRPr="00781112" w:rsidRDefault="00AB6745" w:rsidP="00AB6745">
            <w:pPr>
              <w:jc w:val="center"/>
              <w:rPr>
                <w:rFonts w:cs="Arial"/>
                <w:color w:val="000000" w:themeColor="text1"/>
                <w:szCs w:val="16"/>
              </w:rPr>
            </w:pPr>
            <w:r w:rsidRPr="002549DC">
              <w:rPr>
                <w:color w:val="000000" w:themeColor="text1"/>
              </w:rPr>
              <w:t>x</w:t>
            </w:r>
            <w:r w:rsidRPr="002549DC">
              <w:rPr>
                <w:color w:val="000000" w:themeColor="text1"/>
              </w:rPr>
              <w:fldChar w:fldCharType="begin"/>
            </w:r>
            <w:r w:rsidRPr="002549DC">
              <w:rPr>
                <w:color w:val="000000" w:themeColor="text1"/>
              </w:rPr>
              <w:instrText xml:space="preserve"> NOTEREF _Ref141181798 \f \h </w:instrText>
            </w:r>
            <w:r w:rsidRPr="002549DC">
              <w:rPr>
                <w:color w:val="000000" w:themeColor="text1"/>
              </w:rPr>
            </w:r>
            <w:r w:rsidRPr="002549DC">
              <w:rPr>
                <w:color w:val="000000" w:themeColor="text1"/>
              </w:rPr>
              <w:fldChar w:fldCharType="separate"/>
            </w:r>
            <w:r w:rsidR="0036112A" w:rsidRPr="0036112A">
              <w:rPr>
                <w:rStyle w:val="FootnoteReference"/>
              </w:rPr>
              <w:t>13</w:t>
            </w:r>
            <w:r w:rsidRPr="002549DC">
              <w:rPr>
                <w:color w:val="000000" w:themeColor="text1"/>
              </w:rPr>
              <w:fldChar w:fldCharType="end"/>
            </w:r>
          </w:p>
        </w:tc>
        <w:tc>
          <w:tcPr>
            <w:tcW w:w="739" w:type="pct"/>
            <w:shd w:val="clear" w:color="auto" w:fill="auto"/>
            <w:vAlign w:val="center"/>
          </w:tcPr>
          <w:p w14:paraId="31FB5FEB" w14:textId="4BF20A90" w:rsidR="00AB6745" w:rsidRPr="00781112" w:rsidRDefault="00AB6745" w:rsidP="00AB6745">
            <w:pPr>
              <w:jc w:val="center"/>
              <w:rPr>
                <w:rFonts w:cs="Arial"/>
                <w:color w:val="000000" w:themeColor="text1"/>
                <w:szCs w:val="16"/>
              </w:rPr>
            </w:pPr>
          </w:p>
        </w:tc>
        <w:tc>
          <w:tcPr>
            <w:tcW w:w="487" w:type="pct"/>
            <w:shd w:val="clear" w:color="auto" w:fill="auto"/>
          </w:tcPr>
          <w:p w14:paraId="139B969C" w14:textId="05231624" w:rsidR="00AB6745" w:rsidRPr="00781112" w:rsidRDefault="00AB6745" w:rsidP="00AB6745">
            <w:pPr>
              <w:jc w:val="center"/>
              <w:rPr>
                <w:rFonts w:cs="Arial"/>
                <w:color w:val="000000" w:themeColor="text1"/>
                <w:szCs w:val="16"/>
              </w:rPr>
            </w:pPr>
            <w:r w:rsidRPr="00CF5D42">
              <w:rPr>
                <w:color w:val="000000" w:themeColor="text1"/>
              </w:rPr>
              <w:t>x</w:t>
            </w:r>
            <w:r w:rsidRPr="00CF5D42">
              <w:rPr>
                <w:color w:val="000000" w:themeColor="text1"/>
              </w:rPr>
              <w:fldChar w:fldCharType="begin"/>
            </w:r>
            <w:r w:rsidRPr="00CF5D42">
              <w:rPr>
                <w:color w:val="000000" w:themeColor="text1"/>
              </w:rPr>
              <w:instrText xml:space="preserve"> NOTEREF _Ref141181798 \f \h </w:instrText>
            </w:r>
            <w:r w:rsidRPr="00CF5D42">
              <w:rPr>
                <w:color w:val="000000" w:themeColor="text1"/>
              </w:rPr>
            </w:r>
            <w:r w:rsidRPr="00CF5D42">
              <w:rPr>
                <w:color w:val="000000" w:themeColor="text1"/>
              </w:rPr>
              <w:fldChar w:fldCharType="separate"/>
            </w:r>
            <w:r w:rsidR="0036112A" w:rsidRPr="0036112A">
              <w:rPr>
                <w:rStyle w:val="FootnoteReference"/>
              </w:rPr>
              <w:t>13</w:t>
            </w:r>
            <w:r w:rsidRPr="00CF5D42">
              <w:rPr>
                <w:color w:val="000000" w:themeColor="text1"/>
              </w:rPr>
              <w:fldChar w:fldCharType="end"/>
            </w:r>
          </w:p>
        </w:tc>
        <w:tc>
          <w:tcPr>
            <w:tcW w:w="589" w:type="pct"/>
            <w:shd w:val="clear" w:color="auto" w:fill="auto"/>
            <w:vAlign w:val="center"/>
          </w:tcPr>
          <w:p w14:paraId="52EDA926" w14:textId="7B797DBA"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027F05C7" w14:textId="42C60C06"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r>
      <w:tr w:rsidR="00AB6745" w:rsidRPr="00781112" w14:paraId="6F15E001" w14:textId="77777777" w:rsidTr="00AB6745">
        <w:tc>
          <w:tcPr>
            <w:tcW w:w="323" w:type="pct"/>
            <w:shd w:val="clear" w:color="auto" w:fill="auto"/>
            <w:vAlign w:val="center"/>
          </w:tcPr>
          <w:p w14:paraId="40D4F498" w14:textId="77777777" w:rsidR="00AB6745" w:rsidRPr="00781112" w:rsidRDefault="00AB6745" w:rsidP="00AB6745">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AB6745" w:rsidRPr="00781112" w:rsidDel="00DE5045" w:rsidRDefault="00AB6745" w:rsidP="00AB6745">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44B84702" w14:textId="79C45A9E" w:rsidR="00AB6745" w:rsidRPr="00781112" w:rsidRDefault="00AB6745" w:rsidP="00AB6745">
            <w:pPr>
              <w:jc w:val="center"/>
              <w:rPr>
                <w:rFonts w:cs="Arial"/>
                <w:color w:val="000000" w:themeColor="text1"/>
                <w:szCs w:val="16"/>
              </w:rPr>
            </w:pPr>
            <w:r w:rsidRPr="00D47A1A">
              <w:rPr>
                <w:color w:val="000000" w:themeColor="text1"/>
              </w:rPr>
              <w:t>x</w:t>
            </w:r>
            <w:r w:rsidRPr="00D47A1A">
              <w:rPr>
                <w:color w:val="000000" w:themeColor="text1"/>
              </w:rPr>
              <w:fldChar w:fldCharType="begin"/>
            </w:r>
            <w:r w:rsidRPr="00D47A1A">
              <w:rPr>
                <w:color w:val="000000" w:themeColor="text1"/>
              </w:rPr>
              <w:instrText xml:space="preserve"> NOTEREF _Ref141181798 \f \h </w:instrText>
            </w:r>
            <w:r w:rsidRPr="00D47A1A">
              <w:rPr>
                <w:color w:val="000000" w:themeColor="text1"/>
              </w:rPr>
            </w:r>
            <w:r w:rsidRPr="00D47A1A">
              <w:rPr>
                <w:color w:val="000000" w:themeColor="text1"/>
              </w:rPr>
              <w:fldChar w:fldCharType="separate"/>
            </w:r>
            <w:r w:rsidR="0036112A" w:rsidRPr="0036112A">
              <w:rPr>
                <w:rStyle w:val="FootnoteReference"/>
              </w:rPr>
              <w:t>13</w:t>
            </w:r>
            <w:r w:rsidRPr="00D47A1A">
              <w:rPr>
                <w:color w:val="000000" w:themeColor="text1"/>
              </w:rPr>
              <w:fldChar w:fldCharType="end"/>
            </w:r>
          </w:p>
        </w:tc>
        <w:tc>
          <w:tcPr>
            <w:tcW w:w="635" w:type="pct"/>
            <w:shd w:val="clear" w:color="auto" w:fill="auto"/>
          </w:tcPr>
          <w:p w14:paraId="6C88DEC2" w14:textId="1F7F772E" w:rsidR="00AB6745" w:rsidRPr="00781112" w:rsidRDefault="00AB6745" w:rsidP="00AB6745">
            <w:pPr>
              <w:jc w:val="center"/>
              <w:rPr>
                <w:rFonts w:cs="Arial"/>
                <w:color w:val="000000" w:themeColor="text1"/>
                <w:szCs w:val="16"/>
              </w:rPr>
            </w:pPr>
            <w:r w:rsidRPr="00D47A1A">
              <w:rPr>
                <w:color w:val="000000" w:themeColor="text1"/>
              </w:rPr>
              <w:t>x</w:t>
            </w:r>
            <w:r w:rsidRPr="00D47A1A">
              <w:rPr>
                <w:color w:val="000000" w:themeColor="text1"/>
              </w:rPr>
              <w:fldChar w:fldCharType="begin"/>
            </w:r>
            <w:r w:rsidRPr="00D47A1A">
              <w:rPr>
                <w:color w:val="000000" w:themeColor="text1"/>
              </w:rPr>
              <w:instrText xml:space="preserve"> NOTEREF _Ref141181798 \f \h </w:instrText>
            </w:r>
            <w:r w:rsidRPr="00D47A1A">
              <w:rPr>
                <w:color w:val="000000" w:themeColor="text1"/>
              </w:rPr>
            </w:r>
            <w:r w:rsidRPr="00D47A1A">
              <w:rPr>
                <w:color w:val="000000" w:themeColor="text1"/>
              </w:rPr>
              <w:fldChar w:fldCharType="separate"/>
            </w:r>
            <w:r w:rsidR="0036112A" w:rsidRPr="0036112A">
              <w:rPr>
                <w:rStyle w:val="FootnoteReference"/>
              </w:rPr>
              <w:t>13</w:t>
            </w:r>
            <w:r w:rsidRPr="00D47A1A">
              <w:rPr>
                <w:color w:val="000000" w:themeColor="text1"/>
              </w:rPr>
              <w:fldChar w:fldCharType="end"/>
            </w:r>
          </w:p>
        </w:tc>
        <w:tc>
          <w:tcPr>
            <w:tcW w:w="528" w:type="pct"/>
            <w:shd w:val="clear" w:color="auto" w:fill="auto"/>
          </w:tcPr>
          <w:p w14:paraId="59D699CF" w14:textId="08D862CA" w:rsidR="00AB6745" w:rsidRPr="00781112" w:rsidRDefault="00AB6745" w:rsidP="00AB6745">
            <w:pPr>
              <w:jc w:val="center"/>
              <w:rPr>
                <w:rFonts w:cs="Arial"/>
                <w:color w:val="000000" w:themeColor="text1"/>
                <w:szCs w:val="16"/>
              </w:rPr>
            </w:pPr>
          </w:p>
        </w:tc>
        <w:tc>
          <w:tcPr>
            <w:tcW w:w="739" w:type="pct"/>
            <w:shd w:val="clear" w:color="auto" w:fill="auto"/>
            <w:vAlign w:val="center"/>
          </w:tcPr>
          <w:p w14:paraId="18D7723E" w14:textId="7A443B62" w:rsidR="00AB6745" w:rsidRPr="00781112" w:rsidRDefault="00AB6745" w:rsidP="00AB6745">
            <w:pPr>
              <w:jc w:val="center"/>
              <w:rPr>
                <w:rFonts w:cs="Arial"/>
                <w:color w:val="000000" w:themeColor="text1"/>
                <w:szCs w:val="16"/>
              </w:rPr>
            </w:pPr>
          </w:p>
        </w:tc>
        <w:tc>
          <w:tcPr>
            <w:tcW w:w="487" w:type="pct"/>
            <w:shd w:val="clear" w:color="auto" w:fill="auto"/>
          </w:tcPr>
          <w:p w14:paraId="1C467869" w14:textId="79DC9CA8" w:rsidR="00AB6745" w:rsidRPr="00781112" w:rsidRDefault="00AB6745" w:rsidP="00AB6745">
            <w:pPr>
              <w:jc w:val="center"/>
              <w:rPr>
                <w:rFonts w:cs="Arial"/>
                <w:color w:val="000000" w:themeColor="text1"/>
                <w:szCs w:val="16"/>
              </w:rPr>
            </w:pPr>
            <w:r w:rsidRPr="00CF5D42">
              <w:rPr>
                <w:color w:val="000000" w:themeColor="text1"/>
              </w:rPr>
              <w:t>x</w:t>
            </w:r>
            <w:r w:rsidRPr="00CF5D42">
              <w:rPr>
                <w:color w:val="000000" w:themeColor="text1"/>
              </w:rPr>
              <w:fldChar w:fldCharType="begin"/>
            </w:r>
            <w:r w:rsidRPr="00CF5D42">
              <w:rPr>
                <w:color w:val="000000" w:themeColor="text1"/>
              </w:rPr>
              <w:instrText xml:space="preserve"> NOTEREF _Ref141181798 \f \h </w:instrText>
            </w:r>
            <w:r w:rsidRPr="00CF5D42">
              <w:rPr>
                <w:color w:val="000000" w:themeColor="text1"/>
              </w:rPr>
            </w:r>
            <w:r w:rsidRPr="00CF5D42">
              <w:rPr>
                <w:color w:val="000000" w:themeColor="text1"/>
              </w:rPr>
              <w:fldChar w:fldCharType="separate"/>
            </w:r>
            <w:r w:rsidR="0036112A" w:rsidRPr="0036112A">
              <w:rPr>
                <w:rStyle w:val="FootnoteReference"/>
              </w:rPr>
              <w:t>13</w:t>
            </w:r>
            <w:r w:rsidRPr="00CF5D42">
              <w:rPr>
                <w:color w:val="000000" w:themeColor="text1"/>
              </w:rPr>
              <w:fldChar w:fldCharType="end"/>
            </w:r>
          </w:p>
        </w:tc>
        <w:tc>
          <w:tcPr>
            <w:tcW w:w="589" w:type="pct"/>
            <w:shd w:val="clear" w:color="auto" w:fill="auto"/>
            <w:vAlign w:val="center"/>
          </w:tcPr>
          <w:p w14:paraId="56861D59" w14:textId="0856E80D"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220CAED" w14:textId="6484F1AC" w:rsidR="00AB6745" w:rsidRPr="00781112" w:rsidRDefault="00AB6745" w:rsidP="00AB6745">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A869E9" w:rsidP="009C613A">
      <w:pPr>
        <w:rPr>
          <w:rFonts w:cs="Arial"/>
          <w:color w:val="000000" w:themeColor="text1"/>
          <w:szCs w:val="16"/>
        </w:rPr>
      </w:pP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1AC7CA7F" w:rsidR="00A869E9" w:rsidRPr="00781112" w:rsidRDefault="00AD3A63" w:rsidP="000E33D0">
      <w:pPr>
        <w:rPr>
          <w:rFonts w:cs="Arial"/>
          <w:color w:val="000000" w:themeColor="text1"/>
          <w:szCs w:val="16"/>
        </w:rPr>
      </w:pPr>
      <w:r>
        <w:rPr>
          <w:rFonts w:cs="Arial"/>
          <w:color w:val="000000" w:themeColor="text1"/>
          <w:szCs w:val="16"/>
          <w:shd w:val="clear" w:color="auto" w:fill="FFFFFF"/>
        </w:rPr>
        <w:t>The information in this paragraph has been redacted at the request of RMI:</w:t>
      </w:r>
      <w:r w:rsidR="002B7490" w:rsidRPr="00781112">
        <w:rPr>
          <w:rFonts w:cs="Arial"/>
          <w:color w:val="000000" w:themeColor="text1"/>
          <w:szCs w:val="16"/>
          <w:shd w:val="clear" w:color="auto" w:fill="FFFFFF"/>
        </w:rPr>
        <w:t xml:space="preserve"> RMI would request the Education Department and OSEP to not publish this information until RMI PSS has more students being tested, and this way protect the privacy of the student</w:t>
      </w:r>
      <w:r w:rsidR="00BC442F">
        <w:rPr>
          <w:rFonts w:cs="Arial"/>
          <w:color w:val="000000" w:themeColor="text1"/>
          <w:szCs w:val="16"/>
          <w:shd w:val="clear" w:color="auto" w:fill="FFFFFF"/>
        </w:rPr>
        <w:t>s</w:t>
      </w:r>
      <w:r w:rsidR="002B7490" w:rsidRPr="00781112">
        <w:rPr>
          <w:rFonts w:cs="Arial"/>
          <w:color w:val="000000" w:themeColor="text1"/>
          <w:szCs w:val="16"/>
          <w:shd w:val="clear" w:color="auto" w:fill="FFFFFF"/>
        </w:rPr>
        <w:t xml:space="preserve"> being assessed via the AAAS.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OSEP's response to the State's FFY 2019 SPP/APR required the State to provide OSEP with a Web link that demonstrates that it has reported, for FFY 2019, to the public, on the statewide assessments of children with disabilities in accordance with 34 C.F.R. § 300.160(f). The State provided the required information.</w:t>
      </w:r>
      <w:r w:rsidRPr="00781112">
        <w:rPr>
          <w:rFonts w:cs="Arial"/>
          <w:color w:val="000000" w:themeColor="text1"/>
          <w:szCs w:val="16"/>
        </w:rPr>
        <w:br/>
      </w:r>
      <w:r w:rsidRPr="00781112">
        <w:rPr>
          <w:rFonts w:cs="Arial"/>
          <w:color w:val="000000" w:themeColor="text1"/>
          <w:szCs w:val="16"/>
        </w:rPr>
        <w:b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0A2C83" w:rsidP="000A2C83">
      <w:pPr>
        <w:rPr>
          <w:rFonts w:cs="Arial"/>
          <w:color w:val="000000" w:themeColor="text1"/>
          <w:szCs w:val="16"/>
        </w:rPr>
      </w:pP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14.36</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25.12</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16.11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19.29</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15.93</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0.15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3</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14.00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13.75</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13.50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13.25</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13.00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24.75</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24.50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24.25</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16.00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15.75</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15.50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15.25</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3</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18.50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18.25</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17.75</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17.50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15.50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15.25</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14.75</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14.50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0.15</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0.14</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0.13</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0.12</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0.11</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lastRenderedPageBreak/>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5EB19DE7" w14:textId="56D59B7A" w:rsidR="00DD5B7A" w:rsidRPr="00914210" w:rsidRDefault="00DD5B7A" w:rsidP="00914210">
      <w:pPr>
        <w:rPr>
          <w:rFonts w:cs="Arial"/>
          <w:color w:val="000000" w:themeColor="text1"/>
          <w:szCs w:val="16"/>
        </w:rPr>
      </w:pPr>
      <w:r w:rsidRPr="00781112">
        <w:rPr>
          <w:rFonts w:cs="Arial"/>
          <w:color w:val="000000" w:themeColor="text1"/>
          <w:szCs w:val="16"/>
        </w:rPr>
        <w:t xml:space="preserve">RMI PSS did not assess Mathematics for High School students in FFY 2020. In FFY 2020 stakeholders provided input on targets for all other grades (reading and math). Therefore, FFY 2021 is the new baseline for Math assessments for High School students. Because the baseline is </w:t>
      </w:r>
      <w:r w:rsidR="00DD0E87">
        <w:rPr>
          <w:rFonts w:cs="Arial"/>
          <w:color w:val="000000" w:themeColor="text1"/>
          <w:szCs w:val="16"/>
        </w:rPr>
        <w:t>x</w:t>
      </w:r>
      <w:r w:rsidR="00AD4EDC">
        <w:rPr>
          <w:rFonts w:cs="Arial"/>
          <w:color w:val="000000" w:themeColor="text1"/>
          <w:szCs w:val="16"/>
        </w:rPr>
        <w:t>%</w:t>
      </w:r>
      <w:r w:rsidR="00AD4EDC">
        <w:rPr>
          <w:rFonts w:cs="Arial"/>
          <w:color w:val="000000" w:themeColor="text1"/>
          <w:szCs w:val="16"/>
          <w:vertAlign w:val="superscript"/>
        </w:rPr>
        <w:t>17</w:t>
      </w:r>
      <w:r w:rsidRPr="00781112">
        <w:rPr>
          <w:rFonts w:cs="Arial"/>
          <w:color w:val="000000" w:themeColor="text1"/>
          <w:szCs w:val="16"/>
        </w:rPr>
        <w:t>, stakeholders agreed to targets representing gradual decreases in the gap between all students and students with disabilities leading to a gap of 0.11% in FFY 2025.</w:t>
      </w:r>
      <w:r w:rsidR="00914210">
        <w:rPr>
          <w:rFonts w:cs="Arial"/>
          <w:color w:val="000000" w:themeColor="text1"/>
          <w:szCs w:val="16"/>
        </w:rPr>
        <w:br/>
      </w: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3</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887</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982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696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40</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39</w:t>
            </w:r>
          </w:p>
        </w:tc>
      </w:tr>
      <w:tr w:rsidR="00914210" w:rsidRPr="00781112" w14:paraId="62D84F5E" w14:textId="77777777" w:rsidTr="008D5CB0">
        <w:tc>
          <w:tcPr>
            <w:tcW w:w="1749" w:type="pct"/>
            <w:shd w:val="clear" w:color="auto" w:fill="auto"/>
          </w:tcPr>
          <w:p w14:paraId="51DEDF27" w14:textId="69ADBF80" w:rsidR="00914210" w:rsidRPr="00181070" w:rsidRDefault="00914210" w:rsidP="00914210">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0E207FFE" w:rsidR="00914210" w:rsidRPr="00781112" w:rsidRDefault="00914210" w:rsidP="00914210">
            <w:pPr>
              <w:jc w:val="center"/>
              <w:rPr>
                <w:rFonts w:cs="Arial"/>
                <w:color w:val="000000" w:themeColor="text1"/>
                <w:szCs w:val="16"/>
              </w:rPr>
            </w:pPr>
            <w:r>
              <w:rPr>
                <w:rFonts w:cs="Arial"/>
                <w:color w:val="000000" w:themeColor="text1"/>
                <w:szCs w:val="16"/>
              </w:rPr>
              <w:t>x</w:t>
            </w:r>
            <w:bookmarkStart w:id="31" w:name="_Ref141167531"/>
            <w:r>
              <w:rPr>
                <w:rStyle w:val="FootnoteReference"/>
                <w:rFonts w:cs="Arial"/>
                <w:color w:val="000000" w:themeColor="text1"/>
                <w:szCs w:val="16"/>
              </w:rPr>
              <w:footnoteReference w:id="18"/>
            </w:r>
            <w:bookmarkEnd w:id="31"/>
          </w:p>
        </w:tc>
        <w:tc>
          <w:tcPr>
            <w:tcW w:w="1084" w:type="pct"/>
            <w:shd w:val="clear" w:color="auto" w:fill="auto"/>
          </w:tcPr>
          <w:p w14:paraId="6D42641C" w14:textId="1D3BE2E1" w:rsidR="00914210" w:rsidRPr="00781112" w:rsidRDefault="00AD4EDC" w:rsidP="00914210">
            <w:pPr>
              <w:spacing w:before="240"/>
              <w:jc w:val="center"/>
              <w:rPr>
                <w:rFonts w:cs="Arial"/>
                <w:color w:val="000000" w:themeColor="text1"/>
                <w:szCs w:val="16"/>
              </w:rPr>
            </w:pPr>
            <w:r>
              <w:rPr>
                <w:rFonts w:cs="Arial"/>
                <w:color w:val="000000" w:themeColor="text1"/>
                <w:szCs w:val="16"/>
              </w:rPr>
              <w:t>x</w:t>
            </w:r>
            <w:r w:rsidRPr="00AD4EDC">
              <w:rPr>
                <w:rFonts w:cs="Arial"/>
                <w:color w:val="000000" w:themeColor="text1"/>
                <w:szCs w:val="16"/>
                <w:vertAlign w:val="superscript"/>
              </w:rPr>
              <w:t>17</w:t>
            </w:r>
          </w:p>
        </w:tc>
        <w:tc>
          <w:tcPr>
            <w:tcW w:w="1084" w:type="pct"/>
            <w:shd w:val="clear" w:color="auto" w:fill="auto"/>
          </w:tcPr>
          <w:p w14:paraId="27076C73" w14:textId="2A55B6C1" w:rsidR="00914210" w:rsidRPr="00781112" w:rsidRDefault="00AD4EDC" w:rsidP="00914210">
            <w:pPr>
              <w:spacing w:before="240"/>
              <w:jc w:val="center"/>
              <w:rPr>
                <w:rFonts w:cs="Arial"/>
                <w:color w:val="000000" w:themeColor="text1"/>
                <w:szCs w:val="16"/>
              </w:rPr>
            </w:pPr>
            <w:r>
              <w:rPr>
                <w:rFonts w:cs="Arial"/>
                <w:color w:val="000000" w:themeColor="text1"/>
                <w:szCs w:val="16"/>
              </w:rPr>
              <w:t>x</w:t>
            </w:r>
            <w:r w:rsidRPr="00AD4EDC">
              <w:rPr>
                <w:rFonts w:cs="Arial"/>
                <w:color w:val="000000" w:themeColor="text1"/>
                <w:szCs w:val="16"/>
                <w:vertAlign w:val="superscript"/>
              </w:rPr>
              <w:t>17</w:t>
            </w:r>
          </w:p>
        </w:tc>
      </w:tr>
      <w:tr w:rsidR="00914210" w:rsidRPr="00781112" w14:paraId="058A4E65" w14:textId="77777777" w:rsidTr="008D5CB0">
        <w:tc>
          <w:tcPr>
            <w:tcW w:w="1749" w:type="pct"/>
            <w:shd w:val="clear" w:color="auto" w:fill="auto"/>
          </w:tcPr>
          <w:p w14:paraId="439EF49E" w14:textId="1EC71838" w:rsidR="00914210" w:rsidRPr="00181070" w:rsidRDefault="00914210" w:rsidP="00914210">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914210" w:rsidRPr="00781112" w:rsidRDefault="00914210" w:rsidP="00914210">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tcPr>
          <w:p w14:paraId="5FB5C795" w14:textId="76944F5E" w:rsidR="00914210" w:rsidRPr="00781112" w:rsidRDefault="00AD4EDC" w:rsidP="00914210">
            <w:pPr>
              <w:spacing w:before="240"/>
              <w:jc w:val="center"/>
              <w:rPr>
                <w:rFonts w:cs="Arial"/>
                <w:color w:val="000000" w:themeColor="text1"/>
                <w:szCs w:val="16"/>
              </w:rPr>
            </w:pPr>
            <w:r>
              <w:rPr>
                <w:rFonts w:cs="Arial"/>
                <w:color w:val="000000" w:themeColor="text1"/>
                <w:szCs w:val="16"/>
              </w:rPr>
              <w:t>x</w:t>
            </w:r>
            <w:r w:rsidRPr="00AD4EDC">
              <w:rPr>
                <w:rFonts w:cs="Arial"/>
                <w:color w:val="000000" w:themeColor="text1"/>
                <w:szCs w:val="16"/>
                <w:vertAlign w:val="superscript"/>
              </w:rPr>
              <w:t>17</w:t>
            </w:r>
          </w:p>
        </w:tc>
        <w:tc>
          <w:tcPr>
            <w:tcW w:w="1084" w:type="pct"/>
            <w:shd w:val="clear" w:color="auto" w:fill="auto"/>
          </w:tcPr>
          <w:p w14:paraId="5BB68E9F" w14:textId="02595AB0" w:rsidR="00914210" w:rsidRPr="00781112" w:rsidRDefault="00AD4EDC" w:rsidP="00914210">
            <w:pPr>
              <w:spacing w:before="240"/>
              <w:jc w:val="center"/>
              <w:rPr>
                <w:rFonts w:cs="Arial"/>
                <w:color w:val="000000" w:themeColor="text1"/>
                <w:szCs w:val="16"/>
              </w:rPr>
            </w:pPr>
            <w:r>
              <w:rPr>
                <w:rFonts w:cs="Arial"/>
                <w:color w:val="000000" w:themeColor="text1"/>
                <w:szCs w:val="16"/>
              </w:rPr>
              <w:t>x</w:t>
            </w:r>
            <w:r w:rsidRPr="00AD4EDC">
              <w:rPr>
                <w:rFonts w:cs="Arial"/>
                <w:color w:val="000000" w:themeColor="text1"/>
                <w:szCs w:val="16"/>
                <w:vertAlign w:val="superscript"/>
              </w:rPr>
              <w:t>17</w:t>
            </w:r>
          </w:p>
        </w:tc>
      </w:tr>
      <w:tr w:rsidR="00914210" w:rsidRPr="00781112" w14:paraId="1AC72B75" w14:textId="77777777" w:rsidTr="004211C6">
        <w:tc>
          <w:tcPr>
            <w:tcW w:w="1749" w:type="pct"/>
            <w:shd w:val="clear" w:color="auto" w:fill="auto"/>
          </w:tcPr>
          <w:p w14:paraId="0A914ADA" w14:textId="357C6FCD" w:rsidR="00914210" w:rsidRPr="00781112" w:rsidRDefault="00914210" w:rsidP="00914210">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5ED96882" w:rsidR="00914210" w:rsidRPr="00781112" w:rsidRDefault="00AD4EDC" w:rsidP="00914210">
            <w:pPr>
              <w:jc w:val="center"/>
              <w:rPr>
                <w:rFonts w:cs="Arial"/>
                <w:color w:val="000000" w:themeColor="text1"/>
                <w:szCs w:val="16"/>
              </w:rPr>
            </w:pPr>
            <w:r>
              <w:rPr>
                <w:rFonts w:cs="Arial"/>
                <w:color w:val="000000" w:themeColor="text1"/>
                <w:szCs w:val="16"/>
              </w:rPr>
              <w:t>X</w:t>
            </w:r>
            <w:r w:rsidRPr="00AD4EDC">
              <w:rPr>
                <w:rFonts w:cs="Arial"/>
                <w:color w:val="000000" w:themeColor="text1"/>
                <w:szCs w:val="16"/>
                <w:vertAlign w:val="superscript"/>
              </w:rPr>
              <w:t>17</w:t>
            </w:r>
          </w:p>
        </w:tc>
        <w:tc>
          <w:tcPr>
            <w:tcW w:w="1084" w:type="pct"/>
            <w:shd w:val="clear" w:color="auto" w:fill="auto"/>
          </w:tcPr>
          <w:p w14:paraId="7D7B8A72" w14:textId="3BCB58E6" w:rsidR="00914210" w:rsidRPr="00781112" w:rsidRDefault="00AD4EDC" w:rsidP="00914210">
            <w:pPr>
              <w:spacing w:before="240"/>
              <w:jc w:val="center"/>
              <w:rPr>
                <w:rFonts w:cs="Arial"/>
                <w:color w:val="000000" w:themeColor="text1"/>
                <w:szCs w:val="16"/>
              </w:rPr>
            </w:pPr>
            <w:r>
              <w:rPr>
                <w:rFonts w:cs="Arial"/>
                <w:color w:val="000000" w:themeColor="text1"/>
                <w:szCs w:val="16"/>
              </w:rPr>
              <w:t>x</w:t>
            </w:r>
            <w:r w:rsidRPr="00AD4EDC">
              <w:rPr>
                <w:rFonts w:cs="Arial"/>
                <w:color w:val="000000" w:themeColor="text1"/>
                <w:szCs w:val="16"/>
                <w:vertAlign w:val="superscript"/>
              </w:rPr>
              <w:t>17</w:t>
            </w:r>
          </w:p>
        </w:tc>
        <w:tc>
          <w:tcPr>
            <w:tcW w:w="1084" w:type="pct"/>
            <w:shd w:val="clear" w:color="auto" w:fill="auto"/>
          </w:tcPr>
          <w:p w14:paraId="077B2856" w14:textId="3866223B" w:rsidR="00914210" w:rsidRPr="00781112" w:rsidRDefault="00AD4EDC" w:rsidP="00914210">
            <w:pPr>
              <w:spacing w:before="240"/>
              <w:jc w:val="center"/>
              <w:rPr>
                <w:rFonts w:cs="Arial"/>
                <w:color w:val="000000" w:themeColor="text1"/>
                <w:szCs w:val="16"/>
              </w:rPr>
            </w:pPr>
            <w:r>
              <w:rPr>
                <w:rFonts w:cs="Arial"/>
                <w:color w:val="000000" w:themeColor="text1"/>
                <w:szCs w:val="16"/>
              </w:rPr>
              <w:t>x</w:t>
            </w:r>
            <w:r w:rsidRPr="00AD4EDC">
              <w:rPr>
                <w:rFonts w:cs="Arial"/>
                <w:color w:val="000000" w:themeColor="text1"/>
                <w:szCs w:val="16"/>
                <w:vertAlign w:val="superscript"/>
              </w:rPr>
              <w:t>17</w:t>
            </w:r>
          </w:p>
        </w:tc>
      </w:tr>
      <w:tr w:rsidR="00914210" w:rsidRPr="00781112" w14:paraId="0F3AF372" w14:textId="77777777" w:rsidTr="004211C6">
        <w:tc>
          <w:tcPr>
            <w:tcW w:w="1749" w:type="pct"/>
            <w:shd w:val="clear" w:color="auto" w:fill="auto"/>
          </w:tcPr>
          <w:p w14:paraId="65DAF487" w14:textId="01D9D6A1" w:rsidR="00914210" w:rsidRPr="00781112" w:rsidRDefault="00914210" w:rsidP="00914210">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914210" w:rsidRPr="00781112" w:rsidRDefault="00914210" w:rsidP="00914210">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tcPr>
          <w:p w14:paraId="0E65D7AB" w14:textId="3727A981" w:rsidR="00914210" w:rsidRPr="00781112" w:rsidRDefault="00AD4EDC" w:rsidP="00914210">
            <w:pPr>
              <w:spacing w:before="240"/>
              <w:jc w:val="center"/>
              <w:rPr>
                <w:rFonts w:cs="Arial"/>
                <w:color w:val="000000" w:themeColor="text1"/>
                <w:szCs w:val="16"/>
              </w:rPr>
            </w:pPr>
            <w:r>
              <w:rPr>
                <w:rFonts w:cs="Arial"/>
                <w:color w:val="000000" w:themeColor="text1"/>
                <w:szCs w:val="16"/>
              </w:rPr>
              <w:t>x</w:t>
            </w:r>
            <w:r w:rsidRPr="00AD4EDC">
              <w:rPr>
                <w:rFonts w:cs="Arial"/>
                <w:color w:val="000000" w:themeColor="text1"/>
                <w:szCs w:val="16"/>
                <w:vertAlign w:val="superscript"/>
              </w:rPr>
              <w:t>17</w:t>
            </w:r>
          </w:p>
        </w:tc>
        <w:tc>
          <w:tcPr>
            <w:tcW w:w="1084" w:type="pct"/>
            <w:shd w:val="clear" w:color="auto" w:fill="auto"/>
          </w:tcPr>
          <w:p w14:paraId="740F6FA5" w14:textId="66287981" w:rsidR="00914210" w:rsidRPr="00781112" w:rsidRDefault="00AD4EDC" w:rsidP="00914210">
            <w:pPr>
              <w:spacing w:before="240"/>
              <w:jc w:val="center"/>
              <w:rPr>
                <w:rFonts w:cs="Arial"/>
                <w:color w:val="000000" w:themeColor="text1"/>
                <w:szCs w:val="16"/>
              </w:rPr>
            </w:pPr>
            <w:r>
              <w:rPr>
                <w:rFonts w:cs="Arial"/>
                <w:color w:val="000000" w:themeColor="text1"/>
                <w:szCs w:val="16"/>
              </w:rPr>
              <w:t>x</w:t>
            </w:r>
            <w:r w:rsidRPr="00AD4EDC">
              <w:rPr>
                <w:rFonts w:cs="Arial"/>
                <w:color w:val="000000" w:themeColor="text1"/>
                <w:szCs w:val="16"/>
                <w:vertAlign w:val="superscript"/>
              </w:rPr>
              <w:t>17</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3</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886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982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689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56</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39</w:t>
            </w:r>
          </w:p>
        </w:tc>
      </w:tr>
      <w:tr w:rsidR="00914210" w:rsidRPr="00781112" w14:paraId="3DF51785" w14:textId="77777777" w:rsidTr="00DB0194">
        <w:tc>
          <w:tcPr>
            <w:tcW w:w="1749" w:type="pct"/>
            <w:shd w:val="clear" w:color="auto" w:fill="auto"/>
          </w:tcPr>
          <w:p w14:paraId="4795E661" w14:textId="39A6BCFA" w:rsidR="00914210" w:rsidRPr="00781112" w:rsidRDefault="00914210" w:rsidP="00914210">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2612B0C3" w:rsidR="00914210" w:rsidRPr="00781112" w:rsidRDefault="00914210" w:rsidP="00914210">
            <w:pPr>
              <w:jc w:val="center"/>
              <w:rPr>
                <w:rFonts w:cs="Arial"/>
                <w:color w:val="000000" w:themeColor="text1"/>
                <w:szCs w:val="16"/>
              </w:rPr>
            </w:pPr>
            <w:r w:rsidRPr="00322A3C">
              <w:rPr>
                <w:rFonts w:cs="Arial"/>
                <w:color w:val="000000" w:themeColor="text1"/>
                <w:szCs w:val="16"/>
              </w:rPr>
              <w:t>x</w:t>
            </w:r>
            <w:r w:rsidRPr="00322A3C">
              <w:rPr>
                <w:rFonts w:cs="Arial"/>
                <w:color w:val="000000" w:themeColor="text1"/>
                <w:szCs w:val="16"/>
              </w:rPr>
              <w:fldChar w:fldCharType="begin"/>
            </w:r>
            <w:r w:rsidRPr="00322A3C">
              <w:rPr>
                <w:rFonts w:cs="Arial"/>
                <w:color w:val="000000" w:themeColor="text1"/>
                <w:szCs w:val="16"/>
              </w:rPr>
              <w:instrText xml:space="preserve"> NOTEREF _Ref141167531 \f \h </w:instrText>
            </w:r>
            <w:r w:rsidRPr="00322A3C">
              <w:rPr>
                <w:rFonts w:cs="Arial"/>
                <w:color w:val="000000" w:themeColor="text1"/>
                <w:szCs w:val="16"/>
              </w:rPr>
            </w:r>
            <w:r w:rsidRPr="00322A3C">
              <w:rPr>
                <w:rFonts w:cs="Arial"/>
                <w:color w:val="000000" w:themeColor="text1"/>
                <w:szCs w:val="16"/>
              </w:rPr>
              <w:fldChar w:fldCharType="separate"/>
            </w:r>
            <w:r w:rsidR="0036112A" w:rsidRPr="0036112A">
              <w:rPr>
                <w:rStyle w:val="FootnoteReference"/>
              </w:rPr>
              <w:t>14</w:t>
            </w:r>
            <w:r w:rsidRPr="00322A3C">
              <w:rPr>
                <w:rFonts w:cs="Arial"/>
                <w:color w:val="000000" w:themeColor="text1"/>
                <w:szCs w:val="16"/>
              </w:rPr>
              <w:fldChar w:fldCharType="end"/>
            </w:r>
          </w:p>
        </w:tc>
        <w:tc>
          <w:tcPr>
            <w:tcW w:w="1083" w:type="pct"/>
            <w:shd w:val="clear" w:color="auto" w:fill="auto"/>
          </w:tcPr>
          <w:p w14:paraId="7CCA2E3B" w14:textId="34B84CEC" w:rsidR="00914210" w:rsidRPr="00781112" w:rsidRDefault="00914210" w:rsidP="00914210">
            <w:pPr>
              <w:spacing w:before="240"/>
              <w:jc w:val="center"/>
              <w:rPr>
                <w:rFonts w:cs="Arial"/>
                <w:color w:val="000000" w:themeColor="text1"/>
                <w:szCs w:val="16"/>
              </w:rPr>
            </w:pPr>
            <w:r w:rsidRPr="00322A3C">
              <w:rPr>
                <w:rFonts w:cs="Arial"/>
                <w:color w:val="000000" w:themeColor="text1"/>
                <w:szCs w:val="16"/>
              </w:rPr>
              <w:t>x</w:t>
            </w:r>
            <w:r w:rsidRPr="00322A3C">
              <w:rPr>
                <w:rFonts w:cs="Arial"/>
                <w:color w:val="000000" w:themeColor="text1"/>
                <w:szCs w:val="16"/>
              </w:rPr>
              <w:fldChar w:fldCharType="begin"/>
            </w:r>
            <w:r w:rsidRPr="00322A3C">
              <w:rPr>
                <w:rFonts w:cs="Arial"/>
                <w:color w:val="000000" w:themeColor="text1"/>
                <w:szCs w:val="16"/>
              </w:rPr>
              <w:instrText xml:space="preserve"> NOTEREF _Ref141167531 \f \h </w:instrText>
            </w:r>
            <w:r w:rsidRPr="00322A3C">
              <w:rPr>
                <w:rFonts w:cs="Arial"/>
                <w:color w:val="000000" w:themeColor="text1"/>
                <w:szCs w:val="16"/>
              </w:rPr>
            </w:r>
            <w:r w:rsidRPr="00322A3C">
              <w:rPr>
                <w:rFonts w:cs="Arial"/>
                <w:color w:val="000000" w:themeColor="text1"/>
                <w:szCs w:val="16"/>
              </w:rPr>
              <w:fldChar w:fldCharType="separate"/>
            </w:r>
            <w:r w:rsidR="0036112A" w:rsidRPr="0036112A">
              <w:rPr>
                <w:rStyle w:val="FootnoteReference"/>
              </w:rPr>
              <w:t>14</w:t>
            </w:r>
            <w:r w:rsidRPr="00322A3C">
              <w:rPr>
                <w:rFonts w:cs="Arial"/>
                <w:color w:val="000000" w:themeColor="text1"/>
                <w:szCs w:val="16"/>
              </w:rPr>
              <w:fldChar w:fldCharType="end"/>
            </w:r>
          </w:p>
        </w:tc>
        <w:tc>
          <w:tcPr>
            <w:tcW w:w="1084" w:type="pct"/>
            <w:shd w:val="clear" w:color="auto" w:fill="auto"/>
          </w:tcPr>
          <w:p w14:paraId="735C7B5A" w14:textId="4DF3B0D0" w:rsidR="00914210" w:rsidRPr="00781112" w:rsidRDefault="00914210" w:rsidP="00914210">
            <w:pPr>
              <w:spacing w:before="240"/>
              <w:jc w:val="center"/>
              <w:rPr>
                <w:rFonts w:cs="Arial"/>
                <w:color w:val="000000" w:themeColor="text1"/>
                <w:szCs w:val="16"/>
              </w:rPr>
            </w:pPr>
            <w:r w:rsidRPr="00322A3C">
              <w:rPr>
                <w:rFonts w:cs="Arial"/>
                <w:color w:val="000000" w:themeColor="text1"/>
                <w:szCs w:val="16"/>
              </w:rPr>
              <w:t>x</w:t>
            </w:r>
            <w:r w:rsidRPr="00322A3C">
              <w:rPr>
                <w:rFonts w:cs="Arial"/>
                <w:color w:val="000000" w:themeColor="text1"/>
                <w:szCs w:val="16"/>
              </w:rPr>
              <w:fldChar w:fldCharType="begin"/>
            </w:r>
            <w:r w:rsidRPr="00322A3C">
              <w:rPr>
                <w:rFonts w:cs="Arial"/>
                <w:color w:val="000000" w:themeColor="text1"/>
                <w:szCs w:val="16"/>
              </w:rPr>
              <w:instrText xml:space="preserve"> NOTEREF _Ref141167531 \f \h </w:instrText>
            </w:r>
            <w:r w:rsidRPr="00322A3C">
              <w:rPr>
                <w:rFonts w:cs="Arial"/>
                <w:color w:val="000000" w:themeColor="text1"/>
                <w:szCs w:val="16"/>
              </w:rPr>
            </w:r>
            <w:r w:rsidRPr="00322A3C">
              <w:rPr>
                <w:rFonts w:cs="Arial"/>
                <w:color w:val="000000" w:themeColor="text1"/>
                <w:szCs w:val="16"/>
              </w:rPr>
              <w:fldChar w:fldCharType="separate"/>
            </w:r>
            <w:r w:rsidR="0036112A" w:rsidRPr="0036112A">
              <w:rPr>
                <w:rStyle w:val="FootnoteReference"/>
              </w:rPr>
              <w:t>14</w:t>
            </w:r>
            <w:r w:rsidRPr="00322A3C">
              <w:rPr>
                <w:rFonts w:cs="Arial"/>
                <w:color w:val="000000" w:themeColor="text1"/>
                <w:szCs w:val="16"/>
              </w:rPr>
              <w:fldChar w:fldCharType="end"/>
            </w:r>
          </w:p>
        </w:tc>
      </w:tr>
      <w:tr w:rsidR="00914210" w:rsidRPr="00781112" w14:paraId="07844546" w14:textId="77777777" w:rsidTr="00DB0194">
        <w:tc>
          <w:tcPr>
            <w:tcW w:w="1749" w:type="pct"/>
            <w:shd w:val="clear" w:color="auto" w:fill="auto"/>
          </w:tcPr>
          <w:p w14:paraId="47D524EB" w14:textId="56F8E4CC" w:rsidR="00914210" w:rsidRPr="00781112" w:rsidRDefault="00914210" w:rsidP="00914210">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914210" w:rsidRPr="00781112" w:rsidRDefault="00914210" w:rsidP="00914210">
            <w:pPr>
              <w:jc w:val="center"/>
              <w:rPr>
                <w:rFonts w:cs="Arial"/>
                <w:color w:val="000000" w:themeColor="text1"/>
                <w:szCs w:val="16"/>
              </w:rPr>
            </w:pPr>
            <w:r w:rsidRPr="00781112">
              <w:rPr>
                <w:rFonts w:cs="Arial"/>
                <w:color w:val="000000" w:themeColor="text1"/>
                <w:szCs w:val="16"/>
              </w:rPr>
              <w:t>8</w:t>
            </w:r>
          </w:p>
        </w:tc>
        <w:tc>
          <w:tcPr>
            <w:tcW w:w="1083" w:type="pct"/>
            <w:shd w:val="clear" w:color="auto" w:fill="auto"/>
          </w:tcPr>
          <w:p w14:paraId="3CDBB055" w14:textId="71E92D65" w:rsidR="00914210" w:rsidRPr="00781112" w:rsidRDefault="00914210" w:rsidP="00914210">
            <w:pPr>
              <w:spacing w:before="240"/>
              <w:jc w:val="center"/>
              <w:rPr>
                <w:rFonts w:cs="Arial"/>
                <w:color w:val="000000" w:themeColor="text1"/>
                <w:szCs w:val="16"/>
              </w:rPr>
            </w:pPr>
            <w:r w:rsidRPr="00322A3C">
              <w:rPr>
                <w:rFonts w:cs="Arial"/>
                <w:color w:val="000000" w:themeColor="text1"/>
                <w:szCs w:val="16"/>
              </w:rPr>
              <w:t>x</w:t>
            </w:r>
            <w:r w:rsidRPr="00322A3C">
              <w:rPr>
                <w:rFonts w:cs="Arial"/>
                <w:color w:val="000000" w:themeColor="text1"/>
                <w:szCs w:val="16"/>
              </w:rPr>
              <w:fldChar w:fldCharType="begin"/>
            </w:r>
            <w:r w:rsidRPr="00322A3C">
              <w:rPr>
                <w:rFonts w:cs="Arial"/>
                <w:color w:val="000000" w:themeColor="text1"/>
                <w:szCs w:val="16"/>
              </w:rPr>
              <w:instrText xml:space="preserve"> NOTEREF _Ref141167531 \f \h </w:instrText>
            </w:r>
            <w:r w:rsidRPr="00322A3C">
              <w:rPr>
                <w:rFonts w:cs="Arial"/>
                <w:color w:val="000000" w:themeColor="text1"/>
                <w:szCs w:val="16"/>
              </w:rPr>
            </w:r>
            <w:r w:rsidRPr="00322A3C">
              <w:rPr>
                <w:rFonts w:cs="Arial"/>
                <w:color w:val="000000" w:themeColor="text1"/>
                <w:szCs w:val="16"/>
              </w:rPr>
              <w:fldChar w:fldCharType="separate"/>
            </w:r>
            <w:r w:rsidR="0036112A" w:rsidRPr="0036112A">
              <w:rPr>
                <w:rStyle w:val="FootnoteReference"/>
              </w:rPr>
              <w:t>14</w:t>
            </w:r>
            <w:r w:rsidRPr="00322A3C">
              <w:rPr>
                <w:rFonts w:cs="Arial"/>
                <w:color w:val="000000" w:themeColor="text1"/>
                <w:szCs w:val="16"/>
              </w:rPr>
              <w:fldChar w:fldCharType="end"/>
            </w:r>
          </w:p>
        </w:tc>
        <w:tc>
          <w:tcPr>
            <w:tcW w:w="1084" w:type="pct"/>
            <w:shd w:val="clear" w:color="auto" w:fill="auto"/>
          </w:tcPr>
          <w:p w14:paraId="53087BDA" w14:textId="499B9F21" w:rsidR="00914210" w:rsidRPr="00781112" w:rsidRDefault="00914210" w:rsidP="00914210">
            <w:pPr>
              <w:spacing w:before="240"/>
              <w:jc w:val="center"/>
              <w:rPr>
                <w:rFonts w:cs="Arial"/>
                <w:color w:val="000000" w:themeColor="text1"/>
                <w:szCs w:val="16"/>
              </w:rPr>
            </w:pPr>
            <w:r w:rsidRPr="00322A3C">
              <w:rPr>
                <w:rFonts w:cs="Arial"/>
                <w:color w:val="000000" w:themeColor="text1"/>
                <w:szCs w:val="16"/>
              </w:rPr>
              <w:t>x</w:t>
            </w:r>
            <w:r w:rsidRPr="00322A3C">
              <w:rPr>
                <w:rFonts w:cs="Arial"/>
                <w:color w:val="000000" w:themeColor="text1"/>
                <w:szCs w:val="16"/>
              </w:rPr>
              <w:fldChar w:fldCharType="begin"/>
            </w:r>
            <w:r w:rsidRPr="00322A3C">
              <w:rPr>
                <w:rFonts w:cs="Arial"/>
                <w:color w:val="000000" w:themeColor="text1"/>
                <w:szCs w:val="16"/>
              </w:rPr>
              <w:instrText xml:space="preserve"> NOTEREF _Ref141167531 \f \h </w:instrText>
            </w:r>
            <w:r w:rsidRPr="00322A3C">
              <w:rPr>
                <w:rFonts w:cs="Arial"/>
                <w:color w:val="000000" w:themeColor="text1"/>
                <w:szCs w:val="16"/>
              </w:rPr>
            </w:r>
            <w:r w:rsidRPr="00322A3C">
              <w:rPr>
                <w:rFonts w:cs="Arial"/>
                <w:color w:val="000000" w:themeColor="text1"/>
                <w:szCs w:val="16"/>
              </w:rPr>
              <w:fldChar w:fldCharType="separate"/>
            </w:r>
            <w:r w:rsidR="0036112A" w:rsidRPr="0036112A">
              <w:rPr>
                <w:rStyle w:val="FootnoteReference"/>
              </w:rPr>
              <w:t>14</w:t>
            </w:r>
            <w:r w:rsidRPr="00322A3C">
              <w:rPr>
                <w:rFonts w:cs="Arial"/>
                <w:color w:val="000000" w:themeColor="text1"/>
                <w:szCs w:val="16"/>
              </w:rPr>
              <w:fldChar w:fldCharType="end"/>
            </w:r>
          </w:p>
        </w:tc>
      </w:tr>
      <w:tr w:rsidR="00914210" w:rsidRPr="00781112" w14:paraId="0A3B43B6" w14:textId="77777777" w:rsidTr="00DB0194">
        <w:tc>
          <w:tcPr>
            <w:tcW w:w="1749" w:type="pct"/>
            <w:shd w:val="clear" w:color="auto" w:fill="auto"/>
          </w:tcPr>
          <w:p w14:paraId="78623131" w14:textId="1D0B9916" w:rsidR="00914210" w:rsidRPr="00781112" w:rsidRDefault="00914210" w:rsidP="00914210">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66130447" w:rsidR="00914210" w:rsidRPr="00781112" w:rsidRDefault="00914210" w:rsidP="00914210">
            <w:pPr>
              <w:jc w:val="center"/>
              <w:rPr>
                <w:rFonts w:cs="Arial"/>
                <w:color w:val="000000" w:themeColor="text1"/>
                <w:szCs w:val="16"/>
              </w:rPr>
            </w:pPr>
            <w:r w:rsidRPr="00322A3C">
              <w:rPr>
                <w:rFonts w:cs="Arial"/>
                <w:color w:val="000000" w:themeColor="text1"/>
                <w:szCs w:val="16"/>
              </w:rPr>
              <w:t>x</w:t>
            </w:r>
            <w:r w:rsidRPr="00322A3C">
              <w:rPr>
                <w:rFonts w:cs="Arial"/>
                <w:color w:val="000000" w:themeColor="text1"/>
                <w:szCs w:val="16"/>
              </w:rPr>
              <w:fldChar w:fldCharType="begin"/>
            </w:r>
            <w:r w:rsidRPr="00322A3C">
              <w:rPr>
                <w:rFonts w:cs="Arial"/>
                <w:color w:val="000000" w:themeColor="text1"/>
                <w:szCs w:val="16"/>
              </w:rPr>
              <w:instrText xml:space="preserve"> NOTEREF _Ref141167531 \f \h </w:instrText>
            </w:r>
            <w:r w:rsidRPr="00322A3C">
              <w:rPr>
                <w:rFonts w:cs="Arial"/>
                <w:color w:val="000000" w:themeColor="text1"/>
                <w:szCs w:val="16"/>
              </w:rPr>
            </w:r>
            <w:r w:rsidRPr="00322A3C">
              <w:rPr>
                <w:rFonts w:cs="Arial"/>
                <w:color w:val="000000" w:themeColor="text1"/>
                <w:szCs w:val="16"/>
              </w:rPr>
              <w:fldChar w:fldCharType="separate"/>
            </w:r>
            <w:r w:rsidR="0036112A" w:rsidRPr="0036112A">
              <w:rPr>
                <w:rStyle w:val="FootnoteReference"/>
              </w:rPr>
              <w:t>14</w:t>
            </w:r>
            <w:r w:rsidRPr="00322A3C">
              <w:rPr>
                <w:rFonts w:cs="Arial"/>
                <w:color w:val="000000" w:themeColor="text1"/>
                <w:szCs w:val="16"/>
              </w:rPr>
              <w:fldChar w:fldCharType="end"/>
            </w:r>
          </w:p>
        </w:tc>
        <w:tc>
          <w:tcPr>
            <w:tcW w:w="1083" w:type="pct"/>
            <w:shd w:val="clear" w:color="auto" w:fill="auto"/>
          </w:tcPr>
          <w:p w14:paraId="0A64567E" w14:textId="1FE8E2CB" w:rsidR="00914210" w:rsidRPr="00781112" w:rsidRDefault="00914210" w:rsidP="00914210">
            <w:pPr>
              <w:spacing w:before="240"/>
              <w:jc w:val="center"/>
              <w:rPr>
                <w:rFonts w:cs="Arial"/>
                <w:color w:val="000000" w:themeColor="text1"/>
                <w:szCs w:val="16"/>
              </w:rPr>
            </w:pPr>
            <w:r w:rsidRPr="00322A3C">
              <w:rPr>
                <w:rFonts w:cs="Arial"/>
                <w:color w:val="000000" w:themeColor="text1"/>
                <w:szCs w:val="16"/>
              </w:rPr>
              <w:t>x</w:t>
            </w:r>
            <w:r w:rsidRPr="00322A3C">
              <w:rPr>
                <w:rFonts w:cs="Arial"/>
                <w:color w:val="000000" w:themeColor="text1"/>
                <w:szCs w:val="16"/>
              </w:rPr>
              <w:fldChar w:fldCharType="begin"/>
            </w:r>
            <w:r w:rsidRPr="00322A3C">
              <w:rPr>
                <w:rFonts w:cs="Arial"/>
                <w:color w:val="000000" w:themeColor="text1"/>
                <w:szCs w:val="16"/>
              </w:rPr>
              <w:instrText xml:space="preserve"> NOTEREF _Ref141167531 \f \h </w:instrText>
            </w:r>
            <w:r w:rsidRPr="00322A3C">
              <w:rPr>
                <w:rFonts w:cs="Arial"/>
                <w:color w:val="000000" w:themeColor="text1"/>
                <w:szCs w:val="16"/>
              </w:rPr>
            </w:r>
            <w:r w:rsidRPr="00322A3C">
              <w:rPr>
                <w:rFonts w:cs="Arial"/>
                <w:color w:val="000000" w:themeColor="text1"/>
                <w:szCs w:val="16"/>
              </w:rPr>
              <w:fldChar w:fldCharType="separate"/>
            </w:r>
            <w:r w:rsidR="0036112A" w:rsidRPr="0036112A">
              <w:rPr>
                <w:rStyle w:val="FootnoteReference"/>
              </w:rPr>
              <w:t>14</w:t>
            </w:r>
            <w:r w:rsidRPr="00322A3C">
              <w:rPr>
                <w:rFonts w:cs="Arial"/>
                <w:color w:val="000000" w:themeColor="text1"/>
                <w:szCs w:val="16"/>
              </w:rPr>
              <w:fldChar w:fldCharType="end"/>
            </w:r>
          </w:p>
        </w:tc>
        <w:tc>
          <w:tcPr>
            <w:tcW w:w="1084" w:type="pct"/>
            <w:shd w:val="clear" w:color="auto" w:fill="auto"/>
          </w:tcPr>
          <w:p w14:paraId="4656C7C9" w14:textId="7E434364" w:rsidR="00914210" w:rsidRPr="00781112" w:rsidRDefault="00914210" w:rsidP="00914210">
            <w:pPr>
              <w:spacing w:before="240"/>
              <w:jc w:val="center"/>
              <w:rPr>
                <w:rFonts w:cs="Arial"/>
                <w:color w:val="000000" w:themeColor="text1"/>
                <w:szCs w:val="16"/>
              </w:rPr>
            </w:pPr>
            <w:r w:rsidRPr="00322A3C">
              <w:rPr>
                <w:rFonts w:cs="Arial"/>
                <w:color w:val="000000" w:themeColor="text1"/>
                <w:szCs w:val="16"/>
              </w:rPr>
              <w:t>x</w:t>
            </w:r>
            <w:r w:rsidRPr="00322A3C">
              <w:rPr>
                <w:rFonts w:cs="Arial"/>
                <w:color w:val="000000" w:themeColor="text1"/>
                <w:szCs w:val="16"/>
              </w:rPr>
              <w:fldChar w:fldCharType="begin"/>
            </w:r>
            <w:r w:rsidRPr="00322A3C">
              <w:rPr>
                <w:rFonts w:cs="Arial"/>
                <w:color w:val="000000" w:themeColor="text1"/>
                <w:szCs w:val="16"/>
              </w:rPr>
              <w:instrText xml:space="preserve"> NOTEREF _Ref141167531 \f \h </w:instrText>
            </w:r>
            <w:r w:rsidRPr="00322A3C">
              <w:rPr>
                <w:rFonts w:cs="Arial"/>
                <w:color w:val="000000" w:themeColor="text1"/>
                <w:szCs w:val="16"/>
              </w:rPr>
            </w:r>
            <w:r w:rsidRPr="00322A3C">
              <w:rPr>
                <w:rFonts w:cs="Arial"/>
                <w:color w:val="000000" w:themeColor="text1"/>
                <w:szCs w:val="16"/>
              </w:rPr>
              <w:fldChar w:fldCharType="separate"/>
            </w:r>
            <w:r w:rsidR="0036112A" w:rsidRPr="0036112A">
              <w:rPr>
                <w:rStyle w:val="FootnoteReference"/>
              </w:rPr>
              <w:t>14</w:t>
            </w:r>
            <w:r w:rsidRPr="00322A3C">
              <w:rPr>
                <w:rFonts w:cs="Arial"/>
                <w:color w:val="000000" w:themeColor="text1"/>
                <w:szCs w:val="16"/>
              </w:rPr>
              <w:fldChar w:fldCharType="end"/>
            </w:r>
          </w:p>
        </w:tc>
      </w:tr>
      <w:tr w:rsidR="00914210" w:rsidRPr="00781112" w14:paraId="7854C881" w14:textId="77777777" w:rsidTr="00DB0194">
        <w:tc>
          <w:tcPr>
            <w:tcW w:w="1749" w:type="pct"/>
            <w:shd w:val="clear" w:color="auto" w:fill="auto"/>
          </w:tcPr>
          <w:p w14:paraId="11893D61" w14:textId="60FC961E" w:rsidR="00914210" w:rsidRPr="00781112" w:rsidRDefault="00914210" w:rsidP="00914210">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914210" w:rsidRPr="00781112" w:rsidRDefault="00914210" w:rsidP="00914210">
            <w:pPr>
              <w:jc w:val="center"/>
              <w:rPr>
                <w:rFonts w:cs="Arial"/>
                <w:color w:val="000000" w:themeColor="text1"/>
                <w:szCs w:val="16"/>
              </w:rPr>
            </w:pPr>
            <w:r w:rsidRPr="00781112">
              <w:rPr>
                <w:rFonts w:cs="Arial"/>
                <w:color w:val="000000" w:themeColor="text1"/>
                <w:szCs w:val="16"/>
              </w:rPr>
              <w:t>8</w:t>
            </w:r>
          </w:p>
        </w:tc>
        <w:tc>
          <w:tcPr>
            <w:tcW w:w="1083" w:type="pct"/>
            <w:shd w:val="clear" w:color="auto" w:fill="auto"/>
          </w:tcPr>
          <w:p w14:paraId="1A17DFA3" w14:textId="64257849" w:rsidR="00914210" w:rsidRPr="00781112" w:rsidRDefault="00914210" w:rsidP="00914210">
            <w:pPr>
              <w:spacing w:before="240"/>
              <w:jc w:val="center"/>
              <w:rPr>
                <w:rFonts w:cs="Arial"/>
                <w:color w:val="000000" w:themeColor="text1"/>
                <w:szCs w:val="16"/>
              </w:rPr>
            </w:pPr>
            <w:r w:rsidRPr="00322A3C">
              <w:rPr>
                <w:rFonts w:cs="Arial"/>
                <w:color w:val="000000" w:themeColor="text1"/>
                <w:szCs w:val="16"/>
              </w:rPr>
              <w:t>x</w:t>
            </w:r>
            <w:r w:rsidRPr="00322A3C">
              <w:rPr>
                <w:rFonts w:cs="Arial"/>
                <w:color w:val="000000" w:themeColor="text1"/>
                <w:szCs w:val="16"/>
              </w:rPr>
              <w:fldChar w:fldCharType="begin"/>
            </w:r>
            <w:r w:rsidRPr="00322A3C">
              <w:rPr>
                <w:rFonts w:cs="Arial"/>
                <w:color w:val="000000" w:themeColor="text1"/>
                <w:szCs w:val="16"/>
              </w:rPr>
              <w:instrText xml:space="preserve"> NOTEREF _Ref141167531 \f \h </w:instrText>
            </w:r>
            <w:r w:rsidRPr="00322A3C">
              <w:rPr>
                <w:rFonts w:cs="Arial"/>
                <w:color w:val="000000" w:themeColor="text1"/>
                <w:szCs w:val="16"/>
              </w:rPr>
            </w:r>
            <w:r w:rsidRPr="00322A3C">
              <w:rPr>
                <w:rFonts w:cs="Arial"/>
                <w:color w:val="000000" w:themeColor="text1"/>
                <w:szCs w:val="16"/>
              </w:rPr>
              <w:fldChar w:fldCharType="separate"/>
            </w:r>
            <w:r w:rsidR="0036112A" w:rsidRPr="0036112A">
              <w:rPr>
                <w:rStyle w:val="FootnoteReference"/>
              </w:rPr>
              <w:t>14</w:t>
            </w:r>
            <w:r w:rsidRPr="00322A3C">
              <w:rPr>
                <w:rFonts w:cs="Arial"/>
                <w:color w:val="000000" w:themeColor="text1"/>
                <w:szCs w:val="16"/>
              </w:rPr>
              <w:fldChar w:fldCharType="end"/>
            </w:r>
          </w:p>
        </w:tc>
        <w:tc>
          <w:tcPr>
            <w:tcW w:w="1084" w:type="pct"/>
            <w:shd w:val="clear" w:color="auto" w:fill="auto"/>
          </w:tcPr>
          <w:p w14:paraId="20EB2770" w14:textId="520283F3" w:rsidR="00914210" w:rsidRPr="00781112" w:rsidRDefault="00914210" w:rsidP="00914210">
            <w:pPr>
              <w:spacing w:before="240"/>
              <w:jc w:val="center"/>
              <w:rPr>
                <w:rFonts w:cs="Arial"/>
                <w:color w:val="000000" w:themeColor="text1"/>
                <w:szCs w:val="16"/>
              </w:rPr>
            </w:pPr>
            <w:r w:rsidRPr="00322A3C">
              <w:rPr>
                <w:rFonts w:cs="Arial"/>
                <w:color w:val="000000" w:themeColor="text1"/>
                <w:szCs w:val="16"/>
              </w:rPr>
              <w:t>x</w:t>
            </w:r>
            <w:r w:rsidRPr="00322A3C">
              <w:rPr>
                <w:rFonts w:cs="Arial"/>
                <w:color w:val="000000" w:themeColor="text1"/>
                <w:szCs w:val="16"/>
              </w:rPr>
              <w:fldChar w:fldCharType="begin"/>
            </w:r>
            <w:r w:rsidRPr="00322A3C">
              <w:rPr>
                <w:rFonts w:cs="Arial"/>
                <w:color w:val="000000" w:themeColor="text1"/>
                <w:szCs w:val="16"/>
              </w:rPr>
              <w:instrText xml:space="preserve"> NOTEREF _Ref141167531 \f \h </w:instrText>
            </w:r>
            <w:r w:rsidRPr="00322A3C">
              <w:rPr>
                <w:rFonts w:cs="Arial"/>
                <w:color w:val="000000" w:themeColor="text1"/>
                <w:szCs w:val="16"/>
              </w:rPr>
            </w:r>
            <w:r w:rsidRPr="00322A3C">
              <w:rPr>
                <w:rFonts w:cs="Arial"/>
                <w:color w:val="000000" w:themeColor="text1"/>
                <w:szCs w:val="16"/>
              </w:rPr>
              <w:fldChar w:fldCharType="separate"/>
            </w:r>
            <w:r w:rsidR="0036112A" w:rsidRPr="0036112A">
              <w:rPr>
                <w:rStyle w:val="FootnoteReference"/>
              </w:rPr>
              <w:t>14</w:t>
            </w:r>
            <w:r w:rsidRPr="00322A3C">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914210" w:rsidRPr="00781112" w14:paraId="190DF2EB" w14:textId="77777777" w:rsidTr="00D00399">
        <w:tc>
          <w:tcPr>
            <w:tcW w:w="331" w:type="pct"/>
            <w:shd w:val="clear" w:color="auto" w:fill="auto"/>
            <w:vAlign w:val="center"/>
          </w:tcPr>
          <w:p w14:paraId="3AAB1776" w14:textId="77777777" w:rsidR="00914210" w:rsidRPr="00781112" w:rsidRDefault="00914210" w:rsidP="00914210">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914210" w:rsidRPr="00781112" w:rsidDel="00DE5045" w:rsidRDefault="00914210" w:rsidP="00914210">
            <w:pPr>
              <w:jc w:val="center"/>
              <w:rPr>
                <w:rFonts w:cs="Arial"/>
                <w:color w:val="000000" w:themeColor="text1"/>
                <w:szCs w:val="16"/>
              </w:rPr>
            </w:pPr>
            <w:r w:rsidRPr="00781112">
              <w:rPr>
                <w:rFonts w:cs="Arial"/>
                <w:color w:val="000000" w:themeColor="text1"/>
                <w:szCs w:val="16"/>
              </w:rPr>
              <w:t>Grade 3</w:t>
            </w:r>
          </w:p>
        </w:tc>
        <w:tc>
          <w:tcPr>
            <w:tcW w:w="812" w:type="pct"/>
            <w:shd w:val="clear" w:color="auto" w:fill="auto"/>
          </w:tcPr>
          <w:p w14:paraId="05BCB412" w14:textId="140BE537" w:rsidR="00914210" w:rsidRPr="00781112" w:rsidRDefault="00914210" w:rsidP="00914210">
            <w:pPr>
              <w:jc w:val="center"/>
              <w:rPr>
                <w:rFonts w:cs="Arial"/>
                <w:color w:val="000000" w:themeColor="text1"/>
                <w:szCs w:val="16"/>
              </w:rPr>
            </w:pPr>
            <w:r w:rsidRPr="00EE4414">
              <w:rPr>
                <w:rFonts w:cs="Arial"/>
                <w:color w:val="000000" w:themeColor="text1"/>
                <w:szCs w:val="16"/>
              </w:rPr>
              <w:t>x</w:t>
            </w:r>
            <w:bookmarkStart w:id="32" w:name="_Ref141167612"/>
            <w:r>
              <w:rPr>
                <w:rStyle w:val="FootnoteReference"/>
                <w:rFonts w:cs="Arial"/>
                <w:color w:val="000000" w:themeColor="text1"/>
                <w:szCs w:val="16"/>
              </w:rPr>
              <w:footnoteReference w:id="19"/>
            </w:r>
            <w:bookmarkEnd w:id="32"/>
          </w:p>
        </w:tc>
        <w:tc>
          <w:tcPr>
            <w:tcW w:w="812" w:type="pct"/>
            <w:shd w:val="clear" w:color="auto" w:fill="auto"/>
          </w:tcPr>
          <w:p w14:paraId="3354BCD4" w14:textId="48B61473" w:rsidR="00914210" w:rsidRPr="00781112" w:rsidRDefault="00914210" w:rsidP="00914210">
            <w:pPr>
              <w:jc w:val="center"/>
              <w:rPr>
                <w:rFonts w:cs="Arial"/>
                <w:color w:val="000000" w:themeColor="text1"/>
                <w:szCs w:val="16"/>
              </w:rPr>
            </w:pPr>
            <w:r w:rsidRPr="00EE4414">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_Ref141167612 \f \h </w:instrText>
            </w:r>
            <w:r>
              <w:rPr>
                <w:rFonts w:cs="Arial"/>
                <w:color w:val="000000" w:themeColor="text1"/>
                <w:szCs w:val="16"/>
              </w:rPr>
            </w:r>
            <w:r>
              <w:rPr>
                <w:rFonts w:cs="Arial"/>
                <w:color w:val="000000" w:themeColor="text1"/>
                <w:szCs w:val="16"/>
              </w:rPr>
              <w:fldChar w:fldCharType="separate"/>
            </w:r>
            <w:r w:rsidR="0036112A" w:rsidRPr="0036112A">
              <w:rPr>
                <w:rStyle w:val="FootnoteReference"/>
              </w:rPr>
              <w:t>15</w:t>
            </w:r>
            <w:r>
              <w:rPr>
                <w:rFonts w:cs="Arial"/>
                <w:color w:val="000000" w:themeColor="text1"/>
                <w:szCs w:val="16"/>
              </w:rPr>
              <w:fldChar w:fldCharType="end"/>
            </w:r>
          </w:p>
        </w:tc>
        <w:tc>
          <w:tcPr>
            <w:tcW w:w="516" w:type="pct"/>
            <w:shd w:val="clear" w:color="auto" w:fill="auto"/>
            <w:vAlign w:val="center"/>
          </w:tcPr>
          <w:p w14:paraId="54DCE3E3" w14:textId="767528A8" w:rsidR="00914210" w:rsidRPr="00781112" w:rsidRDefault="00914210" w:rsidP="00914210">
            <w:pPr>
              <w:jc w:val="center"/>
              <w:rPr>
                <w:rFonts w:cs="Arial"/>
                <w:color w:val="000000" w:themeColor="text1"/>
                <w:szCs w:val="16"/>
              </w:rPr>
            </w:pPr>
            <w:r w:rsidRPr="00781112">
              <w:rPr>
                <w:rFonts w:cs="Arial"/>
                <w:color w:val="000000" w:themeColor="text1"/>
                <w:szCs w:val="16"/>
              </w:rPr>
              <w:t>14.36</w:t>
            </w:r>
          </w:p>
        </w:tc>
        <w:tc>
          <w:tcPr>
            <w:tcW w:w="517" w:type="pct"/>
            <w:shd w:val="clear" w:color="auto" w:fill="auto"/>
            <w:vAlign w:val="center"/>
          </w:tcPr>
          <w:p w14:paraId="391F5142" w14:textId="770A7FE0" w:rsidR="00914210" w:rsidRPr="00781112" w:rsidRDefault="00914210" w:rsidP="00914210">
            <w:pPr>
              <w:jc w:val="center"/>
              <w:rPr>
                <w:rFonts w:cs="Arial"/>
                <w:color w:val="000000" w:themeColor="text1"/>
                <w:szCs w:val="16"/>
              </w:rPr>
            </w:pPr>
            <w:r w:rsidRPr="00781112">
              <w:rPr>
                <w:rFonts w:cs="Arial"/>
                <w:color w:val="000000" w:themeColor="text1"/>
                <w:szCs w:val="16"/>
              </w:rPr>
              <w:t>14.00</w:t>
            </w:r>
          </w:p>
        </w:tc>
        <w:tc>
          <w:tcPr>
            <w:tcW w:w="517" w:type="pct"/>
            <w:shd w:val="clear" w:color="auto" w:fill="auto"/>
            <w:vAlign w:val="center"/>
          </w:tcPr>
          <w:p w14:paraId="017D29FF" w14:textId="59A06573" w:rsidR="00914210" w:rsidRPr="00781112" w:rsidRDefault="00914210" w:rsidP="00914210">
            <w:pPr>
              <w:jc w:val="center"/>
              <w:rPr>
                <w:rFonts w:cs="Arial"/>
                <w:color w:val="000000" w:themeColor="text1"/>
                <w:szCs w:val="16"/>
              </w:rPr>
            </w:pPr>
            <w:r w:rsidRPr="00781112">
              <w:rPr>
                <w:rFonts w:cs="Arial"/>
                <w:color w:val="000000" w:themeColor="text1"/>
                <w:szCs w:val="16"/>
              </w:rPr>
              <w:t>27.05</w:t>
            </w:r>
          </w:p>
        </w:tc>
        <w:tc>
          <w:tcPr>
            <w:tcW w:w="517" w:type="pct"/>
            <w:shd w:val="clear" w:color="auto" w:fill="auto"/>
            <w:vAlign w:val="center"/>
          </w:tcPr>
          <w:p w14:paraId="39C0C705" w14:textId="1211FD2B" w:rsidR="00914210" w:rsidRPr="00781112" w:rsidRDefault="00914210" w:rsidP="00914210">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914210" w:rsidRPr="00781112" w:rsidRDefault="00914210" w:rsidP="00914210">
            <w:pPr>
              <w:jc w:val="center"/>
              <w:rPr>
                <w:rFonts w:cs="Arial"/>
                <w:color w:val="000000" w:themeColor="text1"/>
                <w:szCs w:val="16"/>
              </w:rPr>
            </w:pPr>
            <w:r w:rsidRPr="00781112">
              <w:rPr>
                <w:rFonts w:cs="Arial"/>
                <w:color w:val="000000" w:themeColor="text1"/>
                <w:szCs w:val="16"/>
              </w:rPr>
              <w:t>Slippage</w:t>
            </w:r>
          </w:p>
        </w:tc>
      </w:tr>
      <w:tr w:rsidR="00914210" w:rsidRPr="00781112" w14:paraId="4FDDF1FC" w14:textId="77777777" w:rsidTr="00D00399">
        <w:tc>
          <w:tcPr>
            <w:tcW w:w="331" w:type="pct"/>
            <w:shd w:val="clear" w:color="auto" w:fill="auto"/>
            <w:vAlign w:val="center"/>
          </w:tcPr>
          <w:p w14:paraId="472CE57B" w14:textId="77777777" w:rsidR="00914210" w:rsidRPr="00781112" w:rsidRDefault="00914210" w:rsidP="00914210">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914210" w:rsidRPr="00781112" w:rsidDel="00DE5045" w:rsidRDefault="00914210" w:rsidP="00914210">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5A79E49F" w:rsidR="00914210" w:rsidRPr="00781112" w:rsidRDefault="00914210" w:rsidP="00914210">
            <w:pPr>
              <w:jc w:val="center"/>
              <w:rPr>
                <w:rFonts w:cs="Arial"/>
                <w:color w:val="000000" w:themeColor="text1"/>
                <w:szCs w:val="16"/>
              </w:rPr>
            </w:pPr>
            <w:r w:rsidRPr="00017549">
              <w:rPr>
                <w:rFonts w:cs="Arial"/>
                <w:color w:val="000000" w:themeColor="text1"/>
                <w:szCs w:val="16"/>
              </w:rPr>
              <w:t>x</w:t>
            </w:r>
            <w:r w:rsidRPr="00017549">
              <w:rPr>
                <w:rFonts w:cs="Arial"/>
                <w:color w:val="000000" w:themeColor="text1"/>
                <w:szCs w:val="16"/>
              </w:rPr>
              <w:fldChar w:fldCharType="begin"/>
            </w:r>
            <w:r w:rsidRPr="00017549">
              <w:rPr>
                <w:rFonts w:cs="Arial"/>
                <w:color w:val="000000" w:themeColor="text1"/>
                <w:szCs w:val="16"/>
              </w:rPr>
              <w:instrText xml:space="preserve"> NOTEREF _Ref141167612 \f \h </w:instrText>
            </w:r>
            <w:r w:rsidRPr="00017549">
              <w:rPr>
                <w:rFonts w:cs="Arial"/>
                <w:color w:val="000000" w:themeColor="text1"/>
                <w:szCs w:val="16"/>
              </w:rPr>
            </w:r>
            <w:r w:rsidRPr="00017549">
              <w:rPr>
                <w:rFonts w:cs="Arial"/>
                <w:color w:val="000000" w:themeColor="text1"/>
                <w:szCs w:val="16"/>
              </w:rPr>
              <w:fldChar w:fldCharType="separate"/>
            </w:r>
            <w:r w:rsidR="0036112A" w:rsidRPr="0036112A">
              <w:rPr>
                <w:rStyle w:val="FootnoteReference"/>
              </w:rPr>
              <w:t>15</w:t>
            </w:r>
            <w:r w:rsidRPr="00017549">
              <w:rPr>
                <w:rFonts w:cs="Arial"/>
                <w:color w:val="000000" w:themeColor="text1"/>
                <w:szCs w:val="16"/>
              </w:rPr>
              <w:fldChar w:fldCharType="end"/>
            </w:r>
          </w:p>
        </w:tc>
        <w:tc>
          <w:tcPr>
            <w:tcW w:w="812" w:type="pct"/>
            <w:shd w:val="clear" w:color="auto" w:fill="auto"/>
          </w:tcPr>
          <w:p w14:paraId="375F78DA" w14:textId="106B51BC" w:rsidR="00914210" w:rsidRPr="00781112" w:rsidRDefault="00914210" w:rsidP="00914210">
            <w:pPr>
              <w:jc w:val="center"/>
              <w:rPr>
                <w:rFonts w:cs="Arial"/>
                <w:color w:val="000000" w:themeColor="text1"/>
                <w:szCs w:val="16"/>
              </w:rPr>
            </w:pPr>
            <w:r w:rsidRPr="00017549">
              <w:rPr>
                <w:rFonts w:cs="Arial"/>
                <w:color w:val="000000" w:themeColor="text1"/>
                <w:szCs w:val="16"/>
              </w:rPr>
              <w:t>x</w:t>
            </w:r>
            <w:r w:rsidRPr="00017549">
              <w:rPr>
                <w:rFonts w:cs="Arial"/>
                <w:color w:val="000000" w:themeColor="text1"/>
                <w:szCs w:val="16"/>
              </w:rPr>
              <w:fldChar w:fldCharType="begin"/>
            </w:r>
            <w:r w:rsidRPr="00017549">
              <w:rPr>
                <w:rFonts w:cs="Arial"/>
                <w:color w:val="000000" w:themeColor="text1"/>
                <w:szCs w:val="16"/>
              </w:rPr>
              <w:instrText xml:space="preserve"> NOTEREF _Ref141167612 \f \h </w:instrText>
            </w:r>
            <w:r w:rsidRPr="00017549">
              <w:rPr>
                <w:rFonts w:cs="Arial"/>
                <w:color w:val="000000" w:themeColor="text1"/>
                <w:szCs w:val="16"/>
              </w:rPr>
            </w:r>
            <w:r w:rsidRPr="00017549">
              <w:rPr>
                <w:rFonts w:cs="Arial"/>
                <w:color w:val="000000" w:themeColor="text1"/>
                <w:szCs w:val="16"/>
              </w:rPr>
              <w:fldChar w:fldCharType="separate"/>
            </w:r>
            <w:r w:rsidR="0036112A" w:rsidRPr="0036112A">
              <w:rPr>
                <w:rStyle w:val="FootnoteReference"/>
              </w:rPr>
              <w:t>15</w:t>
            </w:r>
            <w:r w:rsidRPr="00017549">
              <w:rPr>
                <w:rFonts w:cs="Arial"/>
                <w:color w:val="000000" w:themeColor="text1"/>
                <w:szCs w:val="16"/>
              </w:rPr>
              <w:fldChar w:fldCharType="end"/>
            </w:r>
          </w:p>
        </w:tc>
        <w:tc>
          <w:tcPr>
            <w:tcW w:w="516" w:type="pct"/>
            <w:shd w:val="clear" w:color="auto" w:fill="auto"/>
            <w:vAlign w:val="center"/>
          </w:tcPr>
          <w:p w14:paraId="64AC26EC" w14:textId="4F9A3CF6" w:rsidR="00914210" w:rsidRPr="00781112" w:rsidRDefault="00914210" w:rsidP="00914210">
            <w:pPr>
              <w:jc w:val="center"/>
              <w:rPr>
                <w:rFonts w:cs="Arial"/>
                <w:color w:val="000000" w:themeColor="text1"/>
                <w:szCs w:val="16"/>
              </w:rPr>
            </w:pPr>
            <w:r w:rsidRPr="00781112">
              <w:rPr>
                <w:rFonts w:cs="Arial"/>
                <w:color w:val="000000" w:themeColor="text1"/>
                <w:szCs w:val="16"/>
              </w:rPr>
              <w:t>25.12</w:t>
            </w:r>
          </w:p>
        </w:tc>
        <w:tc>
          <w:tcPr>
            <w:tcW w:w="517" w:type="pct"/>
            <w:shd w:val="clear" w:color="auto" w:fill="auto"/>
            <w:vAlign w:val="center"/>
          </w:tcPr>
          <w:p w14:paraId="3B5E22DF" w14:textId="033CD131" w:rsidR="00914210" w:rsidRPr="00781112" w:rsidRDefault="00914210" w:rsidP="00914210">
            <w:pPr>
              <w:jc w:val="center"/>
              <w:rPr>
                <w:rFonts w:cs="Arial"/>
                <w:color w:val="000000" w:themeColor="text1"/>
                <w:szCs w:val="16"/>
              </w:rPr>
            </w:pPr>
            <w:r w:rsidRPr="00781112">
              <w:rPr>
                <w:rFonts w:cs="Arial"/>
                <w:color w:val="000000" w:themeColor="text1"/>
                <w:szCs w:val="16"/>
              </w:rPr>
              <w:t>25.00</w:t>
            </w:r>
          </w:p>
        </w:tc>
        <w:tc>
          <w:tcPr>
            <w:tcW w:w="517" w:type="pct"/>
            <w:shd w:val="clear" w:color="auto" w:fill="auto"/>
            <w:vAlign w:val="center"/>
          </w:tcPr>
          <w:p w14:paraId="256C9782" w14:textId="4BEEC361" w:rsidR="00914210" w:rsidRPr="00781112" w:rsidRDefault="00914210" w:rsidP="00914210">
            <w:pPr>
              <w:jc w:val="center"/>
              <w:rPr>
                <w:rFonts w:cs="Arial"/>
                <w:color w:val="000000" w:themeColor="text1"/>
                <w:szCs w:val="16"/>
              </w:rPr>
            </w:pPr>
            <w:r w:rsidRPr="00781112">
              <w:rPr>
                <w:rFonts w:cs="Arial"/>
                <w:color w:val="000000" w:themeColor="text1"/>
                <w:szCs w:val="16"/>
              </w:rPr>
              <w:t>15.78</w:t>
            </w:r>
          </w:p>
        </w:tc>
        <w:tc>
          <w:tcPr>
            <w:tcW w:w="517" w:type="pct"/>
            <w:shd w:val="clear" w:color="auto" w:fill="auto"/>
            <w:vAlign w:val="center"/>
          </w:tcPr>
          <w:p w14:paraId="51FD2F8A" w14:textId="67567519" w:rsidR="00914210" w:rsidRPr="00781112" w:rsidRDefault="00914210" w:rsidP="00914210">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914210" w:rsidRPr="00781112" w:rsidRDefault="00914210" w:rsidP="00914210">
            <w:pPr>
              <w:jc w:val="center"/>
              <w:rPr>
                <w:rFonts w:cs="Arial"/>
                <w:color w:val="000000" w:themeColor="text1"/>
                <w:szCs w:val="16"/>
              </w:rPr>
            </w:pPr>
            <w:r w:rsidRPr="00781112">
              <w:rPr>
                <w:rFonts w:cs="Arial"/>
                <w:color w:val="000000" w:themeColor="text1"/>
                <w:szCs w:val="16"/>
              </w:rPr>
              <w:t>No Slippage</w:t>
            </w:r>
          </w:p>
        </w:tc>
      </w:tr>
      <w:tr w:rsidR="00914210" w:rsidRPr="00781112" w14:paraId="4A60F932" w14:textId="77777777" w:rsidTr="00D00399">
        <w:tc>
          <w:tcPr>
            <w:tcW w:w="331" w:type="pct"/>
            <w:shd w:val="clear" w:color="auto" w:fill="auto"/>
            <w:vAlign w:val="center"/>
          </w:tcPr>
          <w:p w14:paraId="109942AA" w14:textId="77777777" w:rsidR="00914210" w:rsidRPr="00781112" w:rsidRDefault="00914210" w:rsidP="00914210">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914210" w:rsidRPr="00781112" w:rsidDel="00DE5045" w:rsidRDefault="00914210" w:rsidP="00914210">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1A608042" w:rsidR="00914210" w:rsidRPr="00781112" w:rsidRDefault="00914210" w:rsidP="00914210">
            <w:pPr>
              <w:jc w:val="center"/>
              <w:rPr>
                <w:rFonts w:cs="Arial"/>
                <w:color w:val="000000" w:themeColor="text1"/>
                <w:szCs w:val="16"/>
              </w:rPr>
            </w:pPr>
            <w:r w:rsidRPr="00017549">
              <w:rPr>
                <w:rFonts w:cs="Arial"/>
                <w:color w:val="000000" w:themeColor="text1"/>
                <w:szCs w:val="16"/>
              </w:rPr>
              <w:t>x</w:t>
            </w:r>
            <w:r w:rsidRPr="00017549">
              <w:rPr>
                <w:rFonts w:cs="Arial"/>
                <w:color w:val="000000" w:themeColor="text1"/>
                <w:szCs w:val="16"/>
              </w:rPr>
              <w:fldChar w:fldCharType="begin"/>
            </w:r>
            <w:r w:rsidRPr="00017549">
              <w:rPr>
                <w:rFonts w:cs="Arial"/>
                <w:color w:val="000000" w:themeColor="text1"/>
                <w:szCs w:val="16"/>
              </w:rPr>
              <w:instrText xml:space="preserve"> NOTEREF _Ref141167612 \f \h </w:instrText>
            </w:r>
            <w:r w:rsidRPr="00017549">
              <w:rPr>
                <w:rFonts w:cs="Arial"/>
                <w:color w:val="000000" w:themeColor="text1"/>
                <w:szCs w:val="16"/>
              </w:rPr>
            </w:r>
            <w:r w:rsidRPr="00017549">
              <w:rPr>
                <w:rFonts w:cs="Arial"/>
                <w:color w:val="000000" w:themeColor="text1"/>
                <w:szCs w:val="16"/>
              </w:rPr>
              <w:fldChar w:fldCharType="separate"/>
            </w:r>
            <w:r w:rsidR="0036112A" w:rsidRPr="0036112A">
              <w:rPr>
                <w:rStyle w:val="FootnoteReference"/>
              </w:rPr>
              <w:t>15</w:t>
            </w:r>
            <w:r w:rsidRPr="00017549">
              <w:rPr>
                <w:rFonts w:cs="Arial"/>
                <w:color w:val="000000" w:themeColor="text1"/>
                <w:szCs w:val="16"/>
              </w:rPr>
              <w:fldChar w:fldCharType="end"/>
            </w:r>
          </w:p>
        </w:tc>
        <w:tc>
          <w:tcPr>
            <w:tcW w:w="812" w:type="pct"/>
            <w:shd w:val="clear" w:color="auto" w:fill="auto"/>
          </w:tcPr>
          <w:p w14:paraId="1276E93C" w14:textId="409FE194" w:rsidR="00914210" w:rsidRPr="00781112" w:rsidRDefault="00914210" w:rsidP="00914210">
            <w:pPr>
              <w:jc w:val="center"/>
              <w:rPr>
                <w:rFonts w:cs="Arial"/>
                <w:color w:val="000000" w:themeColor="text1"/>
                <w:szCs w:val="16"/>
              </w:rPr>
            </w:pPr>
            <w:r w:rsidRPr="00017549">
              <w:rPr>
                <w:rFonts w:cs="Arial"/>
                <w:color w:val="000000" w:themeColor="text1"/>
                <w:szCs w:val="16"/>
              </w:rPr>
              <w:t>x</w:t>
            </w:r>
            <w:r w:rsidRPr="00017549">
              <w:rPr>
                <w:rFonts w:cs="Arial"/>
                <w:color w:val="000000" w:themeColor="text1"/>
                <w:szCs w:val="16"/>
              </w:rPr>
              <w:fldChar w:fldCharType="begin"/>
            </w:r>
            <w:r w:rsidRPr="00017549">
              <w:rPr>
                <w:rFonts w:cs="Arial"/>
                <w:color w:val="000000" w:themeColor="text1"/>
                <w:szCs w:val="16"/>
              </w:rPr>
              <w:instrText xml:space="preserve"> NOTEREF _Ref141167612 \f \h </w:instrText>
            </w:r>
            <w:r w:rsidRPr="00017549">
              <w:rPr>
                <w:rFonts w:cs="Arial"/>
                <w:color w:val="000000" w:themeColor="text1"/>
                <w:szCs w:val="16"/>
              </w:rPr>
            </w:r>
            <w:r w:rsidRPr="00017549">
              <w:rPr>
                <w:rFonts w:cs="Arial"/>
                <w:color w:val="000000" w:themeColor="text1"/>
                <w:szCs w:val="16"/>
              </w:rPr>
              <w:fldChar w:fldCharType="separate"/>
            </w:r>
            <w:r w:rsidR="0036112A" w:rsidRPr="0036112A">
              <w:rPr>
                <w:rStyle w:val="FootnoteReference"/>
              </w:rPr>
              <w:t>15</w:t>
            </w:r>
            <w:r w:rsidRPr="00017549">
              <w:rPr>
                <w:rFonts w:cs="Arial"/>
                <w:color w:val="000000" w:themeColor="text1"/>
                <w:szCs w:val="16"/>
              </w:rPr>
              <w:fldChar w:fldCharType="end"/>
            </w:r>
          </w:p>
        </w:tc>
        <w:tc>
          <w:tcPr>
            <w:tcW w:w="516" w:type="pct"/>
            <w:shd w:val="clear" w:color="auto" w:fill="auto"/>
            <w:vAlign w:val="center"/>
          </w:tcPr>
          <w:p w14:paraId="76DE5213" w14:textId="3C97B5A2" w:rsidR="00914210" w:rsidRPr="00781112" w:rsidRDefault="00914210" w:rsidP="00914210">
            <w:pPr>
              <w:jc w:val="center"/>
              <w:rPr>
                <w:rFonts w:cs="Arial"/>
                <w:color w:val="000000" w:themeColor="text1"/>
                <w:szCs w:val="16"/>
              </w:rPr>
            </w:pPr>
            <w:r w:rsidRPr="00781112">
              <w:rPr>
                <w:rFonts w:cs="Arial"/>
                <w:color w:val="000000" w:themeColor="text1"/>
                <w:szCs w:val="16"/>
              </w:rPr>
              <w:t>16.11</w:t>
            </w:r>
          </w:p>
        </w:tc>
        <w:tc>
          <w:tcPr>
            <w:tcW w:w="517" w:type="pct"/>
            <w:shd w:val="clear" w:color="auto" w:fill="auto"/>
            <w:vAlign w:val="center"/>
          </w:tcPr>
          <w:p w14:paraId="49FF9458" w14:textId="166D5425" w:rsidR="00914210" w:rsidRPr="00781112" w:rsidRDefault="00914210" w:rsidP="00914210">
            <w:pPr>
              <w:jc w:val="center"/>
              <w:rPr>
                <w:rFonts w:cs="Arial"/>
                <w:color w:val="000000" w:themeColor="text1"/>
                <w:szCs w:val="16"/>
              </w:rPr>
            </w:pPr>
            <w:r w:rsidRPr="00781112">
              <w:rPr>
                <w:rFonts w:cs="Arial"/>
                <w:color w:val="000000" w:themeColor="text1"/>
                <w:szCs w:val="16"/>
              </w:rPr>
              <w:t>16.00</w:t>
            </w:r>
          </w:p>
        </w:tc>
        <w:tc>
          <w:tcPr>
            <w:tcW w:w="517" w:type="pct"/>
            <w:shd w:val="clear" w:color="auto" w:fill="auto"/>
            <w:vAlign w:val="center"/>
          </w:tcPr>
          <w:p w14:paraId="6CEACE1B" w14:textId="242A6B31" w:rsidR="00914210" w:rsidRPr="00781112" w:rsidRDefault="00914210" w:rsidP="00914210">
            <w:pPr>
              <w:jc w:val="center"/>
              <w:rPr>
                <w:rFonts w:cs="Arial"/>
                <w:color w:val="000000" w:themeColor="text1"/>
                <w:szCs w:val="16"/>
              </w:rPr>
            </w:pPr>
            <w:r w:rsidRPr="00781112">
              <w:rPr>
                <w:rFonts w:cs="Arial"/>
                <w:color w:val="000000" w:themeColor="text1"/>
                <w:szCs w:val="16"/>
              </w:rPr>
              <w:t>27.46</w:t>
            </w:r>
          </w:p>
        </w:tc>
        <w:tc>
          <w:tcPr>
            <w:tcW w:w="517" w:type="pct"/>
            <w:shd w:val="clear" w:color="auto" w:fill="auto"/>
            <w:vAlign w:val="center"/>
          </w:tcPr>
          <w:p w14:paraId="06F1CF5C" w14:textId="7AA9C548" w:rsidR="00914210" w:rsidRPr="00781112" w:rsidRDefault="00914210" w:rsidP="00914210">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914210" w:rsidRPr="00781112" w:rsidRDefault="00914210" w:rsidP="00914210">
            <w:pPr>
              <w:jc w:val="center"/>
              <w:rPr>
                <w:rFonts w:cs="Arial"/>
                <w:color w:val="000000" w:themeColor="text1"/>
                <w:szCs w:val="16"/>
              </w:rPr>
            </w:pPr>
            <w:r w:rsidRPr="00781112">
              <w:rPr>
                <w:rFonts w:cs="Arial"/>
                <w:color w:val="000000" w:themeColor="text1"/>
                <w:szCs w:val="16"/>
              </w:rPr>
              <w:t>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 xml:space="preserve">During FFY 2021, the RMI was impacted by COVID19. COVID hit the RMI starting in early March. Although participation rates on assessments were very high in FFY 2021, the RMI preparations for dealing with the approaching COVID were a distraction for administrators, teachers, students, and families. This could have been a potential impact on the performance of students with disabilities </w:t>
      </w:r>
      <w:proofErr w:type="gramStart"/>
      <w:r w:rsidRPr="00781112">
        <w:rPr>
          <w:rFonts w:cs="Arial"/>
          <w:color w:val="000000" w:themeColor="text1"/>
          <w:szCs w:val="16"/>
        </w:rPr>
        <w:t>in particular in</w:t>
      </w:r>
      <w:proofErr w:type="gramEnd"/>
      <w:r w:rsidRPr="00781112">
        <w:rPr>
          <w:rFonts w:cs="Arial"/>
          <w:color w:val="000000" w:themeColor="text1"/>
          <w:szCs w:val="16"/>
        </w:rPr>
        <w:t xml:space="preserve"> the MISAT (statewide assessments). </w:t>
      </w:r>
    </w:p>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006E999D" w14:textId="7BEF32F9" w:rsidR="00DD5B7A" w:rsidRPr="00914210" w:rsidRDefault="00DD5B7A" w:rsidP="00914210">
      <w:pPr>
        <w:rPr>
          <w:rFonts w:cs="Arial"/>
          <w:color w:val="000000" w:themeColor="text1"/>
          <w:szCs w:val="16"/>
        </w:rPr>
      </w:pPr>
      <w:r w:rsidRPr="00781112">
        <w:rPr>
          <w:rFonts w:cs="Arial"/>
          <w:color w:val="000000" w:themeColor="text1"/>
          <w:szCs w:val="16"/>
        </w:rPr>
        <w:t xml:space="preserve">During FFY 2021, the RMI was impacted by COVID19. COVID hit the RMI starting in early March. Although participation rates on assessments were very high in FFY 2021, the RMI preparations for dealing with the approaching COVID were a distraction for administrators, teachers, students, and families. This could have been a potential impact on the performance of students with disabilities </w:t>
      </w:r>
      <w:proofErr w:type="gramStart"/>
      <w:r w:rsidRPr="00781112">
        <w:rPr>
          <w:rFonts w:cs="Arial"/>
          <w:color w:val="000000" w:themeColor="text1"/>
          <w:szCs w:val="16"/>
        </w:rPr>
        <w:t>in particular in</w:t>
      </w:r>
      <w:proofErr w:type="gramEnd"/>
      <w:r w:rsidRPr="00781112">
        <w:rPr>
          <w:rFonts w:cs="Arial"/>
          <w:color w:val="000000" w:themeColor="text1"/>
          <w:szCs w:val="16"/>
        </w:rPr>
        <w:t xml:space="preserve"> the MISAT (statewide assessments). </w:t>
      </w:r>
      <w:r w:rsidR="00914210">
        <w:rPr>
          <w:rFonts w:cs="Arial"/>
          <w:color w:val="000000" w:themeColor="text1"/>
          <w:szCs w:val="16"/>
        </w:rPr>
        <w:br/>
      </w: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914210" w:rsidRPr="00781112" w14:paraId="37123996" w14:textId="77777777" w:rsidTr="007F15F3">
        <w:tc>
          <w:tcPr>
            <w:tcW w:w="331" w:type="pct"/>
            <w:shd w:val="clear" w:color="auto" w:fill="auto"/>
            <w:vAlign w:val="center"/>
          </w:tcPr>
          <w:p w14:paraId="689B01B1" w14:textId="77777777" w:rsidR="00914210" w:rsidRPr="00781112" w:rsidRDefault="00914210" w:rsidP="00914210">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914210" w:rsidRPr="00781112" w:rsidDel="00DE5045" w:rsidRDefault="00914210" w:rsidP="00914210">
            <w:pPr>
              <w:jc w:val="center"/>
              <w:rPr>
                <w:rFonts w:cs="Arial"/>
                <w:color w:val="000000" w:themeColor="text1"/>
                <w:szCs w:val="16"/>
              </w:rPr>
            </w:pPr>
            <w:r w:rsidRPr="00781112">
              <w:rPr>
                <w:rFonts w:cs="Arial"/>
                <w:color w:val="000000" w:themeColor="text1"/>
                <w:szCs w:val="16"/>
              </w:rPr>
              <w:t>Grade 3</w:t>
            </w:r>
          </w:p>
        </w:tc>
        <w:tc>
          <w:tcPr>
            <w:tcW w:w="834" w:type="pct"/>
            <w:shd w:val="clear" w:color="auto" w:fill="auto"/>
          </w:tcPr>
          <w:p w14:paraId="26A57F7A" w14:textId="4DF09187" w:rsidR="00914210" w:rsidRPr="00781112" w:rsidRDefault="00914210" w:rsidP="00914210">
            <w:pPr>
              <w:jc w:val="center"/>
              <w:rPr>
                <w:rFonts w:cs="Arial"/>
                <w:color w:val="000000" w:themeColor="text1"/>
                <w:szCs w:val="16"/>
              </w:rPr>
            </w:pPr>
            <w:r w:rsidRPr="008C585C">
              <w:rPr>
                <w:rFonts w:cs="Arial"/>
                <w:color w:val="000000" w:themeColor="text1"/>
                <w:szCs w:val="16"/>
              </w:rPr>
              <w:t>x</w:t>
            </w:r>
            <w:r w:rsidRPr="008C585C">
              <w:rPr>
                <w:rFonts w:cs="Arial"/>
                <w:color w:val="000000" w:themeColor="text1"/>
                <w:szCs w:val="16"/>
              </w:rPr>
              <w:fldChar w:fldCharType="begin"/>
            </w:r>
            <w:r w:rsidRPr="008C585C">
              <w:rPr>
                <w:rFonts w:cs="Arial"/>
                <w:color w:val="000000" w:themeColor="text1"/>
                <w:szCs w:val="16"/>
              </w:rPr>
              <w:instrText xml:space="preserve"> NOTEREF _Ref141167612 \f \h </w:instrText>
            </w:r>
            <w:r w:rsidRPr="008C585C">
              <w:rPr>
                <w:rFonts w:cs="Arial"/>
                <w:color w:val="000000" w:themeColor="text1"/>
                <w:szCs w:val="16"/>
              </w:rPr>
            </w:r>
            <w:r w:rsidRPr="008C585C">
              <w:rPr>
                <w:rFonts w:cs="Arial"/>
                <w:color w:val="000000" w:themeColor="text1"/>
                <w:szCs w:val="16"/>
              </w:rPr>
              <w:fldChar w:fldCharType="separate"/>
            </w:r>
            <w:r w:rsidR="0036112A" w:rsidRPr="0036112A">
              <w:rPr>
                <w:rStyle w:val="FootnoteReference"/>
              </w:rPr>
              <w:t>15</w:t>
            </w:r>
            <w:r w:rsidRPr="008C585C">
              <w:rPr>
                <w:rFonts w:cs="Arial"/>
                <w:color w:val="000000" w:themeColor="text1"/>
                <w:szCs w:val="16"/>
              </w:rPr>
              <w:fldChar w:fldCharType="end"/>
            </w:r>
          </w:p>
        </w:tc>
        <w:tc>
          <w:tcPr>
            <w:tcW w:w="834" w:type="pct"/>
            <w:shd w:val="clear" w:color="auto" w:fill="auto"/>
          </w:tcPr>
          <w:p w14:paraId="361835CD" w14:textId="5C2AE07C" w:rsidR="00914210" w:rsidRPr="00781112" w:rsidRDefault="00914210" w:rsidP="00914210">
            <w:pPr>
              <w:jc w:val="center"/>
              <w:rPr>
                <w:rFonts w:cs="Arial"/>
                <w:color w:val="000000" w:themeColor="text1"/>
                <w:szCs w:val="16"/>
              </w:rPr>
            </w:pPr>
            <w:r w:rsidRPr="008C585C">
              <w:rPr>
                <w:rFonts w:cs="Arial"/>
                <w:color w:val="000000" w:themeColor="text1"/>
                <w:szCs w:val="16"/>
              </w:rPr>
              <w:t>x</w:t>
            </w:r>
            <w:r w:rsidRPr="008C585C">
              <w:rPr>
                <w:rFonts w:cs="Arial"/>
                <w:color w:val="000000" w:themeColor="text1"/>
                <w:szCs w:val="16"/>
              </w:rPr>
              <w:fldChar w:fldCharType="begin"/>
            </w:r>
            <w:r w:rsidRPr="008C585C">
              <w:rPr>
                <w:rFonts w:cs="Arial"/>
                <w:color w:val="000000" w:themeColor="text1"/>
                <w:szCs w:val="16"/>
              </w:rPr>
              <w:instrText xml:space="preserve"> NOTEREF _Ref141167612 \f \h </w:instrText>
            </w:r>
            <w:r w:rsidRPr="008C585C">
              <w:rPr>
                <w:rFonts w:cs="Arial"/>
                <w:color w:val="000000" w:themeColor="text1"/>
                <w:szCs w:val="16"/>
              </w:rPr>
            </w:r>
            <w:r w:rsidRPr="008C585C">
              <w:rPr>
                <w:rFonts w:cs="Arial"/>
                <w:color w:val="000000" w:themeColor="text1"/>
                <w:szCs w:val="16"/>
              </w:rPr>
              <w:fldChar w:fldCharType="separate"/>
            </w:r>
            <w:r w:rsidR="0036112A" w:rsidRPr="0036112A">
              <w:rPr>
                <w:rStyle w:val="FootnoteReference"/>
              </w:rPr>
              <w:t>15</w:t>
            </w:r>
            <w:r w:rsidRPr="008C585C">
              <w:rPr>
                <w:rFonts w:cs="Arial"/>
                <w:color w:val="000000" w:themeColor="text1"/>
                <w:szCs w:val="16"/>
              </w:rPr>
              <w:fldChar w:fldCharType="end"/>
            </w:r>
          </w:p>
        </w:tc>
        <w:tc>
          <w:tcPr>
            <w:tcW w:w="508" w:type="pct"/>
            <w:shd w:val="clear" w:color="auto" w:fill="auto"/>
            <w:vAlign w:val="center"/>
          </w:tcPr>
          <w:p w14:paraId="59D4C214" w14:textId="5AA8261A" w:rsidR="00914210" w:rsidRPr="00781112" w:rsidRDefault="00914210" w:rsidP="00914210">
            <w:pPr>
              <w:jc w:val="center"/>
              <w:rPr>
                <w:rFonts w:cs="Arial"/>
                <w:color w:val="000000" w:themeColor="text1"/>
                <w:szCs w:val="16"/>
              </w:rPr>
            </w:pPr>
            <w:r w:rsidRPr="00781112">
              <w:rPr>
                <w:rFonts w:cs="Arial"/>
                <w:color w:val="000000" w:themeColor="text1"/>
                <w:szCs w:val="16"/>
              </w:rPr>
              <w:t>19.29</w:t>
            </w:r>
          </w:p>
        </w:tc>
        <w:tc>
          <w:tcPr>
            <w:tcW w:w="508" w:type="pct"/>
            <w:shd w:val="clear" w:color="auto" w:fill="auto"/>
            <w:vAlign w:val="center"/>
          </w:tcPr>
          <w:p w14:paraId="5226537A" w14:textId="04AA78B1" w:rsidR="00914210" w:rsidRPr="00781112" w:rsidRDefault="00914210" w:rsidP="00914210">
            <w:pPr>
              <w:jc w:val="center"/>
              <w:rPr>
                <w:rFonts w:cs="Arial"/>
                <w:color w:val="000000" w:themeColor="text1"/>
                <w:szCs w:val="16"/>
              </w:rPr>
            </w:pPr>
            <w:r w:rsidRPr="00781112">
              <w:rPr>
                <w:rFonts w:cs="Arial"/>
                <w:color w:val="000000" w:themeColor="text1"/>
                <w:szCs w:val="16"/>
              </w:rPr>
              <w:t>18.50</w:t>
            </w:r>
          </w:p>
        </w:tc>
        <w:tc>
          <w:tcPr>
            <w:tcW w:w="508" w:type="pct"/>
            <w:shd w:val="clear" w:color="auto" w:fill="auto"/>
            <w:vAlign w:val="center"/>
          </w:tcPr>
          <w:p w14:paraId="235D63D6" w14:textId="6BEC0204" w:rsidR="00914210" w:rsidRPr="00781112" w:rsidRDefault="00914210" w:rsidP="00914210">
            <w:pPr>
              <w:jc w:val="center"/>
              <w:rPr>
                <w:rFonts w:cs="Arial"/>
                <w:color w:val="000000" w:themeColor="text1"/>
                <w:szCs w:val="16"/>
              </w:rPr>
            </w:pPr>
            <w:r w:rsidRPr="00781112">
              <w:rPr>
                <w:rFonts w:cs="Arial"/>
                <w:color w:val="000000" w:themeColor="text1"/>
                <w:szCs w:val="16"/>
              </w:rPr>
              <w:t>28.08</w:t>
            </w:r>
          </w:p>
        </w:tc>
        <w:tc>
          <w:tcPr>
            <w:tcW w:w="508" w:type="pct"/>
            <w:shd w:val="clear" w:color="auto" w:fill="auto"/>
            <w:vAlign w:val="center"/>
          </w:tcPr>
          <w:p w14:paraId="50CBCD87" w14:textId="7E9D9F0C" w:rsidR="00914210" w:rsidRPr="00781112" w:rsidRDefault="00914210" w:rsidP="00914210">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914210" w:rsidRPr="00781112" w:rsidRDefault="00914210" w:rsidP="00914210">
            <w:pPr>
              <w:jc w:val="center"/>
              <w:rPr>
                <w:rFonts w:cs="Arial"/>
                <w:color w:val="000000" w:themeColor="text1"/>
                <w:szCs w:val="16"/>
              </w:rPr>
            </w:pPr>
            <w:r w:rsidRPr="00781112">
              <w:rPr>
                <w:rFonts w:cs="Arial"/>
                <w:color w:val="000000" w:themeColor="text1"/>
                <w:szCs w:val="16"/>
              </w:rPr>
              <w:t>Slippage</w:t>
            </w:r>
          </w:p>
        </w:tc>
      </w:tr>
      <w:tr w:rsidR="00914210" w:rsidRPr="00781112" w14:paraId="0DE5EFED" w14:textId="77777777" w:rsidTr="007F15F3">
        <w:tc>
          <w:tcPr>
            <w:tcW w:w="331" w:type="pct"/>
            <w:shd w:val="clear" w:color="auto" w:fill="auto"/>
            <w:vAlign w:val="center"/>
          </w:tcPr>
          <w:p w14:paraId="51380788" w14:textId="77777777" w:rsidR="00914210" w:rsidRPr="00781112" w:rsidRDefault="00914210" w:rsidP="00914210">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914210" w:rsidRPr="00781112" w:rsidDel="00DE5045" w:rsidRDefault="00914210" w:rsidP="00914210">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tcPr>
          <w:p w14:paraId="4288B43D" w14:textId="49785847" w:rsidR="00914210" w:rsidRPr="00781112" w:rsidRDefault="00914210" w:rsidP="00914210">
            <w:pPr>
              <w:jc w:val="center"/>
              <w:rPr>
                <w:rFonts w:cs="Arial"/>
                <w:color w:val="000000" w:themeColor="text1"/>
                <w:szCs w:val="16"/>
              </w:rPr>
            </w:pPr>
            <w:r w:rsidRPr="008C585C">
              <w:rPr>
                <w:rFonts w:cs="Arial"/>
                <w:color w:val="000000" w:themeColor="text1"/>
                <w:szCs w:val="16"/>
              </w:rPr>
              <w:t>x</w:t>
            </w:r>
            <w:r w:rsidRPr="008C585C">
              <w:rPr>
                <w:rFonts w:cs="Arial"/>
                <w:color w:val="000000" w:themeColor="text1"/>
                <w:szCs w:val="16"/>
              </w:rPr>
              <w:fldChar w:fldCharType="begin"/>
            </w:r>
            <w:r w:rsidRPr="008C585C">
              <w:rPr>
                <w:rFonts w:cs="Arial"/>
                <w:color w:val="000000" w:themeColor="text1"/>
                <w:szCs w:val="16"/>
              </w:rPr>
              <w:instrText xml:space="preserve"> NOTEREF _Ref141167612 \f \h </w:instrText>
            </w:r>
            <w:r w:rsidRPr="008C585C">
              <w:rPr>
                <w:rFonts w:cs="Arial"/>
                <w:color w:val="000000" w:themeColor="text1"/>
                <w:szCs w:val="16"/>
              </w:rPr>
            </w:r>
            <w:r w:rsidRPr="008C585C">
              <w:rPr>
                <w:rFonts w:cs="Arial"/>
                <w:color w:val="000000" w:themeColor="text1"/>
                <w:szCs w:val="16"/>
              </w:rPr>
              <w:fldChar w:fldCharType="separate"/>
            </w:r>
            <w:r w:rsidR="0036112A" w:rsidRPr="0036112A">
              <w:rPr>
                <w:rStyle w:val="FootnoteReference"/>
              </w:rPr>
              <w:t>15</w:t>
            </w:r>
            <w:r w:rsidRPr="008C585C">
              <w:rPr>
                <w:rFonts w:cs="Arial"/>
                <w:color w:val="000000" w:themeColor="text1"/>
                <w:szCs w:val="16"/>
              </w:rPr>
              <w:fldChar w:fldCharType="end"/>
            </w:r>
          </w:p>
        </w:tc>
        <w:tc>
          <w:tcPr>
            <w:tcW w:w="834" w:type="pct"/>
            <w:shd w:val="clear" w:color="auto" w:fill="auto"/>
          </w:tcPr>
          <w:p w14:paraId="11774D79" w14:textId="1F321F37" w:rsidR="00914210" w:rsidRPr="00781112" w:rsidRDefault="00914210" w:rsidP="00914210">
            <w:pPr>
              <w:jc w:val="center"/>
              <w:rPr>
                <w:rFonts w:cs="Arial"/>
                <w:color w:val="000000" w:themeColor="text1"/>
                <w:szCs w:val="16"/>
              </w:rPr>
            </w:pPr>
            <w:r w:rsidRPr="008C585C">
              <w:rPr>
                <w:rFonts w:cs="Arial"/>
                <w:color w:val="000000" w:themeColor="text1"/>
                <w:szCs w:val="16"/>
              </w:rPr>
              <w:t>x</w:t>
            </w:r>
            <w:r w:rsidRPr="008C585C">
              <w:rPr>
                <w:rFonts w:cs="Arial"/>
                <w:color w:val="000000" w:themeColor="text1"/>
                <w:szCs w:val="16"/>
              </w:rPr>
              <w:fldChar w:fldCharType="begin"/>
            </w:r>
            <w:r w:rsidRPr="008C585C">
              <w:rPr>
                <w:rFonts w:cs="Arial"/>
                <w:color w:val="000000" w:themeColor="text1"/>
                <w:szCs w:val="16"/>
              </w:rPr>
              <w:instrText xml:space="preserve"> NOTEREF _Ref141167612 \f \h </w:instrText>
            </w:r>
            <w:r w:rsidRPr="008C585C">
              <w:rPr>
                <w:rFonts w:cs="Arial"/>
                <w:color w:val="000000" w:themeColor="text1"/>
                <w:szCs w:val="16"/>
              </w:rPr>
            </w:r>
            <w:r w:rsidRPr="008C585C">
              <w:rPr>
                <w:rFonts w:cs="Arial"/>
                <w:color w:val="000000" w:themeColor="text1"/>
                <w:szCs w:val="16"/>
              </w:rPr>
              <w:fldChar w:fldCharType="separate"/>
            </w:r>
            <w:r w:rsidR="0036112A" w:rsidRPr="0036112A">
              <w:rPr>
                <w:rStyle w:val="FootnoteReference"/>
              </w:rPr>
              <w:t>15</w:t>
            </w:r>
            <w:r w:rsidRPr="008C585C">
              <w:rPr>
                <w:rFonts w:cs="Arial"/>
                <w:color w:val="000000" w:themeColor="text1"/>
                <w:szCs w:val="16"/>
              </w:rPr>
              <w:fldChar w:fldCharType="end"/>
            </w:r>
          </w:p>
        </w:tc>
        <w:tc>
          <w:tcPr>
            <w:tcW w:w="508" w:type="pct"/>
            <w:shd w:val="clear" w:color="auto" w:fill="auto"/>
            <w:vAlign w:val="center"/>
          </w:tcPr>
          <w:p w14:paraId="28E3CF1C" w14:textId="69751C29" w:rsidR="00914210" w:rsidRPr="00781112" w:rsidRDefault="00914210" w:rsidP="00914210">
            <w:pPr>
              <w:jc w:val="center"/>
              <w:rPr>
                <w:rFonts w:cs="Arial"/>
                <w:color w:val="000000" w:themeColor="text1"/>
                <w:szCs w:val="16"/>
              </w:rPr>
            </w:pPr>
            <w:r w:rsidRPr="00781112">
              <w:rPr>
                <w:rFonts w:cs="Arial"/>
                <w:color w:val="000000" w:themeColor="text1"/>
                <w:szCs w:val="16"/>
              </w:rPr>
              <w:t>15.93</w:t>
            </w:r>
          </w:p>
        </w:tc>
        <w:tc>
          <w:tcPr>
            <w:tcW w:w="508" w:type="pct"/>
            <w:shd w:val="clear" w:color="auto" w:fill="auto"/>
            <w:vAlign w:val="center"/>
          </w:tcPr>
          <w:p w14:paraId="468D28D5" w14:textId="3BD9025E" w:rsidR="00914210" w:rsidRPr="00781112" w:rsidRDefault="00914210" w:rsidP="00914210">
            <w:pPr>
              <w:jc w:val="center"/>
              <w:rPr>
                <w:rFonts w:cs="Arial"/>
                <w:color w:val="000000" w:themeColor="text1"/>
                <w:szCs w:val="16"/>
              </w:rPr>
            </w:pPr>
            <w:r w:rsidRPr="00781112">
              <w:rPr>
                <w:rFonts w:cs="Arial"/>
                <w:color w:val="000000" w:themeColor="text1"/>
                <w:szCs w:val="16"/>
              </w:rPr>
              <w:t>15.50</w:t>
            </w:r>
          </w:p>
        </w:tc>
        <w:tc>
          <w:tcPr>
            <w:tcW w:w="508" w:type="pct"/>
            <w:shd w:val="clear" w:color="auto" w:fill="auto"/>
            <w:vAlign w:val="center"/>
          </w:tcPr>
          <w:p w14:paraId="30644E0B" w14:textId="37C215BA" w:rsidR="00914210" w:rsidRPr="00781112" w:rsidRDefault="00914210" w:rsidP="00914210">
            <w:pPr>
              <w:jc w:val="center"/>
              <w:rPr>
                <w:rFonts w:cs="Arial"/>
                <w:color w:val="000000" w:themeColor="text1"/>
                <w:szCs w:val="16"/>
              </w:rPr>
            </w:pPr>
            <w:r w:rsidRPr="00781112">
              <w:rPr>
                <w:rFonts w:cs="Arial"/>
                <w:color w:val="000000" w:themeColor="text1"/>
                <w:szCs w:val="16"/>
              </w:rPr>
              <w:t>15.78</w:t>
            </w:r>
          </w:p>
        </w:tc>
        <w:tc>
          <w:tcPr>
            <w:tcW w:w="508" w:type="pct"/>
            <w:shd w:val="clear" w:color="auto" w:fill="auto"/>
            <w:vAlign w:val="center"/>
          </w:tcPr>
          <w:p w14:paraId="1312CD99" w14:textId="5541B25D" w:rsidR="00914210" w:rsidRPr="00781112" w:rsidRDefault="00914210" w:rsidP="00914210">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914210" w:rsidRPr="00781112" w:rsidRDefault="00914210" w:rsidP="00914210">
            <w:pPr>
              <w:jc w:val="center"/>
              <w:rPr>
                <w:rFonts w:cs="Arial"/>
                <w:color w:val="000000" w:themeColor="text1"/>
                <w:szCs w:val="16"/>
              </w:rPr>
            </w:pPr>
            <w:r w:rsidRPr="00781112">
              <w:rPr>
                <w:rFonts w:cs="Arial"/>
                <w:color w:val="000000" w:themeColor="text1"/>
                <w:szCs w:val="16"/>
              </w:rPr>
              <w:t>No Slippage</w:t>
            </w:r>
          </w:p>
        </w:tc>
      </w:tr>
      <w:tr w:rsidR="00914210" w:rsidRPr="00781112" w14:paraId="36AFD504" w14:textId="77777777" w:rsidTr="007F15F3">
        <w:tc>
          <w:tcPr>
            <w:tcW w:w="331" w:type="pct"/>
            <w:shd w:val="clear" w:color="auto" w:fill="auto"/>
            <w:vAlign w:val="center"/>
          </w:tcPr>
          <w:p w14:paraId="4932227A" w14:textId="77777777" w:rsidR="00914210" w:rsidRPr="00781112" w:rsidRDefault="00914210" w:rsidP="00914210">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914210" w:rsidRPr="00781112" w:rsidDel="00DE5045" w:rsidRDefault="00914210" w:rsidP="00914210">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tcPr>
          <w:p w14:paraId="6C585469" w14:textId="31D94ED8" w:rsidR="00914210" w:rsidRPr="00781112" w:rsidRDefault="00914210" w:rsidP="00914210">
            <w:pPr>
              <w:jc w:val="center"/>
              <w:rPr>
                <w:rFonts w:cs="Arial"/>
                <w:color w:val="000000" w:themeColor="text1"/>
                <w:szCs w:val="16"/>
              </w:rPr>
            </w:pPr>
            <w:r w:rsidRPr="008C585C">
              <w:rPr>
                <w:rFonts w:cs="Arial"/>
                <w:color w:val="000000" w:themeColor="text1"/>
                <w:szCs w:val="16"/>
              </w:rPr>
              <w:t>x</w:t>
            </w:r>
            <w:r w:rsidRPr="008C585C">
              <w:rPr>
                <w:rFonts w:cs="Arial"/>
                <w:color w:val="000000" w:themeColor="text1"/>
                <w:szCs w:val="16"/>
              </w:rPr>
              <w:fldChar w:fldCharType="begin"/>
            </w:r>
            <w:r w:rsidRPr="008C585C">
              <w:rPr>
                <w:rFonts w:cs="Arial"/>
                <w:color w:val="000000" w:themeColor="text1"/>
                <w:szCs w:val="16"/>
              </w:rPr>
              <w:instrText xml:space="preserve"> NOTEREF _Ref141167612 \f \h </w:instrText>
            </w:r>
            <w:r w:rsidRPr="008C585C">
              <w:rPr>
                <w:rFonts w:cs="Arial"/>
                <w:color w:val="000000" w:themeColor="text1"/>
                <w:szCs w:val="16"/>
              </w:rPr>
            </w:r>
            <w:r w:rsidRPr="008C585C">
              <w:rPr>
                <w:rFonts w:cs="Arial"/>
                <w:color w:val="000000" w:themeColor="text1"/>
                <w:szCs w:val="16"/>
              </w:rPr>
              <w:fldChar w:fldCharType="separate"/>
            </w:r>
            <w:r w:rsidR="0036112A" w:rsidRPr="0036112A">
              <w:rPr>
                <w:rStyle w:val="FootnoteReference"/>
              </w:rPr>
              <w:t>15</w:t>
            </w:r>
            <w:r w:rsidRPr="008C585C">
              <w:rPr>
                <w:rFonts w:cs="Arial"/>
                <w:color w:val="000000" w:themeColor="text1"/>
                <w:szCs w:val="16"/>
              </w:rPr>
              <w:fldChar w:fldCharType="end"/>
            </w:r>
          </w:p>
        </w:tc>
        <w:tc>
          <w:tcPr>
            <w:tcW w:w="834" w:type="pct"/>
            <w:shd w:val="clear" w:color="auto" w:fill="auto"/>
          </w:tcPr>
          <w:p w14:paraId="13AB3928" w14:textId="73275418" w:rsidR="00914210" w:rsidRPr="00781112" w:rsidRDefault="00914210" w:rsidP="00914210">
            <w:pPr>
              <w:jc w:val="center"/>
              <w:rPr>
                <w:rFonts w:cs="Arial"/>
                <w:color w:val="000000" w:themeColor="text1"/>
                <w:szCs w:val="16"/>
              </w:rPr>
            </w:pPr>
            <w:r w:rsidRPr="008C585C">
              <w:rPr>
                <w:rFonts w:cs="Arial"/>
                <w:color w:val="000000" w:themeColor="text1"/>
                <w:szCs w:val="16"/>
              </w:rPr>
              <w:t>x</w:t>
            </w:r>
            <w:r w:rsidRPr="008C585C">
              <w:rPr>
                <w:rFonts w:cs="Arial"/>
                <w:color w:val="000000" w:themeColor="text1"/>
                <w:szCs w:val="16"/>
              </w:rPr>
              <w:fldChar w:fldCharType="begin"/>
            </w:r>
            <w:r w:rsidRPr="008C585C">
              <w:rPr>
                <w:rFonts w:cs="Arial"/>
                <w:color w:val="000000" w:themeColor="text1"/>
                <w:szCs w:val="16"/>
              </w:rPr>
              <w:instrText xml:space="preserve"> NOTEREF _Ref141167612 \f \h </w:instrText>
            </w:r>
            <w:r w:rsidRPr="008C585C">
              <w:rPr>
                <w:rFonts w:cs="Arial"/>
                <w:color w:val="000000" w:themeColor="text1"/>
                <w:szCs w:val="16"/>
              </w:rPr>
            </w:r>
            <w:r w:rsidRPr="008C585C">
              <w:rPr>
                <w:rFonts w:cs="Arial"/>
                <w:color w:val="000000" w:themeColor="text1"/>
                <w:szCs w:val="16"/>
              </w:rPr>
              <w:fldChar w:fldCharType="separate"/>
            </w:r>
            <w:r w:rsidR="0036112A" w:rsidRPr="0036112A">
              <w:rPr>
                <w:rStyle w:val="FootnoteReference"/>
              </w:rPr>
              <w:t>15</w:t>
            </w:r>
            <w:r w:rsidRPr="008C585C">
              <w:rPr>
                <w:rFonts w:cs="Arial"/>
                <w:color w:val="000000" w:themeColor="text1"/>
                <w:szCs w:val="16"/>
              </w:rPr>
              <w:fldChar w:fldCharType="end"/>
            </w:r>
          </w:p>
        </w:tc>
        <w:tc>
          <w:tcPr>
            <w:tcW w:w="508" w:type="pct"/>
            <w:shd w:val="clear" w:color="auto" w:fill="auto"/>
            <w:vAlign w:val="center"/>
          </w:tcPr>
          <w:p w14:paraId="2ABC747F" w14:textId="158D9570" w:rsidR="00914210" w:rsidRPr="00781112" w:rsidRDefault="00914210" w:rsidP="00914210">
            <w:pPr>
              <w:jc w:val="center"/>
              <w:rPr>
                <w:rFonts w:cs="Arial"/>
                <w:color w:val="000000" w:themeColor="text1"/>
                <w:szCs w:val="16"/>
              </w:rPr>
            </w:pPr>
          </w:p>
        </w:tc>
        <w:tc>
          <w:tcPr>
            <w:tcW w:w="508" w:type="pct"/>
            <w:shd w:val="clear" w:color="auto" w:fill="auto"/>
            <w:vAlign w:val="center"/>
          </w:tcPr>
          <w:p w14:paraId="1ACDF21F" w14:textId="6248B4E9" w:rsidR="00914210" w:rsidRPr="00781112" w:rsidRDefault="00914210" w:rsidP="00914210">
            <w:pPr>
              <w:jc w:val="center"/>
              <w:rPr>
                <w:rFonts w:cs="Arial"/>
                <w:color w:val="000000" w:themeColor="text1"/>
                <w:szCs w:val="16"/>
              </w:rPr>
            </w:pPr>
            <w:r w:rsidRPr="00781112">
              <w:rPr>
                <w:rFonts w:cs="Arial"/>
                <w:color w:val="000000" w:themeColor="text1"/>
                <w:szCs w:val="16"/>
              </w:rPr>
              <w:t>0.15</w:t>
            </w:r>
          </w:p>
        </w:tc>
        <w:tc>
          <w:tcPr>
            <w:tcW w:w="508" w:type="pct"/>
            <w:shd w:val="clear" w:color="auto" w:fill="auto"/>
            <w:vAlign w:val="center"/>
          </w:tcPr>
          <w:p w14:paraId="69CE5BC3" w14:textId="39D166D6" w:rsidR="00914210" w:rsidRPr="00781112" w:rsidRDefault="00914210" w:rsidP="00914210">
            <w:pPr>
              <w:jc w:val="center"/>
              <w:rPr>
                <w:rFonts w:cs="Arial"/>
                <w:color w:val="000000" w:themeColor="text1"/>
                <w:szCs w:val="16"/>
              </w:rPr>
            </w:pPr>
            <w:r w:rsidRPr="00781112">
              <w:rPr>
                <w:rFonts w:cs="Arial"/>
                <w:color w:val="000000" w:themeColor="text1"/>
                <w:szCs w:val="16"/>
              </w:rPr>
              <w:t>0.15</w:t>
            </w:r>
          </w:p>
        </w:tc>
        <w:tc>
          <w:tcPr>
            <w:tcW w:w="508" w:type="pct"/>
            <w:shd w:val="clear" w:color="auto" w:fill="auto"/>
            <w:vAlign w:val="center"/>
          </w:tcPr>
          <w:p w14:paraId="2CA33323" w14:textId="59FD6DC7" w:rsidR="00914210" w:rsidRPr="00781112" w:rsidRDefault="00914210" w:rsidP="00914210">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914210" w:rsidRPr="00781112" w:rsidRDefault="00914210" w:rsidP="00914210">
            <w:pPr>
              <w:jc w:val="center"/>
              <w:rPr>
                <w:rFonts w:cs="Arial"/>
                <w:color w:val="000000" w:themeColor="text1"/>
                <w:szCs w:val="16"/>
              </w:rPr>
            </w:pPr>
            <w:r w:rsidRPr="00781112">
              <w:rPr>
                <w:rFonts w:cs="Arial"/>
                <w:color w:val="000000" w:themeColor="text1"/>
                <w:szCs w:val="16"/>
              </w:rPr>
              <w:t>N/A</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67B1DC74" w14:textId="6F4E0C60" w:rsidR="00DD5B7A" w:rsidRPr="00914210" w:rsidRDefault="00DD5B7A" w:rsidP="00914210">
      <w:pPr>
        <w:rPr>
          <w:rFonts w:cs="Arial"/>
          <w:color w:val="000000" w:themeColor="text1"/>
          <w:szCs w:val="16"/>
        </w:rPr>
      </w:pPr>
      <w:r w:rsidRPr="00781112">
        <w:rPr>
          <w:rFonts w:cs="Arial"/>
          <w:color w:val="000000" w:themeColor="text1"/>
          <w:szCs w:val="16"/>
        </w:rPr>
        <w:t xml:space="preserve">During FFY 2021, the RMI was impacted by COVID19. COVID hit the RMI starting in early March. Although participation rates on assessments were very high in FFY 2021, the RMI preparations for dealing with the approaching COVID were a distraction for administrators, teachers, students, and families. This could have been a potential impact on the performance of students with disabilities </w:t>
      </w:r>
      <w:proofErr w:type="gramStart"/>
      <w:r w:rsidRPr="00781112">
        <w:rPr>
          <w:rFonts w:cs="Arial"/>
          <w:color w:val="000000" w:themeColor="text1"/>
          <w:szCs w:val="16"/>
        </w:rPr>
        <w:t>in particular in</w:t>
      </w:r>
      <w:proofErr w:type="gramEnd"/>
      <w:r w:rsidRPr="00781112">
        <w:rPr>
          <w:rFonts w:cs="Arial"/>
          <w:color w:val="000000" w:themeColor="text1"/>
          <w:szCs w:val="16"/>
        </w:rPr>
        <w:t xml:space="preserve"> the MISAT (statewide assessments). </w:t>
      </w:r>
      <w:r w:rsidR="00914210">
        <w:rPr>
          <w:rFonts w:cs="Arial"/>
          <w:color w:val="000000" w:themeColor="text1"/>
          <w:szCs w:val="16"/>
        </w:rPr>
        <w:br/>
      </w: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344DD92B" w:rsidR="00DD5B7A" w:rsidRPr="00781112" w:rsidRDefault="00DD5B7A" w:rsidP="00DD5B7A">
      <w:pPr>
        <w:rPr>
          <w:rFonts w:cs="Arial"/>
          <w:color w:val="000000" w:themeColor="text1"/>
          <w:szCs w:val="16"/>
        </w:rPr>
      </w:pPr>
      <w:r w:rsidRPr="00781112">
        <w:rPr>
          <w:rFonts w:cs="Arial"/>
          <w:color w:val="000000" w:themeColor="text1"/>
          <w:szCs w:val="16"/>
        </w:rPr>
        <w:t xml:space="preserve">RMI PSS did not assess Mathematics for High School students in FFY 2020. In FFY 2020 stakeholders provided input on targets for all other grades (reading and math). Therefore, FFY 2021 is the new baseline for Math assessments for High School students. Because the baseline is </w:t>
      </w:r>
      <w:r w:rsidR="00C25695">
        <w:rPr>
          <w:rFonts w:cs="Arial"/>
          <w:color w:val="000000" w:themeColor="text1"/>
          <w:szCs w:val="16"/>
        </w:rPr>
        <w:t>x</w:t>
      </w:r>
      <w:r w:rsidRPr="00781112">
        <w:rPr>
          <w:rFonts w:cs="Arial"/>
          <w:color w:val="000000" w:themeColor="text1"/>
          <w:szCs w:val="16"/>
        </w:rPr>
        <w:t>%</w:t>
      </w:r>
      <w:r w:rsidR="00F73E13">
        <w:rPr>
          <w:rStyle w:val="FootnoteReference"/>
          <w:rFonts w:cs="Arial"/>
          <w:color w:val="000000" w:themeColor="text1"/>
          <w:szCs w:val="16"/>
        </w:rPr>
        <w:t>1</w:t>
      </w:r>
      <w:r w:rsidR="00F73E13" w:rsidRPr="00F73E13">
        <w:rPr>
          <w:rFonts w:cs="Arial"/>
          <w:color w:val="000000" w:themeColor="text1"/>
          <w:szCs w:val="16"/>
          <w:vertAlign w:val="superscript"/>
        </w:rPr>
        <w:t>8</w:t>
      </w:r>
      <w:r w:rsidRPr="00781112">
        <w:rPr>
          <w:rFonts w:cs="Arial"/>
          <w:color w:val="000000" w:themeColor="text1"/>
          <w:szCs w:val="16"/>
        </w:rPr>
        <w:t>, stakeholders agreed to targets representing gradual decreases in the gap between all students and students with disabilities leading to a gap of 0.11% in FFY 2025.</w:t>
      </w:r>
    </w:p>
    <w:p w14:paraId="2ABFD82D" w14:textId="77777777" w:rsidR="00764DDE" w:rsidRPr="00781112" w:rsidRDefault="00764DDE" w:rsidP="00764DDE">
      <w:pPr>
        <w:spacing w:before="0" w:after="200" w:line="276" w:lineRule="auto"/>
        <w:rPr>
          <w:color w:val="000000" w:themeColor="text1"/>
          <w:szCs w:val="16"/>
        </w:rPr>
      </w:pPr>
    </w:p>
    <w:p w14:paraId="1CD50F37" w14:textId="5FFAA67A" w:rsidR="00764DDE" w:rsidRPr="00781112" w:rsidRDefault="00764DDE" w:rsidP="00764DDE">
      <w:pPr>
        <w:pStyle w:val="Heading2"/>
      </w:pPr>
      <w:r w:rsidRPr="00781112">
        <w:t>3D - Prior FFY Required Actio</w:t>
      </w:r>
      <w:r w:rsidR="00F73E13">
        <w:t>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Republic of the Marshall Islands has revised the baseline for High School Math Assessments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Republic of the Marshall Islands revised its targets for High School Math Assessments for this indicator, and OSEP accepts those targets.</w:t>
      </w:r>
    </w:p>
    <w:p w14:paraId="77AA7102" w14:textId="22838693" w:rsidR="00764DDE" w:rsidRPr="00914210" w:rsidRDefault="00764DDE" w:rsidP="00914210">
      <w:pPr>
        <w:pStyle w:val="Heading2"/>
      </w:pPr>
      <w:r w:rsidRPr="00781112">
        <w:t>3D - Required Actions</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6"/>
      <w:bookmarkEnd w:id="27"/>
    </w:p>
    <w:p w14:paraId="6B24B370" w14:textId="77777777" w:rsidR="006E5AE4" w:rsidRPr="00781112" w:rsidRDefault="006E5AE4" w:rsidP="00A018D4">
      <w:pPr>
        <w:rPr>
          <w:color w:val="000000" w:themeColor="text1"/>
          <w:szCs w:val="20"/>
        </w:rPr>
      </w:pPr>
      <w:bookmarkStart w:id="33" w:name="_Toc384383331"/>
      <w:bookmarkStart w:id="34"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35" w:name="_Toc384383332"/>
      <w:bookmarkStart w:id="36" w:name="_Toc392159284"/>
      <w:bookmarkEnd w:id="33"/>
      <w:bookmarkEnd w:id="34"/>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35"/>
    <w:bookmarkEnd w:id="36"/>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RMI/PSS is a unitary system, serving as both the SEA and the only LEA in the Marshall Islands. The RMI/PSS status as a unitary system makes applying the actual measurement for Indicator 4a challenging.</w:t>
      </w:r>
      <w:r w:rsidRPr="00781112">
        <w:rPr>
          <w:rFonts w:cs="Arial"/>
          <w:color w:val="000000" w:themeColor="text1"/>
          <w:szCs w:val="16"/>
        </w:rPr>
        <w:br/>
      </w:r>
      <w:r w:rsidRPr="00781112">
        <w:rPr>
          <w:rFonts w:cs="Arial"/>
          <w:color w:val="000000" w:themeColor="text1"/>
          <w:szCs w:val="16"/>
        </w:rPr>
        <w:br/>
        <w:t>Considering the two options for methodologies prescribed for this indicator (a) the rates of suspensions and expulsions for children with IEPs among LEAs within the State or b) the rates of suspensions and expulsions for children with IEPs to nondisabled children within the LEAs), the only one that can be implemented in RMI, as a unitary system, is option b) but with the adaptation of using statewide data to compare rates of suspensions and expulsions for children with IEPs to nondisabled children within the state. Similar methodology is used for other unitary systems such as Puerto Rico, Federated States of Micronesia, and Hawaii among other states and entities with unitary systems.</w:t>
      </w:r>
      <w:r w:rsidRPr="00781112">
        <w:rPr>
          <w:rFonts w:cs="Arial"/>
          <w:color w:val="000000" w:themeColor="text1"/>
          <w:szCs w:val="16"/>
        </w:rPr>
        <w:br/>
      </w:r>
      <w:r w:rsidRPr="00781112">
        <w:rPr>
          <w:rFonts w:cs="Arial"/>
          <w:color w:val="000000" w:themeColor="text1"/>
          <w:szCs w:val="16"/>
        </w:rPr>
        <w:br/>
        <w:t>RMI/PSS methodology is a rate difference methodology, which compares rates for suspension/expulsion of students with disabilities to the statewide bar, which is defined as the state’s suspension expulsion rate for nondisabled children within the state (as a single LEA). This is one of the OSEP approved comparison methodologies that is used to determine whether significant discrepancies in the rates of long-term suspension and expulsion are occurring between children with disabilities and children without disabilities [34 CFR §300.170(a)].</w:t>
      </w:r>
      <w:r w:rsidRPr="00781112">
        <w:rPr>
          <w:rFonts w:cs="Arial"/>
          <w:color w:val="000000" w:themeColor="text1"/>
          <w:szCs w:val="16"/>
        </w:rPr>
        <w:br/>
      </w:r>
      <w:r w:rsidRPr="00781112">
        <w:rPr>
          <w:rFonts w:cs="Arial"/>
          <w:color w:val="000000" w:themeColor="text1"/>
          <w:szCs w:val="16"/>
        </w:rPr>
        <w:br/>
        <w:t xml:space="preserve">The rate difference methodology used by RMI/PSS compares the rate of expulsions and suspensions of greater than ten days in a school year for children with IEPs compared to the rate for nondisabled children. The equation for the rate difference </w:t>
      </w:r>
      <w:proofErr w:type="gramStart"/>
      <w:r w:rsidRPr="00781112">
        <w:rPr>
          <w:rFonts w:cs="Arial"/>
          <w:color w:val="000000" w:themeColor="text1"/>
          <w:szCs w:val="16"/>
        </w:rPr>
        <w:t>is:</w:t>
      </w:r>
      <w:proofErr w:type="gramEnd"/>
      <w:r w:rsidRPr="00781112">
        <w:rPr>
          <w:rFonts w:cs="Arial"/>
          <w:color w:val="000000" w:themeColor="text1"/>
          <w:szCs w:val="16"/>
        </w:rPr>
        <w:t xml:space="preserve"> Rate difference = state suspension/expulsion (S/E) rate for children with disabilities minus (-) the state S/E rate for children without disabilities. RMI/PSS defines “significant discrepancy” when the suspension/expulsion rate for children with disabilities is at least three percentage points more than the State’s suspension/expulsion rate for all children without disabilities.</w:t>
      </w:r>
      <w:r w:rsidRPr="00781112">
        <w:rPr>
          <w:rFonts w:cs="Arial"/>
          <w:color w:val="000000" w:themeColor="text1"/>
          <w:szCs w:val="16"/>
        </w:rPr>
        <w:br/>
        <w:t xml:space="preserve">The RMI/PSS uses a minimum “n” size requirement to operate the calculation. Thus, if there are fewer than 10 students with disabilities who were suspended more than 10 school days during the data reporting year, the calculation does not take place. </w:t>
      </w:r>
      <w:r w:rsidRPr="00781112">
        <w:rPr>
          <w:rFonts w:cs="Arial"/>
          <w:color w:val="000000" w:themeColor="text1"/>
          <w:szCs w:val="16"/>
        </w:rPr>
        <w:br/>
      </w:r>
      <w:r w:rsidRPr="00781112">
        <w:rPr>
          <w:rFonts w:cs="Arial"/>
          <w:color w:val="000000" w:themeColor="text1"/>
          <w:szCs w:val="16"/>
        </w:rPr>
        <w:br/>
        <w:t>FFY 2021 Calculation</w:t>
      </w:r>
      <w:r w:rsidRPr="00781112">
        <w:rPr>
          <w:rFonts w:cs="Arial"/>
          <w:color w:val="000000" w:themeColor="text1"/>
          <w:szCs w:val="16"/>
        </w:rPr>
        <w:br/>
      </w:r>
      <w:r w:rsidRPr="00781112">
        <w:rPr>
          <w:rFonts w:cs="Arial"/>
          <w:color w:val="000000" w:themeColor="text1"/>
          <w:szCs w:val="16"/>
        </w:rPr>
        <w:br/>
        <w:t xml:space="preserve">The suspension and expulsion rates for students with disabilities in RMI/PSS, using SY 2020-22 data from Section 618 File C005 as submitted </w:t>
      </w:r>
      <w:proofErr w:type="gramStart"/>
      <w:r w:rsidRPr="00781112">
        <w:rPr>
          <w:rFonts w:cs="Arial"/>
          <w:color w:val="000000" w:themeColor="text1"/>
          <w:szCs w:val="16"/>
        </w:rPr>
        <w:t>on</w:t>
      </w:r>
      <w:proofErr w:type="gramEnd"/>
      <w:r w:rsidRPr="00781112">
        <w:rPr>
          <w:rFonts w:cs="Arial"/>
          <w:color w:val="000000" w:themeColor="text1"/>
          <w:szCs w:val="16"/>
        </w:rPr>
        <w:t xml:space="preserve"> November of 2021, indicates zero students with disabilities were suspended. As such, no further analysis was required. Therefore, in RMI/PSS, in FFY 2021, the number of “districts” that have a significant discrepancy is zero.</w:t>
      </w:r>
    </w:p>
    <w:p w14:paraId="47F07052" w14:textId="77777777" w:rsidR="00BB504D" w:rsidRPr="00781112" w:rsidRDefault="00BB504D" w:rsidP="004369B2">
      <w:pPr>
        <w:rPr>
          <w:b/>
          <w:color w:val="000000" w:themeColor="text1"/>
        </w:rPr>
      </w:pPr>
      <w:bookmarkStart w:id="37" w:name="_Toc384383334"/>
      <w:bookmarkStart w:id="38"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37"/>
    <w:bookmarkEnd w:id="38"/>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lastRenderedPageBreak/>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9" w:name="_Toc381956335"/>
      <w:bookmarkStart w:id="40" w:name="_Toc384383336"/>
      <w:bookmarkStart w:id="41"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9"/>
      <w:bookmarkEnd w:id="40"/>
      <w:bookmarkEnd w:id="41"/>
    </w:p>
    <w:p w14:paraId="1BA30D93" w14:textId="77777777" w:rsidR="008637F8" w:rsidRPr="00781112" w:rsidRDefault="008637F8" w:rsidP="00A018D4">
      <w:pPr>
        <w:rPr>
          <w:color w:val="000000" w:themeColor="text1"/>
          <w:szCs w:val="20"/>
        </w:rPr>
      </w:pPr>
      <w:bookmarkStart w:id="42" w:name="_Toc384383338"/>
      <w:bookmarkStart w:id="43"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The RMI PSS is a single district entity with a population that is homogeneous when measured by race/ethnicity. All families and students are Native Hawaiian or Other Pacific Islanders.</w:t>
      </w:r>
    </w:p>
    <w:bookmarkEnd w:id="42"/>
    <w:bookmarkEnd w:id="43"/>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5"/>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8"/>
    </w:p>
    <w:p w14:paraId="52AD89A1" w14:textId="77777777" w:rsidR="00775845" w:rsidRPr="00781112" w:rsidRDefault="00775845" w:rsidP="00A018D4">
      <w:pPr>
        <w:rPr>
          <w:color w:val="000000" w:themeColor="text1"/>
          <w:szCs w:val="20"/>
        </w:rPr>
      </w:pPr>
      <w:bookmarkStart w:id="44"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44"/>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78.06%</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78.06%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73.24%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74.58%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77.90%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78.06%</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5.00%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26.20%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0.16%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0.81%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0.95%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1.41%</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1.41%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78.50%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78.75%</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79.00%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78.25%</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79.50%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5.00%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5.00%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5.00%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5.00%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5.00%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1.40%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1.40%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1.40%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1.40%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1.40%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In reviewing these data in the previous APR submission, FFY 2020, stakeholders decided to maintain the baseline for 5B, and set targets to continue the trend identified in previous years. For 5A and 5C, stakeholders decided to use FFY 2020 as the baseline data. Stakeholders argued that the previous targets were too high (for 5A), too low (</w:t>
      </w:r>
      <w:proofErr w:type="gramStart"/>
      <w:r w:rsidRPr="00781112">
        <w:rPr>
          <w:rFonts w:cs="Arial"/>
          <w:color w:val="000000" w:themeColor="text1"/>
          <w:szCs w:val="16"/>
        </w:rPr>
        <w:t>for  5</w:t>
      </w:r>
      <w:proofErr w:type="gramEnd"/>
      <w:r w:rsidRPr="00781112">
        <w:rPr>
          <w:rFonts w:cs="Arial"/>
          <w:color w:val="000000" w:themeColor="text1"/>
          <w:szCs w:val="16"/>
        </w:rPr>
        <w:t xml:space="preserve">C), making it practically impossible for the state to match them, especially considering IEP teams decide </w:t>
      </w:r>
      <w:r w:rsidRPr="00781112">
        <w:rPr>
          <w:rFonts w:cs="Arial"/>
          <w:color w:val="000000" w:themeColor="text1"/>
          <w:szCs w:val="16"/>
        </w:rPr>
        <w:lastRenderedPageBreak/>
        <w:t xml:space="preserve">what is the best LRE for each student.  Furthermore, compared to national data, using last </w:t>
      </w:r>
      <w:proofErr w:type="spellStart"/>
      <w:r w:rsidRPr="00781112">
        <w:rPr>
          <w:rFonts w:cs="Arial"/>
          <w:color w:val="000000" w:themeColor="text1"/>
          <w:szCs w:val="16"/>
        </w:rPr>
        <w:t>years</w:t>
      </w:r>
      <w:proofErr w:type="spellEnd"/>
      <w:r w:rsidRPr="00781112">
        <w:rPr>
          <w:rFonts w:cs="Arial"/>
          <w:color w:val="000000" w:themeColor="text1"/>
          <w:szCs w:val="16"/>
        </w:rPr>
        <w:t xml:space="preserve"> data, RMI is performing above the national average on both 5A and 5C.</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716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562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562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716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78.06%</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78.49%</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716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2.37%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716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1.41%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0.98%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lastRenderedPageBreak/>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45"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p w14:paraId="411C46FF" w14:textId="77777777" w:rsidR="0036112A" w:rsidRPr="00781112" w:rsidRDefault="0036112A" w:rsidP="00BB7BC9">
      <w:pPr>
        <w:rPr>
          <w:rFonts w:cs="Arial"/>
          <w:color w:val="000000" w:themeColor="text1"/>
          <w:szCs w:val="16"/>
        </w:rPr>
      </w:pPr>
    </w:p>
    <w:bookmarkEnd w:id="45"/>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95.00%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95.00%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96.00%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96.00%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97.44%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96.00%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2.56%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lastRenderedPageBreak/>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100.00%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6.00%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8.00%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10.00%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0.00%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r>
    </w:tbl>
    <w:p w14:paraId="27170CED" w14:textId="772C81FC" w:rsidR="00E428BD" w:rsidRDefault="00E428BD" w:rsidP="004369B2">
      <w:pPr>
        <w:rPr>
          <w:color w:val="000000" w:themeColor="text1"/>
        </w:rPr>
      </w:pPr>
      <w:bookmarkStart w:id="46" w:name="_Toc382082378"/>
      <w:bookmarkStart w:id="47"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98.00%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96.00%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94.00%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92.00%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90.00%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47331A2D" w14:textId="77777777" w:rsidR="0036112A" w:rsidRDefault="0036112A">
      <w:pPr>
        <w:spacing w:before="0" w:after="200" w:line="276" w:lineRule="auto"/>
        <w:rPr>
          <w:b/>
          <w:bCs/>
          <w:color w:val="000000" w:themeColor="text1"/>
        </w:rPr>
      </w:pPr>
      <w:r>
        <w:rPr>
          <w:b/>
          <w:bCs/>
          <w:color w:val="000000" w:themeColor="text1"/>
        </w:rPr>
        <w:br w:type="page"/>
      </w:r>
    </w:p>
    <w:p w14:paraId="0F42B2F6" w14:textId="09561A14"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98.00%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60.00%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Republic of the Marshall Islands reported fewer than ten children receiving special education and related services in the home in FFY 2021. The Republic of the Marshall Islands is not required to provide targets for Indicator 6C until any fiscal year in which ten or more children receive special education and related services in the home.</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6"/>
      <w:bookmarkEnd w:id="47"/>
    </w:p>
    <w:p w14:paraId="1404DCF9" w14:textId="77777777" w:rsidR="00531E54" w:rsidRPr="00781112" w:rsidRDefault="00531E54" w:rsidP="00A018D4">
      <w:pPr>
        <w:rPr>
          <w:color w:val="000000" w:themeColor="text1"/>
          <w:szCs w:val="20"/>
        </w:rPr>
      </w:pPr>
      <w:bookmarkStart w:id="48"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8"/>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42.00%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63.64%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17.50%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78.95%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55.56%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27.50%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30.00%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72.73%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17.50%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76.19%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84.21%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55.56%</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67.50%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22.00%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42.00%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94.74%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33.33%</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44.00%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46.00%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48.00%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50.00%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52.00%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19.00%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21.50%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23.00%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25.50%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28.00%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32.50%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35.00%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37.50%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40.00%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42.50%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19.00%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21.50%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23.00%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25.50%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28.00%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70.00%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72.50%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75.00%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77.50%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80.00%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44.00%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46.00%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48.00%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50.00%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52.00%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50.00%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50.00%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0.00%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0.00%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0.00%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lastRenderedPageBreak/>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44.00%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0.00%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55.56%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19.00%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0.00%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32.50%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In FFY 2021, only two students received special education and related services for at least six months during the age span of three through five years. Services were disrupted due to school closures for COVID-19, that reached Marshall Islands in FFY 2021.</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In FFY 2021, only two students received special education and related services for at least six months during the age span of three through five years. Services were disrupted due to school closures for COVID-19, that reached Marshall Islands in FFY 2021.</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In FFY 2021, only two students received special education and related services for at least six months during the age span of three through five years. Services were disrupted due to school closures for COVID-19, that reached Marshall Islands in FFY 2021.</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In FFY 2021, only two students received special education and related services for at least six months during the age span of three through five years. Services were disrupted due to school closures for COVID-19, that reached Marshall Islands in FFY 2021.</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In FFY 2021, only two students received special education and related services for at least six months during the age span of three through five years. Services were disrupted due to school closures for COVID-19, that reached Marshall Islands in FFY 2021.</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In FFY 2021, only two students received special education and related services for at least six months during the age span of three through five years. Services were disrupted due to school closures for COVID-19, that reached Marshall Islands in FFY 2021.</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9" w:name="_Toc382082381"/>
      <w:bookmarkStart w:id="50"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RMI used the MID (Micronesian Inventory of Development) scoring sheet to collect pre and post data from preschool students in Ebeye and Majuro preschools.  These data </w:t>
      </w:r>
      <w:proofErr w:type="gramStart"/>
      <w:r w:rsidRPr="00781112">
        <w:rPr>
          <w:rFonts w:cs="Arial"/>
          <w:color w:val="000000" w:themeColor="text1"/>
          <w:szCs w:val="16"/>
        </w:rPr>
        <w:t>is</w:t>
      </w:r>
      <w:proofErr w:type="gramEnd"/>
      <w:r w:rsidRPr="00781112">
        <w:rPr>
          <w:rFonts w:cs="Arial"/>
          <w:color w:val="000000" w:themeColor="text1"/>
          <w:szCs w:val="16"/>
        </w:rPr>
        <w:t xml:space="preserve"> then transferred/translated to the Child Outcomes Summary (COS) process for each preschool student which, when aggregated, provided the data for items a, b, c, d and e of outcomes A, B and C for indicator B7.</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lastRenderedPageBreak/>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9"/>
      <w:bookmarkEnd w:id="50"/>
    </w:p>
    <w:p w14:paraId="66FBCA03" w14:textId="77777777" w:rsidR="00B654C1" w:rsidRPr="00781112" w:rsidRDefault="00B654C1" w:rsidP="00A018D4">
      <w:pPr>
        <w:rPr>
          <w:color w:val="000000" w:themeColor="text1"/>
          <w:szCs w:val="20"/>
        </w:rPr>
      </w:pPr>
      <w:bookmarkStart w:id="51"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52"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52"/>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51"/>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92.00%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92.50%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95.00%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93.75%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91.94%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94.12%</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92.98%</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79.92%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lastRenderedPageBreak/>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95.00%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95.00%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95.00%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95.00%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95.00%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182</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226</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79.92%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80.53%</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procedures for collecting parent survey data from preschool children is the same as the procedures for collecting data from school age students. Parent survey data reported in the FFY 2021 APR is representative of the two groups.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226</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100.00%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848"/>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53"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100.00%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100.00%</w:t>
            </w:r>
          </w:p>
        </w:tc>
      </w:tr>
      <w:bookmarkEnd w:id="53"/>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Currently our response rate is 100%. We interview/survey all parents of all students in schools monitored annually by the RMI PSS.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54" w:name="_Hlk81486999"/>
      <w:r w:rsidRPr="0061205F">
        <w:rPr>
          <w:rFonts w:cs="Arial"/>
          <w:b/>
          <w:color w:val="000000" w:themeColor="text1"/>
          <w:szCs w:val="16"/>
        </w:rPr>
        <w:t>of the response rate including any nonresponse bias that was identified,</w:t>
      </w:r>
      <w:bookmarkEnd w:id="54"/>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In the last few </w:t>
      </w:r>
      <w:proofErr w:type="gramStart"/>
      <w:r>
        <w:rPr>
          <w:rFonts w:cs="Arial"/>
          <w:szCs w:val="16"/>
        </w:rPr>
        <w:t>years</w:t>
      </w:r>
      <w:proofErr w:type="gramEnd"/>
      <w:r>
        <w:rPr>
          <w:rFonts w:cs="Arial"/>
          <w:szCs w:val="16"/>
        </w:rPr>
        <w:t xml:space="preserve"> the PSS team has made improvements to the data collection process to reach more parents. The PSS team does not believe there was any nonresponse bias. The PSS team use several activities to reach the maximum number of parents, including using parent organizations to reach parents, visits to schools during monitoring activities, and visit to schools during in-school training events. RMI also uses annual events such as the Special Education Summer Institute, to which parents are invited to attend and receive training, and the annual Disability Awareness Week.</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55" w:name="_Hlk112070690"/>
      <w:bookmarkStart w:id="56"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55"/>
    <w:bookmarkEnd w:id="56"/>
    <w:p w14:paraId="513A1FE6" w14:textId="77777777" w:rsidR="00090132" w:rsidRDefault="00090132" w:rsidP="006F6351">
      <w:pPr>
        <w:rPr>
          <w:b/>
          <w:bCs/>
        </w:rPr>
      </w:pPr>
      <w:r w:rsidRPr="000A2B9F">
        <w:rPr>
          <w:bCs/>
          <w:color w:val="000000" w:themeColor="text1"/>
        </w:rPr>
        <w:t>The survey response rate is at 100%. All schools that were monitored have had parents respond to the survey. The survey respondents are representative of the race/ethnicity of all schools in RMI PSS, who are Native Hawaiian or other Pacific Islanders. We cannot say the data is representative based on other demographic characteristics. We have designed a new parent survey, to be implemented in FFY 2022 (next year's SPP/APR submission) which includes data fields to capture other demographic information. This will allow us to determine representativeness of respondents related to these other demographics on subsequent SPP/APR submissions.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We have designed a new parent survey, to be implemented in FFY 2022 (next year's SPP/APR submission), which includes data fields to capture other demographic information. This will allow us to determine representativeness of respondents related to these other demographics in subsequent submissions.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The target population and the respondents match 100% in terms of race ethnicity, where, both in the target population and the survey respondents, 100% of the population is composed of Native Hawaiian or other Pacific Islanders. However, for next year, RMI will use the +/- 3% discrepancy in the proportion of responders compared to target group to measure representativeness for additional demographic groups.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lastRenderedPageBreak/>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 xml:space="preserve">The Republic of Marshall Islands reported that the FFY 2021 data are not from a response group that is representative of the demographics of children receiving special education services; however, the Republic of Marshall Islands reported its response rate is 100%. Further, the Republic of Marshall Islands reported it analyzed its FY 2021 data using race/ethnicity but did not include at least one other demographic category as required by the Measurement Table. Specifically, the Republic of Marshall Islands stated, "The survey respondents are representative of the race/ethnicity of all schools in RMI PSS, who are Native Hawaiian or other Pacific Islanders. We cannot say the data is representative based on other demographic characteristics. We have designed a new parent survey, to be implemented in FFY 2022 (next year's SPP/APR submission) which includes data fields to capture other demographic information." </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Republic of Marshall Islands must include an analysis of the extent to which the demographics of the parents responding are representative of the demographics of children receiving special education services. The analysis must include race/ethnicity and at least one other demographic category approved through stakeholder input as required by the Measurement Table. If the Republic of Marshall Islands determines that the FFY 2022 data are not from a response group representative of the demographics of children receiving special education services, the Republic of Marshall Islands must describe the actions the Republic of Marshall Islands is taking to address this issue.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7" w:name="_Toc384383343"/>
      <w:bookmarkStart w:id="58"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9" w:name="_Toc384383344"/>
      <w:bookmarkStart w:id="60" w:name="_Toc392159312"/>
      <w:bookmarkEnd w:id="57"/>
      <w:bookmarkEnd w:id="58"/>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The RMI PSS is a single district entity with a population that is homogeneous when measured by race/ethnicity. All families and students are Native Hawaiian or Other Pacific Islanders.</w:t>
      </w:r>
    </w:p>
    <w:bookmarkEnd w:id="59"/>
    <w:bookmarkEnd w:id="60"/>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A2A42E5" w14:textId="0E8010EF" w:rsidR="00591597" w:rsidRPr="00781112" w:rsidRDefault="002B7490" w:rsidP="004E2151">
      <w:pPr>
        <w:rPr>
          <w:rFonts w:cs="Arial"/>
          <w:color w:val="000000" w:themeColor="text1"/>
          <w:szCs w:val="16"/>
        </w:rPr>
      </w:pPr>
      <w:r w:rsidRPr="00781112">
        <w:rPr>
          <w:rFonts w:cs="Arial"/>
          <w:color w:val="000000" w:themeColor="text1"/>
          <w:szCs w:val="16"/>
        </w:rPr>
        <w:t>None</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61" w:name="_Toc384383348"/>
      <w:bookmarkStart w:id="6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61"/>
    <w:bookmarkEnd w:id="62"/>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The RMI PSS is a single district entity with a population that is homogeneous when measured by race/ethnicity. All families and students are Native Hawaiian or Other Pacific Islanders.</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7C7C5568" w14:textId="62165978" w:rsidR="009F69E7" w:rsidRPr="00781112" w:rsidRDefault="002B7490" w:rsidP="004E2151">
      <w:pPr>
        <w:rPr>
          <w:rFonts w:cs="Arial"/>
          <w:color w:val="000000" w:themeColor="text1"/>
          <w:szCs w:val="16"/>
        </w:rPr>
      </w:pPr>
      <w:r w:rsidRPr="00781112">
        <w:rPr>
          <w:rFonts w:cs="Arial"/>
          <w:color w:val="000000" w:themeColor="text1"/>
          <w:szCs w:val="16"/>
        </w:rPr>
        <w:t>None</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63" w:name="_Toc384383353"/>
      <w:bookmarkStart w:id="64"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5" w:name="_Toc384383354"/>
      <w:bookmarkStart w:id="66" w:name="_Toc392159322"/>
      <w:bookmarkEnd w:id="63"/>
      <w:bookmarkEnd w:id="64"/>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100.00%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5"/>
    <w:bookmarkEnd w:id="66"/>
    <w:p w14:paraId="750720C9" w14:textId="77777777" w:rsidR="0036112A" w:rsidRDefault="0036112A">
      <w:pPr>
        <w:spacing w:before="0" w:after="200" w:line="276" w:lineRule="auto"/>
        <w:rPr>
          <w:b/>
          <w:color w:val="000000" w:themeColor="text1"/>
        </w:rPr>
      </w:pPr>
      <w:r>
        <w:rPr>
          <w:b/>
          <w:color w:val="000000" w:themeColor="text1"/>
        </w:rPr>
        <w:br w:type="page"/>
      </w:r>
    </w:p>
    <w:p w14:paraId="3FAEB3AB" w14:textId="0E7336B9"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101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101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481536" w:rsidP="006A01BD">
      <w:pPr>
        <w:rPr>
          <w:color w:val="000000" w:themeColor="text1"/>
        </w:rPr>
      </w:pP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Data Source: The child find data </w:t>
      </w:r>
      <w:proofErr w:type="gramStart"/>
      <w:r w:rsidRPr="00781112">
        <w:rPr>
          <w:rFonts w:cs="Arial"/>
          <w:color w:val="000000" w:themeColor="text1"/>
          <w:szCs w:val="16"/>
        </w:rPr>
        <w:t>is located in</w:t>
      </w:r>
      <w:proofErr w:type="gramEnd"/>
      <w:r w:rsidRPr="00781112">
        <w:rPr>
          <w:rFonts w:cs="Arial"/>
          <w:color w:val="000000" w:themeColor="text1"/>
          <w:szCs w:val="16"/>
        </w:rPr>
        <w:t xml:space="preserve"> the Special Education Information Management System (SEIMS), administered and maintained by the PSS Special Education Office. Schools submit semi-annual reports of special education programs and services provided during the report period and on an on-going basis, submit copies of special education forms related to referral (Form SE-1), child study (SE-2), consent for evaluation (SE-4), integrated evaluation and determination (report on SE-5), program and placement (attachments of each student's current Individualized Education Program (IEP/SE-7)) Plan and reevaluation. Data from school reports and student IEP are summarized into the SEIMS. The information collected are validated through on-site visits and through off-site monitoring. The above information is provided through a report that summarizes the timeframe from consent for evaluation (SE-4) to completion of the evaluation (SE-5).</w:t>
      </w:r>
    </w:p>
    <w:p w14:paraId="4F981BFF" w14:textId="77777777" w:rsidR="00C86164" w:rsidRPr="00781112" w:rsidRDefault="00C86164" w:rsidP="00C86164">
      <w:pPr>
        <w:rPr>
          <w:rFonts w:cs="Arial"/>
          <w:b/>
          <w:color w:val="000000" w:themeColor="text1"/>
          <w:szCs w:val="16"/>
        </w:rPr>
      </w:pPr>
      <w:bookmarkStart w:id="67" w:name="_Toc381956339"/>
      <w:bookmarkStart w:id="68" w:name="_Toc384383357"/>
      <w:bookmarkStart w:id="69"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9A755E" w:rsidP="00A018D4">
            <w:pPr>
              <w:jc w:val="center"/>
              <w:rPr>
                <w:rFonts w:cs="Arial"/>
                <w:color w:val="000000" w:themeColor="text1"/>
                <w:szCs w:val="16"/>
              </w:rPr>
            </w:pPr>
          </w:p>
        </w:tc>
        <w:tc>
          <w:tcPr>
            <w:tcW w:w="1288" w:type="pct"/>
            <w:shd w:val="clear" w:color="auto" w:fill="auto"/>
          </w:tcPr>
          <w:p w14:paraId="4AEC445C" w14:textId="6396B491" w:rsidR="009A755E" w:rsidRPr="00781112" w:rsidRDefault="009A755E" w:rsidP="00A018D4">
            <w:pPr>
              <w:jc w:val="center"/>
              <w:rPr>
                <w:rFonts w:cs="Arial"/>
                <w:color w:val="000000" w:themeColor="text1"/>
                <w:szCs w:val="16"/>
              </w:rPr>
            </w:pP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9A755E" w:rsidP="00A018D4">
            <w:pPr>
              <w:jc w:val="center"/>
              <w:rPr>
                <w:rFonts w:cs="Arial"/>
                <w:color w:val="000000" w:themeColor="text1"/>
                <w:szCs w:val="16"/>
              </w:rPr>
            </w:pPr>
          </w:p>
        </w:tc>
      </w:tr>
    </w:tbl>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None</w:t>
      </w:r>
    </w:p>
    <w:p w14:paraId="314020BE" w14:textId="77777777" w:rsidR="009F69E7" w:rsidRPr="00781112" w:rsidRDefault="009F69E7"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7"/>
      <w:bookmarkEnd w:id="68"/>
      <w:bookmarkEnd w:id="69"/>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0" w:name="_Toc384383358"/>
      <w:bookmarkStart w:id="71"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70"/>
    <w:bookmarkEnd w:id="71"/>
    <w:p w14:paraId="79824C1D" w14:textId="3C301685" w:rsidR="00FE7D29" w:rsidRPr="00781112" w:rsidRDefault="00056350" w:rsidP="00123D76">
      <w:pPr>
        <w:pStyle w:val="Heading2"/>
      </w:pPr>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YES</w:t>
      </w:r>
    </w:p>
    <w:p w14:paraId="27D98FA0" w14:textId="2B00F8EB" w:rsidR="00043AC9" w:rsidRPr="00781112" w:rsidRDefault="00CB482B" w:rsidP="004369B2">
      <w:pPr>
        <w:rPr>
          <w:b/>
          <w:color w:val="000000" w:themeColor="text1"/>
        </w:rPr>
      </w:pPr>
      <w:r w:rsidRPr="00781112">
        <w:rPr>
          <w:b/>
          <w:color w:val="000000" w:themeColor="text1"/>
        </w:rPr>
        <w:t xml:space="preserve">Provide an explanation of why it is not applicable below. </w:t>
      </w:r>
    </w:p>
    <w:p w14:paraId="6067BAAD" w14:textId="4CE13AD0" w:rsidR="00043AC9" w:rsidRPr="00781112" w:rsidRDefault="00043AC9" w:rsidP="004369B2">
      <w:pPr>
        <w:rPr>
          <w:color w:val="000000" w:themeColor="text1"/>
        </w:rPr>
      </w:pPr>
      <w:r w:rsidRPr="00781112">
        <w:rPr>
          <w:color w:val="000000" w:themeColor="text1"/>
        </w:rPr>
        <w:t xml:space="preserve">The Republic of the Marshall Islands is a Freely Associated State, and as such, the RMI PSS does not receive Part C funds of IDEA, nor 619 funds. Therefore, indicator B12, which measures that students transitioning from Part C to Part B should have an IEP by their 3rd birthday is not applicable. </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2" w:name="_Toc384383363"/>
      <w:bookmarkStart w:id="73"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4" w:name="_Toc384383364"/>
      <w:bookmarkStart w:id="75" w:name="_Toc392159332"/>
      <w:bookmarkEnd w:id="72"/>
      <w:bookmarkEnd w:id="73"/>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100.00%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4"/>
    <w:bookmarkEnd w:id="75"/>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The RMI PSS,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increase the reliability and validity of the data reported, improved the rigor of the data collection system for part B Indicator 13. Examining the compliance for the individual components of Part B Indicator 13 in secondary IEP reviews helps us better understand needs related to professional development. We are refining professional development materials and events to align with this new system for data collection. These efforts should mitigate future slippage and result in improved compliance in future years.  </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RMI PSS conducted IEP file reviews for a sample of students across the four high </w:t>
      </w:r>
      <w:proofErr w:type="gramStart"/>
      <w:r w:rsidRPr="00781112">
        <w:rPr>
          <w:rFonts w:cs="Arial"/>
          <w:color w:val="000000" w:themeColor="text1"/>
          <w:szCs w:val="16"/>
        </w:rPr>
        <w:t>schools .Data</w:t>
      </w:r>
      <w:proofErr w:type="gramEnd"/>
      <w:r w:rsidRPr="00781112">
        <w:rPr>
          <w:rFonts w:cs="Arial"/>
          <w:color w:val="000000" w:themeColor="text1"/>
          <w:szCs w:val="16"/>
        </w:rPr>
        <w:t xml:space="preserve"> collection Two RMI PSS staff were trained by staff from the National Technical Assistance Center-Collaborative (NTACT-C) on how to review IEPs and identify whether each of the components of Indicator 13 were in compliance or not. Each reviewer used the 8-item NTACT-C checklist Form A. Data was entered into an online database created in google forms for analysis:  https://forms.gle/7FGkbnGeNb8WsWeg9.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6"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RMI PSS changed the methods for assessing compliance with B-13 this year. Prior to this reporting year, RMI PSS used the RMI IEP Rubric developed in collaboration with the Western Regional Resource Center.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capture more detail regarding the specific components of the transition IEP, RMI elected to update monitoring procedures to include using the 8-item NTACT-C checklist for Part B Indicator 13. This allows the RMI to capture more accurate information regarding transition plans.</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9A755E" w:rsidP="004369B2">
            <w:pPr>
              <w:jc w:val="center"/>
              <w:rPr>
                <w:rFonts w:cs="Arial"/>
                <w:color w:val="000000" w:themeColor="text1"/>
                <w:szCs w:val="16"/>
              </w:rPr>
            </w:pPr>
          </w:p>
        </w:tc>
      </w:tr>
    </w:tbl>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Republic of Marshall Islands reported less than 100% compliance for FFY 2021, the Republic of Marshall Islands must report on the status of correction of noncompliance identified in FFY 2021 for this indicator. When reporting on the correction of noncompliance, the Republic of Marshall Islands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Republic of Marshall Islands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Republic of Marshall Islands did not identify any findings of noncompliance in FFY 2021, although its FFY 2021 data reflect less than 100% compliance, provide an explanation of why the Republic of Marshall Islands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6"/>
    </w:p>
    <w:p w14:paraId="22761492" w14:textId="77777777" w:rsidR="005C50DB" w:rsidRPr="00781112" w:rsidRDefault="005C50DB" w:rsidP="00A018D4">
      <w:pPr>
        <w:rPr>
          <w:szCs w:val="20"/>
        </w:rPr>
      </w:pPr>
      <w:bookmarkStart w:id="77"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8"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8"/>
    <w:p w14:paraId="3FE9961A" w14:textId="1EDBA086" w:rsidR="000301BA" w:rsidRPr="00781112" w:rsidRDefault="00172058" w:rsidP="00123D76">
      <w:pPr>
        <w:pStyle w:val="Heading2"/>
      </w:pPr>
      <w:r w:rsidRPr="00781112">
        <w:t>14 - Indicator Data</w:t>
      </w:r>
    </w:p>
    <w:bookmarkEnd w:id="77"/>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16.00%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21.43%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17.00%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16.50%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17.00%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17.50%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18.00%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18.50%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19.00%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21.00%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23.00%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25.00%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25.00%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76.50%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77.00%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77.50%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78.00%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78.50%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w:t>
      </w:r>
      <w:r w:rsidRPr="00781112">
        <w:rPr>
          <w:rFonts w:cs="Arial"/>
          <w:color w:val="000000" w:themeColor="text1"/>
          <w:szCs w:val="16"/>
        </w:rPr>
        <w:lastRenderedPageBreak/>
        <w:t xml:space="preserve">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9" w:name="_Toc392159337"/>
    </w:p>
    <w:bookmarkEnd w:id="79"/>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21</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5</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16.50%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47.62%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lastRenderedPageBreak/>
        <w:t>Very few students exit the RMI PSS every year. The PSS staff contacts all high school teachers to make sure post school information is collected from all students who exit the school system. RMI PSS will continue this effort going forward, to maintain the 100% response rate for this indicator.</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Response rate was 100% and there was no non-response bias.  21 of the 21 students who exited PSS in SY 2020-21 were contacted. 100% of their responses about their status after leaving school were received, making their response 100% representative of the demographics of youth who are no longer in school and had IEPs in effect at the time they left school.</w:t>
      </w:r>
      <w:r w:rsidRPr="00B551F2">
        <w:br/>
      </w:r>
      <w:r w:rsidRPr="00B551F2">
        <w:br/>
        <w:t>Data is 100% representative of the population because ALL the 21 students (100%) who exited in SY 2020-2021 responded to the interview. That is, it is 100% representative based on gender, race, disability, and school of the exiting population.</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Data is 100% representative of the population because ALL the 21 students (100%) who exited in SY 2020-2021 responded to the interview. That is, it is 100% representative based on gender, race, disability, and school of the exiting population.</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There was no need to apply any metric, since all 21 leavers in 2020-2021 were contacted and information regarding the post school outcomes was gathered from all these 21 leavers. If in a subsequent year, RMI is not able to collect data from 100% of the target students, RMI will use the +/- 3% discrepancy in the proportion of responders compared to target group to measure and determine representativeness in the collected data.</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0" w:name="_Toc382082390"/>
      <w:bookmarkStart w:id="81"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0"/>
      <w:bookmarkEnd w:id="81"/>
    </w:p>
    <w:p w14:paraId="7EA31497" w14:textId="77777777" w:rsidR="005B0B58" w:rsidRPr="00781112" w:rsidRDefault="005B0B58" w:rsidP="00A018D4">
      <w:pPr>
        <w:rPr>
          <w:color w:val="000000" w:themeColor="text1"/>
          <w:szCs w:val="20"/>
        </w:rPr>
      </w:pPr>
      <w:bookmarkStart w:id="82" w:name="_Toc381786822"/>
      <w:bookmarkStart w:id="83" w:name="_Toc382731911"/>
      <w:bookmarkStart w:id="84" w:name="_Toc382731912"/>
      <w:bookmarkStart w:id="85" w:name="_Toc392159340"/>
      <w:bookmarkEnd w:id="82"/>
      <w:bookmarkEnd w:id="83"/>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4"/>
    <w:bookmarkEnd w:id="85"/>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6" w:name="_Toc382731913"/>
      <w:bookmarkStart w:id="87"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43B1695A" w14:textId="2970A905" w:rsidR="000A2C83" w:rsidRPr="00781112" w:rsidRDefault="000A2C83" w:rsidP="000A2C83">
      <w:pPr>
        <w:rPr>
          <w:rFonts w:cs="Arial"/>
          <w:color w:val="000000" w:themeColor="text1"/>
          <w:szCs w:val="16"/>
        </w:rPr>
      </w:pPr>
    </w:p>
    <w:bookmarkEnd w:id="86"/>
    <w:bookmarkEnd w:id="87"/>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61F42918" w14:textId="77777777" w:rsidR="0036112A" w:rsidRDefault="0036112A" w:rsidP="004369B2">
      <w:pPr>
        <w:rPr>
          <w:b/>
          <w:color w:val="000000" w:themeColor="text1"/>
        </w:rPr>
      </w:pPr>
    </w:p>
    <w:p w14:paraId="0B3CADC6" w14:textId="2D81A719" w:rsidR="00372DF8" w:rsidRPr="00781112" w:rsidRDefault="00372DF8" w:rsidP="004369B2">
      <w:pPr>
        <w:rPr>
          <w:color w:val="000000" w:themeColor="text1"/>
        </w:rPr>
      </w:pPr>
      <w:r w:rsidRPr="00781112">
        <w:rPr>
          <w:b/>
          <w:color w:val="000000" w:themeColor="text1"/>
        </w:rPr>
        <w:lastRenderedPageBreak/>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Republic of the Marshall Islands reported fewer than ten resolution sessions held in FFY 2021. The Republic of the Marshall Islands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8" w:name="_Toc382731916"/>
      <w:bookmarkStart w:id="89"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8"/>
    <w:bookmarkEnd w:id="89"/>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rFonts w:cs="Arial"/>
          <w:color w:val="000000" w:themeColor="text1"/>
          <w:szCs w:val="16"/>
        </w:rPr>
        <w:t>continue on</w:t>
      </w:r>
      <w:proofErr w:type="gramEnd"/>
      <w:r w:rsidRPr="00781112">
        <w:rPr>
          <w:rFonts w:cs="Arial"/>
          <w:color w:val="000000" w:themeColor="text1"/>
          <w:szCs w:val="16"/>
        </w:rPr>
        <w:t xml:space="preserve"> its SSIP implementation.</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p>
        </w:tc>
        <w:tc>
          <w:tcPr>
            <w:tcW w:w="916" w:type="pct"/>
          </w:tcPr>
          <w:p w14:paraId="6CD274F3" w14:textId="076582AE" w:rsidR="006D0A52" w:rsidRPr="00781112" w:rsidRDefault="006D0A52" w:rsidP="00C91F30">
            <w:pPr>
              <w:jc w:val="center"/>
              <w:rPr>
                <w:rFonts w:cs="Arial"/>
                <w:color w:val="000000" w:themeColor="text1"/>
                <w:szCs w:val="16"/>
              </w:rPr>
            </w:pPr>
          </w:p>
        </w:tc>
        <w:tc>
          <w:tcPr>
            <w:tcW w:w="916" w:type="pct"/>
          </w:tcPr>
          <w:p w14:paraId="60DD90BA" w14:textId="5816204A" w:rsidR="006D0A52" w:rsidRPr="00781112" w:rsidRDefault="006D0A52" w:rsidP="00C91F30">
            <w:pPr>
              <w:jc w:val="center"/>
              <w:rPr>
                <w:rFonts w:cs="Arial"/>
                <w:color w:val="000000" w:themeColor="text1"/>
                <w:szCs w:val="16"/>
              </w:rPr>
            </w:pPr>
          </w:p>
        </w:tc>
        <w:tc>
          <w:tcPr>
            <w:tcW w:w="916" w:type="pct"/>
          </w:tcPr>
          <w:p w14:paraId="2F06128D" w14:textId="63E3880D" w:rsidR="006D0A52" w:rsidRPr="00781112" w:rsidRDefault="006D0A52"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The RMI reported zero mediations held in FFY 2021. The RMI is not required to provide targets until any fiscal year in which ten or more mediations were held.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Republic of the Marshall Islands reported fewer than ten mediations held in FFY 2021. The Republic of the Marshall Islands is not required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xml:space="preserve">;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xml:space="preserve">)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To increase the percentage of youth with disabilities graduating with a high school diploma in the Marshall Islands Public School System.</w:t>
      </w:r>
    </w:p>
    <w:p w14:paraId="43CABCA3" w14:textId="77777777" w:rsidR="00AE1972" w:rsidRPr="00781112" w:rsidRDefault="00AE1972" w:rsidP="00AE1972">
      <w:pPr>
        <w:rPr>
          <w:b/>
          <w:bCs/>
        </w:rPr>
      </w:pPr>
      <w:bookmarkStart w:id="90"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90"/>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The current Theory of Action is located here, together with RMI's SSIP reports:</w:t>
      </w:r>
      <w:r w:rsidRPr="00781112">
        <w:br/>
      </w:r>
      <w:r w:rsidRPr="00781112">
        <w:br/>
        <w:t>https://drive.google.com/drive/folders/1hXcWS5JwtZ54PzzcranoeG1Wzyxrtrt1</w:t>
      </w:r>
      <w:r w:rsidRPr="00781112">
        <w:br/>
      </w:r>
      <w:r w:rsidRPr="00781112">
        <w:br/>
        <w:t>If there are any problems following that link, please follow this link and then select SSIP Reports:</w:t>
      </w:r>
      <w:r w:rsidRPr="00781112">
        <w:br/>
      </w:r>
      <w:r w:rsidRPr="00781112">
        <w:br/>
        <w:t>https://pss.edu.mh/documents/special-education-documents/</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2014</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17.00%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50.00%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52.00%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54.00%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56.00%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58.00%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Number of </w:t>
            </w:r>
            <w:proofErr w:type="gramStart"/>
            <w:r w:rsidRPr="00781112">
              <w:rPr>
                <w:b/>
                <w:bCs/>
                <w:color w:val="000000" w:themeColor="text1"/>
                <w:szCs w:val="16"/>
              </w:rPr>
              <w:t>youth</w:t>
            </w:r>
            <w:proofErr w:type="gramEnd"/>
            <w:r w:rsidRPr="00781112">
              <w:rPr>
                <w:b/>
                <w:bCs/>
                <w:color w:val="000000" w:themeColor="text1"/>
                <w:szCs w:val="16"/>
              </w:rPr>
              <w:t xml:space="preserve"> with IEPs (ages 14-21) who exited special education due to graduating with a regular high school diploma</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 xml:space="preserve">Number of all youth with IEPs who exited special education (ages 14-21)  </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21</w:t>
            </w:r>
          </w:p>
        </w:tc>
        <w:tc>
          <w:tcPr>
            <w:tcW w:w="667" w:type="pct"/>
            <w:shd w:val="clear" w:color="auto" w:fill="auto"/>
          </w:tcPr>
          <w:p w14:paraId="75E02A3E" w14:textId="6AE8337C" w:rsidR="00AE1972" w:rsidRPr="00781112" w:rsidRDefault="00381C7D" w:rsidP="00FE5C1F">
            <w:pPr>
              <w:jc w:val="center"/>
              <w:rPr>
                <w:color w:val="000000" w:themeColor="text1"/>
                <w:szCs w:val="16"/>
              </w:rPr>
            </w:pPr>
            <w:r>
              <w:rPr>
                <w:rFonts w:cs="Arial"/>
                <w:color w:val="000000" w:themeColor="text1"/>
                <w:szCs w:val="16"/>
              </w:rPr>
              <w:t>x</w:t>
            </w:r>
            <w:r>
              <w:rPr>
                <w:rStyle w:val="FootnoteReference"/>
                <w:rFonts w:cs="Arial"/>
                <w:color w:val="000000" w:themeColor="text1"/>
                <w:szCs w:val="16"/>
              </w:rPr>
              <w:footnoteReference w:id="20"/>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50.00%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80.95%</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lastRenderedPageBreak/>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It is the same data as used for reporting to the Department under section 618 of the Individuals with Disabilities Education Act (IDEA), using the definitions in EDFacts file specification FS009, and it is calculated using the same methodology as is used for calculating Indicator B1, Graduation Rates.</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It is the same data as used for reporting to the Department under section 618 of the Individuals with Disabilities Education Act (IDEA), using the definitions in EDFacts file specification FS009. The analysis is the same as the calculation for Indicator 1 Graduation Rates, using the same formula as proposed for the FFY 2021 APR for indicator 1: States must report a percentage using the number of youth with IEPs (ages 14-21) who exited special education due to graduating with a regular high school diploma in the numerator and the number of all youth with IEPs who exited special education (ages 14-21) in the denominator. Include in the denominator the following exiting categories: (a) graduated with a regular high school diploma; (b) graduated with a state-defined alternate diploma; (c) received a certificate; (d) reached maximum age; or (e) dropped out.</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As part of the SSIP, each school developed measurable goals and an action plan for change, including a Goal Attainment Scale (GAS) to determine the extent to which they are meeting their goals each year. All school goals are related to addressing areas that predict the </w:t>
      </w:r>
      <w:proofErr w:type="spellStart"/>
      <w:r w:rsidRPr="00781112">
        <w:rPr>
          <w:color w:val="000000" w:themeColor="text1"/>
        </w:rPr>
        <w:t>SiMR</w:t>
      </w:r>
      <w:proofErr w:type="spellEnd"/>
      <w:r w:rsidRPr="00781112">
        <w:rPr>
          <w:color w:val="000000" w:themeColor="text1"/>
        </w:rPr>
        <w:t xml:space="preserve"> (e.g., student attendance, reading/math proficiency, parent engagement). Schools are making progress towards their goals as indicated from data collected on the GAS.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The current Evaluation Plan is located here, together with RMI's SSIP reports:</w:t>
      </w:r>
      <w:r w:rsidRPr="00781112">
        <w:rPr>
          <w:color w:val="000000" w:themeColor="text1"/>
        </w:rPr>
        <w:br/>
      </w:r>
      <w:r w:rsidRPr="00781112">
        <w:rPr>
          <w:color w:val="000000" w:themeColor="text1"/>
        </w:rPr>
        <w:br/>
        <w:t>https://drive.google.com/drive/folders/1hXcWS5JwtZ54PzzcranoeG1Wzyxrtrt1</w:t>
      </w:r>
      <w:r w:rsidRPr="00781112">
        <w:rPr>
          <w:color w:val="000000" w:themeColor="text1"/>
        </w:rPr>
        <w:br/>
      </w:r>
      <w:r w:rsidRPr="00781112">
        <w:rPr>
          <w:color w:val="000000" w:themeColor="text1"/>
        </w:rPr>
        <w:br/>
        <w:t>If there are any problems following that link, please follow this link and then select SSIP Reports:</w:t>
      </w:r>
      <w:r w:rsidRPr="00781112">
        <w:rPr>
          <w:color w:val="000000" w:themeColor="text1"/>
        </w:rPr>
        <w:br/>
      </w:r>
      <w:r w:rsidRPr="00781112">
        <w:rPr>
          <w:color w:val="000000" w:themeColor="text1"/>
        </w:rPr>
        <w:br/>
        <w:t>https://pss.edu.mh/documents/special-education-documents/</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As indicated, in the previous SSIP report, RMI is developing a system to better prepare its current and new special education teachers. Stakeholders met in July 2022 and discussed next steps in implementing the plan for professional development that was presented to the RMI leadership team and other offices within RMI in 2020 and 2021 (i.e., office of personnel development, office of finance, minister of education), and across agencies (i.e., the College of Marshall Islands). </w:t>
      </w:r>
      <w:r w:rsidRPr="00781112">
        <w:rPr>
          <w:color w:val="000000" w:themeColor="text1"/>
        </w:rPr>
        <w:br/>
      </w:r>
      <w:r w:rsidRPr="00781112">
        <w:rPr>
          <w:color w:val="000000" w:themeColor="text1"/>
        </w:rPr>
        <w:br/>
        <w:t xml:space="preserve">Results of data collected from a needs assessment and a follow-up focus group, identified barriers for being a special education teacher (specifically in the outer islands) which included (a) the lack of information regarding what teachers are supposed to do, (b) having adequate materials to assist students in acquiring new skills, (c) space to improve student engagement and/or provide supplemental instruction, and (d) not enough teachers to meet the needs of students. It was indicated that in general, schools in the outer islands lack materials. Transportation to and from the outer islands is challenging and there is not a boat or plane that frequents these places to ensure schools have adequate supplies. As for space, it was indicated schools had to cancel other important activities (e.g., in library or other community spaces) to accommodate the additional learner needs of students. Teachers and schools are always having to weigh the cost benefit of these cancelations. Given the limited number of special education teachers, it was recommended in the focus group to also train general education teachers to address learning needs of students (e.g., how to differentiate instruction). Lastly, results of the needs assessment and focus group indicated a range of professional development needs including supporting students with specific disabling conditions (e.g., Autism, Blind). </w:t>
      </w:r>
      <w:proofErr w:type="gramStart"/>
      <w:r w:rsidRPr="00781112">
        <w:rPr>
          <w:color w:val="000000" w:themeColor="text1"/>
        </w:rPr>
        <w:t>Specifically</w:t>
      </w:r>
      <w:proofErr w:type="gramEnd"/>
      <w:r w:rsidRPr="00781112">
        <w:rPr>
          <w:color w:val="000000" w:themeColor="text1"/>
        </w:rPr>
        <w:t xml:space="preserve"> they are looking for strategies to teach academic content to individuals with varying needs. The also indicated a need for ongoing instruction regarding IEPs. </w:t>
      </w:r>
      <w:r w:rsidRPr="00781112">
        <w:rPr>
          <w:color w:val="000000" w:themeColor="text1"/>
        </w:rPr>
        <w:br/>
      </w:r>
      <w:r w:rsidRPr="00781112">
        <w:rPr>
          <w:color w:val="000000" w:themeColor="text1"/>
        </w:rPr>
        <w:br/>
        <w:t xml:space="preserve">These data are now being used to refine the  professional development (PD) plan, leveraging existing resources within the RMI Public School System (special education, general education) and across agencies (e.g., College of Marshall Islands) to increase the knowledge and skills of special education teachers and improve the quality of instruction for students with disabilities ultimately leading to increased student learning and behavior outcomes and ultimately the </w:t>
      </w:r>
      <w:proofErr w:type="spellStart"/>
      <w:r w:rsidRPr="00781112">
        <w:rPr>
          <w:color w:val="000000" w:themeColor="text1"/>
        </w:rPr>
        <w:t>SiMR</w:t>
      </w:r>
      <w:proofErr w:type="spellEnd"/>
      <w:r w:rsidRPr="00781112">
        <w:rPr>
          <w:color w:val="000000" w:themeColor="text1"/>
        </w:rPr>
        <w:t>.</w:t>
      </w:r>
      <w:r w:rsidRPr="00781112">
        <w:rPr>
          <w:color w:val="000000" w:themeColor="text1"/>
        </w:rPr>
        <w:br/>
      </w:r>
      <w:r w:rsidRPr="00781112">
        <w:rPr>
          <w:color w:val="000000" w:themeColor="text1"/>
        </w:rPr>
        <w:br/>
        <w:t xml:space="preserve">RMI PSS continues to implemented the revised General Supervision monitoring procedures including agendas for each day of the visit and protocols for each the data collection effort to ensure procedural fidelity across teams implementing the monitoring across various schools. Evaluation data indicate these procedures are supporting schools in identifying potential root causes for not making progress towards their desired outcomes identified in their school-wide action plans and determining action steps needed. In addition, RMI PSS provided PD while onsite with schools during monitoring visits to address specific needs identified by schools (e.g., writing quality IEPs, developing work-based learning experiences). These strategies are included in the </w:t>
      </w:r>
      <w:proofErr w:type="gramStart"/>
      <w:r w:rsidRPr="00781112">
        <w:rPr>
          <w:color w:val="000000" w:themeColor="text1"/>
        </w:rPr>
        <w:t>strands  of</w:t>
      </w:r>
      <w:proofErr w:type="gramEnd"/>
      <w:r w:rsidRPr="00781112">
        <w:rPr>
          <w:color w:val="000000" w:themeColor="text1"/>
        </w:rPr>
        <w:t xml:space="preserve"> the theory of Action.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lastRenderedPageBreak/>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RMI PSS continues to follow the Plan, Do, Study, Act, Model (PDSA) to ensure the work we are doing is successful in achieving the outcomes we desire. We continue to employ a secondary education specialist to oversee the middle and high schools work around secondary transition. She is responsible for providing ongoing coaching and support to the school implementation teams as they carry out their respective school action plans. Because our evaluation data and stakeholders continue to identify coaching as a need, we continue to explore our capacity to deliver high quality coaching to teachers within our schools. In July 2022, we met with our SSIP extended core team and our leadership team to discuss options for leveraging existing opportunities on island that are preparing staff to be instructional coaches. As part of the PSS Strategic Plan (i.e., the 2021-2025 strategic plan for the Ministry of Education, Sport, and Training), there is an emphasis decreasing the gaps between where we are and where we want to be and goals around supporting the development of effective principals and teachers.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RMI PSS is strategically partnering with the College of the Marshall Islands to design and implement the PD plan. To help facilitate this collaboration, RMI PSS has named a project coordinator to oversee this work and help to facilitate the teams’ efforts. The team will leverage the new distance learning centers in several neighboring islands as PD dissemination sites. As part of the overall teacher retention plan, RMI PSS is also leveraging efforts to improve the quality of instruction that is occurring at the PSS level via the Quality of Basic Education project. The special education team is adapting some of the protocols that have been developed and tested with the larger education community in RMI regarding the implementation of the quality pedagogy framework that guides professional learning offered by RMI PSS.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We are using the Implementation Stages Planning tool to help us examine our implementation efforts and make decisions (https://nirn.fpg.unc.edu/resources/stages-implementation-analysis-where-are-we; NIRN, 2020). We continue to be in initial implementation regarding our plan for changing the infrastructure for the way we deliver professional development and coaching. We expanded our team to include the ministry of Finance, personnel development, the College of the Marshall Islands, among other stakeholders. We conducted the research and determined from the literature what the PD looks like (defining the practice). We collected additional data to determine how the research translates to our local context. For example, while online modules and face-to-face coaching from the transition specialist might work in Majuro, it will not in the neighboring islands. We are collaborating with CMI to develop two new courses focused on content identified in the needs assessment. We will continue to refine the plan in initial implementation to reach all special education teachers.  </w:t>
      </w:r>
      <w:r w:rsidRPr="00781112">
        <w:rPr>
          <w:color w:val="000000" w:themeColor="text1"/>
        </w:rPr>
        <w:br/>
      </w:r>
      <w:r w:rsidRPr="00781112">
        <w:rPr>
          <w:color w:val="000000" w:themeColor="text1"/>
        </w:rPr>
        <w:br/>
        <w:t>The Special Education team continues to conduct trainings on writing quality IEPs with the schools. These trainings have included special education teachers, general education teachers, and principals. Most trainings were conducted after school monitoring and focused on needs identified by the schools. Evaluation data collected after the training indicated the training was effective in increasing the knowledge of quality IEPs and participants found the training and materials relevant to their work. Participants requested ongoing feedback throughout the year to ensure they were meeting the requirements and best supporting the students they served. This evaluation data supports the plan to continue to investigate further improvements to the infrastructure to deliver high quality professional development to schools.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Co-planning and collaborative teaching; Explicit Instruction; Repeated Reading, Peer Assisted Learning (PALS).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special education and general education teachers continue to co-plan each of the instructional lessons. In some cases, teachers have developed modified lesson plans for students with disabilities that include more scaffolding and additional supports. To promote reading and math proficiency, in addition to the previously implemented school-wide activities (e.g., reading comprehension, math drills), teachers have now been trained to implement Repeated Reading, a strategy identified by the What Works Clearinghouse to positively influence reading comprehension (this is in the initial stages of implementation). This practice was selected based on its feasibility to implement in schools as well as preliminary data indicating effectiveness with ELL learners (e.g., Chen, 2018; Landra &amp; Barbetta, 2017; Yeganeh, 2013). New courses being developed based on results of needs assessment include instruction on use of PALS (Peer Assisted Learning Strategies). Special education and general education teachers are working together to ensure each student with a disability receives the appropriate accommodations outlined in the IEP during all class.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1"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1"/>
    <w:p w14:paraId="3E043DB7" w14:textId="7C3B2CD4" w:rsidR="00AE1972" w:rsidRPr="00781112" w:rsidRDefault="00AE1972" w:rsidP="00AE1972">
      <w:pPr>
        <w:rPr>
          <w:b/>
          <w:bCs/>
        </w:rPr>
      </w:pPr>
      <w:r w:rsidRPr="00781112">
        <w:rPr>
          <w:color w:val="000000" w:themeColor="text1"/>
        </w:rPr>
        <w:t xml:space="preserve">Previous research identifies indicators and predictors of students who persist through school and are ready for college and careers. Some of these indicators and predictors include attendance (students with attendance rates above 80% are more likely to graduate), grade point average (above a 3.0), Reading by 3rd grade, and passing ELA and math (College and Career Readiness Center, 2013). Each school has included in their school-wide action plans evidence-based strategies to address the indicators or predictors. For example, schools are implementing school-wide programs focused on improving attendance, including incentives for students to stay engaged and more focus on family engagement). All schools have a focus on improving reading due to the low scores on the MISAT. Teachers have been trained in Explicit Instruction, Repeated Reading, and Peer Assisted Learning Strategies (PALS); three strategies research has demonstrated have positive effects on reading outcomes. Teachers also continue to use collaborative teaching models to ensure they </w:t>
      </w:r>
      <w:proofErr w:type="gramStart"/>
      <w:r w:rsidRPr="00781112">
        <w:rPr>
          <w:color w:val="000000" w:themeColor="text1"/>
        </w:rPr>
        <w:t>are able to</w:t>
      </w:r>
      <w:proofErr w:type="gramEnd"/>
      <w:r w:rsidRPr="00781112">
        <w:rPr>
          <w:color w:val="000000" w:themeColor="text1"/>
        </w:rPr>
        <w:t xml:space="preserve"> differentiate instruction to meet the needs of each student in the class.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We have gathered data using a rubric designed by the SSIP stakeholders to determine how well general teachers and sped teachers co-teach together and to what extent teachers are using the strategies they learned about via professional development (e.g., Repeated Reading, Collaborative Teaching, Explicit Instruction). The results of the observations indicate teachers’ scores continue to indicate a range from 16-20 indicating effective teaching.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lastRenderedPageBreak/>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In addition to graduation data and data on the MISAT, each school is collecting formative data on student outcomes to inform decisions regarding the continuation of effective practices. For example, MMS used formative data to determine the need to provide supplemental services via a resource room to support students in improving reading and math skills. They acquired a space within the school building to provide this service and worked with students and families to include this service in the IEP.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RMI PSS plans to provide ongoing coaching to teachers implementing the evidence-based practices to improve quality of instruction as well as IEP development. Two protocols have been developed to guide coaching sessions to ensure fidelity across coaches. In addition to the RMI PSS staff, Principals are receiving training on how to coach.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The RMI PSS continues its progress on the implementation of the SSIP. Although in some years the data may show slippage, in the overall trend, the graduation rates show improvement from the baseline, and the data meets or exceeds the stakeholder suggested targets.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color w:val="000000" w:themeColor="text1"/>
        </w:rPr>
        <w:br/>
      </w:r>
      <w:r w:rsidRPr="00781112">
        <w:rPr>
          <w:color w:val="000000" w:themeColor="text1"/>
        </w:rPr>
        <w:br/>
        <w:t>During the Summer of 2022, during the Summer Institute, two meetings were convened where stakeholders in Majuro and Kwajalein atolls were able to meet in person, and were linked via Zoom sessions, where these two groups could connect with each other, and stakeholders and TA providers in other locations could join as well.</w:t>
      </w:r>
      <w:r w:rsidRPr="00781112">
        <w:rPr>
          <w:color w:val="000000" w:themeColor="text1"/>
        </w:rPr>
        <w:br/>
      </w:r>
      <w:r w:rsidRPr="00781112">
        <w:rPr>
          <w:color w:val="000000" w:themeColor="text1"/>
        </w:rPr>
        <w:br/>
        <w:t xml:space="preserve">The group of stakeholders who attended the two days included four parents, two of them being parents who are representatives of parent groups, a person with a disability, special education teachers, regular education teachers, principals and vice principals, leaders of disability groups, and PSS staff. In total, on Day 1 there were 15 stakeholders, and on day 2, 20 stakeholders. Stakeholders reviewed SPP/APR data and provided support for RMI to </w:t>
      </w:r>
      <w:proofErr w:type="gramStart"/>
      <w:r w:rsidRPr="00781112">
        <w:rPr>
          <w:color w:val="000000" w:themeColor="text1"/>
        </w:rPr>
        <w:t>continue on</w:t>
      </w:r>
      <w:proofErr w:type="gramEnd"/>
      <w:r w:rsidRPr="00781112">
        <w:rPr>
          <w:color w:val="000000" w:themeColor="text1"/>
        </w:rPr>
        <w:t xml:space="preserve"> its SSIP implementation.</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The RMI PSS special education team convened stakeholders in a hybrid type series of meetings in January 2022 and in July 2022. Two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b w:val="0"/>
          <w:color w:val="000000" w:themeColor="text1"/>
          <w:szCs w:val="16"/>
        </w:rPr>
        <w:br/>
      </w:r>
      <w:r w:rsidRPr="00781112">
        <w:rPr>
          <w:rFonts w:cs="Arial"/>
          <w:b w:val="0"/>
          <w:color w:val="000000" w:themeColor="text1"/>
          <w:szCs w:val="16"/>
        </w:rPr>
        <w:br/>
        <w:t xml:space="preserve">The group of 20 stakeholders included three parents, two of them being parents who are representatives of parent groups, a person with a disability, special education teachers, regular education teachers, principals and vice principals, leaders of disability groups, and PSS staff. The stakeholders provided specific feedback on SSIP evaluation data and provided guidance on future SSIP activities.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Stakeholders in the Republic of the Marshall Islands serve a fundamental role in the development, implementation, and ongoing evaluation of the RMI Public School System (PSS) SSIP. Stakeholders provide feedback on measures, work on data collection activities, disseminate findings to the </w:t>
      </w:r>
      <w:proofErr w:type="gramStart"/>
      <w:r w:rsidRPr="00781112">
        <w:rPr>
          <w:color w:val="000000" w:themeColor="text1"/>
        </w:rPr>
        <w:t>general public</w:t>
      </w:r>
      <w:proofErr w:type="gramEnd"/>
      <w:r w:rsidRPr="00781112">
        <w:rPr>
          <w:color w:val="000000" w:themeColor="text1"/>
        </w:rPr>
        <w:t>, and are part of the implementation team. Stakeholders are informed on the SSIP progress via online publication of the SSIP and via meetings. Stakeholders network with the SSIP core team, meeting twice a year with the implementation teams. Stakeholders collaborate with the SSIP team, participating on the SSIP Plan-Do-Study-Act (PDSA), helping evaluate, planning the implementation of SSIP activities. The stakeholders play a transforming role, they co-developed the school improvement plans, they work with the core team on the implementation of these plans. Below are examples of stakeholder engagement.</w:t>
      </w:r>
      <w:r w:rsidRPr="00781112">
        <w:rPr>
          <w:color w:val="000000" w:themeColor="text1"/>
        </w:rPr>
        <w:br/>
      </w:r>
      <w:r w:rsidRPr="00781112">
        <w:rPr>
          <w:color w:val="000000" w:themeColor="text1"/>
        </w:rPr>
        <w:br/>
        <w:t xml:space="preserve">Stakeholders (middle and high school teachers, principals, representatives from the College of Marshall Islands, parent groups, Special Education Advisory Council) remain on the SSIP team for implementation, partnering with high schools and community agencies to evaluate efforts of the SSIP. These stakeholders provided input into the design and development of the evaluation and have ensured the RMI PSS continues to (a) ask the right evaluation questions, (b) collect sufficient data to answer the evaluation questions, (c) analyze the data appropriately, and (d) use the data for secondary transition program improvement. </w:t>
      </w:r>
      <w:r w:rsidRPr="00781112">
        <w:rPr>
          <w:color w:val="000000" w:themeColor="text1"/>
        </w:rPr>
        <w:br/>
      </w:r>
      <w:r w:rsidRPr="00781112">
        <w:rPr>
          <w:color w:val="000000" w:themeColor="text1"/>
        </w:rPr>
        <w:br/>
        <w:t xml:space="preserve">In July 2022 we convened stakeholders to (a) update stakeholders on SSIP implementation and outcomes identified in the previous reporting period, and (b) reaffirm SSIP plan (including activities, evaluation, and responsibilities). Stakeholders began the meeting celebrating outcomes achieved during the last year of implementation of the SSIP. </w:t>
      </w:r>
      <w:r w:rsidRPr="00781112">
        <w:rPr>
          <w:color w:val="000000" w:themeColor="text1"/>
        </w:rPr>
        <w:br/>
        <w:t xml:space="preserve"> </w:t>
      </w:r>
      <w:r w:rsidRPr="00781112">
        <w:rPr>
          <w:color w:val="000000" w:themeColor="text1"/>
        </w:rPr>
        <w:br/>
        <w:t xml:space="preserve">As we moved into our seventh PDSA cycle, stakeholders supported PSS in building capacity to deliver quality PD and coaching needed to support teachers in sustained implementation of evidence-based practices in schools. We continued to engage all stakeholders in the implementation and evaluation of the face-to-face meetings or online via Zoom. Stakeholders continued to reiterate the need for ongoing communication and training regarding transition topics to support their work in schools and insisted it be included as an ongoing activity in the SSIP. </w:t>
      </w:r>
      <w:r w:rsidRPr="00781112">
        <w:rPr>
          <w:color w:val="000000" w:themeColor="text1"/>
        </w:rPr>
        <w:br/>
      </w:r>
      <w:r w:rsidRPr="00781112">
        <w:rPr>
          <w:color w:val="000000" w:themeColor="text1"/>
        </w:rPr>
        <w:br/>
        <w:t xml:space="preserve">In July 2022 and in January 2023, the Core team met with the Special Education Advisory Group to confirm roles and responsibilities in relation to collecting evaluation data. Several stakeholders are responsible for collecting data for this SSIP evaluation. Our principals included in the extended core team are responsible for ensuring the implementation of the school improvement plans, the accurate collection of attendance data and fidelity data as teachers begin implementing some evidence-based practices in which they have been trained. MIDPO, WUTMI, and the LDAH (parents and PTI groups), collected data on parent participation in parent workshops as well as parent knowledge and parent satisfaction data. They summarized these data and provided to the team to inform </w:t>
      </w:r>
      <w:proofErr w:type="gramStart"/>
      <w:r w:rsidRPr="00781112">
        <w:rPr>
          <w:color w:val="000000" w:themeColor="text1"/>
        </w:rPr>
        <w:t>future plans</w:t>
      </w:r>
      <w:proofErr w:type="gramEnd"/>
      <w:r w:rsidRPr="00781112">
        <w:rPr>
          <w:color w:val="000000" w:themeColor="text1"/>
        </w:rPr>
        <w:t xml:space="preserve">. </w:t>
      </w:r>
      <w:r w:rsidRPr="00781112">
        <w:rPr>
          <w:color w:val="000000" w:themeColor="text1"/>
        </w:rPr>
        <w:br/>
        <w:t xml:space="preserve"> </w:t>
      </w:r>
      <w:r w:rsidRPr="00781112">
        <w:rPr>
          <w:color w:val="000000" w:themeColor="text1"/>
        </w:rPr>
        <w:br/>
      </w:r>
      <w:r w:rsidRPr="00781112">
        <w:rPr>
          <w:color w:val="000000" w:themeColor="text1"/>
        </w:rPr>
        <w:lastRenderedPageBreak/>
        <w:t xml:space="preserve">The Special Education Advisory group reviewed and analyzed all evaluation data to date and determined no additional changes were need to the evaluation and SSIP implementation at this time. They also used the data to set more rigorous targets for the upcoming APR cycle.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All activities were included on previous sections.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Not applicable.</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Not applicable.</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2"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Frank Horiuchi</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Special Education 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fhoriuchi@pss.edu.mh</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692-625-4043</w:t>
      </w:r>
    </w:p>
    <w:bookmarkEnd w:id="92"/>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04/25/23  5:40:21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7E8AA7DB" w14:textId="327460EC" w:rsidR="00596296" w:rsidRPr="00596296" w:rsidRDefault="00596296" w:rsidP="00596296">
      <w:pPr>
        <w:rPr>
          <w:b/>
          <w:bCs/>
          <w:sz w:val="20"/>
          <w:szCs w:val="28"/>
        </w:rPr>
      </w:pPr>
      <w:r w:rsidRPr="00596296">
        <w:rPr>
          <w:b/>
          <w:bCs/>
          <w:sz w:val="20"/>
          <w:szCs w:val="28"/>
        </w:rPr>
        <w:t>Marshall Islands</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1"/>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92.50%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8</w:t>
            </w:r>
          </w:p>
        </w:tc>
        <w:tc>
          <w:tcPr>
            <w:tcW w:w="1260" w:type="pct"/>
          </w:tcPr>
          <w:p w14:paraId="39A51C38" w14:textId="16E843D2" w:rsidR="00E1330D" w:rsidRPr="00210AC6" w:rsidRDefault="00E1330D" w:rsidP="00E1330D">
            <w:pPr>
              <w:rPr>
                <w:rFonts w:cs="Arial"/>
                <w:szCs w:val="16"/>
              </w:rPr>
            </w:pPr>
            <w:r w:rsidRPr="00210AC6">
              <w:rPr>
                <w:rFonts w:cs="Arial"/>
                <w:szCs w:val="16"/>
              </w:rPr>
              <w:t>8</w:t>
            </w:r>
          </w:p>
        </w:tc>
        <w:tc>
          <w:tcPr>
            <w:tcW w:w="1218" w:type="pct"/>
          </w:tcPr>
          <w:p w14:paraId="0E3866D0" w14:textId="74D5D84B" w:rsidR="00E1330D" w:rsidRPr="00210AC6" w:rsidRDefault="00E1330D" w:rsidP="00E1330D">
            <w:pPr>
              <w:rPr>
                <w:rFonts w:cs="Arial"/>
                <w:szCs w:val="16"/>
              </w:rPr>
            </w:pPr>
            <w:r w:rsidRPr="00210AC6">
              <w:rPr>
                <w:rFonts w:cs="Arial"/>
                <w:szCs w:val="16"/>
              </w:rPr>
              <w:t>100.00%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8</w:t>
            </w:r>
          </w:p>
        </w:tc>
        <w:tc>
          <w:tcPr>
            <w:tcW w:w="1260" w:type="pct"/>
          </w:tcPr>
          <w:p w14:paraId="0A360C78" w14:textId="7DE98E29" w:rsidR="00E1330D" w:rsidRPr="00210AC6" w:rsidRDefault="00E1330D" w:rsidP="00E1330D">
            <w:pPr>
              <w:rPr>
                <w:rFonts w:cs="Arial"/>
                <w:szCs w:val="16"/>
              </w:rPr>
            </w:pPr>
            <w:r w:rsidRPr="00210AC6">
              <w:rPr>
                <w:rFonts w:cs="Arial"/>
                <w:szCs w:val="16"/>
              </w:rPr>
              <w:t>7</w:t>
            </w:r>
          </w:p>
        </w:tc>
        <w:tc>
          <w:tcPr>
            <w:tcW w:w="1218" w:type="pct"/>
          </w:tcPr>
          <w:p w14:paraId="568903BA" w14:textId="193CF7F1" w:rsidR="00E1330D" w:rsidRPr="00210AC6" w:rsidRDefault="00E1330D" w:rsidP="00E1330D">
            <w:pPr>
              <w:rPr>
                <w:rFonts w:cs="Arial"/>
                <w:szCs w:val="16"/>
              </w:rPr>
            </w:pPr>
            <w:r w:rsidRPr="00210AC6">
              <w:rPr>
                <w:rFonts w:cs="Arial"/>
                <w:szCs w:val="16"/>
              </w:rPr>
              <w:t>87.50%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RSTCFFY"/>
      </w:tblPr>
      <w:tblGrid>
        <w:gridCol w:w="7207"/>
        <w:gridCol w:w="1801"/>
        <w:gridCol w:w="1801"/>
      </w:tblGrid>
      <w:tr w:rsidR="00416FE7" w:rsidRPr="00210AC6" w14:paraId="129ABDB3" w14:textId="77777777" w:rsidTr="001B435C">
        <w:trPr>
          <w:tblHeader/>
        </w:trPr>
        <w:tc>
          <w:tcPr>
            <w:tcW w:w="3334" w:type="pct"/>
          </w:tcPr>
          <w:p w14:paraId="0DF8673F" w14:textId="77777777" w:rsidR="00416FE7" w:rsidRPr="00210AC6" w:rsidRDefault="00416FE7" w:rsidP="001B435C">
            <w:pPr>
              <w:rPr>
                <w:rFonts w:cs="Arial"/>
                <w:b/>
                <w:bCs/>
                <w:szCs w:val="16"/>
              </w:rPr>
            </w:pPr>
            <w:r w:rsidRPr="00210AC6">
              <w:rPr>
                <w:rFonts w:cs="Arial"/>
                <w:b/>
                <w:bCs/>
                <w:szCs w:val="16"/>
              </w:rPr>
              <w:t>Reading Assessment Elements</w:t>
            </w:r>
          </w:p>
        </w:tc>
        <w:tc>
          <w:tcPr>
            <w:tcW w:w="833" w:type="pct"/>
          </w:tcPr>
          <w:p w14:paraId="0D9D9E94" w14:textId="77777777" w:rsidR="00416FE7" w:rsidRPr="00210AC6" w:rsidRDefault="00416FE7" w:rsidP="001B435C">
            <w:pPr>
              <w:rPr>
                <w:rFonts w:cs="Arial"/>
                <w:b/>
                <w:bCs/>
                <w:szCs w:val="16"/>
              </w:rPr>
            </w:pPr>
            <w:r w:rsidRPr="00210AC6">
              <w:rPr>
                <w:rFonts w:cs="Arial"/>
                <w:b/>
                <w:bCs/>
                <w:szCs w:val="16"/>
              </w:rPr>
              <w:t>Performance (%)</w:t>
            </w:r>
          </w:p>
        </w:tc>
        <w:tc>
          <w:tcPr>
            <w:tcW w:w="833" w:type="pct"/>
          </w:tcPr>
          <w:p w14:paraId="72D93A33" w14:textId="77777777" w:rsidR="00416FE7" w:rsidRPr="00210AC6" w:rsidRDefault="00416FE7" w:rsidP="001B435C">
            <w:pPr>
              <w:rPr>
                <w:rFonts w:cs="Arial"/>
                <w:b/>
                <w:bCs/>
                <w:szCs w:val="16"/>
              </w:rPr>
            </w:pPr>
            <w:r w:rsidRPr="00210AC6">
              <w:rPr>
                <w:rFonts w:cs="Arial"/>
                <w:b/>
                <w:bCs/>
                <w:szCs w:val="16"/>
              </w:rPr>
              <w:t>Score</w:t>
            </w:r>
          </w:p>
        </w:tc>
      </w:tr>
      <w:tr w:rsidR="00416FE7" w:rsidRPr="00210AC6" w14:paraId="3576F7AF" w14:textId="77777777" w:rsidTr="001B435C">
        <w:tc>
          <w:tcPr>
            <w:tcW w:w="3334" w:type="pct"/>
          </w:tcPr>
          <w:p w14:paraId="556C4994" w14:textId="3CB87F35" w:rsidR="00416FE7" w:rsidRPr="00210AC6" w:rsidRDefault="00416FE7" w:rsidP="00416FE7">
            <w:pPr>
              <w:rPr>
                <w:rFonts w:cs="Arial"/>
                <w:b/>
                <w:bCs/>
                <w:szCs w:val="16"/>
              </w:rPr>
            </w:pPr>
            <w:r w:rsidRPr="00210AC6">
              <w:rPr>
                <w:rFonts w:cs="Arial"/>
                <w:b/>
                <w:bCs/>
                <w:szCs w:val="16"/>
              </w:rPr>
              <w:t>Average Percentage of 3rd through 8th Grade Children with Disabilities Participating in Regular Statewide Assessments</w:t>
            </w:r>
          </w:p>
        </w:tc>
        <w:tc>
          <w:tcPr>
            <w:tcW w:w="833" w:type="pct"/>
          </w:tcPr>
          <w:p w14:paraId="364F8C88" w14:textId="1031B68F" w:rsidR="00416FE7" w:rsidRPr="00210AC6" w:rsidRDefault="00416FE7" w:rsidP="00416FE7">
            <w:pPr>
              <w:rPr>
                <w:rFonts w:cs="Arial"/>
                <w:szCs w:val="16"/>
              </w:rPr>
            </w:pPr>
            <w:r w:rsidRPr="00210AC6">
              <w:rPr>
                <w:rFonts w:cs="Arial"/>
                <w:szCs w:val="16"/>
              </w:rPr>
              <w:t>98%</w:t>
            </w:r>
          </w:p>
        </w:tc>
        <w:tc>
          <w:tcPr>
            <w:tcW w:w="833" w:type="pct"/>
          </w:tcPr>
          <w:p w14:paraId="24CF081D" w14:textId="4C5055FB" w:rsidR="00416FE7" w:rsidRPr="00210AC6" w:rsidRDefault="00416FE7" w:rsidP="00416FE7">
            <w:pPr>
              <w:rPr>
                <w:rFonts w:cs="Arial"/>
                <w:szCs w:val="16"/>
              </w:rPr>
            </w:pPr>
            <w:r w:rsidRPr="00210AC6">
              <w:rPr>
                <w:rFonts w:cs="Arial"/>
                <w:szCs w:val="16"/>
              </w:rPr>
              <w:t>2</w:t>
            </w:r>
          </w:p>
        </w:tc>
      </w:tr>
      <w:tr w:rsidR="0090140E" w:rsidRPr="00210AC6" w14:paraId="3147F33B" w14:textId="77777777" w:rsidTr="001B435C">
        <w:tc>
          <w:tcPr>
            <w:tcW w:w="3334" w:type="pct"/>
          </w:tcPr>
          <w:p w14:paraId="3008C26D" w14:textId="2D6A08DB"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5B179EDF" w14:textId="5100C431" w:rsidR="0090140E" w:rsidRPr="00210AC6" w:rsidRDefault="0090140E" w:rsidP="0090140E">
            <w:pPr>
              <w:rPr>
                <w:rFonts w:cs="Arial"/>
                <w:szCs w:val="16"/>
              </w:rPr>
            </w:pPr>
            <w:r w:rsidRPr="00210AC6">
              <w:rPr>
                <w:rFonts w:cs="Arial"/>
                <w:szCs w:val="16"/>
              </w:rPr>
              <w:t>N/A</w:t>
            </w:r>
          </w:p>
        </w:tc>
        <w:tc>
          <w:tcPr>
            <w:tcW w:w="833" w:type="pct"/>
          </w:tcPr>
          <w:p w14:paraId="3436B198" w14:textId="56799CF9" w:rsidR="0090140E" w:rsidRPr="00210AC6" w:rsidRDefault="0090140E" w:rsidP="0090140E">
            <w:pPr>
              <w:rPr>
                <w:rFonts w:cs="Arial"/>
                <w:szCs w:val="16"/>
              </w:rPr>
            </w:pPr>
            <w:r w:rsidRPr="00210AC6">
              <w:rPr>
                <w:rFonts w:cs="Arial"/>
                <w:szCs w:val="16"/>
              </w:rPr>
              <w:t>N/A</w:t>
            </w:r>
          </w:p>
        </w:tc>
      </w:tr>
      <w:tr w:rsidR="0090140E" w:rsidRPr="00210AC6" w14:paraId="478FBE68" w14:textId="77777777" w:rsidTr="001B435C">
        <w:tc>
          <w:tcPr>
            <w:tcW w:w="3334" w:type="pct"/>
          </w:tcPr>
          <w:p w14:paraId="304ADE33" w14:textId="2701A6F9"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433B141B" w14:textId="03820D43" w:rsidR="0090140E" w:rsidRPr="00210AC6" w:rsidRDefault="0090140E" w:rsidP="0090140E">
            <w:pPr>
              <w:rPr>
                <w:rFonts w:cs="Arial"/>
                <w:szCs w:val="16"/>
              </w:rPr>
            </w:pPr>
            <w:r w:rsidRPr="00210AC6">
              <w:rPr>
                <w:rFonts w:cs="Arial"/>
                <w:szCs w:val="16"/>
              </w:rPr>
              <w:t>N/A</w:t>
            </w:r>
          </w:p>
        </w:tc>
        <w:tc>
          <w:tcPr>
            <w:tcW w:w="833" w:type="pct"/>
          </w:tcPr>
          <w:p w14:paraId="4C7F37E2" w14:textId="4C87E6B3" w:rsidR="0090140E" w:rsidRPr="00210AC6" w:rsidRDefault="0090140E" w:rsidP="0090140E">
            <w:pPr>
              <w:rPr>
                <w:rFonts w:cs="Arial"/>
                <w:szCs w:val="16"/>
              </w:rPr>
            </w:pPr>
            <w:r w:rsidRPr="00210AC6">
              <w:rPr>
                <w:rFonts w:cs="Arial"/>
                <w:szCs w:val="16"/>
              </w:rPr>
              <w:t>N/A</w:t>
            </w:r>
          </w:p>
        </w:tc>
      </w:tr>
      <w:tr w:rsidR="0090140E" w:rsidRPr="00210AC6" w14:paraId="426AD3A6" w14:textId="77777777" w:rsidTr="001B435C">
        <w:tc>
          <w:tcPr>
            <w:tcW w:w="3334" w:type="pct"/>
          </w:tcPr>
          <w:p w14:paraId="7088656F" w14:textId="1FF99233"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3BA8425E" w14:textId="5F95FFDB" w:rsidR="0090140E" w:rsidRPr="00210AC6" w:rsidRDefault="0090140E" w:rsidP="0090140E">
            <w:pPr>
              <w:rPr>
                <w:rFonts w:cs="Arial"/>
                <w:szCs w:val="16"/>
              </w:rPr>
            </w:pPr>
            <w:r w:rsidRPr="00210AC6">
              <w:rPr>
                <w:rFonts w:cs="Arial"/>
                <w:szCs w:val="16"/>
              </w:rPr>
              <w:t>N/A</w:t>
            </w:r>
          </w:p>
        </w:tc>
        <w:tc>
          <w:tcPr>
            <w:tcW w:w="833" w:type="pct"/>
          </w:tcPr>
          <w:p w14:paraId="4106F17B" w14:textId="5036CD08" w:rsidR="0090140E" w:rsidRPr="00210AC6" w:rsidRDefault="0090140E" w:rsidP="0090140E">
            <w:pPr>
              <w:rPr>
                <w:rFonts w:cs="Arial"/>
                <w:szCs w:val="16"/>
              </w:rPr>
            </w:pPr>
            <w:r w:rsidRPr="00210AC6">
              <w:rPr>
                <w:rFonts w:cs="Arial"/>
                <w:szCs w:val="16"/>
              </w:rPr>
              <w:t>N/A</w:t>
            </w:r>
          </w:p>
        </w:tc>
      </w:tr>
      <w:tr w:rsidR="0090140E" w:rsidRPr="00210AC6" w14:paraId="338082DF" w14:textId="77777777" w:rsidTr="001B435C">
        <w:tc>
          <w:tcPr>
            <w:tcW w:w="3334" w:type="pct"/>
          </w:tcPr>
          <w:p w14:paraId="17466A96" w14:textId="40A60D61"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0373C9D2" w14:textId="6A5FEB8E" w:rsidR="0090140E" w:rsidRPr="00210AC6" w:rsidRDefault="0090140E" w:rsidP="0090140E">
            <w:pPr>
              <w:rPr>
                <w:rFonts w:cs="Arial"/>
                <w:szCs w:val="16"/>
              </w:rPr>
            </w:pPr>
            <w:r w:rsidRPr="00210AC6">
              <w:rPr>
                <w:rFonts w:cs="Arial"/>
                <w:szCs w:val="16"/>
              </w:rPr>
              <w:t>N/A</w:t>
            </w:r>
          </w:p>
        </w:tc>
        <w:tc>
          <w:tcPr>
            <w:tcW w:w="833" w:type="pct"/>
          </w:tcPr>
          <w:p w14:paraId="0C124227" w14:textId="33EC939D" w:rsidR="0090140E" w:rsidRPr="00210AC6" w:rsidRDefault="0090140E" w:rsidP="0090140E">
            <w:pPr>
              <w:rPr>
                <w:rFonts w:cs="Arial"/>
                <w:szCs w:val="16"/>
              </w:rPr>
            </w:pPr>
            <w:r w:rsidRPr="00210AC6">
              <w:rPr>
                <w:rFonts w:cs="Arial"/>
                <w:szCs w:val="16"/>
              </w:rPr>
              <w:t>N/A</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ENSTERSTCFFY"/>
      </w:tblPr>
      <w:tblGrid>
        <w:gridCol w:w="7205"/>
        <w:gridCol w:w="1803"/>
        <w:gridCol w:w="1801"/>
      </w:tblGrid>
      <w:tr w:rsidR="00FB3CF2" w:rsidRPr="00210AC6" w14:paraId="35694EA8" w14:textId="77777777" w:rsidTr="001B435C">
        <w:trPr>
          <w:tblHeader/>
        </w:trPr>
        <w:tc>
          <w:tcPr>
            <w:tcW w:w="3333" w:type="pct"/>
          </w:tcPr>
          <w:p w14:paraId="50A1F6F7" w14:textId="77777777" w:rsidR="00FB3CF2" w:rsidRPr="00210AC6" w:rsidRDefault="00FB3CF2" w:rsidP="001B435C">
            <w:pPr>
              <w:rPr>
                <w:rFonts w:cs="Arial"/>
                <w:b/>
                <w:bCs/>
                <w:szCs w:val="16"/>
              </w:rPr>
            </w:pPr>
            <w:r w:rsidRPr="00210AC6">
              <w:rPr>
                <w:rFonts w:cs="Arial"/>
                <w:b/>
                <w:bCs/>
                <w:szCs w:val="16"/>
              </w:rPr>
              <w:t>Math Assessment Elements</w:t>
            </w:r>
          </w:p>
        </w:tc>
        <w:tc>
          <w:tcPr>
            <w:tcW w:w="834" w:type="pct"/>
          </w:tcPr>
          <w:p w14:paraId="708C308D" w14:textId="77777777" w:rsidR="00FB3CF2" w:rsidRPr="00210AC6" w:rsidRDefault="00FB3CF2" w:rsidP="001B435C">
            <w:pPr>
              <w:rPr>
                <w:rFonts w:cs="Arial"/>
                <w:b/>
                <w:bCs/>
                <w:szCs w:val="16"/>
              </w:rPr>
            </w:pPr>
            <w:r w:rsidRPr="00210AC6">
              <w:rPr>
                <w:rFonts w:cs="Arial"/>
                <w:b/>
                <w:bCs/>
                <w:szCs w:val="16"/>
              </w:rPr>
              <w:t>Performance (%)</w:t>
            </w:r>
          </w:p>
        </w:tc>
        <w:tc>
          <w:tcPr>
            <w:tcW w:w="833" w:type="pct"/>
          </w:tcPr>
          <w:p w14:paraId="4D2F94B9" w14:textId="77777777" w:rsidR="00FB3CF2" w:rsidRPr="00210AC6" w:rsidRDefault="00FB3CF2" w:rsidP="001B435C">
            <w:pPr>
              <w:rPr>
                <w:rFonts w:cs="Arial"/>
                <w:b/>
                <w:bCs/>
                <w:szCs w:val="16"/>
              </w:rPr>
            </w:pPr>
            <w:r w:rsidRPr="00210AC6">
              <w:rPr>
                <w:rFonts w:cs="Arial"/>
                <w:b/>
                <w:bCs/>
                <w:szCs w:val="16"/>
              </w:rPr>
              <w:t>Score</w:t>
            </w:r>
          </w:p>
        </w:tc>
      </w:tr>
      <w:tr w:rsidR="00FB3CF2" w:rsidRPr="00210AC6" w14:paraId="3E7BFA2B" w14:textId="77777777" w:rsidTr="001B435C">
        <w:tc>
          <w:tcPr>
            <w:tcW w:w="3333" w:type="pct"/>
          </w:tcPr>
          <w:p w14:paraId="23FB4785" w14:textId="05AB80ED" w:rsidR="00FB3CF2" w:rsidRPr="00210AC6" w:rsidRDefault="00FB3CF2" w:rsidP="00FB3CF2">
            <w:pPr>
              <w:rPr>
                <w:rFonts w:cs="Arial"/>
                <w:b/>
                <w:bCs/>
                <w:szCs w:val="16"/>
              </w:rPr>
            </w:pPr>
            <w:r w:rsidRPr="00210AC6">
              <w:rPr>
                <w:rFonts w:cs="Arial"/>
                <w:b/>
                <w:bCs/>
                <w:szCs w:val="16"/>
              </w:rPr>
              <w:t>Average Percentage of 3rd through 8th Grade Children with Disabilities Participating in Regular Statewide Assessments</w:t>
            </w:r>
          </w:p>
        </w:tc>
        <w:tc>
          <w:tcPr>
            <w:tcW w:w="834" w:type="pct"/>
          </w:tcPr>
          <w:p w14:paraId="79F36D8A" w14:textId="7CB47D3A" w:rsidR="00FB3CF2" w:rsidRPr="00210AC6" w:rsidRDefault="00FB3CF2" w:rsidP="00FB3CF2">
            <w:pPr>
              <w:rPr>
                <w:rFonts w:cs="Arial"/>
                <w:szCs w:val="16"/>
              </w:rPr>
            </w:pPr>
            <w:r w:rsidRPr="00210AC6">
              <w:rPr>
                <w:rFonts w:cs="Arial"/>
                <w:szCs w:val="16"/>
              </w:rPr>
              <w:t>98%</w:t>
            </w:r>
          </w:p>
        </w:tc>
        <w:tc>
          <w:tcPr>
            <w:tcW w:w="833" w:type="pct"/>
          </w:tcPr>
          <w:p w14:paraId="0ABE3821" w14:textId="13CF98A7" w:rsidR="00FB3CF2" w:rsidRPr="00210AC6" w:rsidRDefault="00FB3CF2" w:rsidP="00FB3CF2">
            <w:pPr>
              <w:rPr>
                <w:rFonts w:cs="Arial"/>
                <w:szCs w:val="16"/>
              </w:rPr>
            </w:pPr>
            <w:r w:rsidRPr="00210AC6">
              <w:rPr>
                <w:rFonts w:cs="Arial"/>
                <w:szCs w:val="16"/>
              </w:rPr>
              <w:t>2</w:t>
            </w:r>
          </w:p>
        </w:tc>
      </w:tr>
      <w:tr w:rsidR="0090140E" w:rsidRPr="00210AC6" w14:paraId="7544199D" w14:textId="77777777" w:rsidTr="001B435C">
        <w:tc>
          <w:tcPr>
            <w:tcW w:w="3333" w:type="pct"/>
          </w:tcPr>
          <w:p w14:paraId="35391598" w14:textId="35CA2AA2"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69FE371E" w14:textId="6385F06E" w:rsidR="0090140E" w:rsidRPr="00210AC6" w:rsidRDefault="0090140E" w:rsidP="0090140E">
            <w:pPr>
              <w:rPr>
                <w:rFonts w:cs="Arial"/>
                <w:szCs w:val="16"/>
              </w:rPr>
            </w:pPr>
            <w:r w:rsidRPr="00210AC6">
              <w:rPr>
                <w:rFonts w:cs="Arial"/>
                <w:szCs w:val="16"/>
              </w:rPr>
              <w:t>N/A</w:t>
            </w:r>
          </w:p>
        </w:tc>
        <w:tc>
          <w:tcPr>
            <w:tcW w:w="833" w:type="pct"/>
          </w:tcPr>
          <w:p w14:paraId="58955E00" w14:textId="69CA2D1A" w:rsidR="0090140E" w:rsidRPr="00210AC6" w:rsidRDefault="0090140E" w:rsidP="0090140E">
            <w:pPr>
              <w:rPr>
                <w:rFonts w:cs="Arial"/>
                <w:szCs w:val="16"/>
              </w:rPr>
            </w:pPr>
            <w:r w:rsidRPr="00210AC6">
              <w:rPr>
                <w:rFonts w:cs="Arial"/>
                <w:szCs w:val="16"/>
              </w:rPr>
              <w:t>N/A</w:t>
            </w:r>
          </w:p>
        </w:tc>
      </w:tr>
      <w:tr w:rsidR="0090140E" w:rsidRPr="00210AC6" w14:paraId="0BD5E8F2" w14:textId="77777777" w:rsidTr="001B435C">
        <w:tc>
          <w:tcPr>
            <w:tcW w:w="3333" w:type="pct"/>
          </w:tcPr>
          <w:p w14:paraId="5097804A" w14:textId="4DF88846"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F217238" w14:textId="56C788CA" w:rsidR="0090140E" w:rsidRPr="00210AC6" w:rsidRDefault="0090140E" w:rsidP="0090140E">
            <w:pPr>
              <w:rPr>
                <w:rFonts w:cs="Arial"/>
                <w:szCs w:val="16"/>
              </w:rPr>
            </w:pPr>
            <w:r w:rsidRPr="00210AC6">
              <w:rPr>
                <w:rFonts w:cs="Arial"/>
                <w:szCs w:val="16"/>
              </w:rPr>
              <w:t>N/A</w:t>
            </w:r>
          </w:p>
        </w:tc>
        <w:tc>
          <w:tcPr>
            <w:tcW w:w="833" w:type="pct"/>
          </w:tcPr>
          <w:p w14:paraId="2127B84B" w14:textId="4A266A7B" w:rsidR="0090140E" w:rsidRPr="00210AC6" w:rsidRDefault="0090140E" w:rsidP="0090140E">
            <w:pPr>
              <w:rPr>
                <w:rFonts w:cs="Arial"/>
                <w:szCs w:val="16"/>
              </w:rPr>
            </w:pPr>
            <w:r w:rsidRPr="00210AC6">
              <w:rPr>
                <w:rFonts w:cs="Arial"/>
                <w:szCs w:val="16"/>
              </w:rPr>
              <w:t>N/A</w:t>
            </w:r>
          </w:p>
        </w:tc>
      </w:tr>
      <w:tr w:rsidR="0090140E" w:rsidRPr="00210AC6" w14:paraId="3B695D67" w14:textId="77777777" w:rsidTr="001B435C">
        <w:tc>
          <w:tcPr>
            <w:tcW w:w="3333" w:type="pct"/>
          </w:tcPr>
          <w:p w14:paraId="28563B45" w14:textId="15A1F044"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F2C981E" w14:textId="7AA9357D" w:rsidR="0090140E" w:rsidRPr="00210AC6" w:rsidRDefault="0090140E" w:rsidP="0090140E">
            <w:pPr>
              <w:rPr>
                <w:rFonts w:cs="Arial"/>
                <w:szCs w:val="16"/>
              </w:rPr>
            </w:pPr>
            <w:r w:rsidRPr="00210AC6">
              <w:rPr>
                <w:rFonts w:cs="Arial"/>
                <w:szCs w:val="16"/>
              </w:rPr>
              <w:t>N/A</w:t>
            </w:r>
          </w:p>
        </w:tc>
        <w:tc>
          <w:tcPr>
            <w:tcW w:w="833" w:type="pct"/>
          </w:tcPr>
          <w:p w14:paraId="3CD46667" w14:textId="5759BB05" w:rsidR="0090140E" w:rsidRPr="00210AC6" w:rsidRDefault="0090140E" w:rsidP="0090140E">
            <w:pPr>
              <w:rPr>
                <w:rFonts w:cs="Arial"/>
                <w:szCs w:val="16"/>
              </w:rPr>
            </w:pPr>
            <w:r w:rsidRPr="00210AC6">
              <w:rPr>
                <w:rFonts w:cs="Arial"/>
                <w:szCs w:val="16"/>
              </w:rPr>
              <w:t>N/A</w:t>
            </w:r>
          </w:p>
        </w:tc>
      </w:tr>
      <w:tr w:rsidR="0090140E" w:rsidRPr="00210AC6" w14:paraId="5C3515FD" w14:textId="77777777" w:rsidTr="001B435C">
        <w:tc>
          <w:tcPr>
            <w:tcW w:w="3333" w:type="pct"/>
          </w:tcPr>
          <w:p w14:paraId="5431060B" w14:textId="76DEE8D9"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7C1B4BA" w14:textId="4D60A5ED" w:rsidR="0090140E" w:rsidRPr="00210AC6" w:rsidRDefault="0090140E" w:rsidP="0090140E">
            <w:pPr>
              <w:rPr>
                <w:rFonts w:cs="Arial"/>
                <w:szCs w:val="16"/>
              </w:rPr>
            </w:pPr>
            <w:r w:rsidRPr="00210AC6">
              <w:rPr>
                <w:rFonts w:cs="Arial"/>
                <w:szCs w:val="16"/>
              </w:rPr>
              <w:t>N/A</w:t>
            </w:r>
          </w:p>
        </w:tc>
        <w:tc>
          <w:tcPr>
            <w:tcW w:w="833" w:type="pct"/>
          </w:tcPr>
          <w:p w14:paraId="5D3F3084" w14:textId="613D0819" w:rsidR="0090140E" w:rsidRPr="00210AC6" w:rsidRDefault="0090140E" w:rsidP="0090140E">
            <w:pPr>
              <w:rPr>
                <w:rFonts w:cs="Arial"/>
                <w:szCs w:val="16"/>
              </w:rPr>
            </w:pPr>
            <w:r w:rsidRPr="00210AC6">
              <w:rPr>
                <w:rFonts w:cs="Arial"/>
                <w:szCs w:val="16"/>
              </w:rPr>
              <w:t>N/A</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STERSTCFFYEXIT"/>
      </w:tblPr>
      <w:tblGrid>
        <w:gridCol w:w="4899"/>
        <w:gridCol w:w="2954"/>
        <w:gridCol w:w="2937"/>
      </w:tblGrid>
      <w:tr w:rsidR="0075626F" w14:paraId="4A2A926A" w14:textId="77777777">
        <w:trPr>
          <w:divId w:val="380713603"/>
          <w:tblHeader/>
        </w:trPr>
        <w:tc>
          <w:tcPr>
            <w:tcW w:w="2270" w:type="pct"/>
            <w:tcBorders>
              <w:top w:val="single" w:sz="4" w:space="0" w:color="auto"/>
              <w:left w:val="single" w:sz="4" w:space="0" w:color="auto"/>
              <w:bottom w:val="single" w:sz="4" w:space="0" w:color="auto"/>
              <w:right w:val="single" w:sz="4" w:space="0" w:color="auto"/>
            </w:tcBorders>
            <w:hideMark/>
          </w:tcPr>
          <w:p w14:paraId="27B73411" w14:textId="77777777" w:rsidR="0075626F" w:rsidRDefault="0075626F" w:rsidP="0075626F">
            <w:pPr>
              <w:rPr>
                <w:rFonts w:eastAsiaTheme="majorEastAsia" w:cs="Arial"/>
                <w:b/>
                <w:bCs/>
                <w:szCs w:val="16"/>
              </w:rPr>
            </w:pPr>
            <w:r>
              <w:rPr>
                <w:rFonts w:cs="Arial"/>
                <w:b/>
                <w:bCs/>
                <w:szCs w:val="16"/>
              </w:rPr>
              <w:t>Exiting Data Elements</w:t>
            </w:r>
          </w:p>
        </w:tc>
        <w:tc>
          <w:tcPr>
            <w:tcW w:w="1369" w:type="pct"/>
            <w:tcBorders>
              <w:top w:val="single" w:sz="4" w:space="0" w:color="auto"/>
              <w:left w:val="single" w:sz="4" w:space="0" w:color="auto"/>
              <w:bottom w:val="single" w:sz="4" w:space="0" w:color="auto"/>
              <w:right w:val="single" w:sz="4" w:space="0" w:color="auto"/>
            </w:tcBorders>
            <w:hideMark/>
          </w:tcPr>
          <w:p w14:paraId="3A553EC7" w14:textId="77777777" w:rsidR="0075626F" w:rsidRDefault="0075626F" w:rsidP="0075626F">
            <w:pPr>
              <w:rPr>
                <w:rFonts w:cs="Arial"/>
                <w:b/>
                <w:bCs/>
                <w:szCs w:val="16"/>
              </w:rPr>
            </w:pPr>
            <w:r>
              <w:rPr>
                <w:rFonts w:cs="Arial"/>
                <w:b/>
                <w:bCs/>
                <w:szCs w:val="16"/>
              </w:rPr>
              <w:t>Performance (%)</w:t>
            </w:r>
          </w:p>
        </w:tc>
        <w:tc>
          <w:tcPr>
            <w:tcW w:w="1361" w:type="pct"/>
            <w:tcBorders>
              <w:top w:val="single" w:sz="4" w:space="0" w:color="auto"/>
              <w:left w:val="single" w:sz="4" w:space="0" w:color="auto"/>
              <w:bottom w:val="single" w:sz="4" w:space="0" w:color="auto"/>
              <w:right w:val="single" w:sz="4" w:space="0" w:color="auto"/>
            </w:tcBorders>
            <w:hideMark/>
          </w:tcPr>
          <w:p w14:paraId="73562085" w14:textId="77777777" w:rsidR="0075626F" w:rsidRDefault="0075626F" w:rsidP="0075626F">
            <w:pPr>
              <w:rPr>
                <w:rFonts w:cs="Arial"/>
                <w:b/>
                <w:bCs/>
                <w:szCs w:val="16"/>
              </w:rPr>
            </w:pPr>
            <w:r>
              <w:rPr>
                <w:rFonts w:cs="Arial"/>
                <w:b/>
                <w:bCs/>
                <w:szCs w:val="16"/>
              </w:rPr>
              <w:t>Score</w:t>
            </w:r>
          </w:p>
        </w:tc>
      </w:tr>
      <w:tr w:rsidR="0075626F" w14:paraId="33823BAC"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5E3FCF56" w14:textId="77777777" w:rsidR="0075626F" w:rsidRDefault="0075626F" w:rsidP="0075626F">
            <w:pPr>
              <w:rPr>
                <w:rFonts w:cs="Arial"/>
                <w:b/>
                <w:bCs/>
                <w:szCs w:val="16"/>
              </w:rPr>
            </w:pPr>
            <w:r>
              <w:rPr>
                <w:rFonts w:cs="Arial"/>
                <w:b/>
                <w:bCs/>
                <w:szCs w:val="16"/>
              </w:rPr>
              <w:t>Percentage of Children with Disabilities who Dropped Out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5102067C" w14:textId="77777777" w:rsidR="0075626F" w:rsidRDefault="0075626F" w:rsidP="0075626F">
            <w:pPr>
              <w:rPr>
                <w:rFonts w:cs="Arial"/>
                <w:szCs w:val="16"/>
              </w:rPr>
            </w:pPr>
            <w:r>
              <w:rPr>
                <w:rFonts w:cs="Arial"/>
                <w:szCs w:val="16"/>
              </w:rPr>
              <w:t>0</w:t>
            </w:r>
          </w:p>
        </w:tc>
        <w:tc>
          <w:tcPr>
            <w:tcW w:w="1361" w:type="pct"/>
            <w:tcBorders>
              <w:top w:val="single" w:sz="4" w:space="0" w:color="auto"/>
              <w:left w:val="single" w:sz="4" w:space="0" w:color="auto"/>
              <w:bottom w:val="single" w:sz="4" w:space="0" w:color="auto"/>
              <w:right w:val="single" w:sz="4" w:space="0" w:color="auto"/>
            </w:tcBorders>
            <w:hideMark/>
          </w:tcPr>
          <w:p w14:paraId="55BFA0A2" w14:textId="77777777" w:rsidR="0075626F" w:rsidRDefault="0075626F" w:rsidP="0075626F">
            <w:pPr>
              <w:rPr>
                <w:rFonts w:cs="Arial"/>
                <w:szCs w:val="16"/>
              </w:rPr>
            </w:pPr>
            <w:r>
              <w:rPr>
                <w:rFonts w:cs="Arial"/>
                <w:szCs w:val="16"/>
              </w:rPr>
              <w:t>2</w:t>
            </w:r>
          </w:p>
        </w:tc>
      </w:tr>
      <w:tr w:rsidR="0075626F" w14:paraId="6039F87A"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263800A4" w14:textId="0AB6A99C" w:rsidR="0075626F" w:rsidRDefault="0075626F" w:rsidP="0075626F">
            <w:pPr>
              <w:rPr>
                <w:rFonts w:cs="Arial"/>
                <w:b/>
                <w:bCs/>
                <w:szCs w:val="16"/>
              </w:rPr>
            </w:pPr>
            <w:r>
              <w:rPr>
                <w:rFonts w:cs="Arial"/>
                <w:b/>
                <w:bCs/>
                <w:szCs w:val="16"/>
              </w:rPr>
              <w:t>Percentage of Children with Disabilities who Graduated with a Regular High School Diploma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4D7D4E2C" w14:textId="77777777" w:rsidR="0075626F" w:rsidRDefault="0075626F" w:rsidP="0075626F">
            <w:pPr>
              <w:rPr>
                <w:rFonts w:cs="Arial"/>
                <w:szCs w:val="16"/>
              </w:rPr>
            </w:pPr>
            <w:r>
              <w:rPr>
                <w:rFonts w:cs="Arial"/>
                <w:szCs w:val="16"/>
              </w:rPr>
              <w:t>*</w:t>
            </w:r>
          </w:p>
        </w:tc>
        <w:tc>
          <w:tcPr>
            <w:tcW w:w="1361" w:type="pct"/>
            <w:tcBorders>
              <w:top w:val="single" w:sz="4" w:space="0" w:color="auto"/>
              <w:left w:val="single" w:sz="4" w:space="0" w:color="auto"/>
              <w:bottom w:val="single" w:sz="4" w:space="0" w:color="auto"/>
              <w:right w:val="single" w:sz="4" w:space="0" w:color="auto"/>
            </w:tcBorders>
            <w:hideMark/>
          </w:tcPr>
          <w:p w14:paraId="5B2CC978" w14:textId="77777777" w:rsidR="0075626F" w:rsidRDefault="0075626F" w:rsidP="0075626F">
            <w:pPr>
              <w:rPr>
                <w:rFonts w:cs="Arial"/>
                <w:szCs w:val="16"/>
              </w:rPr>
            </w:pPr>
            <w:r>
              <w:rPr>
                <w:rFonts w:cs="Arial"/>
                <w:szCs w:val="16"/>
              </w:rPr>
              <w:t>2</w:t>
            </w:r>
          </w:p>
        </w:tc>
      </w:tr>
    </w:tbl>
    <w:p w14:paraId="51FBD914" w14:textId="45AB4206" w:rsidR="0075626F" w:rsidRDefault="0075626F" w:rsidP="0075626F">
      <w:pPr>
        <w:spacing w:before="0" w:after="0"/>
        <w:rPr>
          <w:rFonts w:cs="Arial"/>
          <w:szCs w:val="16"/>
        </w:rPr>
      </w:pPr>
      <w:r>
        <w:rPr>
          <w:rFonts w:cs="Arial"/>
          <w:szCs w:val="16"/>
        </w:rPr>
        <w:t>*Due to privacy concerns the Department has chosen to suppress this calculation.</w:t>
      </w:r>
    </w:p>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22"/>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N/A</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N/A</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N/A</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N/A</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N/A</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N/A</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100.00%</w:t>
            </w:r>
          </w:p>
        </w:tc>
        <w:tc>
          <w:tcPr>
            <w:tcW w:w="832" w:type="pct"/>
          </w:tcPr>
          <w:p w14:paraId="379B6676" w14:textId="76488CD7" w:rsidR="00AA1152" w:rsidRPr="00210AC6" w:rsidRDefault="00AA1152" w:rsidP="00AA1152">
            <w:pPr>
              <w:rPr>
                <w:rFonts w:cs="Arial"/>
                <w:szCs w:val="16"/>
              </w:rPr>
            </w:pPr>
            <w:r w:rsidRPr="00210AC6">
              <w:rPr>
                <w:rFonts w:cs="Arial"/>
                <w:szCs w:val="16"/>
              </w:rPr>
              <w:t>N/A</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N/A</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N/A</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75.00%</w:t>
            </w:r>
          </w:p>
        </w:tc>
        <w:tc>
          <w:tcPr>
            <w:tcW w:w="832" w:type="pct"/>
          </w:tcPr>
          <w:p w14:paraId="3F499F14" w14:textId="09C97ADF" w:rsidR="00AA1152" w:rsidRPr="00210AC6" w:rsidRDefault="00AA1152" w:rsidP="00AA1152">
            <w:pPr>
              <w:rPr>
                <w:rFonts w:cs="Arial"/>
                <w:szCs w:val="16"/>
              </w:rPr>
            </w:pPr>
            <w:r w:rsidRPr="00210AC6">
              <w:rPr>
                <w:rFonts w:cs="Arial"/>
                <w:szCs w:val="16"/>
              </w:rPr>
              <w:t>N/A</w:t>
            </w:r>
          </w:p>
        </w:tc>
        <w:tc>
          <w:tcPr>
            <w:tcW w:w="832" w:type="pct"/>
          </w:tcPr>
          <w:p w14:paraId="06689058" w14:textId="117B6780" w:rsidR="00AA1152" w:rsidRPr="00210AC6" w:rsidRDefault="00AA1152" w:rsidP="00AA1152">
            <w:pPr>
              <w:rPr>
                <w:rFonts w:cs="Arial"/>
                <w:szCs w:val="16"/>
              </w:rPr>
            </w:pPr>
            <w:r w:rsidRPr="00210AC6">
              <w:rPr>
                <w:rFonts w:cs="Arial"/>
                <w:szCs w:val="16"/>
              </w:rPr>
              <w:t>1</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N/A</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72641DA7" w14:textId="77777777" w:rsidR="00596296" w:rsidRPr="00596296" w:rsidRDefault="00596296" w:rsidP="00596296">
      <w:pPr>
        <w:rPr>
          <w:b/>
          <w:bCs/>
          <w:sz w:val="20"/>
          <w:szCs w:val="28"/>
        </w:rPr>
      </w:pPr>
      <w:r w:rsidRPr="00596296">
        <w:rPr>
          <w:b/>
          <w:bCs/>
          <w:sz w:val="20"/>
          <w:szCs w:val="28"/>
        </w:rPr>
        <w:t>Marshall Islands</w:t>
      </w:r>
    </w:p>
    <w:p w14:paraId="1186908D" w14:textId="77777777" w:rsidR="00596296" w:rsidRPr="00596296" w:rsidRDefault="00596296" w:rsidP="00596296"/>
    <w:p w14:paraId="27E7D5D5" w14:textId="314242AE" w:rsidR="00110BB6" w:rsidRDefault="00110BB6" w:rsidP="00110BB6">
      <w:pPr>
        <w:jc w:val="center"/>
      </w:pPr>
      <w:r>
        <w:t>FFY 2021 APR</w:t>
      </w:r>
      <w:r w:rsidR="00A47134">
        <w:rPr>
          <w:rStyle w:val="FootnoteReference"/>
        </w:rPr>
        <w:footnoteReference w:id="23"/>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17</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22</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24"/>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22</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48.00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4</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48.00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75F4CE86" w14:textId="77777777" w:rsidR="00596296" w:rsidRDefault="00596296">
      <w:pPr>
        <w:spacing w:before="0" w:after="200" w:line="276" w:lineRule="auto"/>
      </w:pPr>
    </w:p>
    <w:p w14:paraId="10BA59E7" w14:textId="2A02D013" w:rsidR="0058254D" w:rsidRDefault="00596296">
      <w:pPr>
        <w:spacing w:before="0" w:after="200" w:line="276" w:lineRule="auto"/>
      </w:pPr>
      <w:r>
        <w:object w:dxaOrig="1540" w:dyaOrig="997" w14:anchorId="08272178">
          <v:shape id="_x0000_i1026" type="#_x0000_t75" alt="MH-B-DR-2021-22" style="width:77.25pt;height:49.5pt" o:ole="">
            <v:imagedata r:id="rId12" o:title=""/>
          </v:shape>
          <o:OLEObject Type="Embed" ProgID="Acrobat.Document.DC" ShapeID="_x0000_i1026" DrawAspect="Icon" ObjectID="_1753179511"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00000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3" w:name="Introduction"/>
      <w:bookmarkStart w:id="94" w:name="_Hlk124349373"/>
      <w:bookmarkEnd w:id="3"/>
      <w:bookmarkEnd w:id="93"/>
      <w:bookmarkEnd w:id="94"/>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420B" w14:textId="77777777" w:rsidR="00495871" w:rsidRDefault="00495871" w:rsidP="000802F7">
      <w:pPr>
        <w:spacing w:before="0" w:after="0"/>
      </w:pPr>
      <w:r>
        <w:separator/>
      </w:r>
    </w:p>
  </w:endnote>
  <w:endnote w:type="continuationSeparator" w:id="0">
    <w:p w14:paraId="5A84F679" w14:textId="77777777" w:rsidR="00495871" w:rsidRDefault="00495871" w:rsidP="000802F7">
      <w:pPr>
        <w:spacing w:before="0" w:after="0"/>
      </w:pPr>
      <w:r>
        <w:continuationSeparator/>
      </w:r>
    </w:p>
  </w:endnote>
  <w:endnote w:type="continuationNotice" w:id="1">
    <w:p w14:paraId="56DC7FD2" w14:textId="77777777" w:rsidR="00495871" w:rsidRDefault="004958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B537" w14:textId="77777777" w:rsidR="00495871" w:rsidRDefault="00495871" w:rsidP="000802F7">
      <w:pPr>
        <w:spacing w:before="0" w:after="0"/>
      </w:pPr>
      <w:r>
        <w:separator/>
      </w:r>
    </w:p>
  </w:footnote>
  <w:footnote w:type="continuationSeparator" w:id="0">
    <w:p w14:paraId="5C9EB78F" w14:textId="77777777" w:rsidR="00495871" w:rsidRDefault="00495871" w:rsidP="000802F7">
      <w:pPr>
        <w:spacing w:before="0" w:after="0"/>
      </w:pPr>
      <w:r>
        <w:continuationSeparator/>
      </w:r>
    </w:p>
  </w:footnote>
  <w:footnote w:type="continuationNotice" w:id="1">
    <w:p w14:paraId="7B7735D6" w14:textId="77777777" w:rsidR="00495871" w:rsidRDefault="00495871">
      <w:pPr>
        <w:spacing w:before="0" w:after="0"/>
      </w:pPr>
    </w:p>
  </w:footnote>
  <w:footnote w:id="2">
    <w:p w14:paraId="1F710361" w14:textId="44D722CF" w:rsidR="00190135" w:rsidRPr="00190135" w:rsidRDefault="00190135">
      <w:pPr>
        <w:pStyle w:val="FootnoteText"/>
        <w:rPr>
          <w:sz w:val="16"/>
          <w:szCs w:val="16"/>
        </w:rPr>
      </w:pPr>
      <w:r w:rsidRPr="00190135">
        <w:rPr>
          <w:rStyle w:val="FootnoteReference"/>
          <w:sz w:val="16"/>
          <w:szCs w:val="16"/>
        </w:rPr>
        <w:footnoteRef/>
      </w:r>
      <w:r w:rsidRPr="00190135">
        <w:rPr>
          <w:sz w:val="16"/>
          <w:szCs w:val="16"/>
        </w:rPr>
        <w:t xml:space="preserve"> Data suppressed due to small cell size.</w:t>
      </w:r>
    </w:p>
  </w:footnote>
  <w:footnote w:id="3">
    <w:p w14:paraId="31241913" w14:textId="7D18F72C" w:rsidR="00190135" w:rsidRPr="00190135" w:rsidRDefault="00190135">
      <w:pPr>
        <w:pStyle w:val="FootnoteText"/>
        <w:rPr>
          <w:sz w:val="16"/>
          <w:szCs w:val="16"/>
        </w:rPr>
      </w:pPr>
      <w:r w:rsidRPr="00190135">
        <w:rPr>
          <w:rStyle w:val="FootnoteReference"/>
          <w:sz w:val="16"/>
          <w:szCs w:val="16"/>
        </w:rPr>
        <w:footnoteRef/>
      </w:r>
      <w:r w:rsidRPr="00190135">
        <w:rPr>
          <w:sz w:val="16"/>
          <w:szCs w:val="16"/>
        </w:rPr>
        <w:t xml:space="preserve"> Data suppressed due to small cell size.</w:t>
      </w:r>
    </w:p>
  </w:footnote>
  <w:footnote w:id="4">
    <w:p w14:paraId="09E1F32E" w14:textId="1240B228" w:rsidR="00596296" w:rsidRPr="0086526B" w:rsidRDefault="00596296" w:rsidP="00596296">
      <w:pPr>
        <w:spacing w:after="0"/>
        <w:rPr>
          <w:rFonts w:cs="Arial"/>
          <w:szCs w:val="16"/>
        </w:rPr>
      </w:pPr>
      <w:r>
        <w:rPr>
          <w:rStyle w:val="FootnoteReference"/>
        </w:rPr>
        <w:footnoteRef/>
      </w:r>
      <w:r>
        <w:t xml:space="preserve"> </w:t>
      </w:r>
      <w:bookmarkStart w:id="11" w:name="_Hlk138799496"/>
      <w:r w:rsidRPr="00891632">
        <w:rPr>
          <w:rFonts w:cs="Arial"/>
          <w:szCs w:val="16"/>
        </w:rPr>
        <w:t>Prior to the FFY 2020 submission, the State used</w:t>
      </w:r>
      <w:r w:rsidRPr="0086526B">
        <w:rPr>
          <w:rFonts w:cs="Arial"/>
          <w:szCs w:val="16"/>
        </w:rPr>
        <w:t xml:space="preserve"> a different data source to report data under this indicator.</w:t>
      </w:r>
      <w:bookmarkEnd w:id="11"/>
    </w:p>
  </w:footnote>
  <w:footnote w:id="5">
    <w:p w14:paraId="4361F4B7" w14:textId="19E14FBB" w:rsidR="0086526B" w:rsidRDefault="0086526B">
      <w:pPr>
        <w:pStyle w:val="FootnoteText"/>
      </w:pPr>
      <w:r w:rsidRPr="0086526B">
        <w:rPr>
          <w:rStyle w:val="FootnoteReference"/>
          <w:sz w:val="16"/>
          <w:szCs w:val="16"/>
        </w:rPr>
        <w:footnoteRef/>
      </w:r>
      <w:r w:rsidRPr="0086526B">
        <w:rPr>
          <w:sz w:val="16"/>
          <w:szCs w:val="16"/>
        </w:rPr>
        <w:t xml:space="preserve"> Data suppressed due to small cell size.</w:t>
      </w:r>
    </w:p>
  </w:footnote>
  <w:footnote w:id="6">
    <w:p w14:paraId="30B6B096" w14:textId="4301FC5C" w:rsidR="0086526B" w:rsidRPr="0086526B" w:rsidRDefault="0086526B">
      <w:pPr>
        <w:pStyle w:val="FootnoteText"/>
        <w:rPr>
          <w:sz w:val="16"/>
          <w:szCs w:val="16"/>
        </w:rPr>
      </w:pPr>
      <w:r w:rsidRPr="0086526B">
        <w:rPr>
          <w:rStyle w:val="FootnoteReference"/>
          <w:sz w:val="16"/>
          <w:szCs w:val="16"/>
        </w:rPr>
        <w:footnoteRef/>
      </w:r>
      <w:r w:rsidRPr="0086526B">
        <w:rPr>
          <w:sz w:val="16"/>
          <w:szCs w:val="16"/>
        </w:rPr>
        <w:t xml:space="preserve"> Data suppressed due to small cell size.</w:t>
      </w:r>
    </w:p>
  </w:footnote>
  <w:footnote w:id="7">
    <w:p w14:paraId="14571E06" w14:textId="36177F0B" w:rsidR="00B02B88" w:rsidRDefault="00B02B88">
      <w:pPr>
        <w:pStyle w:val="FootnoteText"/>
      </w:pPr>
      <w:r w:rsidRPr="00B02B88">
        <w:rPr>
          <w:rStyle w:val="FootnoteReference"/>
          <w:sz w:val="16"/>
          <w:szCs w:val="16"/>
        </w:rPr>
        <w:footnoteRef/>
      </w:r>
      <w:r w:rsidRPr="00B02B88">
        <w:rPr>
          <w:sz w:val="16"/>
          <w:szCs w:val="16"/>
        </w:rPr>
        <w:t xml:space="preserve"> Data suppressed due to small cell size.</w:t>
      </w:r>
    </w:p>
  </w:footnote>
  <w:footnote w:id="8">
    <w:p w14:paraId="580D794A" w14:textId="6F2C2580" w:rsidR="001B2168" w:rsidRDefault="001B2168">
      <w:pPr>
        <w:pStyle w:val="FootnoteText"/>
      </w:pPr>
    </w:p>
  </w:footnote>
  <w:footnote w:id="9">
    <w:p w14:paraId="002E335E" w14:textId="389DEE74" w:rsidR="00B02B88" w:rsidRDefault="001B2168">
      <w:pPr>
        <w:pStyle w:val="FootnoteText"/>
      </w:pPr>
      <w:r>
        <w:rPr>
          <w:rStyle w:val="FootnoteReference"/>
          <w:sz w:val="16"/>
          <w:szCs w:val="16"/>
        </w:rPr>
        <w:t>7</w:t>
      </w:r>
      <w:r w:rsidR="00B02B88" w:rsidRPr="00B02B88">
        <w:rPr>
          <w:sz w:val="16"/>
          <w:szCs w:val="16"/>
        </w:rPr>
        <w:t xml:space="preserve"> Data suppressed due to small cell size.</w:t>
      </w:r>
    </w:p>
  </w:footnote>
  <w:footnote w:id="10">
    <w:p w14:paraId="04FFE81B" w14:textId="77777777" w:rsidR="0036112A" w:rsidRDefault="0036112A" w:rsidP="0036112A">
      <w:pPr>
        <w:pStyle w:val="FootnoteText"/>
      </w:pPr>
      <w:r w:rsidRPr="00B02B88">
        <w:rPr>
          <w:rStyle w:val="FootnoteReference"/>
          <w:sz w:val="16"/>
          <w:szCs w:val="16"/>
        </w:rPr>
        <w:footnoteRef/>
      </w:r>
      <w:r w:rsidRPr="00B02B88">
        <w:rPr>
          <w:sz w:val="16"/>
          <w:szCs w:val="16"/>
        </w:rPr>
        <w:t xml:space="preserve"> Data suppressed due to small cell size.</w:t>
      </w:r>
    </w:p>
  </w:footnote>
  <w:footnote w:id="11">
    <w:p w14:paraId="318311F7" w14:textId="41205040" w:rsidR="00CC0B83" w:rsidRDefault="00CC0B83">
      <w:pPr>
        <w:pStyle w:val="FootnoteText"/>
      </w:pPr>
      <w:r w:rsidRPr="00CC0B83">
        <w:rPr>
          <w:rStyle w:val="FootnoteReference"/>
          <w:sz w:val="16"/>
          <w:szCs w:val="16"/>
        </w:rPr>
        <w:footnoteRef/>
      </w:r>
      <w:r w:rsidRPr="00CC0B83">
        <w:rPr>
          <w:sz w:val="16"/>
          <w:szCs w:val="16"/>
        </w:rPr>
        <w:t xml:space="preserve"> Data suppressed due to small cell size.</w:t>
      </w:r>
    </w:p>
  </w:footnote>
  <w:footnote w:id="12">
    <w:p w14:paraId="2DD74B5C" w14:textId="1DF26737" w:rsidR="00AE18EF" w:rsidRDefault="00AE18EF">
      <w:pPr>
        <w:pStyle w:val="FootnoteText"/>
      </w:pPr>
      <w:r>
        <w:rPr>
          <w:rStyle w:val="FootnoteReference"/>
        </w:rPr>
        <w:footnoteRef/>
      </w:r>
      <w:r>
        <w:t xml:space="preserve"> </w:t>
      </w:r>
      <w:r w:rsidRPr="00CC0B83">
        <w:rPr>
          <w:sz w:val="16"/>
          <w:szCs w:val="16"/>
        </w:rPr>
        <w:t>Data suppressed due to small cell size.</w:t>
      </w:r>
    </w:p>
  </w:footnote>
  <w:footnote w:id="13">
    <w:p w14:paraId="3A2FA68D" w14:textId="646CD1AB" w:rsidR="00CC0B83" w:rsidRDefault="00CC0B83">
      <w:pPr>
        <w:pStyle w:val="FootnoteText"/>
      </w:pPr>
    </w:p>
  </w:footnote>
  <w:footnote w:id="14">
    <w:p w14:paraId="1E5C4D4F" w14:textId="75AE8D05" w:rsidR="00CC0B83" w:rsidRDefault="00237BD5">
      <w:pPr>
        <w:pStyle w:val="FootnoteText"/>
      </w:pPr>
      <w:r>
        <w:rPr>
          <w:rStyle w:val="FootnoteReference"/>
          <w:sz w:val="16"/>
          <w:szCs w:val="16"/>
        </w:rPr>
        <w:t>1</w:t>
      </w:r>
      <w:r w:rsidR="001530B9" w:rsidRPr="001530B9">
        <w:rPr>
          <w:sz w:val="16"/>
          <w:szCs w:val="16"/>
          <w:vertAlign w:val="superscript"/>
        </w:rPr>
        <w:t>1</w:t>
      </w:r>
      <w:r w:rsidR="00CC0B83" w:rsidRPr="00CC0B83">
        <w:rPr>
          <w:sz w:val="16"/>
          <w:szCs w:val="16"/>
        </w:rPr>
        <w:t xml:space="preserve"> Data suppressed due to small cell size.</w:t>
      </w:r>
    </w:p>
  </w:footnote>
  <w:footnote w:id="15">
    <w:p w14:paraId="2AF1B263" w14:textId="753723E8" w:rsidR="000C12D5" w:rsidRDefault="000C12D5">
      <w:pPr>
        <w:pStyle w:val="FootnoteText"/>
      </w:pPr>
      <w:r>
        <w:rPr>
          <w:rStyle w:val="FootnoteReference"/>
        </w:rPr>
        <w:footnoteRef/>
      </w:r>
      <w:r>
        <w:t xml:space="preserve"> </w:t>
      </w:r>
      <w:r w:rsidRPr="00CC0B83">
        <w:rPr>
          <w:sz w:val="16"/>
          <w:szCs w:val="16"/>
        </w:rPr>
        <w:t>Data suppressed due to small cell size.</w:t>
      </w:r>
    </w:p>
  </w:footnote>
  <w:footnote w:id="16">
    <w:p w14:paraId="2C5162A7" w14:textId="143D2B4F" w:rsidR="00AB6745" w:rsidRDefault="00AB6745" w:rsidP="00AB6745">
      <w:pPr>
        <w:pStyle w:val="FootnoteText"/>
      </w:pPr>
      <w:r w:rsidRPr="00AB6745">
        <w:rPr>
          <w:rStyle w:val="FootnoteReference"/>
          <w:sz w:val="16"/>
          <w:szCs w:val="16"/>
        </w:rPr>
        <w:footnoteRef/>
      </w:r>
      <w:r w:rsidRPr="00AB6745">
        <w:rPr>
          <w:sz w:val="16"/>
          <w:szCs w:val="16"/>
        </w:rPr>
        <w:t xml:space="preserve"> Data suppressed due to small cell size.</w:t>
      </w:r>
    </w:p>
  </w:footnote>
  <w:footnote w:id="17">
    <w:p w14:paraId="5C8610C9" w14:textId="205812A5" w:rsidR="00AB6745" w:rsidRDefault="00AB6745" w:rsidP="00AB6745">
      <w:pPr>
        <w:pStyle w:val="FootnoteText"/>
      </w:pPr>
      <w:r w:rsidRPr="00AB6745">
        <w:rPr>
          <w:rStyle w:val="FootnoteReference"/>
          <w:sz w:val="16"/>
          <w:szCs w:val="16"/>
        </w:rPr>
        <w:footnoteRef/>
      </w:r>
      <w:r w:rsidRPr="00AB6745">
        <w:rPr>
          <w:sz w:val="16"/>
          <w:szCs w:val="16"/>
        </w:rPr>
        <w:t xml:space="preserve"> Data suppressed due to small cell size.</w:t>
      </w:r>
    </w:p>
  </w:footnote>
  <w:footnote w:id="18">
    <w:p w14:paraId="0FDAE7A7" w14:textId="7ED8889B" w:rsidR="00914210" w:rsidRDefault="00914210" w:rsidP="00914210">
      <w:pPr>
        <w:pStyle w:val="FootnoteText"/>
      </w:pPr>
      <w:r w:rsidRPr="00914210">
        <w:rPr>
          <w:rStyle w:val="FootnoteReference"/>
          <w:sz w:val="16"/>
          <w:szCs w:val="16"/>
        </w:rPr>
        <w:footnoteRef/>
      </w:r>
      <w:r w:rsidRPr="00914210">
        <w:rPr>
          <w:sz w:val="16"/>
          <w:szCs w:val="16"/>
        </w:rPr>
        <w:t xml:space="preserve"> Data suppressed due to small cell size.</w:t>
      </w:r>
    </w:p>
  </w:footnote>
  <w:footnote w:id="19">
    <w:p w14:paraId="276518B8" w14:textId="52E6BD5C" w:rsidR="00914210" w:rsidRDefault="00914210">
      <w:pPr>
        <w:pStyle w:val="FootnoteText"/>
      </w:pPr>
      <w:r w:rsidRPr="00914210">
        <w:rPr>
          <w:rStyle w:val="FootnoteReference"/>
          <w:sz w:val="16"/>
          <w:szCs w:val="16"/>
        </w:rPr>
        <w:footnoteRef/>
      </w:r>
      <w:r w:rsidR="00F73E13">
        <w:rPr>
          <w:sz w:val="16"/>
          <w:szCs w:val="16"/>
        </w:rPr>
        <w:t xml:space="preserve"> D</w:t>
      </w:r>
      <w:r w:rsidRPr="00914210">
        <w:rPr>
          <w:sz w:val="16"/>
          <w:szCs w:val="16"/>
        </w:rPr>
        <w:t>ata suppressed due to small cell size.</w:t>
      </w:r>
    </w:p>
  </w:footnote>
  <w:footnote w:id="20">
    <w:p w14:paraId="690C143B" w14:textId="387EA810" w:rsidR="00381C7D" w:rsidRDefault="00381C7D">
      <w:pPr>
        <w:pStyle w:val="FootnoteText"/>
      </w:pPr>
      <w:r>
        <w:rPr>
          <w:rStyle w:val="FootnoteReference"/>
        </w:rPr>
        <w:footnoteRef/>
      </w:r>
      <w:r>
        <w:t xml:space="preserve"> </w:t>
      </w:r>
      <w:r w:rsidR="00AB3BD7" w:rsidRPr="00AB6745">
        <w:rPr>
          <w:sz w:val="16"/>
          <w:szCs w:val="16"/>
        </w:rPr>
        <w:t>Data suppressed due to small cell size.</w:t>
      </w:r>
    </w:p>
  </w:footnote>
  <w:footnote w:id="21">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22">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23">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24">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2D5"/>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0B9"/>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0135"/>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168"/>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5E1"/>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37BD5"/>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CD4"/>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12A"/>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1C7D"/>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4B8"/>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871"/>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296"/>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392"/>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420"/>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1C3"/>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DE"/>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6B"/>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2D61"/>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210"/>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BD7"/>
    <w:rsid w:val="00AB3CBC"/>
    <w:rsid w:val="00AB3E77"/>
    <w:rsid w:val="00AB484C"/>
    <w:rsid w:val="00AB4BBB"/>
    <w:rsid w:val="00AB4C33"/>
    <w:rsid w:val="00AB4D3F"/>
    <w:rsid w:val="00AB4F35"/>
    <w:rsid w:val="00AB4FE1"/>
    <w:rsid w:val="00AB527A"/>
    <w:rsid w:val="00AB559A"/>
    <w:rsid w:val="00AB61CB"/>
    <w:rsid w:val="00AB6240"/>
    <w:rsid w:val="00AB6745"/>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63"/>
    <w:rsid w:val="00AD3ABC"/>
    <w:rsid w:val="00AD3C71"/>
    <w:rsid w:val="00AD4883"/>
    <w:rsid w:val="00AD4EDC"/>
    <w:rsid w:val="00AD5583"/>
    <w:rsid w:val="00AD631B"/>
    <w:rsid w:val="00AD6891"/>
    <w:rsid w:val="00AD6DA0"/>
    <w:rsid w:val="00AD7470"/>
    <w:rsid w:val="00AD75EE"/>
    <w:rsid w:val="00AE01D5"/>
    <w:rsid w:val="00AE0C10"/>
    <w:rsid w:val="00AE129E"/>
    <w:rsid w:val="00AE18EF"/>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88"/>
    <w:rsid w:val="00B02B95"/>
    <w:rsid w:val="00B02C5F"/>
    <w:rsid w:val="00B02FC5"/>
    <w:rsid w:val="00B032DE"/>
    <w:rsid w:val="00B03F1D"/>
    <w:rsid w:val="00B042E6"/>
    <w:rsid w:val="00B049D2"/>
    <w:rsid w:val="00B04DC7"/>
    <w:rsid w:val="00B062C6"/>
    <w:rsid w:val="00B06902"/>
    <w:rsid w:val="00B06A84"/>
    <w:rsid w:val="00B06C3E"/>
    <w:rsid w:val="00B07423"/>
    <w:rsid w:val="00B07427"/>
    <w:rsid w:val="00B0742B"/>
    <w:rsid w:val="00B07818"/>
    <w:rsid w:val="00B07AFA"/>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42F"/>
    <w:rsid w:val="00BC4655"/>
    <w:rsid w:val="00BC469C"/>
    <w:rsid w:val="00BC545C"/>
    <w:rsid w:val="00BC56ED"/>
    <w:rsid w:val="00BC5CA0"/>
    <w:rsid w:val="00BC62E7"/>
    <w:rsid w:val="00BC65B2"/>
    <w:rsid w:val="00BC6811"/>
    <w:rsid w:val="00BC682D"/>
    <w:rsid w:val="00BC6FE3"/>
    <w:rsid w:val="00BC727A"/>
    <w:rsid w:val="00BC72AD"/>
    <w:rsid w:val="00BC792C"/>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695"/>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83"/>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0E87"/>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40C"/>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6B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3E13"/>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1FAAB65D-4C9D-4AE2-AC66-08AFC5637C94}"/>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174</TotalTime>
  <Pages>72</Pages>
  <Words>33407</Words>
  <Characters>190422</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Elledge, Amy</cp:lastModifiedBy>
  <cp:revision>21</cp:revision>
  <cp:lastPrinted>2014-08-19T16:56:00Z</cp:lastPrinted>
  <dcterms:created xsi:type="dcterms:W3CDTF">2023-08-10T13:49:00Z</dcterms:created>
  <dcterms:modified xsi:type="dcterms:W3CDTF">2023-08-10T17:31:00Z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