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Maine</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The Maine Department of Education (Maine DOE) Office of Special Services and Child Development Services (CDS) implement the birth to twenty (B-20) General Supervision System to manage and oversee all aspects of effective implementation and integrated monitoring activities pursuant to the Individuals with Disabilities Education Act (IDEA). Evaluations and interventions of Local Education Agencies (LEAs) focus on improving infant, toddler and school-age student outcomes. The process is designed to enhance partnerships among the Maine DOE Office of Special Services, CDS, LEAs, other educational and community agencies, service providers, and parents in implementing Part C and Part B of the Individuals with Disabilities Education Act (IDEA). These partnerships focus on early intervention and special education services and systems that directly impact results for children and the development and implementation of improvement strategies to address identified needs.</w:t>
      </w:r>
      <w:r w:rsidRPr="005C29F8">
        <w:rPr>
          <w:rFonts w:cs="Arial"/>
          <w:color w:val="000000" w:themeColor="text1"/>
          <w:szCs w:val="16"/>
        </w:rPr>
        <w:br/>
      </w:r>
      <w:r w:rsidRPr="005C29F8">
        <w:rPr>
          <w:rFonts w:cs="Arial"/>
          <w:color w:val="000000" w:themeColor="text1"/>
          <w:szCs w:val="16"/>
        </w:rPr>
        <w:br/>
        <w:t>Maine DOE monitoring activities are dedicated to improving educational results and purposeful outcomes for all children with disabilities. The Department continues to ensure districts and regional CDS sites provide programs and services for children with disabilities as described and required under federal law Section 616 of the 2004 Amendments to the Individuals with Disabilities Education Act (IDEA). Multiple data sources and methods are used to monitor every LEA in the state. Integrated on-site and off-site monitoring activities ensure Maine's capacity to identify and correct noncompliance and facilitate improved performance. Additionally, Maine DOE provides technical assistance, professional development, and a variety of resources with the purpose of developing supports that are accessible to LEAs and stakeholders around the state.</w:t>
      </w:r>
      <w:r w:rsidRPr="005C29F8">
        <w:rPr>
          <w:rFonts w:cs="Arial"/>
          <w:color w:val="000000" w:themeColor="text1"/>
          <w:szCs w:val="16"/>
        </w:rPr>
        <w:br/>
      </w:r>
      <w:r w:rsidRPr="005C29F8">
        <w:rPr>
          <w:rFonts w:cs="Arial"/>
          <w:color w:val="000000" w:themeColor="text1"/>
          <w:szCs w:val="16"/>
        </w:rPr>
        <w:br/>
        <w:t>The Introduction sections below address Maine's General Supervision System, Technical Assistance, Professional Development, Stakeholder Involvement, and Public Reporting.</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265</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Schools in the State of Maine are organized into School Administrative Units (SAUs) as defined by Maine Statute, 20-A MRSA Section 1 (26). An SAU is a State-approved unit of school administration and includes only the following:</w:t>
      </w:r>
      <w:r w:rsidRPr="005C29F8">
        <w:rPr>
          <w:rFonts w:cs="Arial"/>
          <w:color w:val="000000" w:themeColor="text1"/>
          <w:szCs w:val="16"/>
        </w:rPr>
        <w:br/>
        <w:t>1. A municipal school unit;</w:t>
      </w:r>
      <w:r w:rsidRPr="005C29F8">
        <w:rPr>
          <w:rFonts w:cs="Arial"/>
          <w:color w:val="000000" w:themeColor="text1"/>
          <w:szCs w:val="16"/>
        </w:rPr>
        <w:br/>
        <w:t>2. A regional school unit formed pursuant to chapter 103-A;</w:t>
      </w:r>
      <w:r w:rsidRPr="005C29F8">
        <w:rPr>
          <w:rFonts w:cs="Arial"/>
          <w:color w:val="000000" w:themeColor="text1"/>
          <w:szCs w:val="16"/>
        </w:rPr>
        <w:br/>
        <w:t>3. An alternative organizational structure as approved by the commissioner and approved by the voters;</w:t>
      </w:r>
      <w:r w:rsidRPr="005C29F8">
        <w:rPr>
          <w:rFonts w:cs="Arial"/>
          <w:color w:val="000000" w:themeColor="text1"/>
          <w:szCs w:val="16"/>
        </w:rPr>
        <w:br/>
        <w:t>4. A school administrative district that does not provide public education for the entire span of kindergarten to grade 12 that has not reorganized as a regional school unit pursuant to Chapter 103-A;</w:t>
      </w:r>
      <w:r w:rsidRPr="005C29F8">
        <w:rPr>
          <w:rFonts w:cs="Arial"/>
          <w:color w:val="000000" w:themeColor="text1"/>
          <w:szCs w:val="16"/>
        </w:rPr>
        <w:br/>
        <w:t>5. A community school district that has not reorganized as a regional school unit pursuant to chapter 103- A;</w:t>
      </w:r>
      <w:r w:rsidRPr="005C29F8">
        <w:rPr>
          <w:rFonts w:cs="Arial"/>
          <w:color w:val="000000" w:themeColor="text1"/>
          <w:szCs w:val="16"/>
        </w:rPr>
        <w:br/>
        <w:t>6. A municipal or quasi-municipal district responsible for operating public schools that has not reorganized as a regional school unit pursuant to chapter 103-A;</w:t>
      </w:r>
      <w:r w:rsidRPr="005C29F8">
        <w:rPr>
          <w:rFonts w:cs="Arial"/>
          <w:color w:val="000000" w:themeColor="text1"/>
          <w:szCs w:val="16"/>
        </w:rPr>
        <w:br/>
        <w:t>7. A municipal school unit, school administrative district, community school district, regional school unit or any other quasi-municipal district responsible for operating public schools that forms a part of an alternative organizational structure approved by the commissioner; and</w:t>
      </w:r>
      <w:r w:rsidRPr="005C29F8">
        <w:rPr>
          <w:rFonts w:cs="Arial"/>
          <w:color w:val="000000" w:themeColor="text1"/>
          <w:szCs w:val="16"/>
        </w:rPr>
        <w:br/>
        <w:t xml:space="preserve">8. A public charter school authorized under chapter 112 by an entity other than a local school board. </w:t>
      </w:r>
      <w:r w:rsidRPr="005C29F8">
        <w:rPr>
          <w:rFonts w:cs="Arial"/>
          <w:color w:val="000000" w:themeColor="text1"/>
          <w:szCs w:val="16"/>
        </w:rPr>
        <w:br/>
      </w:r>
      <w:r w:rsidRPr="005C29F8">
        <w:rPr>
          <w:rFonts w:cs="Arial"/>
          <w:color w:val="000000" w:themeColor="text1"/>
          <w:szCs w:val="16"/>
        </w:rPr>
        <w:br/>
        <w:t>Throughout this APR, the terms SAU, LEA and district will be used interchangeably.</w:t>
      </w:r>
      <w:r w:rsidRPr="005C29F8">
        <w:rPr>
          <w:rFonts w:cs="Arial"/>
          <w:color w:val="000000" w:themeColor="text1"/>
          <w:szCs w:val="16"/>
        </w:rPr>
        <w:br/>
      </w:r>
      <w:r w:rsidRPr="005C29F8">
        <w:rPr>
          <w:rFonts w:cs="Arial"/>
          <w:color w:val="000000" w:themeColor="text1"/>
          <w:szCs w:val="16"/>
        </w:rPr>
        <w:br/>
        <w:t>Child Development Services (CDS) is the governmental entity that serves as an Intermediate Educational Unit (IEU) of the Maine Department of Education (Maine DOE). As described in state statute: The Maine DOE Commissioner, “shall establish and supervise the state intermediate educational unit. The state intermediate educational unit is established as a body corporate and politic and as a public instrumentality of the State for the purpose of conducting child find activities as provided in 20 United States Code, Section 1412 (a) (3) for children from birth to under 6 years of age, ensuring the provision of early intervention services for eligible children from birth to under 3 years of age and ensuring a free, appropriate public education for eligible children at least 3 years of age and under 6 years of age.” MRSA 20- A §7209(3).</w:t>
      </w:r>
      <w:r w:rsidRPr="005C29F8">
        <w:rPr>
          <w:rFonts w:cs="Arial"/>
          <w:color w:val="000000" w:themeColor="text1"/>
          <w:szCs w:val="16"/>
        </w:rPr>
        <w:br/>
      </w:r>
      <w:r w:rsidRPr="005C29F8">
        <w:rPr>
          <w:rFonts w:cs="Arial"/>
          <w:color w:val="000000" w:themeColor="text1"/>
          <w:szCs w:val="16"/>
        </w:rPr>
        <w:br/>
        <w:t>The General Supervision System (GSS) manages and oversees the needs of children with disabilities ages birth to 20 as required by the Individuals with Disabilities Education Act (IDEA) and is overseen by the federal Office of Special Education Programs. GSS assumes the following responsibilities:</w:t>
      </w:r>
      <w:r w:rsidRPr="005C29F8">
        <w:rPr>
          <w:rFonts w:cs="Arial"/>
          <w:color w:val="000000" w:themeColor="text1"/>
          <w:szCs w:val="16"/>
        </w:rPr>
        <w:br/>
      </w:r>
      <w:r w:rsidRPr="005C29F8">
        <w:rPr>
          <w:rFonts w:cs="Arial"/>
          <w:color w:val="000000" w:themeColor="text1"/>
          <w:szCs w:val="16"/>
        </w:rPr>
        <w:br/>
        <w:t>State Performance Plan (SPP). The SPP is an accountability mechanism for the State and Maine SAUs. It provides measurable indication of Maine's performance in specific statutory priority areas of IDEA. Maine Department of Education (DOE) is responsible for the SPP. Maine DOE's data manager works collaboratively with the federal programs coordinator for the collection of State and LEA data and performance measures, corrections of noncompliance and activities supporting LEAs improving results for children with disabilities. The CDS Deputy Director and Quality Assurance Director are responsible for the collection of CDS data and performance measures, corrections of noncompliance and activities supporting CDS sites improving results for pre-school children with disabilities. Outcomes of the SPP inform monitoring activities (e.g., child find, transition from early intervention and postsecondary transition planning).</w:t>
      </w:r>
      <w:r w:rsidRPr="005C29F8">
        <w:rPr>
          <w:rFonts w:cs="Arial"/>
          <w:color w:val="000000" w:themeColor="text1"/>
          <w:szCs w:val="16"/>
        </w:rPr>
        <w:br/>
      </w:r>
      <w:r w:rsidRPr="005C29F8">
        <w:rPr>
          <w:rFonts w:cs="Arial"/>
          <w:color w:val="000000" w:themeColor="text1"/>
          <w:szCs w:val="16"/>
        </w:rPr>
        <w:br/>
        <w:t>Integrated Monitoring Activities. Monitoring activities are dedicated to improving educational results and purposeful outcomes for all children with disabilities. The Department continues to ensure districts and regional CDS sites provide programs and services for children with disabilities as described and required under federal law Section 616 of the 2004 Amendments to the Individuals with Disabilities Education Act (IDEA). Multiple data sources and methods are used to monitor every SAU in the state. Integrated on-site and off-site monitoring activities ensure Maine's capacity to identify and correct noncompliance and facilitate improved performance.</w:t>
      </w:r>
      <w:r w:rsidRPr="005C29F8">
        <w:rPr>
          <w:rFonts w:cs="Arial"/>
          <w:color w:val="000000" w:themeColor="text1"/>
          <w:szCs w:val="16"/>
        </w:rPr>
        <w:br/>
      </w:r>
      <w:r w:rsidRPr="005C29F8">
        <w:rPr>
          <w:rFonts w:cs="Arial"/>
          <w:color w:val="000000" w:themeColor="text1"/>
          <w:szCs w:val="16"/>
        </w:rPr>
        <w:lastRenderedPageBreak/>
        <w:br/>
        <w:t>Policies, Procedures &amp; Effective Implementation. The State of Maine has policies, procedures and effective implementation of practices that are aligned with and support the implementation of IDEA. The policies and procedures include descriptions of methods the State will use to detect non-compliance and ensure correction of non-compliance when found. Effective implementation of policies, procedures and practices also addresses program improvement through planning, coordination, incentives and follow-up. Policies, procedures, and effective implementation or practices, aligned with IDEA, are designed to support program improvement and focus attention on specific areas of compliance and program performance as identified through an analysis of data. Resources are available on the following webpage: https://www.maine.gov/doe/learning/specialed.</w:t>
      </w:r>
      <w:r w:rsidRPr="005C29F8">
        <w:rPr>
          <w:rFonts w:cs="Arial"/>
          <w:color w:val="000000" w:themeColor="text1"/>
          <w:szCs w:val="16"/>
        </w:rPr>
        <w:br/>
      </w:r>
      <w:r w:rsidRPr="005C29F8">
        <w:rPr>
          <w:rFonts w:cs="Arial"/>
          <w:color w:val="000000" w:themeColor="text1"/>
          <w:szCs w:val="16"/>
        </w:rPr>
        <w:br/>
        <w:t>Targeted Technical Assistance &amp; Professional Development. Targeted technical assistance and professional development enable Maine DOE and CDS to direct and impact the quality of the effective implementation of policies and procedures. Technical assistance is linked to the SPP indicators and outcomes for students. Technical assistance and capacity-building activities are implemented at varying levels and through multiple means such as websites, documents, coaching, mentoring, training of trainers, local, regional and/or statewide meetings and conferences, direct training from state personnel or from other resources.</w:t>
      </w:r>
      <w:r w:rsidRPr="005C29F8">
        <w:rPr>
          <w:rFonts w:cs="Arial"/>
          <w:color w:val="000000" w:themeColor="text1"/>
          <w:szCs w:val="16"/>
        </w:rPr>
        <w:br/>
      </w:r>
      <w:r w:rsidRPr="005C29F8">
        <w:rPr>
          <w:rFonts w:cs="Arial"/>
          <w:color w:val="000000" w:themeColor="text1"/>
          <w:szCs w:val="16"/>
        </w:rPr>
        <w:br/>
        <w:t>Public Reporting. The requirement for public reporting on LEA performance is a critical provision in ensuring accountability and focusing on improved results for children with disabilities. LEA profiles are used as the basis for determinations of LEA program performance. Each indicator is evaluated for level of determination to provide the LEA with measurement-specific feedback on their implementation of IDEA. An overall determination is assigned to each LEA in alignment with the requirements of the State Performance Plan (SPP): Meets Requirements; Needs Assistance; Needs Intervention; or Needs Substantial Intervention. These determinations set the level of support and intervention provided and define areas of required action and follow-up. Data profiles for LEAs are posted on the Maine DOE website: https://www.maine.gov/doe/learning/specialed/data/public. Additionally, assessment data are available on the following wepage: https://www.maine.gov/doe/Testing_Accountability/MECAS/results.</w:t>
      </w:r>
      <w:r w:rsidRPr="005C29F8">
        <w:rPr>
          <w:rFonts w:cs="Arial"/>
          <w:color w:val="000000" w:themeColor="text1"/>
          <w:szCs w:val="16"/>
        </w:rPr>
        <w:br/>
      </w:r>
      <w:r w:rsidRPr="005C29F8">
        <w:rPr>
          <w:rFonts w:cs="Arial"/>
          <w:color w:val="000000" w:themeColor="text1"/>
          <w:szCs w:val="16"/>
        </w:rPr>
        <w:br/>
        <w:t>Effective Dispute Resolution. The timely resolution of complaints, mediations and due process actions is required for complaint dispute resolutions. Effective Dispute Resolution addresses matters related to due process procedures such as mediations, hearings and complaint investigations. The due process team provides training for mediators and hearing officials, school personnel, agency personnel and parents. Technical assistance is available to school districts and parents. Maine's State Complaint Investigation Reports contain findings of Maine's Education Commissioner as to whether violations of law under IDEA and/or State special education laws or regulations have occurred. Findings of violation typically result in a corrective action plan.</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Maine Department of Education and Child Development Services (CDS) provide a range of technical assistance, from minimal assistance to substantial interventions, to improve performance. Technical assistance is implemented at varying levels and through multiple means such as websites, local, regional and/or state-wide meetings and conferences, virtual or direct training from state personnel and from other resources.</w:t>
      </w:r>
      <w:r w:rsidRPr="005C29F8">
        <w:rPr>
          <w:rFonts w:cs="Arial"/>
          <w:color w:val="000000" w:themeColor="text1"/>
          <w:szCs w:val="16"/>
        </w:rPr>
        <w:br/>
      </w:r>
      <w:r w:rsidRPr="005C29F8">
        <w:rPr>
          <w:rFonts w:cs="Arial"/>
          <w:color w:val="000000" w:themeColor="text1"/>
          <w:szCs w:val="16"/>
        </w:rPr>
        <w:br/>
        <w:t>Maine DOE and CDS have several mechanisms in place to ensure high quality, evidence-based practice technical assistance and support to LEAs occurs in a timely manner. Structures that exist within the Office of Special Services and CDS connect to professional development initiatives across the Department of Education and through National TA Centers to provide collaborative technical assistance.</w:t>
      </w:r>
      <w:r w:rsidRPr="005C29F8">
        <w:rPr>
          <w:rFonts w:cs="Arial"/>
          <w:color w:val="000000" w:themeColor="text1"/>
          <w:szCs w:val="16"/>
        </w:rPr>
        <w:br/>
      </w:r>
      <w:r w:rsidRPr="005C29F8">
        <w:rPr>
          <w:rFonts w:cs="Arial"/>
          <w:color w:val="000000" w:themeColor="text1"/>
          <w:szCs w:val="16"/>
        </w:rPr>
        <w:br/>
        <w:t>Targeted technical assistance: As needs arise, Maine DOE is able to direct the quality of the effective implementation of policies and procedures through targeted technical assistance. The department is informed of needs directly by districts, regional CDS sites, contracted providers, community members, families or the Maine Administrators of Services for Children with Disabilities (MADSEC). Technical assistance is then designed to meet the needs of the LEA and can take any variety of forms, including on-line resources, documents, coaching, mentoring, and training of trainers or leader teams. In addition, Maine DOE regularly communicates with LEA's regarding current issues and offers guidance in a publication called the Maine DOE Update.</w:t>
      </w:r>
      <w:r w:rsidRPr="005C29F8">
        <w:rPr>
          <w:rFonts w:cs="Arial"/>
          <w:color w:val="000000" w:themeColor="text1"/>
          <w:szCs w:val="16"/>
        </w:rPr>
        <w:br/>
      </w:r>
      <w:r w:rsidRPr="005C29F8">
        <w:rPr>
          <w:rFonts w:cs="Arial"/>
          <w:color w:val="000000" w:themeColor="text1"/>
          <w:szCs w:val="16"/>
        </w:rPr>
        <w:br/>
        <w:t xml:space="preserve">Office Hours:  In an effort to support the field, the Special Services team maintained Office Hours from March to June, 2020. Office Hours lasted approximately 60 minutes each and incorporated a variety of topics which included:  Providing Special Education During COVID-19, Post-Secondary and Transition Planning, Data Collection, IEP Development and Accessibility/Engagement, as well as weekly Q&amp;A Updates.  All individuals who participated were issued contact hours. Special Services also offered consistent technical assistance via daily phone duty with a team member and LEA specific trainings, which were generated and organized based on the needs and requests of the LEAs themselves.  </w:t>
      </w:r>
      <w:r w:rsidRPr="005C29F8">
        <w:rPr>
          <w:rFonts w:cs="Arial"/>
          <w:color w:val="000000" w:themeColor="text1"/>
          <w:szCs w:val="16"/>
        </w:rPr>
        <w:br/>
      </w:r>
      <w:r w:rsidRPr="005C29F8">
        <w:rPr>
          <w:rFonts w:cs="Arial"/>
          <w:color w:val="000000" w:themeColor="text1"/>
          <w:szCs w:val="16"/>
        </w:rPr>
        <w:br/>
        <w:t>New Directors Academy: In collaboration with the Maine Administrators of Services for Children with Disabilities (MADSEC) Maine DOE presents a multi-day training for special education directors and CDS regional directors in the field for two years or less. Trainings typically follow an alternating year schedule. By working with MADSEC the department is able to respond to the training needs of the State.</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Professional development, as part of an effective system of general supervision, is directly linked to the SPP and to the improvement activities. Maine DOE and Child Development Services State IEU (CDSSIEU) provides a variety of opportunities to impact performance, from statewide activities to regional trainings, all with a purpose of developing supports that are accessible to LEAs around the state.</w:t>
      </w:r>
      <w:r w:rsidRPr="005C29F8">
        <w:rPr>
          <w:rFonts w:cs="Arial"/>
          <w:color w:val="000000" w:themeColor="text1"/>
          <w:szCs w:val="16"/>
        </w:rPr>
        <w:br/>
      </w:r>
      <w:r w:rsidRPr="005C29F8">
        <w:rPr>
          <w:rFonts w:cs="Arial"/>
          <w:color w:val="000000" w:themeColor="text1"/>
          <w:szCs w:val="16"/>
        </w:rPr>
        <w:br/>
        <w:t>Maine DOE Office of Special Services and CDSSIEU contracts and enters into working relationships with technical assistance and dissemination resources regionally and nationally to provide evidence-based practice professional development to educators and educator leaders, parents, and interested parties. Maine continues to access support from the National Technical Assistance Center for Transition (NTACT) to improve indicator B-13 compliance. NTACT has also assisted in the dissemination of professional development addressing standards aligned IEP development. In addition, Maine DOE continues to use federal funds to support the Maine Autism Institute for Education and Research (MAIER). MAIER provides TA to leader teams that operate in the LEA's.</w:t>
      </w:r>
      <w:r w:rsidRPr="005C29F8">
        <w:rPr>
          <w:rFonts w:cs="Arial"/>
          <w:color w:val="000000" w:themeColor="text1"/>
          <w:szCs w:val="16"/>
        </w:rPr>
        <w:br/>
      </w:r>
      <w:r w:rsidRPr="005C29F8">
        <w:rPr>
          <w:rFonts w:cs="Arial"/>
          <w:color w:val="000000" w:themeColor="text1"/>
          <w:szCs w:val="16"/>
        </w:rPr>
        <w:br/>
        <w:t>All contractors providing technical assistance to regional sites in the State are supported by national technical assistance centers in order to provide the most current practice available. All work done by contracted individuals must be consistent with Office of Special Education Programs (OSEP) SPP and APR indicators as well as Maine Unified Special Education Regulations (MUSER).</w:t>
      </w:r>
      <w:r w:rsidRPr="005C29F8">
        <w:rPr>
          <w:rFonts w:cs="Arial"/>
          <w:color w:val="000000" w:themeColor="text1"/>
          <w:szCs w:val="16"/>
        </w:rPr>
        <w:br/>
      </w:r>
      <w:r w:rsidRPr="005C29F8">
        <w:rPr>
          <w:rFonts w:cs="Arial"/>
          <w:color w:val="000000" w:themeColor="text1"/>
          <w:szCs w:val="16"/>
        </w:rPr>
        <w:br/>
        <w:t>State Systemic Improvement Plan (SSIP). Maine's SSIP, entitled Math4ME, provides professional development on math content and evidence-based teaching practices to instructors who teach math to students with disabilities. Trained teachers additionally receive coaching during the school year from a Teacher-Leader who has received advanced training on math content and pedagogy. Details of the Math4ME initiative are described in Indicator 17 of the Annual Performance Report.</w:t>
      </w:r>
    </w:p>
    <w:p w14:paraId="0D25C7E9" w14:textId="5F221B54" w:rsidR="00AF5649" w:rsidRPr="005C29F8" w:rsidRDefault="00AF5649" w:rsidP="004369B2">
      <w:pPr>
        <w:rPr>
          <w:color w:val="000000" w:themeColor="text1"/>
        </w:rPr>
      </w:pPr>
      <w:r w:rsidRPr="005C29F8">
        <w:rPr>
          <w:b/>
          <w:color w:val="000000" w:themeColor="text1"/>
        </w:rPr>
        <w:lastRenderedPageBreak/>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IDEA requires that each state establish a State Advisory Panel for the purpose of providing policy guidance with respect to special education and related services for children with disabilities in the State. Membership is specified in the federal regulations and a majority of the members must be individuals with disabilities or parents of children with disabilities (ages birth through 26). The Part B State Advisory Panel provides advice on the implementation of the IDEA program (Part B) that serves children with disabilities from age three to 20. Members are appointed by the Governor. The panel consists of 13 people: two parents of children with disabilities (ages birth through 26); an individual with a disability; a teacher; a representative of an institution of higher education that prepares special education/related services personnel; a State official who carries out activities under subtitle B of Title VII of the McKinney-Vento Homeless Assistance Act; two administrators of programs for children with disabilities; a representative of a State agency (Department of Health and Human Services) involved in the financing or delivery of related services to children with disabilities; a representative of a public charter school; a representative of a vocational, community or business organization concerned with the provision of transition services to children with disabilities; a representative from the State child welfare agency responsible for foster care; and a representative from the State juvenile and adult corrections agencies. A majority of the members of the panel must be individuals with disabilities or parents of children with disabilities (ages birth through 26). Among the members is an individual who represents the SAP on the State Systemic Improvement Plan stakeholder group. The SAP is a strong representation of community stakeholders. </w:t>
      </w:r>
      <w:r w:rsidRPr="005C29F8">
        <w:rPr>
          <w:rFonts w:cs="Arial"/>
          <w:color w:val="000000" w:themeColor="text1"/>
          <w:szCs w:val="16"/>
        </w:rPr>
        <w:br/>
      </w:r>
      <w:r w:rsidRPr="005C29F8">
        <w:rPr>
          <w:rFonts w:cs="Arial"/>
          <w:color w:val="000000" w:themeColor="text1"/>
          <w:szCs w:val="16"/>
        </w:rPr>
        <w:br/>
        <w:t>The director of the Maine DOE Office of Special Services met with the SAP during their quarterly meetings throughout FFY2019. Members were informed of department priorities and current issues and advice was sought from the membership for the Maine DOE to consider in legislation, rule-making, procedures and reporting. Topics included revisions to the Maine Unified Special Education Regulations, the State Systemic Improvement Plan, Significant Disproportionality Policy, and SPP/APR target-setting.</w:t>
      </w:r>
      <w:r w:rsidRPr="005C29F8">
        <w:rPr>
          <w:rFonts w:cs="Arial"/>
          <w:color w:val="000000" w:themeColor="text1"/>
          <w:szCs w:val="16"/>
        </w:rPr>
        <w:br/>
      </w:r>
      <w:r w:rsidRPr="005C29F8">
        <w:rPr>
          <w:rFonts w:cs="Arial"/>
          <w:color w:val="000000" w:themeColor="text1"/>
          <w:szCs w:val="16"/>
        </w:rPr>
        <w:br/>
        <w:t xml:space="preserve">Target-setting activities for the new SSIP consisted of series of meetings of the SAP membership in 2013 and 2014 during which members were informed of the development of the new State Performance Plan and the new alignment of indicators. These meetings included input from the public. Past performance for each indicator in the first year with comparable consistent measurement with the baseline was identified. Possible targets were suggested based on performance trajectories from previous years. Maine DOE staff members, including the director, data manager and SPP/APR coordinator, were available to answer any statistical or practical questions related to the indicators, past performance, or the analysis leading to suggestions of targets. SAP members discussed priorities and arrived at recommendations for targets for all results indicators (except B-17) for the life of the SPP. Additionally, in December, 2019, SAP members met to review all results indicator historical data and targets and recommended an extension of all results indicator targets for FFY2019. </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Public reporting on LEA performance is a critical provision in ensuring accountability and focusing on improved results for children with disabilities. All LEAs receive and review, on a yearly basis, a letter with their determination status, the rubric “Local Determination Levels Assistance and Enforcement”, and the LEA profile. The profiles provide indicator-specific performance and compliance data to the LEA and to the public for use in program improvement. The LEA profiles are used as the basis for determinations of LEA program performance. Each indicator is evaluated for level of determination to provide the LEA with measurement-specific feedback on their implementation of IDEA with regard to State Performance Plan (SPP) indicators. The individual determinations are then used to develop an overall determination with respect to the requirements of the SPP in one of the four required categories: Meets Requirements; Needs Assistance; Needs Intervention; or Needs Substantial Intervention. These determinations set the level of support and intervention provided and define areas of required action and follow-up.</w:t>
      </w:r>
      <w:r w:rsidRPr="005C29F8">
        <w:rPr>
          <w:rFonts w:cs="Arial"/>
          <w:color w:val="000000" w:themeColor="text1"/>
          <w:szCs w:val="16"/>
        </w:rPr>
        <w:br/>
      </w:r>
      <w:r w:rsidRPr="005C29F8">
        <w:rPr>
          <w:rFonts w:cs="Arial"/>
          <w:color w:val="000000" w:themeColor="text1"/>
          <w:szCs w:val="16"/>
        </w:rPr>
        <w:br/>
        <w:t>A complete copy of Maine’s FFY2018 APR, FFY2018 LEA determinations, and FFY2018 performance of LEAs on the SPP/APR targets are posted on the following webpage: https://www.maine.gov/doe/learning</w:t>
      </w:r>
      <w:r w:rsidRPr="005C29F8">
        <w:rPr>
          <w:rFonts w:cs="Arial"/>
          <w:color w:val="000000" w:themeColor="text1"/>
          <w:szCs w:val="16"/>
        </w:rPr>
        <w:br/>
        <w:t>/specialed/data/public. Additionally, student assessment data are available on the following wepage: https://www.maine.gov/doe/Testing_Accountability/MECAS/results.</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Maine will report FFY 2019 SSIP SIMR data, implementation activities, measures and outcomes achieved, a summary of the coherent improvement strategies, and supporting data demonstrating implementation of these activities under Indicator 17.</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States may report data for children with disabilities using either the four-year adjusted cohort graduation rate required under the ESEA or an extended-year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extended-year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66.02%</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70.97%</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73.88%</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72.37%</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72.46%</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73.55%</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90.00%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 xml:space="preserve">IDEA requires that each state establish a State Advisory Panel for the purpose of providing policy guidance with respect to special education and related services for children with disabilities in the State. Membership is specified in the federal regulations and a majority of the members must be individuals with disabilities or parents of children with disabilities (ages birth through 26). The Part B State Advisory Panel provides advice on the implementation of the IDEA program (Part B) that serves children with disabilities from age three to 20. Members are appointed by the Governor. The panel consists of 13 people: two parents of children with disabilities (ages birth through 26); an individual with a disability; a teacher; a representative of an institution of higher education that prepares special education/related services personnel; a State official who carries out activities under subtitle B of Title VII of the McKinney-Vento Homeless Assistance Act; two administrators of programs for children with disabilities; a representative of a State agency (Department of Health and Human Services) involved in the financing or delivery of related services to children with disabilities; a representative of a public charter school; a representative of a vocational, community or business organization concerned with the provision of transition services to children with disabilities; a representative from the State child welfare agency responsible for foster care; and a representative from the State juvenile and adult corrections agencies. A majority of the members of the panel must be individuals with disabilities or parents of children with disabilities (ages birth through 26). Among the members is an individual who represents the SAP on the State Systemic Improvement Plan stakeholder group. The SAP is a strong representation of community stakeholders. </w:t>
      </w:r>
      <w:r w:rsidRPr="005C29F8">
        <w:rPr>
          <w:rFonts w:cs="Arial"/>
          <w:color w:val="000000" w:themeColor="text1"/>
          <w:szCs w:val="16"/>
        </w:rPr>
        <w:br/>
      </w:r>
      <w:r w:rsidRPr="005C29F8">
        <w:rPr>
          <w:rFonts w:cs="Arial"/>
          <w:color w:val="000000" w:themeColor="text1"/>
          <w:szCs w:val="16"/>
        </w:rPr>
        <w:br/>
        <w:t>The director of the Maine DOE Office of Special Services met with the SAP during their quarterly meetings throughout FFY2019. Members were informed of department priorities and current issues and advice was sought from the membership for the Maine DOE to consider in legislation, rule-making, procedures and reporting. Topics included revisions to the Maine Unified Special Education Regulations, the State Systemic Improvement Plan, Significant Disproportionality Policy, and SPP/APR target-setting.</w:t>
      </w:r>
      <w:r w:rsidRPr="005C29F8">
        <w:rPr>
          <w:rFonts w:cs="Arial"/>
          <w:color w:val="000000" w:themeColor="text1"/>
          <w:szCs w:val="16"/>
        </w:rPr>
        <w:br/>
      </w:r>
      <w:r w:rsidRPr="005C29F8">
        <w:rPr>
          <w:rFonts w:cs="Arial"/>
          <w:color w:val="000000" w:themeColor="text1"/>
          <w:szCs w:val="16"/>
        </w:rPr>
        <w:br/>
        <w:t xml:space="preserve">Target-setting activities for the new SSIP consisted of series of meetings of the SAP membership in 2013 and 2014 during which members were informed of the development of the new State Performance Plan and the new alignment of indicators. These meetings included input from the public. Past performance for each indicator in the first year with comparable consistent measurement with the baseline was identified. Possible targets were suggested based on performance trajectories from previous years. Maine DOE staff members, including the director, data manager and SPP/APR coordinator, were available to answer any statistical or practical questions related to the indicators, past performance, or the analysis leading to suggestions of targets. SAP members discussed priorities and arrived at recommendations for targets for all results indicators (except B-17) for the life of the SPP. Additionally, in December, 2019, SAP members met to review all results indicator historical data and targets and recommended an extension of all results indicator targets for FFY2019. </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11A5B241" w:rsidR="00866B4D" w:rsidRPr="005C29F8" w:rsidRDefault="00C07FCF" w:rsidP="00A018D4">
            <w:pPr>
              <w:jc w:val="center"/>
              <w:rPr>
                <w:rFonts w:cs="Arial"/>
                <w:color w:val="000000" w:themeColor="text1"/>
                <w:szCs w:val="16"/>
              </w:rPr>
            </w:pPr>
            <w:r>
              <w:rPr>
                <w:rFonts w:cs="Arial"/>
                <w:color w:val="000000" w:themeColor="text1"/>
                <w:szCs w:val="16"/>
              </w:rPr>
              <w:t>*</w:t>
            </w:r>
            <w:bookmarkStart w:id="3" w:name="_Ref78285572"/>
            <w:r>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2,838</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(EDFacts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34947A1E" w:rsidR="00866B4D" w:rsidRPr="005C29F8" w:rsidRDefault="002B7490" w:rsidP="00A018D4">
            <w:pPr>
              <w:jc w:val="center"/>
              <w:rPr>
                <w:rFonts w:cs="Arial"/>
                <w:color w:val="000000" w:themeColor="text1"/>
                <w:szCs w:val="16"/>
              </w:rPr>
            </w:pPr>
            <w:r w:rsidRPr="005C29F8">
              <w:rPr>
                <w:rFonts w:cs="Arial"/>
                <w:color w:val="000000" w:themeColor="text1"/>
                <w:szCs w:val="16"/>
              </w:rPr>
              <w:t>7</w:t>
            </w:r>
            <w:r w:rsidR="00C07FCF">
              <w:rPr>
                <w:rFonts w:cs="Arial"/>
                <w:color w:val="000000" w:themeColor="text1"/>
                <w:szCs w:val="16"/>
              </w:rPr>
              <w:t>3</w:t>
            </w:r>
            <w:r w:rsidRPr="005C29F8">
              <w:rPr>
                <w:rFonts w:cs="Arial"/>
                <w:color w:val="000000" w:themeColor="text1"/>
                <w:szCs w:val="16"/>
              </w:rPr>
              <w:t>%</w:t>
            </w:r>
            <w:bookmarkStart w:id="4" w:name="_Ref78285577"/>
            <w:r w:rsidR="00C656BF">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04199276" w:rsidR="0098478C" w:rsidRPr="005C29F8" w:rsidRDefault="00C07FCF" w:rsidP="00A018D4">
            <w:pPr>
              <w:jc w:val="center"/>
              <w:rPr>
                <w:rFonts w:cs="Arial"/>
                <w:color w:val="000000" w:themeColor="text1"/>
                <w:szCs w:val="16"/>
              </w:rPr>
            </w:pPr>
            <w:r>
              <w:rPr>
                <w:rFonts w:cs="Arial"/>
                <w:color w:val="000000" w:themeColor="text1"/>
                <w:szCs w:val="16"/>
              </w:rPr>
              <w:t>*</w:t>
            </w:r>
            <w:r w:rsidR="00C656BF" w:rsidRPr="00C656BF">
              <w:rPr>
                <w:rFonts w:cs="Arial"/>
                <w:color w:val="000000" w:themeColor="text1"/>
                <w:szCs w:val="16"/>
                <w:vertAlign w:val="superscript"/>
              </w:rPr>
              <w:fldChar w:fldCharType="begin"/>
            </w:r>
            <w:r w:rsidR="00C656BF" w:rsidRPr="00C656BF">
              <w:rPr>
                <w:rFonts w:cs="Arial"/>
                <w:color w:val="000000" w:themeColor="text1"/>
                <w:szCs w:val="16"/>
                <w:vertAlign w:val="superscript"/>
              </w:rPr>
              <w:instrText xml:space="preserve"> NOTEREF _Ref78285572 \h </w:instrText>
            </w:r>
            <w:r w:rsidR="00C656BF">
              <w:rPr>
                <w:rFonts w:cs="Arial"/>
                <w:color w:val="000000" w:themeColor="text1"/>
                <w:szCs w:val="16"/>
                <w:vertAlign w:val="superscript"/>
              </w:rPr>
              <w:instrText xml:space="preserve"> \* MERGEFORMAT </w:instrText>
            </w:r>
            <w:r w:rsidR="00C656BF" w:rsidRPr="00C656BF">
              <w:rPr>
                <w:rFonts w:cs="Arial"/>
                <w:color w:val="000000" w:themeColor="text1"/>
                <w:szCs w:val="16"/>
                <w:vertAlign w:val="superscript"/>
              </w:rPr>
            </w:r>
            <w:r w:rsidR="00C656BF" w:rsidRPr="00C656BF">
              <w:rPr>
                <w:rFonts w:cs="Arial"/>
                <w:color w:val="000000" w:themeColor="text1"/>
                <w:szCs w:val="16"/>
                <w:vertAlign w:val="superscript"/>
              </w:rPr>
              <w:fldChar w:fldCharType="separate"/>
            </w:r>
            <w:r w:rsidR="00C656BF" w:rsidRPr="00C656BF">
              <w:rPr>
                <w:rFonts w:cs="Arial"/>
                <w:color w:val="000000" w:themeColor="text1"/>
                <w:szCs w:val="16"/>
                <w:vertAlign w:val="superscript"/>
              </w:rPr>
              <w:t>1</w:t>
            </w:r>
            <w:r w:rsidR="00C656BF" w:rsidRPr="00C656BF">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2,838</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73.55%</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90.00%</w:t>
            </w:r>
          </w:p>
        </w:tc>
        <w:tc>
          <w:tcPr>
            <w:tcW w:w="633" w:type="pct"/>
            <w:shd w:val="clear" w:color="auto" w:fill="auto"/>
          </w:tcPr>
          <w:p w14:paraId="4A53AF2D" w14:textId="64147B07" w:rsidR="0098478C" w:rsidRPr="005C29F8" w:rsidRDefault="002B7490" w:rsidP="00A018D4">
            <w:pPr>
              <w:jc w:val="center"/>
              <w:rPr>
                <w:rFonts w:cs="Arial"/>
                <w:color w:val="000000" w:themeColor="text1"/>
                <w:szCs w:val="16"/>
              </w:rPr>
            </w:pPr>
            <w:r w:rsidRPr="005C29F8">
              <w:rPr>
                <w:rFonts w:cs="Arial"/>
                <w:color w:val="000000" w:themeColor="text1"/>
                <w:szCs w:val="16"/>
              </w:rPr>
              <w:t>7</w:t>
            </w:r>
            <w:r w:rsidR="00C07FCF">
              <w:rPr>
                <w:rFonts w:cs="Arial"/>
                <w:color w:val="000000" w:themeColor="text1"/>
                <w:szCs w:val="16"/>
              </w:rPr>
              <w:t>3</w:t>
            </w:r>
            <w:r w:rsidRPr="005C29F8">
              <w:rPr>
                <w:rFonts w:cs="Arial"/>
                <w:color w:val="000000" w:themeColor="text1"/>
                <w:szCs w:val="16"/>
              </w:rPr>
              <w:t>%</w:t>
            </w:r>
            <w:r w:rsidR="00C656BF" w:rsidRPr="00C656BF">
              <w:rPr>
                <w:rFonts w:cs="Arial"/>
                <w:color w:val="000000" w:themeColor="text1"/>
                <w:szCs w:val="16"/>
                <w:vertAlign w:val="superscript"/>
              </w:rPr>
              <w:fldChar w:fldCharType="begin"/>
            </w:r>
            <w:r w:rsidR="00C656BF" w:rsidRPr="00C656BF">
              <w:rPr>
                <w:rFonts w:cs="Arial"/>
                <w:color w:val="000000" w:themeColor="text1"/>
                <w:szCs w:val="16"/>
                <w:vertAlign w:val="superscript"/>
              </w:rPr>
              <w:instrText xml:space="preserve"> NOTEREF _Ref78285577 \h </w:instrText>
            </w:r>
            <w:r w:rsidR="00C656BF">
              <w:rPr>
                <w:rFonts w:cs="Arial"/>
                <w:color w:val="000000" w:themeColor="text1"/>
                <w:szCs w:val="16"/>
                <w:vertAlign w:val="superscript"/>
              </w:rPr>
              <w:instrText xml:space="preserve"> \* MERGEFORMAT </w:instrText>
            </w:r>
            <w:r w:rsidR="00C656BF" w:rsidRPr="00C656BF">
              <w:rPr>
                <w:rFonts w:cs="Arial"/>
                <w:color w:val="000000" w:themeColor="text1"/>
                <w:szCs w:val="16"/>
                <w:vertAlign w:val="superscript"/>
              </w:rPr>
            </w:r>
            <w:r w:rsidR="00C656BF" w:rsidRPr="00C656BF">
              <w:rPr>
                <w:rFonts w:cs="Arial"/>
                <w:color w:val="000000" w:themeColor="text1"/>
                <w:szCs w:val="16"/>
                <w:vertAlign w:val="superscript"/>
              </w:rPr>
              <w:fldChar w:fldCharType="separate"/>
            </w:r>
            <w:r w:rsidR="00C656BF" w:rsidRPr="00C656BF">
              <w:rPr>
                <w:rFonts w:cs="Arial"/>
                <w:color w:val="000000" w:themeColor="text1"/>
                <w:szCs w:val="16"/>
                <w:vertAlign w:val="superscript"/>
              </w:rPr>
              <w:t>2</w:t>
            </w:r>
            <w:r w:rsidR="00C656BF" w:rsidRPr="00C656BF">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The standards for obtaining a high school diploma are outlined in Maine statute 20-A Section 4722, which can be found here: http://legislature.maine.gov/legis/statutes/20-A/title20-Asec4722.html. These standards include required numbers of courses in English, Social Studies, Mathematics, Science, and Fine Arts, and the availability of multiple pathways for demonstrating achievement of standards in these academic areas. Standards do not differ for students with IEPs; all students must meet the same requirements to graduate with a regular high school diploma.</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D145D" w:rsidP="000E33D0">
      <w:pPr>
        <w:rPr>
          <w:rFonts w:cs="Arial"/>
          <w:color w:val="000000" w:themeColor="text1"/>
          <w:szCs w:val="16"/>
        </w:rPr>
      </w:pP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States must report a percentage using the number of youth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2013</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19.83%</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19.83%</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19.80%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19.80%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19.00%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19.00%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18.55%</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16.15%</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17.23%</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14.35%</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16.39%</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19.00%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 xml:space="preserve">IDEA requires that each state establish a State Advisory Panel for the purpose of providing policy guidance with respect to special education and related services for children with disabilities in the State. Membership is specified in the federal regulations and a majority of the members must be individuals with disabilities or parents of children with disabilities (ages birth through 26). The Part B State Advisory Panel provides advice on the implementation of the IDEA program (Part B) that serves children with disabilities from age three to 20. Members are appointed by the Governor. The panel consists of 13 people: two parents of children with disabilities (ages birth through 26); an individual with a disability; a teacher; a representative of an institution of higher education that prepares special education/related services personnel; a State official who carries out activities under subtitle B of Title VII of the McKinney-Vento Homeless Assistance Act; two administrators of programs for children with disabilities; a representative of a State agency (Department of Health and Human Services) involved in the financing or delivery of related services to children with disabilities; a representative of a public charter school; a representative of a vocational, community or business organization concerned with the provision of transition services to children with disabilities; a representative from the State child welfare agency responsible for foster care; and a representative from the State juvenile and adult corrections agencies. A majority of the members of the panel must be individuals with disabilities or parents of children with disabilities (ages birth through 26). Among the members is an individual who represents the SAP on the State Systemic Improvement Plan stakeholder group. The SAP is a </w:t>
      </w:r>
      <w:r w:rsidRPr="005C29F8">
        <w:rPr>
          <w:rFonts w:cs="Arial"/>
          <w:color w:val="000000" w:themeColor="text1"/>
          <w:szCs w:val="16"/>
        </w:rPr>
        <w:lastRenderedPageBreak/>
        <w:t xml:space="preserve">strong representation of community stakeholders. </w:t>
      </w:r>
      <w:r w:rsidRPr="005C29F8">
        <w:rPr>
          <w:rFonts w:cs="Arial"/>
          <w:color w:val="000000" w:themeColor="text1"/>
          <w:szCs w:val="16"/>
        </w:rPr>
        <w:br/>
      </w:r>
      <w:r w:rsidRPr="005C29F8">
        <w:rPr>
          <w:rFonts w:cs="Arial"/>
          <w:color w:val="000000" w:themeColor="text1"/>
          <w:szCs w:val="16"/>
        </w:rPr>
        <w:br/>
        <w:t>The director of the Maine DOE Office of Special Services met with the SAP during their quarterly meetings throughout FFY2019. Members were informed of department priorities and current issues and advice was sought from the membership for the Maine DOE to consider in legislation, rule-making, procedures and reporting. Topics included revisions to the Maine Unified Special Education Regulations, the State Systemic Improvement Plan, Significant Disproportionality Policy, and SPP/APR target-setting.</w:t>
      </w:r>
      <w:r w:rsidRPr="005C29F8">
        <w:rPr>
          <w:rFonts w:cs="Arial"/>
          <w:color w:val="000000" w:themeColor="text1"/>
          <w:szCs w:val="16"/>
        </w:rPr>
        <w:br/>
      </w:r>
      <w:r w:rsidRPr="005C29F8">
        <w:rPr>
          <w:rFonts w:cs="Arial"/>
          <w:color w:val="000000" w:themeColor="text1"/>
          <w:szCs w:val="16"/>
        </w:rPr>
        <w:br/>
        <w:t xml:space="preserve">Target-setting activities for the new SSIP consisted of series of meetings of the SAP membership in 2013 and 2014 during which members were informed of the development of the new State Performance Plan and the new alignment of indicators. These meetings included input from the public. Past performance for each indicator in the first year with comparable consistent measurement with the baseline was identified. Possible targets were suggested based on performance trajectories from previous years. Maine DOE staff members, including the director, data manager and SPP/APR coordinator, were available to answer any statistical or practical questions related to the indicators, past performance, or the analysis leading to suggestions of targets. SAP members discussed priorities and arrived at recommendations for targets for all results indicators (except B-17) for the life of the SPP. Additionally, in December, 2019, SAP members met to review all results indicator historical data and targets and recommended an extension of all results indicator targets for FFY2019. </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1,648</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20</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366</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10</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366</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2,044</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16.39%</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19.00%</w:t>
            </w:r>
          </w:p>
        </w:tc>
        <w:tc>
          <w:tcPr>
            <w:tcW w:w="569" w:type="pct"/>
            <w:shd w:val="clear" w:color="auto" w:fill="auto"/>
          </w:tcPr>
          <w:p w14:paraId="64E2814C" w14:textId="135DB5EE" w:rsidR="00C96339" w:rsidRPr="005C29F8" w:rsidRDefault="002B7490" w:rsidP="00A018D4">
            <w:pPr>
              <w:jc w:val="center"/>
              <w:rPr>
                <w:rFonts w:cs="Arial"/>
                <w:color w:val="000000" w:themeColor="text1"/>
                <w:szCs w:val="16"/>
              </w:rPr>
            </w:pPr>
            <w:r w:rsidRPr="005C29F8">
              <w:rPr>
                <w:rFonts w:cs="Arial"/>
                <w:color w:val="000000" w:themeColor="text1"/>
                <w:szCs w:val="16"/>
              </w:rPr>
              <w:t>17.91%</w:t>
            </w: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Maine uses the same calculation as that used in 618 IDEA reporting: [ (The number of youth with IEPs ages 14 through 20 who exited special education due to dropping out / The number of youth with IEPs ages 14 through 20 who left high school for the reasons listed below) * 100 ]. Students are counted as dropping out when identified with one of the following exit reasons: dropped out, status unknown, and moved, not known to be continuing. The reasons for which students with IEPs may have left school are: graduating with a regular high school diploma, reaching maximum age, dropping out, and death.</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r w:rsidRPr="005C29F8">
        <w:rPr>
          <w:b/>
          <w:color w:val="000000" w:themeColor="text1"/>
        </w:rPr>
        <w:t>Provide additional information about this indicator (optional)</w:t>
      </w:r>
    </w:p>
    <w:p w14:paraId="4492AB5A" w14:textId="63C5DA7E" w:rsidR="00A869E9" w:rsidRPr="005C29F8" w:rsidRDefault="00A869E9" w:rsidP="000E33D0">
      <w:pPr>
        <w:rPr>
          <w:rFonts w:cs="Arial"/>
          <w:color w:val="000000" w:themeColor="text1"/>
          <w:szCs w:val="16"/>
        </w:rPr>
      </w:pP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lastRenderedPageBreak/>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3B. Same data as used for reporting to the Department under Title I of the ESEA, using EDFacts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3-8</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p>
        </w:tc>
      </w:tr>
      <w:tr w:rsidR="005C29F8" w:rsidRPr="005C29F8" w14:paraId="26536D6C" w14:textId="77777777" w:rsidTr="00044B5C">
        <w:trPr>
          <w:trHeight w:val="361"/>
        </w:trPr>
        <w:tc>
          <w:tcPr>
            <w:tcW w:w="270" w:type="pct"/>
            <w:shd w:val="clear" w:color="auto" w:fill="auto"/>
            <w:vAlign w:val="center"/>
          </w:tcPr>
          <w:p w14:paraId="5CDAFFC0" w14:textId="3F4A960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tcPr>
          <w:p w14:paraId="58925CBD" w14:textId="468520DA" w:rsidR="00421D14" w:rsidRPr="005C29F8" w:rsidRDefault="00421D14" w:rsidP="004E2151">
            <w:pPr>
              <w:pStyle w:val="Default"/>
              <w:jc w:val="center"/>
              <w:rPr>
                <w:color w:val="000000" w:themeColor="text1"/>
                <w:sz w:val="16"/>
                <w:szCs w:val="16"/>
              </w:rPr>
            </w:pPr>
            <w:r w:rsidRPr="005C29F8">
              <w:rPr>
                <w:color w:val="000000" w:themeColor="text1"/>
                <w:sz w:val="16"/>
                <w:szCs w:val="16"/>
              </w:rPr>
              <w:t>High School</w:t>
            </w:r>
          </w:p>
        </w:tc>
        <w:tc>
          <w:tcPr>
            <w:tcW w:w="394" w:type="pct"/>
            <w:shd w:val="clear" w:color="auto" w:fill="auto"/>
          </w:tcPr>
          <w:p w14:paraId="01FC9F66" w14:textId="13CAD9D5"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7BAC46" w14:textId="0B18E51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8CD751" w14:textId="29138617"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2D1FC3" w14:textId="3802A28C" w:rsidR="00421D14" w:rsidRPr="005C29F8" w:rsidRDefault="00421D14" w:rsidP="004E2151">
            <w:pPr>
              <w:pStyle w:val="Default"/>
              <w:jc w:val="center"/>
              <w:rPr>
                <w:b/>
                <w:color w:val="000000" w:themeColor="text1"/>
                <w:sz w:val="16"/>
                <w:szCs w:val="16"/>
              </w:rPr>
            </w:pPr>
          </w:p>
        </w:tc>
        <w:tc>
          <w:tcPr>
            <w:tcW w:w="394" w:type="pct"/>
            <w:shd w:val="clear" w:color="auto" w:fill="auto"/>
          </w:tcPr>
          <w:p w14:paraId="16282D72" w14:textId="55CB7672" w:rsidR="00421D14" w:rsidRPr="005C29F8" w:rsidRDefault="00421D14" w:rsidP="004E2151">
            <w:pPr>
              <w:pStyle w:val="Default"/>
              <w:jc w:val="center"/>
              <w:rPr>
                <w:b/>
                <w:color w:val="000000" w:themeColor="text1"/>
                <w:sz w:val="16"/>
                <w:szCs w:val="16"/>
              </w:rPr>
            </w:pPr>
          </w:p>
        </w:tc>
        <w:tc>
          <w:tcPr>
            <w:tcW w:w="394" w:type="pct"/>
            <w:shd w:val="clear" w:color="auto" w:fill="auto"/>
          </w:tcPr>
          <w:p w14:paraId="1E642B55" w14:textId="4FF8CB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3DF2935" w14:textId="145F6590"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3C9B1D" w14:textId="010D87CE" w:rsidR="00421D14" w:rsidRPr="005C29F8" w:rsidRDefault="00421D14" w:rsidP="004E2151">
            <w:pPr>
              <w:pStyle w:val="Default"/>
              <w:jc w:val="center"/>
              <w:rPr>
                <w:b/>
                <w:color w:val="000000" w:themeColor="text1"/>
                <w:sz w:val="16"/>
                <w:szCs w:val="16"/>
              </w:rPr>
            </w:pPr>
          </w:p>
        </w:tc>
        <w:tc>
          <w:tcPr>
            <w:tcW w:w="394" w:type="pct"/>
            <w:shd w:val="clear" w:color="auto" w:fill="auto"/>
          </w:tcPr>
          <w:p w14:paraId="67177E9A" w14:textId="3C98B5F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60B656" w14:textId="595AB6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3FB34C" w14:textId="525B9B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Grade 3-8</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2013</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3-8</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98.10%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92.96%</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90.37%</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90.60%</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96.62%</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95.46%</w:t>
            </w:r>
          </w:p>
        </w:tc>
      </w:tr>
      <w:tr w:rsidR="005C29F8" w:rsidRPr="005C29F8" w14:paraId="1CFECF5A" w14:textId="77777777" w:rsidTr="00044B5C">
        <w:trPr>
          <w:trHeight w:val="152"/>
        </w:trPr>
        <w:tc>
          <w:tcPr>
            <w:tcW w:w="331" w:type="pct"/>
            <w:shd w:val="clear" w:color="auto" w:fill="auto"/>
            <w:vAlign w:val="center"/>
          </w:tcPr>
          <w:p w14:paraId="61B25C66"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0890755" w14:textId="33EB3739" w:rsidR="008667B9" w:rsidRPr="005C29F8" w:rsidRDefault="008667B9" w:rsidP="00A018D4">
            <w:pPr>
              <w:jc w:val="center"/>
              <w:rPr>
                <w:rFonts w:cs="Arial"/>
                <w:color w:val="000000" w:themeColor="text1"/>
                <w:szCs w:val="16"/>
              </w:rPr>
            </w:pPr>
            <w:r w:rsidRPr="005C29F8">
              <w:rPr>
                <w:rFonts w:cs="Arial"/>
                <w:color w:val="000000" w:themeColor="text1"/>
                <w:szCs w:val="16"/>
              </w:rPr>
              <w:t>High School</w:t>
            </w:r>
          </w:p>
        </w:tc>
        <w:tc>
          <w:tcPr>
            <w:tcW w:w="501" w:type="pct"/>
            <w:shd w:val="clear" w:color="auto" w:fill="auto"/>
            <w:vAlign w:val="center"/>
          </w:tcPr>
          <w:p w14:paraId="41152A69" w14:textId="77777777" w:rsidR="0052033B" w:rsidRPr="005C29F8" w:rsidRDefault="0052033B">
            <w:pPr>
              <w:spacing w:before="0" w:after="0"/>
              <w:jc w:val="center"/>
              <w:rPr>
                <w:rFonts w:cs="Arial"/>
                <w:color w:val="000000" w:themeColor="text1"/>
                <w:szCs w:val="16"/>
              </w:rPr>
            </w:pPr>
            <w:r w:rsidRPr="005C29F8">
              <w:rPr>
                <w:rFonts w:cs="Arial"/>
                <w:color w:val="000000" w:themeColor="text1"/>
                <w:szCs w:val="16"/>
              </w:rPr>
              <w:t>2013</w:t>
            </w:r>
          </w:p>
          <w:p w14:paraId="1547EC13" w14:textId="59D1ED07"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480F7FFD" w14:textId="657EFB7C"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5ADDB10" w14:textId="5382AAFF"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9" w:type="pct"/>
            <w:shd w:val="clear" w:color="auto" w:fill="auto"/>
            <w:vAlign w:val="bottom"/>
          </w:tcPr>
          <w:p w14:paraId="49B9B999" w14:textId="56E6E881"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9" w:type="pct"/>
            <w:shd w:val="clear" w:color="auto" w:fill="auto"/>
            <w:vAlign w:val="bottom"/>
          </w:tcPr>
          <w:p w14:paraId="7511F2AD" w14:textId="73727DF8"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9" w:type="pct"/>
            <w:shd w:val="clear" w:color="auto" w:fill="auto"/>
            <w:vAlign w:val="bottom"/>
          </w:tcPr>
          <w:p w14:paraId="4C97DDB8" w14:textId="0A577C85"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55" w:type="pct"/>
            <w:shd w:val="clear" w:color="auto" w:fill="auto"/>
            <w:vAlign w:val="bottom"/>
          </w:tcPr>
          <w:p w14:paraId="7921B3E2" w14:textId="5950C3AC"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r>
      <w:tr w:rsidR="005C29F8" w:rsidRPr="005C29F8" w14:paraId="18D01145" w14:textId="77777777" w:rsidTr="00044B5C">
        <w:trPr>
          <w:trHeight w:val="80"/>
        </w:trPr>
        <w:tc>
          <w:tcPr>
            <w:tcW w:w="331" w:type="pct"/>
            <w:shd w:val="clear" w:color="auto" w:fill="auto"/>
            <w:vAlign w:val="center"/>
          </w:tcPr>
          <w:p w14:paraId="5ACF54D3" w14:textId="64F11CC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EF5FB71" w14:textId="10EB23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High School</w:t>
            </w:r>
          </w:p>
        </w:tc>
        <w:tc>
          <w:tcPr>
            <w:tcW w:w="501" w:type="pct"/>
            <w:shd w:val="clear" w:color="auto" w:fill="auto"/>
            <w:vAlign w:val="center"/>
          </w:tcPr>
          <w:p w14:paraId="20A529C4" w14:textId="21E3B3C6" w:rsidR="0052033B" w:rsidRPr="005C29F8" w:rsidRDefault="0052033B">
            <w:pPr>
              <w:spacing w:before="0" w:after="0"/>
              <w:jc w:val="center"/>
              <w:rPr>
                <w:rFonts w:cs="Arial"/>
                <w:color w:val="000000" w:themeColor="text1"/>
                <w:szCs w:val="16"/>
              </w:rPr>
            </w:pPr>
            <w:r w:rsidRPr="005C29F8">
              <w:rPr>
                <w:rFonts w:cs="Arial"/>
                <w:color w:val="000000" w:themeColor="text1"/>
                <w:szCs w:val="16"/>
              </w:rPr>
              <w:t>90.53%</w:t>
            </w:r>
          </w:p>
        </w:tc>
        <w:tc>
          <w:tcPr>
            <w:tcW w:w="497" w:type="pct"/>
            <w:shd w:val="clear" w:color="auto" w:fill="auto"/>
            <w:vAlign w:val="center"/>
          </w:tcPr>
          <w:p w14:paraId="2DE1BAE5" w14:textId="13460804"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47CBAEA5" w14:textId="561D822C" w:rsidR="00FC7E3A" w:rsidRPr="005C29F8" w:rsidRDefault="00FC7E3A" w:rsidP="00A018D4">
            <w:pPr>
              <w:jc w:val="center"/>
              <w:rPr>
                <w:rFonts w:cs="Arial"/>
                <w:color w:val="000000" w:themeColor="text1"/>
                <w:szCs w:val="16"/>
              </w:rPr>
            </w:pPr>
            <w:r w:rsidRPr="005C29F8">
              <w:rPr>
                <w:rFonts w:cs="Arial"/>
                <w:color w:val="000000" w:themeColor="text1"/>
                <w:szCs w:val="16"/>
              </w:rPr>
              <w:t>62.43%</w:t>
            </w:r>
          </w:p>
        </w:tc>
        <w:tc>
          <w:tcPr>
            <w:tcW w:w="659" w:type="pct"/>
            <w:tcBorders>
              <w:bottom w:val="single" w:sz="4" w:space="0" w:color="auto"/>
            </w:tcBorders>
            <w:shd w:val="clear" w:color="auto" w:fill="auto"/>
            <w:vAlign w:val="bottom"/>
          </w:tcPr>
          <w:p w14:paraId="6BF7C668" w14:textId="7490F0ED" w:rsidR="00FC7E3A" w:rsidRPr="005C29F8" w:rsidRDefault="00FC7E3A" w:rsidP="00A018D4">
            <w:pPr>
              <w:jc w:val="center"/>
              <w:rPr>
                <w:rFonts w:cs="Arial"/>
                <w:color w:val="000000" w:themeColor="text1"/>
                <w:szCs w:val="16"/>
              </w:rPr>
            </w:pPr>
            <w:r w:rsidRPr="005C29F8">
              <w:rPr>
                <w:rFonts w:cs="Arial"/>
                <w:color w:val="000000" w:themeColor="text1"/>
                <w:szCs w:val="16"/>
              </w:rPr>
              <w:t>82.22%</w:t>
            </w:r>
          </w:p>
        </w:tc>
        <w:tc>
          <w:tcPr>
            <w:tcW w:w="659" w:type="pct"/>
            <w:tcBorders>
              <w:bottom w:val="single" w:sz="4" w:space="0" w:color="auto"/>
            </w:tcBorders>
            <w:shd w:val="clear" w:color="auto" w:fill="auto"/>
            <w:vAlign w:val="bottom"/>
          </w:tcPr>
          <w:p w14:paraId="1B837526" w14:textId="34EF072E" w:rsidR="00FC7E3A" w:rsidRPr="005C29F8" w:rsidRDefault="00FC7E3A" w:rsidP="00A018D4">
            <w:pPr>
              <w:jc w:val="center"/>
              <w:rPr>
                <w:rFonts w:cs="Arial"/>
                <w:color w:val="000000" w:themeColor="text1"/>
                <w:szCs w:val="16"/>
              </w:rPr>
            </w:pPr>
            <w:r w:rsidRPr="005C29F8">
              <w:rPr>
                <w:rFonts w:cs="Arial"/>
                <w:color w:val="000000" w:themeColor="text1"/>
                <w:szCs w:val="16"/>
              </w:rPr>
              <w:t>90.35%</w:t>
            </w:r>
          </w:p>
        </w:tc>
        <w:tc>
          <w:tcPr>
            <w:tcW w:w="659" w:type="pct"/>
            <w:tcBorders>
              <w:bottom w:val="single" w:sz="4" w:space="0" w:color="auto"/>
            </w:tcBorders>
            <w:shd w:val="clear" w:color="auto" w:fill="auto"/>
            <w:vAlign w:val="bottom"/>
          </w:tcPr>
          <w:p w14:paraId="1D3205E7" w14:textId="23B6BCE7" w:rsidR="00FC7E3A" w:rsidRPr="005C29F8" w:rsidRDefault="00FC7E3A" w:rsidP="00A018D4">
            <w:pPr>
              <w:jc w:val="center"/>
              <w:rPr>
                <w:rFonts w:cs="Arial"/>
                <w:color w:val="000000" w:themeColor="text1"/>
                <w:szCs w:val="16"/>
              </w:rPr>
            </w:pPr>
            <w:r w:rsidRPr="005C29F8">
              <w:rPr>
                <w:rFonts w:cs="Arial"/>
                <w:color w:val="000000" w:themeColor="text1"/>
                <w:szCs w:val="16"/>
              </w:rPr>
              <w:t>91.09%</w:t>
            </w:r>
          </w:p>
        </w:tc>
        <w:tc>
          <w:tcPr>
            <w:tcW w:w="655" w:type="pct"/>
            <w:tcBorders>
              <w:bottom w:val="single" w:sz="4" w:space="0" w:color="auto"/>
            </w:tcBorders>
            <w:shd w:val="clear" w:color="auto" w:fill="auto"/>
            <w:vAlign w:val="bottom"/>
          </w:tcPr>
          <w:p w14:paraId="23193341" w14:textId="1D8BA1C9" w:rsidR="00FC7E3A" w:rsidRPr="005C29F8" w:rsidRDefault="00FC7E3A" w:rsidP="00A018D4">
            <w:pPr>
              <w:jc w:val="center"/>
              <w:rPr>
                <w:rFonts w:cs="Arial"/>
                <w:color w:val="000000" w:themeColor="text1"/>
                <w:szCs w:val="16"/>
              </w:rPr>
            </w:pPr>
            <w:r w:rsidRPr="005C29F8">
              <w:rPr>
                <w:rFonts w:cs="Arial"/>
                <w:color w:val="000000" w:themeColor="text1"/>
                <w:szCs w:val="16"/>
              </w:rPr>
              <w:t>88.26%</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3-8</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Grade 3-8</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98.05%</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92.51%</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90.30%</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90.63%</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96.62%</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95.45%</w:t>
            </w:r>
          </w:p>
        </w:tc>
      </w:tr>
      <w:tr w:rsidR="005C29F8" w:rsidRPr="005C29F8" w14:paraId="60421105" w14:textId="77777777" w:rsidTr="00044B5C">
        <w:trPr>
          <w:trHeight w:val="152"/>
        </w:trPr>
        <w:tc>
          <w:tcPr>
            <w:tcW w:w="331" w:type="pct"/>
            <w:shd w:val="clear" w:color="auto" w:fill="auto"/>
            <w:vAlign w:val="center"/>
          </w:tcPr>
          <w:p w14:paraId="3903CE61"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2B276572" w14:textId="216BA0C8"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High School</w:t>
            </w:r>
          </w:p>
        </w:tc>
        <w:tc>
          <w:tcPr>
            <w:tcW w:w="500" w:type="pct"/>
            <w:shd w:val="clear" w:color="auto" w:fill="auto"/>
            <w:vAlign w:val="center"/>
          </w:tcPr>
          <w:p w14:paraId="002D8AD0" w14:textId="75A47EF7"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2013</w:t>
            </w:r>
          </w:p>
        </w:tc>
        <w:tc>
          <w:tcPr>
            <w:tcW w:w="455" w:type="pct"/>
            <w:shd w:val="clear" w:color="auto" w:fill="auto"/>
            <w:vAlign w:val="center"/>
          </w:tcPr>
          <w:p w14:paraId="4E7C9F79" w14:textId="42A7B135"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1DFEB2A9" w14:textId="36461240"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41" w:type="pct"/>
            <w:shd w:val="clear" w:color="auto" w:fill="auto"/>
            <w:vAlign w:val="bottom"/>
          </w:tcPr>
          <w:p w14:paraId="4F18BEBB" w14:textId="3936EC7B"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41" w:type="pct"/>
            <w:shd w:val="clear" w:color="auto" w:fill="auto"/>
            <w:vAlign w:val="bottom"/>
          </w:tcPr>
          <w:p w14:paraId="0359F4C3" w14:textId="0B1AEC40"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41" w:type="pct"/>
            <w:shd w:val="clear" w:color="auto" w:fill="auto"/>
            <w:vAlign w:val="bottom"/>
          </w:tcPr>
          <w:p w14:paraId="2D0F94BD" w14:textId="22E60441"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c>
          <w:tcPr>
            <w:tcW w:w="624" w:type="pct"/>
            <w:shd w:val="clear" w:color="auto" w:fill="auto"/>
            <w:vAlign w:val="bottom"/>
          </w:tcPr>
          <w:p w14:paraId="49C9DD78" w14:textId="6D3E0382" w:rsidR="008667B9" w:rsidRPr="005C29F8" w:rsidRDefault="008667B9" w:rsidP="00A018D4">
            <w:pPr>
              <w:jc w:val="center"/>
              <w:rPr>
                <w:rFonts w:cs="Arial"/>
                <w:color w:val="000000" w:themeColor="text1"/>
                <w:szCs w:val="16"/>
              </w:rPr>
            </w:pPr>
            <w:r w:rsidRPr="005C29F8">
              <w:rPr>
                <w:rFonts w:cs="Arial"/>
                <w:color w:val="000000" w:themeColor="text1"/>
                <w:szCs w:val="16"/>
              </w:rPr>
              <w:t>98.00%</w:t>
            </w:r>
          </w:p>
        </w:tc>
      </w:tr>
      <w:tr w:rsidR="005C29F8" w:rsidRPr="005C29F8" w14:paraId="4490B9F1" w14:textId="77777777" w:rsidTr="00044B5C">
        <w:trPr>
          <w:trHeight w:val="80"/>
        </w:trPr>
        <w:tc>
          <w:tcPr>
            <w:tcW w:w="331" w:type="pct"/>
            <w:shd w:val="clear" w:color="auto" w:fill="auto"/>
            <w:vAlign w:val="center"/>
          </w:tcPr>
          <w:p w14:paraId="4097EE6C" w14:textId="171FE086"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1FA279D5" w14:textId="3CF538DD" w:rsidR="004D1EAB" w:rsidRPr="005C29F8" w:rsidRDefault="004D1EAB">
            <w:pPr>
              <w:spacing w:before="0" w:after="0"/>
              <w:jc w:val="center"/>
              <w:rPr>
                <w:rFonts w:cs="Arial"/>
                <w:color w:val="000000" w:themeColor="text1"/>
                <w:szCs w:val="16"/>
              </w:rPr>
            </w:pPr>
            <w:r w:rsidRPr="005C29F8">
              <w:rPr>
                <w:rFonts w:cs="Arial"/>
                <w:color w:val="000000" w:themeColor="text1"/>
                <w:szCs w:val="16"/>
              </w:rPr>
              <w:t>High School</w:t>
            </w:r>
          </w:p>
        </w:tc>
        <w:tc>
          <w:tcPr>
            <w:tcW w:w="500" w:type="pct"/>
            <w:shd w:val="clear" w:color="auto" w:fill="auto"/>
            <w:vAlign w:val="center"/>
          </w:tcPr>
          <w:p w14:paraId="3656E753" w14:textId="6C432C55" w:rsidR="004D1EAB" w:rsidRPr="005C29F8" w:rsidRDefault="004A74D2">
            <w:pPr>
              <w:spacing w:before="0" w:after="0"/>
              <w:jc w:val="center"/>
              <w:rPr>
                <w:rFonts w:cs="Arial"/>
                <w:color w:val="000000" w:themeColor="text1"/>
                <w:szCs w:val="16"/>
              </w:rPr>
            </w:pPr>
            <w:r w:rsidRPr="005C29F8">
              <w:rPr>
                <w:rFonts w:cs="Arial"/>
                <w:color w:val="000000" w:themeColor="text1"/>
                <w:szCs w:val="16"/>
              </w:rPr>
              <w:t>90.58%</w:t>
            </w:r>
          </w:p>
        </w:tc>
        <w:tc>
          <w:tcPr>
            <w:tcW w:w="455" w:type="pct"/>
            <w:shd w:val="clear" w:color="auto" w:fill="auto"/>
            <w:vAlign w:val="center"/>
          </w:tcPr>
          <w:p w14:paraId="7ECB5A98" w14:textId="6E330515"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5A5F7779" w14:textId="0D4429C5" w:rsidR="004D1EAB" w:rsidRPr="005C29F8" w:rsidRDefault="004D1EAB" w:rsidP="00A018D4">
            <w:pPr>
              <w:jc w:val="center"/>
              <w:rPr>
                <w:rFonts w:cs="Arial"/>
                <w:color w:val="000000" w:themeColor="text1"/>
                <w:szCs w:val="16"/>
              </w:rPr>
            </w:pPr>
            <w:r w:rsidRPr="005C29F8">
              <w:rPr>
                <w:rFonts w:cs="Arial"/>
                <w:color w:val="000000" w:themeColor="text1"/>
                <w:szCs w:val="16"/>
              </w:rPr>
              <w:t>61.32%</w:t>
            </w:r>
          </w:p>
        </w:tc>
        <w:tc>
          <w:tcPr>
            <w:tcW w:w="641" w:type="pct"/>
            <w:tcBorders>
              <w:bottom w:val="single" w:sz="4" w:space="0" w:color="auto"/>
            </w:tcBorders>
            <w:shd w:val="clear" w:color="auto" w:fill="auto"/>
            <w:vAlign w:val="bottom"/>
          </w:tcPr>
          <w:p w14:paraId="1B773959" w14:textId="12F13808" w:rsidR="004D1EAB" w:rsidRPr="005C29F8" w:rsidRDefault="004D1EAB" w:rsidP="00A018D4">
            <w:pPr>
              <w:jc w:val="center"/>
              <w:rPr>
                <w:rFonts w:cs="Arial"/>
                <w:color w:val="000000" w:themeColor="text1"/>
                <w:szCs w:val="16"/>
              </w:rPr>
            </w:pPr>
            <w:r w:rsidRPr="005C29F8">
              <w:rPr>
                <w:rFonts w:cs="Arial"/>
                <w:color w:val="000000" w:themeColor="text1"/>
                <w:szCs w:val="16"/>
              </w:rPr>
              <w:t>82.25%</w:t>
            </w:r>
          </w:p>
        </w:tc>
        <w:tc>
          <w:tcPr>
            <w:tcW w:w="641" w:type="pct"/>
            <w:tcBorders>
              <w:bottom w:val="single" w:sz="4" w:space="0" w:color="auto"/>
            </w:tcBorders>
            <w:shd w:val="clear" w:color="auto" w:fill="auto"/>
            <w:vAlign w:val="bottom"/>
          </w:tcPr>
          <w:p w14:paraId="47DFBD62" w14:textId="2829905B" w:rsidR="004D1EAB" w:rsidRPr="005C29F8" w:rsidRDefault="004D1EAB" w:rsidP="00A018D4">
            <w:pPr>
              <w:jc w:val="center"/>
              <w:rPr>
                <w:rFonts w:cs="Arial"/>
                <w:color w:val="000000" w:themeColor="text1"/>
                <w:szCs w:val="16"/>
              </w:rPr>
            </w:pPr>
            <w:r w:rsidRPr="005C29F8">
              <w:rPr>
                <w:rFonts w:cs="Arial"/>
                <w:color w:val="000000" w:themeColor="text1"/>
                <w:szCs w:val="16"/>
              </w:rPr>
              <w:t>90.35%</w:t>
            </w:r>
          </w:p>
        </w:tc>
        <w:tc>
          <w:tcPr>
            <w:tcW w:w="641" w:type="pct"/>
            <w:tcBorders>
              <w:bottom w:val="single" w:sz="4" w:space="0" w:color="auto"/>
            </w:tcBorders>
            <w:shd w:val="clear" w:color="auto" w:fill="auto"/>
            <w:vAlign w:val="bottom"/>
          </w:tcPr>
          <w:p w14:paraId="6D713F53" w14:textId="2A0DBF0E" w:rsidR="004D1EAB" w:rsidRPr="005C29F8" w:rsidRDefault="004D1EAB" w:rsidP="00A018D4">
            <w:pPr>
              <w:jc w:val="center"/>
              <w:rPr>
                <w:rFonts w:cs="Arial"/>
                <w:color w:val="000000" w:themeColor="text1"/>
                <w:szCs w:val="16"/>
              </w:rPr>
            </w:pPr>
            <w:r w:rsidRPr="005C29F8">
              <w:rPr>
                <w:rFonts w:cs="Arial"/>
                <w:color w:val="000000" w:themeColor="text1"/>
                <w:szCs w:val="16"/>
              </w:rPr>
              <w:t>91.09%</w:t>
            </w:r>
          </w:p>
        </w:tc>
        <w:tc>
          <w:tcPr>
            <w:tcW w:w="624" w:type="pct"/>
            <w:tcBorders>
              <w:bottom w:val="single" w:sz="4" w:space="0" w:color="auto"/>
            </w:tcBorders>
            <w:shd w:val="clear" w:color="auto" w:fill="auto"/>
            <w:vAlign w:val="bottom"/>
          </w:tcPr>
          <w:p w14:paraId="2C97547B" w14:textId="2473AA0B" w:rsidR="004D1EAB" w:rsidRPr="005C29F8" w:rsidRDefault="004D1EAB" w:rsidP="00A018D4">
            <w:pPr>
              <w:jc w:val="center"/>
              <w:rPr>
                <w:rFonts w:cs="Arial"/>
                <w:color w:val="000000" w:themeColor="text1"/>
                <w:szCs w:val="16"/>
              </w:rPr>
            </w:pPr>
            <w:r w:rsidRPr="005C29F8">
              <w:rPr>
                <w:rFonts w:cs="Arial"/>
                <w:color w:val="000000" w:themeColor="text1"/>
                <w:szCs w:val="16"/>
              </w:rPr>
              <w:t>88.31%</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3-8</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98.00%</w:t>
            </w:r>
          </w:p>
        </w:tc>
      </w:tr>
      <w:tr w:rsidR="00085D89" w:rsidRPr="005C29F8" w14:paraId="6BD665D1" w14:textId="2EBBD170" w:rsidTr="0033429D">
        <w:tc>
          <w:tcPr>
            <w:tcW w:w="600" w:type="pct"/>
            <w:shd w:val="clear" w:color="auto" w:fill="auto"/>
            <w:vAlign w:val="center"/>
          </w:tcPr>
          <w:p w14:paraId="2A84087F" w14:textId="4E8F495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646C0D6" w14:textId="23685D2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67079A1D" w14:textId="472018C9"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High School</w:t>
            </w:r>
          </w:p>
        </w:tc>
        <w:tc>
          <w:tcPr>
            <w:tcW w:w="2291" w:type="pct"/>
            <w:shd w:val="clear" w:color="auto" w:fill="auto"/>
            <w:vAlign w:val="center"/>
          </w:tcPr>
          <w:p w14:paraId="03609D46" w14:textId="75CA57B6" w:rsidR="00085D89" w:rsidRPr="005C29F8" w:rsidRDefault="00085D89" w:rsidP="00A018D4">
            <w:pPr>
              <w:jc w:val="center"/>
              <w:rPr>
                <w:rFonts w:cs="Arial"/>
                <w:color w:val="000000" w:themeColor="text1"/>
                <w:szCs w:val="16"/>
              </w:rPr>
            </w:pPr>
            <w:r w:rsidRPr="005C29F8">
              <w:rPr>
                <w:rFonts w:cs="Arial"/>
                <w:color w:val="000000" w:themeColor="text1"/>
                <w:szCs w:val="16"/>
              </w:rPr>
              <w:t>98.00%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3-8</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98.00%</w:t>
            </w:r>
          </w:p>
        </w:tc>
      </w:tr>
      <w:tr w:rsidR="00085D89" w:rsidRPr="005C29F8" w14:paraId="26043383" w14:textId="1BB3D0D6" w:rsidTr="0033429D">
        <w:tc>
          <w:tcPr>
            <w:tcW w:w="600" w:type="pct"/>
            <w:shd w:val="clear" w:color="auto" w:fill="auto"/>
            <w:vAlign w:val="center"/>
          </w:tcPr>
          <w:p w14:paraId="2BCD3006" w14:textId="785241B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lastRenderedPageBreak/>
              <w:t>Math</w:t>
            </w:r>
          </w:p>
        </w:tc>
        <w:tc>
          <w:tcPr>
            <w:tcW w:w="482" w:type="pct"/>
            <w:shd w:val="clear" w:color="auto" w:fill="auto"/>
            <w:vAlign w:val="center"/>
          </w:tcPr>
          <w:p w14:paraId="79B80F0C" w14:textId="52C3185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27B1E35D" w14:textId="0FBD6D6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High School</w:t>
            </w:r>
          </w:p>
        </w:tc>
        <w:tc>
          <w:tcPr>
            <w:tcW w:w="2291" w:type="pct"/>
            <w:shd w:val="clear" w:color="auto" w:fill="auto"/>
            <w:vAlign w:val="center"/>
          </w:tcPr>
          <w:p w14:paraId="25263A65" w14:textId="2189A9FC" w:rsidR="00085D89" w:rsidRPr="005C29F8" w:rsidRDefault="00085D89" w:rsidP="00A018D4">
            <w:pPr>
              <w:jc w:val="center"/>
              <w:rPr>
                <w:rFonts w:cs="Arial"/>
                <w:color w:val="000000" w:themeColor="text1"/>
                <w:szCs w:val="16"/>
              </w:rPr>
            </w:pPr>
            <w:r w:rsidRPr="005C29F8">
              <w:rPr>
                <w:rFonts w:cs="Arial"/>
                <w:color w:val="000000" w:themeColor="text1"/>
                <w:szCs w:val="16"/>
              </w:rPr>
              <w:t>98.00%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 xml:space="preserve">IDEA requires that each state establish a State Advisory Panel for the purpose of providing policy guidance with respect to special education and related services for children with disabilities in the State. Membership is specified in the federal regulations and a majority of the members must be individuals with disabilities or parents of children with disabilities (ages birth through 26). The Part B State Advisory Panel provides advice on the implementation of the IDEA program (Part B) that serves children with disabilities from age three to 20. Members are appointed by the Governor. The panel consists of 13 people: two parents of children with disabilities (ages birth through 26); an individual with a disability; a teacher; a representative of an institution of higher education that prepares special education/related services personnel; a State official who carries out activities under subtitle B of Title VII of the McKinney-Vento Homeless Assistance Act; two administrators of programs for children with disabilities; a representative of a State agency (Department of Health and Human Services) involved in the financing or delivery of related services to children with disabilities; a representative of a public charter school; a representative of a vocational, community or business organization concerned with the provision of transition services to children with disabilities; a representative from the State child welfare agency responsible for foster care; and a representative from the State juvenile and adult corrections agencies. A majority of the members of the panel must be individuals with disabilities or parents of children with disabilities (ages birth through 26). Among the members is an individual who represents the SAP on the State Systemic Improvement Plan stakeholder group. The SAP is a strong representation of community stakeholders. </w:t>
      </w:r>
      <w:r w:rsidRPr="005C29F8">
        <w:rPr>
          <w:rFonts w:cs="Arial"/>
          <w:color w:val="000000" w:themeColor="text1"/>
          <w:szCs w:val="16"/>
        </w:rPr>
        <w:br/>
      </w:r>
      <w:r w:rsidRPr="005C29F8">
        <w:rPr>
          <w:rFonts w:cs="Arial"/>
          <w:color w:val="000000" w:themeColor="text1"/>
          <w:szCs w:val="16"/>
        </w:rPr>
        <w:br/>
        <w:t>The director of the Maine DOE Office of Special Services met with the SAP during their quarterly meetings throughout FFY2019. Members were informed of department priorities and current issues and advice was sought from the membership for the Maine DOE to consider in legislation, rule-making, procedures and reporting. Topics included revisions to the Maine Unified Special Education Regulations, the State Systemic Improvement Plan, Significant Disproportionality Policy, and SPP/APR target-setting.</w:t>
      </w:r>
      <w:r w:rsidRPr="005C29F8">
        <w:rPr>
          <w:rFonts w:cs="Arial"/>
          <w:color w:val="000000" w:themeColor="text1"/>
          <w:szCs w:val="16"/>
        </w:rPr>
        <w:br/>
      </w:r>
      <w:r w:rsidRPr="005C29F8">
        <w:rPr>
          <w:rFonts w:cs="Arial"/>
          <w:color w:val="000000" w:themeColor="text1"/>
          <w:szCs w:val="16"/>
        </w:rPr>
        <w:br/>
        <w:t xml:space="preserve">Target-setting activities for the new SSIP consisted of series of meetings of the SAP membership in 2013 and 2014 during which members were informed of the development of the new State Performance Plan and the new alignment of indicators. These meetings included input from the public. Past performance for each indicator in the first year with comparable consistent measurement with the baseline was identified. Possible targets were suggested based on performance trajectories from previous years. Maine DOE staff members, including the director, data manager and SPP/APR coordinator, were available to answer any statistical or practical questions related to the indicators, past performance, or the analysis leading to suggestions of targets. SAP members discussed priorities and arrived at recommendations for targets for all results indicators (except B-17) for the life of the SPP. Additionally, in December, 2019, SAP members met to review all results indicator historical data and targets and recommended an extension of all results indicator targets for FFY2019. </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FFY 2019 Data Disaggregation from EDFacts</w:t>
      </w:r>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Reading  (EDFacts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Math  (EDFacts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 xml:space="preserve">b. IEPs in regular assessment with </w:t>
            </w:r>
            <w:r w:rsidRPr="005C29F8">
              <w:rPr>
                <w:rFonts w:cs="Arial"/>
                <w:color w:val="000000" w:themeColor="text1"/>
                <w:szCs w:val="16"/>
              </w:rPr>
              <w:lastRenderedPageBreak/>
              <w:t>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3-8</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95.46%</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98.00%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7A5387EE" w14:textId="77777777" w:rsidTr="0033429D">
        <w:tc>
          <w:tcPr>
            <w:tcW w:w="290" w:type="pct"/>
            <w:shd w:val="clear" w:color="auto" w:fill="auto"/>
            <w:vAlign w:val="center"/>
          </w:tcPr>
          <w:p w14:paraId="729AFDF4" w14:textId="72203283"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21" w:type="pct"/>
            <w:shd w:val="clear" w:color="auto" w:fill="auto"/>
            <w:vAlign w:val="center"/>
          </w:tcPr>
          <w:p w14:paraId="33B7C97E" w14:textId="00A363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High School</w:t>
            </w:r>
          </w:p>
        </w:tc>
        <w:tc>
          <w:tcPr>
            <w:tcW w:w="659" w:type="pct"/>
            <w:shd w:val="clear" w:color="auto" w:fill="auto"/>
            <w:vAlign w:val="center"/>
          </w:tcPr>
          <w:p w14:paraId="3F0D6576" w14:textId="5681B7E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FFA4863" w14:textId="7BBF24D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FB80D14" w14:textId="17D00589" w:rsidR="004E1F6F" w:rsidRPr="005C29F8" w:rsidRDefault="004E1F6F" w:rsidP="004E1F6F">
            <w:pPr>
              <w:jc w:val="center"/>
              <w:rPr>
                <w:rFonts w:cs="Arial"/>
                <w:color w:val="000000" w:themeColor="text1"/>
                <w:szCs w:val="16"/>
              </w:rPr>
            </w:pPr>
            <w:r w:rsidRPr="005C29F8">
              <w:rPr>
                <w:rFonts w:cs="Arial"/>
                <w:color w:val="000000" w:themeColor="text1"/>
                <w:szCs w:val="16"/>
              </w:rPr>
              <w:t>88.26%</w:t>
            </w:r>
          </w:p>
        </w:tc>
        <w:tc>
          <w:tcPr>
            <w:tcW w:w="766" w:type="pct"/>
            <w:shd w:val="clear" w:color="auto" w:fill="auto"/>
            <w:vAlign w:val="center"/>
          </w:tcPr>
          <w:p w14:paraId="12DA8FB6" w14:textId="2A9832BB" w:rsidR="004E1F6F" w:rsidRPr="005C29F8" w:rsidRDefault="004E1F6F" w:rsidP="004E1F6F">
            <w:pPr>
              <w:jc w:val="center"/>
              <w:rPr>
                <w:rFonts w:cs="Arial"/>
                <w:color w:val="000000" w:themeColor="text1"/>
                <w:szCs w:val="16"/>
              </w:rPr>
            </w:pPr>
            <w:r w:rsidRPr="005C29F8">
              <w:rPr>
                <w:rFonts w:cs="Arial"/>
                <w:color w:val="000000" w:themeColor="text1"/>
                <w:szCs w:val="16"/>
              </w:rPr>
              <w:t>98.00%</w:t>
            </w:r>
          </w:p>
        </w:tc>
        <w:tc>
          <w:tcPr>
            <w:tcW w:w="506" w:type="pct"/>
            <w:shd w:val="clear" w:color="auto" w:fill="auto"/>
            <w:vAlign w:val="center"/>
          </w:tcPr>
          <w:p w14:paraId="65C7EB9E" w14:textId="563BFA2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1A6F692" w14:textId="65CC634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3D4E27A4" w14:textId="7BDAA77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3-8</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95.45%</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98.00%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3C5CE6C" w14:textId="77777777" w:rsidTr="0033429D">
        <w:tc>
          <w:tcPr>
            <w:tcW w:w="222" w:type="pct"/>
            <w:shd w:val="clear" w:color="auto" w:fill="auto"/>
            <w:vAlign w:val="center"/>
          </w:tcPr>
          <w:p w14:paraId="17123B1B" w14:textId="50BB2C71"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5" w:type="pct"/>
            <w:shd w:val="clear" w:color="auto" w:fill="auto"/>
            <w:vAlign w:val="center"/>
          </w:tcPr>
          <w:p w14:paraId="45DA42B4" w14:textId="1A29119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High School</w:t>
            </w:r>
          </w:p>
        </w:tc>
        <w:tc>
          <w:tcPr>
            <w:tcW w:w="659" w:type="pct"/>
            <w:shd w:val="clear" w:color="auto" w:fill="auto"/>
            <w:vAlign w:val="center"/>
          </w:tcPr>
          <w:p w14:paraId="31722F1C" w14:textId="07DC9DF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048616C6" w14:textId="565885A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2455FD" w14:textId="25614537" w:rsidR="004E1F6F" w:rsidRPr="005C29F8" w:rsidRDefault="004E1F6F" w:rsidP="004E1F6F">
            <w:pPr>
              <w:jc w:val="center"/>
              <w:rPr>
                <w:rFonts w:cs="Arial"/>
                <w:color w:val="000000" w:themeColor="text1"/>
                <w:szCs w:val="16"/>
              </w:rPr>
            </w:pPr>
            <w:r w:rsidRPr="005C29F8">
              <w:rPr>
                <w:rFonts w:cs="Arial"/>
                <w:color w:val="000000" w:themeColor="text1"/>
                <w:szCs w:val="16"/>
              </w:rPr>
              <w:t>88.31%</w:t>
            </w:r>
          </w:p>
        </w:tc>
        <w:tc>
          <w:tcPr>
            <w:tcW w:w="766" w:type="pct"/>
            <w:shd w:val="clear" w:color="auto" w:fill="auto"/>
            <w:vAlign w:val="center"/>
          </w:tcPr>
          <w:p w14:paraId="38039D42" w14:textId="45468742" w:rsidR="004E1F6F" w:rsidRPr="005C29F8" w:rsidRDefault="004E1F6F" w:rsidP="004E1F6F">
            <w:pPr>
              <w:jc w:val="center"/>
              <w:rPr>
                <w:rFonts w:cs="Arial"/>
                <w:color w:val="000000" w:themeColor="text1"/>
                <w:szCs w:val="16"/>
              </w:rPr>
            </w:pPr>
            <w:r w:rsidRPr="005C29F8">
              <w:rPr>
                <w:rFonts w:cs="Arial"/>
                <w:color w:val="000000" w:themeColor="text1"/>
                <w:szCs w:val="16"/>
              </w:rPr>
              <w:t>98.00%</w:t>
            </w:r>
          </w:p>
        </w:tc>
        <w:tc>
          <w:tcPr>
            <w:tcW w:w="508" w:type="pct"/>
            <w:shd w:val="clear" w:color="auto" w:fill="auto"/>
            <w:vAlign w:val="center"/>
          </w:tcPr>
          <w:p w14:paraId="7DB4B85A" w14:textId="6DFB205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9114A8F" w14:textId="4F4B3C1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7661F26" w14:textId="727C954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https://www.maine.gov/doe/Testing_Accountability/MECAS/results</w:t>
      </w: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A869E9" w:rsidP="000E33D0">
      <w:pPr>
        <w:rPr>
          <w:rFonts w:cs="Arial"/>
          <w:color w:val="000000" w:themeColor="text1"/>
          <w:szCs w:val="16"/>
        </w:rPr>
      </w:pP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3C. Same data as used for reporting to the Department under Title I of the ESEA, using EDFacts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3-8</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 3-8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35.00%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45.00%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60.00%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75.00%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90.00%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 3-8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15.11%</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15.79%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15.11%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15.19%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14.27%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18.49%</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20.00%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30.00%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50.00%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70.00%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90.00%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20.65%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17.82%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20.65%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19.71%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17.02%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17.35%</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3-8</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30.00%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40.00%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50.00%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70.00%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90.00%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 3-8</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12.33%</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12.68%</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12.33%</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11.69%</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11.05%</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10.49%</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2015</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15.00%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25.00%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45.00%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70.00%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90.00%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10.34%</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9.23%</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10.34%</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9.80%</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8.59%</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8.67%</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3-8</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90.00%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90.00%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3-8</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90.00%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90.00%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lastRenderedPageBreak/>
        <w:t xml:space="preserve">IDEA requires that each state establish a State Advisory Panel for the purpose of providing policy guidance with respect to special education and related services for children with disabilities in the State. Membership is specified in the federal regulations and a majority of the members must be individuals with disabilities or parents of children with disabilities (ages birth through 26). The Part B State Advisory Panel provides advice on the implementation of the IDEA program (Part B) that serves children with disabilities from age three to 20. Members are appointed by the Governor. The panel consists of 13 people: two parents of children with disabilities (ages birth through 26); an individual with a disability; a teacher; a representative of an institution of higher education that prepares special education/related services personnel; a State official who carries out activities under subtitle B of Title VII of the McKinney-Vento Homeless Assistance Act; two administrators of programs for children with disabilities; a representative of a State agency (Department of Health and Human Services) involved in the financing or delivery of related services to children with disabilities; a representative of a public charter school; a representative of a vocational, community or business organization concerned with the provision of transition services to children with disabilities; a representative from the State child welfare agency responsible for foster care; and a representative from the State juvenile and adult corrections agencies. A majority of the members of the panel must be individuals with disabilities or parents of children with disabilities (ages birth through 26). Among the members is an individual who represents the SAP on the State Systemic Improvement Plan stakeholder group. The SAP is a strong representation of community stakeholders. </w:t>
      </w:r>
      <w:r w:rsidRPr="005C29F8">
        <w:rPr>
          <w:rFonts w:cs="Arial"/>
          <w:color w:val="000000" w:themeColor="text1"/>
          <w:szCs w:val="16"/>
        </w:rPr>
        <w:br/>
      </w:r>
      <w:r w:rsidRPr="005C29F8">
        <w:rPr>
          <w:rFonts w:cs="Arial"/>
          <w:color w:val="000000" w:themeColor="text1"/>
          <w:szCs w:val="16"/>
        </w:rPr>
        <w:br/>
        <w:t>The director of the Maine DOE Office of Special Services met with the SAP during their quarterly meetings throughout FFY2019. Members were informed of department priorities and current issues and advice was sought from the membership for the Maine DOE to consider in legislation, rule-making, procedures and reporting. Topics included revisions to the Maine Unified Special Education Regulations, the State Systemic Improvement Plan, Significant Disproportionality Policy, and SPP/APR target-setting.</w:t>
      </w:r>
      <w:r w:rsidRPr="005C29F8">
        <w:rPr>
          <w:rFonts w:cs="Arial"/>
          <w:color w:val="000000" w:themeColor="text1"/>
          <w:szCs w:val="16"/>
        </w:rPr>
        <w:br/>
      </w:r>
      <w:r w:rsidRPr="005C29F8">
        <w:rPr>
          <w:rFonts w:cs="Arial"/>
          <w:color w:val="000000" w:themeColor="text1"/>
          <w:szCs w:val="16"/>
        </w:rPr>
        <w:br/>
        <w:t xml:space="preserve">Target-setting activities for the new SSIP consisted of series of meetings of the SAP membership in 2013 and 2014 during which members were informed of the development of the new State Performance Plan and the new alignment of indicators. These meetings included input from the public. Past performance for each indicator in the first year with comparable consistent measurement with the baseline was identified. Possible targets were suggested based on performance trajectories from previous years. Maine DOE staff members, including the director, data manager and SPP/APR coordinator, were available to answer any statistical or practical questions related to the indicators, past performance, or the analysis leading to suggestions of targets. SAP members discussed priorities and arrived at recommendations for targets for all results indicators (except B-17) for the life of the SPP. Additionally, in December, 2019, SAP members met to review all results indicator historical data and targets and recommended an extension of all results indicator targets for FFY2019. </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FFY 2019 Data Disaggregation from EDFacts</w:t>
      </w:r>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(EDFacts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(EDFacts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lastRenderedPageBreak/>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3-8</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18.49%</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90.00%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17.35%</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90.00%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3-8</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10.49%</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90.00%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8.67%</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90.00%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https://www.maine.gov/doe/Testing_Accountability/MECAS/results</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A869E9" w:rsidP="000E33D0">
      <w:pPr>
        <w:rPr>
          <w:rFonts w:cs="Arial"/>
          <w:color w:val="000000" w:themeColor="text1"/>
          <w:szCs w:val="16"/>
        </w:rPr>
      </w:pP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0.00%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1.57%</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1.52%</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IDEA requires that each state establish a State Advisory Panel for the purpose of providing policy guidance with respect to special education and related services for children with disabilities in the State. Membership is specified in the federal regulations and a majority of the members must be individuals with disabilities or parents of children with disabilities (ages birth through 26). The Part B State Advisory Panel provides advice on the implementation of the IDEA program (Part B) that serves children with disabilities from age three to 20. Members are appointed by the Governor. The panel consists of 13 people: two parents of children with disabilities (ages birth through 26); an individual with a disability; a teacher; a representative of an institution of </w:t>
      </w:r>
      <w:r w:rsidRPr="005C29F8">
        <w:rPr>
          <w:rFonts w:cs="Arial"/>
          <w:color w:val="000000" w:themeColor="text1"/>
          <w:szCs w:val="16"/>
        </w:rPr>
        <w:lastRenderedPageBreak/>
        <w:t xml:space="preserve">higher education that prepares special education/related services personnel; a State official who carries out activities under subtitle B of Title VII of the McKinney-Vento Homeless Assistance Act; two administrators of programs for children with disabilities; a representative of a State agency (Department of Health and Human Services) involved in the financing or delivery of related services to children with disabilities; a representative of a public charter school; a representative of a vocational, community or business organization concerned with the provision of transition services to children with disabilities; a representative from the State child welfare agency responsible for foster care; and a representative from the State juvenile and adult corrections agencies. A majority of the members of the panel must be individuals with disabilities or parents of children with disabilities (ages birth through 26). Among the members is an individual who represents the SAP on the State Systemic Improvement Plan stakeholder group. The SAP is a strong representation of community stakeholders. </w:t>
      </w:r>
      <w:r w:rsidRPr="005C29F8">
        <w:rPr>
          <w:rFonts w:cs="Arial"/>
          <w:color w:val="000000" w:themeColor="text1"/>
          <w:szCs w:val="16"/>
        </w:rPr>
        <w:br/>
      </w:r>
      <w:r w:rsidRPr="005C29F8">
        <w:rPr>
          <w:rFonts w:cs="Arial"/>
          <w:color w:val="000000" w:themeColor="text1"/>
          <w:szCs w:val="16"/>
        </w:rPr>
        <w:br/>
        <w:t>The director of the Maine DOE Office of Special Services met with the SAP during their quarterly meetings throughout FFY2019. Members were informed of department priorities and current issues and advice was sought from the membership for the Maine DOE to consider in legislation, rule-making, procedures and reporting. Topics included revisions to the Maine Unified Special Education Regulations, the State Systemic Improvement Plan, Significant Disproportionality Policy, and SPP/APR target-setting.</w:t>
      </w:r>
      <w:r w:rsidRPr="005C29F8">
        <w:rPr>
          <w:rFonts w:cs="Arial"/>
          <w:color w:val="000000" w:themeColor="text1"/>
          <w:szCs w:val="16"/>
        </w:rPr>
        <w:br/>
      </w:r>
      <w:r w:rsidRPr="005C29F8">
        <w:rPr>
          <w:rFonts w:cs="Arial"/>
          <w:color w:val="000000" w:themeColor="text1"/>
          <w:szCs w:val="16"/>
        </w:rPr>
        <w:br/>
        <w:t xml:space="preserve">Target-setting activities for the new SSIP consisted of series of meetings of the SAP membership in 2013 and 2014 during which members were informed of the development of the new State Performance Plan and the new alignment of indicators. These meetings included input from the public. Past performance for each indicator in the first year with comparable consistent measurement with the baseline was identified. Possible targets were suggested based on performance trajectories from previous years. Maine DOE staff members, including the director, data manager and SPP/APR coordinator, were available to answer any statistical or practical questions related to the indicators, past performance, or the analysis leading to suggestions of targets. SAP members discussed priorities and arrived at recommendations for targets for all results indicators (except B-17) for the life of the SPP. Additionally, in December, 2019, SAP members met to review all results indicator historical data and targets and recommended an extension of all results indicator targets for FFY2019. </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66</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198</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1.52%</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1.52%</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The following decision rules are used to determine if there is a significant discrepancy in the rates of suspensions/expulsions greater than 10 days for children with disabilities: The district must have a minimum of 10 students with IEPs enrolled. For districts meeting the n size threshold of 10, the number of students suspended or expelled over 10 days must be greater than 1 and the rate of suspension/expulsion over 10 days must be more than 3 standard deviations above the State's rate of suspensions/expulsions greater than 10 days for students with disabilities.</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A869E9" w:rsidP="000E33D0">
      <w:pPr>
        <w:rPr>
          <w:rFonts w:cs="Arial"/>
          <w:color w:val="000000" w:themeColor="text1"/>
          <w:szCs w:val="16"/>
        </w:rPr>
      </w:pP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Data from the 2018-2019 report of children with disabilities subject to disciplinary removal were examined to determine if significant discrepancies were occurring in the rates of suspensions/expulsions greater than 10 days. For districts identified with significant discrepancies, Maine DOE reviews specific files from each district with a compliance instrument to test compliance of each student file or policy document for 36 items. The purpose of this review is to ensure that districts are properly developing and implementing IEPs, use positive behavioral interventions and supports, and include procedural safeguards as outlined in 34 C.F.R. 300.170 (b). Each instance of noncompliance is required to be corrected and the Maine DOE requires the district to revise their policies and procedures to comply with IDEA and Maine Unified Special Education Regulations. Maine did not identify noncompliance with the Part B requirements as a result of the reviews.</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bookmarkStart w:id="28" w:name="_Toc384383338"/>
      <w:bookmarkStart w:id="29"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8"/>
      <w:bookmarkEnd w:id="29"/>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66</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198</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0"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The following decision rules are used to determine if there is a significant discrepancy in the rates of suspensions/expulsions greater than 10 days by race/ethnicity among children with disabilities: The district must have a minimum of 10 students of any race/ethnicity with IEPs enrolled. For districts meeting the n size threshold of 10, the number of students of any race/ethnicity suspended or expelled over 10 days must be greater than 1, and the rate of suspensions/expulsions over 10 days must be more than 3 standard deviations above the State's rate of suspensions/expulsions greater than 10 days for students with disabilities.</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D57DA" w:rsidP="000E33D0">
      <w:pPr>
        <w:rPr>
          <w:rFonts w:cs="Arial"/>
          <w:color w:val="000000" w:themeColor="text1"/>
          <w:szCs w:val="16"/>
        </w:rPr>
      </w:pP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 xml:space="preserve">Indicator 4A data were disaggregated by race/ethnicity. For LEAs exhibiting a significant discrepancy by race/ethnicity in the rate of suspensions/expulsions greater than 10 days, Maine reviews specific files from each district with a compliance instrument to test compliance of each student file or policy document for 36 items. The purpose of this review is to ensure that districts are properly developing and implementing IEPs, use positive behavioral interventions and supports, and include procedural safeguards as outlined in 34 C.F.R. 300.170 (b). Each instance of noncompliance is required to be corrected and the Maine DOE requires the district to revise their policies and procedures to comply with IDEA and Maine Unified Special Education Regulations. </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lastRenderedPageBreak/>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bookmarkEnd w:id="30"/>
    </w:p>
    <w:p w14:paraId="52AD89A1" w14:textId="77777777" w:rsidR="00775845" w:rsidRPr="005C29F8" w:rsidRDefault="00775845" w:rsidP="00A018D4">
      <w:pPr>
        <w:rPr>
          <w:color w:val="000000" w:themeColor="text1"/>
          <w:szCs w:val="20"/>
        </w:rPr>
      </w:pPr>
      <w:bookmarkStart w:id="31"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A. Inside the regular class 80% or more of the day;</w:t>
      </w:r>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1"/>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70.00%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56.11%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56.41%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56.69%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56.58%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56.41%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55.52%</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9.00%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10.78%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10.70%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10.78%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10.88%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10.33%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10.39%</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3.10%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3.10%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3.10%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3.10%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3.10%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3.46%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3.10%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3.13%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3.24%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3.07%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3.46%</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70.00%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9.00%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3.10%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 xml:space="preserve">IDEA requires that each state establish a State Advisory Panel for the purpose of providing policy guidance with respect to special education and related services for children with disabilities in the State. Membership is specified in the federal regulations and a majority of the members must be individuals with disabilities or parents of children with disabilities (ages birth through 26). The Part B State Advisory Panel provides advice on the implementation of the IDEA program (Part B) that serves children with disabilities from age three to 20. Members are appointed by the Governor. The panel consists of 13 people: two parents of children with disabilities (ages birth through 26); an individual with a disability; a teacher; a representative of an institution of higher education that prepares special education/related services personnel; a State official who carries out activities under subtitle B of Title VII of the McKinney-Vento Homeless Assistance Act; two administrators of programs for children with disabilities; a representative of a State agency (Department of Health and Human Services) involved in the financing or delivery of related services to children with disabilities; a representative of a public charter school; a representative of a vocational, community or business organization concerned with the provision of transition services to children with disabilities; a representative from the State child welfare agency responsible for foster care; and a representative from the State juvenile and adult corrections agencies. A majority of the members of the panel must be individuals with disabilities or parents of children with disabilities (ages birth through 26). Among the members is an individual who represents the SAP on the State Systemic Improvement Plan stakeholder group. The SAP is a strong representation of community stakeholders. </w:t>
      </w:r>
      <w:r w:rsidRPr="005C29F8">
        <w:rPr>
          <w:rFonts w:cs="Arial"/>
          <w:color w:val="000000" w:themeColor="text1"/>
          <w:szCs w:val="16"/>
        </w:rPr>
        <w:br/>
      </w:r>
      <w:r w:rsidRPr="005C29F8">
        <w:rPr>
          <w:rFonts w:cs="Arial"/>
          <w:color w:val="000000" w:themeColor="text1"/>
          <w:szCs w:val="16"/>
        </w:rPr>
        <w:br/>
        <w:t>The director of the Maine DOE Office of Special Services met with the SAP during their quarterly meetings throughout FFY2019. Members were informed of department priorities and current issues and advice was sought from the membership for the Maine DOE to consider in legislation, rule-making, procedures and reporting. Topics included revisions to the Maine Unified Special Education Regulations, the State Systemic Improvement Plan, Significant Disproportionality Policy, and SPP/APR target-setting.</w:t>
      </w:r>
      <w:r w:rsidRPr="005C29F8">
        <w:rPr>
          <w:rFonts w:cs="Arial"/>
          <w:color w:val="000000" w:themeColor="text1"/>
          <w:szCs w:val="16"/>
        </w:rPr>
        <w:br/>
      </w:r>
      <w:r w:rsidRPr="005C29F8">
        <w:rPr>
          <w:rFonts w:cs="Arial"/>
          <w:color w:val="000000" w:themeColor="text1"/>
          <w:szCs w:val="16"/>
        </w:rPr>
        <w:br/>
        <w:t xml:space="preserve">Target-setting activities for the new SSIP consisted of series of meetings of the SAP membership in 2013 and 2014 during which members were </w:t>
      </w:r>
      <w:r w:rsidRPr="005C29F8">
        <w:rPr>
          <w:rFonts w:cs="Arial"/>
          <w:color w:val="000000" w:themeColor="text1"/>
          <w:szCs w:val="16"/>
        </w:rPr>
        <w:lastRenderedPageBreak/>
        <w:t xml:space="preserve">informed of the development of the new State Performance Plan and the new alignment of indicators. These meetings included input from the public. Past performance for each indicator in the first year with comparable consistent measurement with the baseline was identified. Possible targets were suggested based on performance trajectories from previous years. Maine DOE staff members, including the director, data manager and SPP/APR coordinator, were available to answer any statistical or practical questions related to the indicators, past performance, or the analysis leading to suggestions of targets. SAP members discussed priorities and arrived at recommendations for targets for all results indicators (except B-17) for the life of the SPP. Additionally, in December, 2019, SAP members met to review all results indicator historical data and targets and recommended an extension of all results indicator targets for FFY2019. </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32,623</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18,305</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3,517</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968</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134</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26</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18,305</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32,623</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55.52%</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56.11%</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3,517</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32,623</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10.39%</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9.00%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10.78%</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1,128</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32,623</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3.46%</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3.10%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3.46%</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 xml:space="preserve">Reporting requirements for the IDEA section 618 data collection (specifically, IDEA Part B Child Counts and Educational Environments) were updated to allow States to include five-year-olds in Kindergarten in file specification FS002 - Children with Disabilities (IDEA) School Age and exclude these children from file specification FS089 - Children with Disabilities (IDEA) Early Childhood for School Year (SY) 2019-20. SY 2019-20 (i.e., FFY 2019) was the </w:t>
      </w:r>
      <w:r w:rsidRPr="005C29F8">
        <w:rPr>
          <w:rFonts w:cs="Arial"/>
          <w:color w:val="000000" w:themeColor="text1"/>
          <w:szCs w:val="16"/>
        </w:rPr>
        <w:lastRenderedPageBreak/>
        <w:t>transition year for this change; States had the option to report five-year-olds in Kindergarten in FS002 in their SY 2019-20 submission or wait to do so with their SY 2020-21 submission, when the change becomes permanent. Maine transitioned to reporting five-year-olds in Kindergarten in FS002 for its SY 2019-20 submission under IDEA section 618. This change impacted Maine's data for SPP/APR Indicators 5 and 6, because the required data source for SPP/APR Indicators 5 and 6 is the same data as used for reporting to the Department under IDEA section 618. Therefore, Maine's slippage status indicates “NA” for this indicator. Maine revised the baseline year for this indicator, using data from FFY 2019.</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r w:rsidRPr="005C29F8">
        <w:rPr>
          <w:rFonts w:cs="Arial"/>
          <w:color w:val="000000" w:themeColor="text1"/>
          <w:szCs w:val="16"/>
        </w:rPr>
        <w:br/>
      </w:r>
      <w:r w:rsidRPr="005C29F8">
        <w:rPr>
          <w:rFonts w:cs="Arial"/>
          <w:color w:val="000000" w:themeColor="text1"/>
          <w:szCs w:val="16"/>
        </w:rPr>
        <w:br/>
        <w:t xml:space="preserve">Reporting requirements for the IDEA section 618 data collection (specifically, IDEA Part B Child Counts and Educational Environments) were updated to allow States to include five-year-olds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five-year-olds in Kindergarten in FS002 in their SY 2019-20 submission or wait to do so with their SY 2020-21 submission, when the change becomes permanent.  The State transitioned to reporting five-year-olds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 </w:t>
      </w: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2"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B. Separate special education class, separate school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aged 3 through 5 with IEPs attending a regular early childhood program and receiving the majority of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of children aged 3 through 5 with IEPs attending a separate special education class, separate school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2"/>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75.20%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74.69%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68.32%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46.07%</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CF6742" w:rsidP="00A018D4">
            <w:pPr>
              <w:jc w:val="center"/>
              <w:rPr>
                <w:rFonts w:cs="Arial"/>
                <w:color w:val="000000" w:themeColor="text1"/>
                <w:szCs w:val="16"/>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CF6742" w:rsidP="00A018D4">
            <w:pPr>
              <w:jc w:val="center"/>
              <w:rPr>
                <w:rFonts w:cs="Arial"/>
                <w:color w:val="000000" w:themeColor="text1"/>
                <w:szCs w:val="16"/>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CF6742" w:rsidP="00A018D4">
            <w:pPr>
              <w:jc w:val="center"/>
              <w:rPr>
                <w:rFonts w:cs="Arial"/>
                <w:color w:val="000000" w:themeColor="text1"/>
                <w:szCs w:val="16"/>
              </w:rPr>
            </w:pP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CF6742">
            <w:pPr>
              <w:jc w:val="center"/>
              <w:rPr>
                <w:color w:val="000000" w:themeColor="text1"/>
              </w:rPr>
            </w:pP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CF6742" w:rsidP="00A018D4">
            <w:pPr>
              <w:jc w:val="center"/>
              <w:rPr>
                <w:rFonts w:cs="Arial"/>
                <w:color w:val="000000" w:themeColor="text1"/>
                <w:szCs w:val="16"/>
              </w:rPr>
            </w:pP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CF6742" w:rsidP="00A018D4">
            <w:pPr>
              <w:jc w:val="center"/>
              <w:rPr>
                <w:rFonts w:cs="Arial"/>
                <w:color w:val="000000" w:themeColor="text1"/>
                <w:szCs w:val="16"/>
              </w:rPr>
            </w:pP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CF6742" w:rsidP="00A018D4">
            <w:pPr>
              <w:jc w:val="center"/>
              <w:rPr>
                <w:rFonts w:cs="Arial"/>
                <w:color w:val="000000" w:themeColor="text1"/>
                <w:szCs w:val="16"/>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0.74%</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12.87%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14.98%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23.50%</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 xml:space="preserve">IDEA requires that each state establish a State Advisory Panel for the purpose of providing policy guidance with respect to special education and related services for children with disabilities in the State. Membership is specified in the federal regulations and a majority of the members must be individuals with disabilities or parents of children with disabilities (ages birth through 26). The Part B State Advisory Panel provides advice on the implementation of the IDEA program (Part B) that serves children with disabilities from age three to 20. Members are appointed by the Governor. The panel consists of 13 people: two parents of children with disabilities (ages birth through 26); an individual with a disability; a teacher; a representative of an institution of higher education that prepares special education/related services personnel; a State official who carries out activities under subtitle B of Title VII of the McKinney-Vento Homeless Assistance Act; two administrators of programs for children with disabilities; a representative of a State agency (Department of Health and Human Services) involved in the financing or delivery of related services to children with disabilities; a representative of a public charter school; a representative of a vocational, community or business organization concerned with the provision of transition services to children with disabilities; a representative from the State child welfare agency responsible for foster care; and a representative from the State juvenile and adult corrections agencies. A majority of the members of the panel must be individuals with disabilities or parents of children with disabilities (ages birth through 26). Among the members is an individual who represents the SAP on the State Systemic Improvement Plan stakeholder group. The SAP is a strong representation of community stakeholders. </w:t>
      </w:r>
      <w:r w:rsidRPr="005C29F8">
        <w:rPr>
          <w:rFonts w:cs="Arial"/>
          <w:color w:val="000000" w:themeColor="text1"/>
          <w:szCs w:val="16"/>
        </w:rPr>
        <w:br/>
      </w:r>
      <w:r w:rsidRPr="005C29F8">
        <w:rPr>
          <w:rFonts w:cs="Arial"/>
          <w:color w:val="000000" w:themeColor="text1"/>
          <w:szCs w:val="16"/>
        </w:rPr>
        <w:br/>
        <w:t>The director of the Maine DOE Office of Special Services met with the SAP during their quarterly meetings throughout FFY2019. Members were informed of department priorities and current issues and advice was sought from the membership for the Maine DOE to consider in legislation, rule-making, procedures and reporting. Topics included revisions to the Maine Unified Special Education Regulations, the State Systemic Improvement Plan, Significant Disproportionality Policy, and SPP/APR target-setting.</w:t>
      </w:r>
      <w:r w:rsidRPr="005C29F8">
        <w:rPr>
          <w:rFonts w:cs="Arial"/>
          <w:color w:val="000000" w:themeColor="text1"/>
          <w:szCs w:val="16"/>
        </w:rPr>
        <w:br/>
      </w:r>
      <w:r w:rsidRPr="005C29F8">
        <w:rPr>
          <w:rFonts w:cs="Arial"/>
          <w:color w:val="000000" w:themeColor="text1"/>
          <w:szCs w:val="16"/>
        </w:rPr>
        <w:br/>
        <w:t xml:space="preserve">Target-setting activities for the new SSIP consisted of series of meetings of the SAP membership in 2013 and 2014 during which members were informed of the development of the new State Performance Plan and the new alignment of indicators. These meetings included input from the public. Past performance for each indicator in the first year with comparable consistent measurement with the baseline was identified. Possible targets were suggested based on performance trajectories from previous years. Maine DOE staff members, including the director, data manager and SPP/APR </w:t>
      </w:r>
      <w:r w:rsidRPr="005C29F8">
        <w:rPr>
          <w:rFonts w:cs="Arial"/>
          <w:color w:val="000000" w:themeColor="text1"/>
          <w:szCs w:val="16"/>
        </w:rPr>
        <w:lastRenderedPageBreak/>
        <w:t xml:space="preserve">coordinator, were available to answer any statistical or practical questions related to the indicators, past performance, or the analysis leading to suggestions of targets. SAP members discussed priorities and arrived at recommendations for targets for all results indicators (except B-17) for the life of the SPP. Additionally, in December, 2019, SAP members met to review all results indicator historical data and targets and recommended an extension of all results indicator targets for FFY2019. </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3" w:name="_Toc382082378"/>
      <w:bookmarkStart w:id="34"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2,397</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957</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234</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347</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957</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2,397</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46.07%</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39.92%</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581</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2,397</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23.50%</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24.24%</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N/A</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YES</w:t>
      </w:r>
    </w:p>
    <w:p w14:paraId="3E0B66C6" w14:textId="113C0673" w:rsidR="003C308E" w:rsidRPr="005C29F8" w:rsidRDefault="003C308E" w:rsidP="001011BB">
      <w:pPr>
        <w:tabs>
          <w:tab w:val="left" w:pos="2088"/>
        </w:tabs>
        <w:rPr>
          <w:rFonts w:cs="Arial"/>
          <w:b/>
          <w:color w:val="000000" w:themeColor="text1"/>
          <w:szCs w:val="16"/>
        </w:rPr>
      </w:pPr>
      <w:r w:rsidRPr="005C29F8">
        <w:rPr>
          <w:rFonts w:cs="Arial"/>
          <w:b/>
          <w:color w:val="000000" w:themeColor="text1"/>
          <w:szCs w:val="16"/>
        </w:rPr>
        <w:t>Please explain the methodology used to calculate the numbers entered above</w:t>
      </w:r>
      <w:r w:rsidRPr="005C29F8">
        <w:rPr>
          <w:rFonts w:cs="Arial"/>
          <w:b/>
          <w:i/>
          <w:color w:val="000000" w:themeColor="text1"/>
          <w:szCs w:val="16"/>
        </w:rPr>
        <w:t xml:space="preserve">. </w:t>
      </w:r>
    </w:p>
    <w:p w14:paraId="56729F9B" w14:textId="65AAEE56" w:rsidR="003C308E" w:rsidRDefault="002B7490" w:rsidP="001011BB">
      <w:pPr>
        <w:tabs>
          <w:tab w:val="left" w:pos="2088"/>
        </w:tabs>
        <w:rPr>
          <w:rFonts w:cs="Arial"/>
          <w:color w:val="000000" w:themeColor="text1"/>
          <w:szCs w:val="16"/>
        </w:rPr>
      </w:pPr>
      <w:r w:rsidRPr="005C29F8">
        <w:rPr>
          <w:rFonts w:cs="Arial"/>
          <w:color w:val="000000" w:themeColor="text1"/>
          <w:szCs w:val="16"/>
        </w:rPr>
        <w:t>In Maine, children ages 3 through 5 are educated in two separate systems (Child Development Services (CDS) and Maine Department of Education (Maine DOE)), and Maine reports targets and data for the two environments separately. FFY2019 data and targets are reported separately below.</w:t>
      </w:r>
      <w:r w:rsidRPr="005C29F8">
        <w:rPr>
          <w:rFonts w:cs="Arial"/>
          <w:color w:val="000000" w:themeColor="text1"/>
          <w:szCs w:val="16"/>
        </w:rPr>
        <w:br/>
      </w:r>
      <w:r w:rsidRPr="005C29F8">
        <w:rPr>
          <w:rFonts w:cs="Arial"/>
          <w:color w:val="000000" w:themeColor="text1"/>
          <w:szCs w:val="16"/>
        </w:rPr>
        <w:br/>
        <w:t>Maine DOE:</w:t>
      </w:r>
      <w:r w:rsidRPr="005C29F8">
        <w:rPr>
          <w:rFonts w:cs="Arial"/>
          <w:color w:val="000000" w:themeColor="text1"/>
          <w:szCs w:val="16"/>
        </w:rPr>
        <w:br/>
      </w:r>
      <w:r w:rsidRPr="005C29F8">
        <w:rPr>
          <w:rFonts w:cs="Arial"/>
          <w:color w:val="000000" w:themeColor="text1"/>
          <w:szCs w:val="16"/>
        </w:rPr>
        <w:br/>
        <w:t>Total number of children with IEPs aged 3 through 5 = 85</w:t>
      </w:r>
      <w:r w:rsidRPr="005C29F8">
        <w:rPr>
          <w:rFonts w:cs="Arial"/>
          <w:color w:val="000000" w:themeColor="text1"/>
          <w:szCs w:val="16"/>
        </w:rPr>
        <w:br/>
        <w:t>a1. Number of children attending a regular early childhood program and receiving the majority of special education and related services in the regular early childhood program = 84</w:t>
      </w:r>
      <w:r w:rsidRPr="005C29F8">
        <w:rPr>
          <w:rFonts w:cs="Arial"/>
          <w:color w:val="000000" w:themeColor="text1"/>
          <w:szCs w:val="16"/>
        </w:rPr>
        <w:br/>
        <w:t>b1. Number of children attending separate special education class = 0</w:t>
      </w:r>
      <w:r w:rsidRPr="005C29F8">
        <w:rPr>
          <w:rFonts w:cs="Arial"/>
          <w:color w:val="000000" w:themeColor="text1"/>
          <w:szCs w:val="16"/>
        </w:rPr>
        <w:br/>
        <w:t>b2. Number of children attending separate school = 1</w:t>
      </w:r>
      <w:r w:rsidRPr="005C29F8">
        <w:rPr>
          <w:rFonts w:cs="Arial"/>
          <w:color w:val="000000" w:themeColor="text1"/>
          <w:szCs w:val="16"/>
        </w:rPr>
        <w:br/>
        <w:t>b3. Number of children attending residential facility = 0</w:t>
      </w:r>
      <w:r w:rsidRPr="005C29F8">
        <w:rPr>
          <w:rFonts w:cs="Arial"/>
          <w:color w:val="000000" w:themeColor="text1"/>
          <w:szCs w:val="16"/>
        </w:rPr>
        <w:br/>
      </w:r>
      <w:r w:rsidRPr="005C29F8">
        <w:rPr>
          <w:rFonts w:cs="Arial"/>
          <w:color w:val="000000" w:themeColor="text1"/>
          <w:szCs w:val="16"/>
        </w:rPr>
        <w:br/>
        <w:t>A. Number of children with IEPs aged 3 through 5 attending a regular early childhood program and receiving the majority of special education and related services in the regular early childhood program = 84</w:t>
      </w:r>
      <w:r w:rsidRPr="005C29F8">
        <w:rPr>
          <w:rFonts w:cs="Arial"/>
          <w:color w:val="000000" w:themeColor="text1"/>
          <w:szCs w:val="16"/>
        </w:rPr>
        <w:br/>
      </w:r>
      <w:r w:rsidRPr="005C29F8">
        <w:rPr>
          <w:rFonts w:cs="Arial"/>
          <w:color w:val="000000" w:themeColor="text1"/>
          <w:szCs w:val="16"/>
        </w:rPr>
        <w:br/>
        <w:t>Total number of children with IEPs aged 3 through 5 = 85</w:t>
      </w:r>
      <w:r w:rsidRPr="005C29F8">
        <w:rPr>
          <w:rFonts w:cs="Arial"/>
          <w:color w:val="000000" w:themeColor="text1"/>
          <w:szCs w:val="16"/>
        </w:rPr>
        <w:br/>
      </w:r>
      <w:r w:rsidRPr="005C29F8">
        <w:rPr>
          <w:rFonts w:cs="Arial"/>
          <w:color w:val="000000" w:themeColor="text1"/>
          <w:szCs w:val="16"/>
        </w:rPr>
        <w:br/>
        <w:t>FFY2018 Data = 98.49%; FFY2019 Target &gt;= 99.50%; FFY2019 Data = 98.82%</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Did Not Meet Target; No Slippage</w:t>
      </w:r>
      <w:r w:rsidRPr="005C29F8">
        <w:rPr>
          <w:rFonts w:cs="Arial"/>
          <w:color w:val="000000" w:themeColor="text1"/>
          <w:szCs w:val="16"/>
        </w:rPr>
        <w:br/>
      </w:r>
      <w:r w:rsidRPr="005C29F8">
        <w:rPr>
          <w:rFonts w:cs="Arial"/>
          <w:color w:val="000000" w:themeColor="text1"/>
          <w:szCs w:val="16"/>
        </w:rPr>
        <w:br/>
        <w:t>B. Number of children with IEPs aged 3 through 5 attending a separate special education class, separate school, or residential facility = 1</w:t>
      </w:r>
      <w:r w:rsidRPr="005C29F8">
        <w:rPr>
          <w:rFonts w:cs="Arial"/>
          <w:color w:val="000000" w:themeColor="text1"/>
          <w:szCs w:val="16"/>
        </w:rPr>
        <w:br/>
      </w:r>
      <w:r w:rsidRPr="005C29F8">
        <w:rPr>
          <w:rFonts w:cs="Arial"/>
          <w:color w:val="000000" w:themeColor="text1"/>
          <w:szCs w:val="16"/>
        </w:rPr>
        <w:br/>
        <w:t>Total number of children with IEPs aged 3 through 5 = 85</w:t>
      </w:r>
      <w:r w:rsidRPr="005C29F8">
        <w:rPr>
          <w:rFonts w:cs="Arial"/>
          <w:color w:val="000000" w:themeColor="text1"/>
          <w:szCs w:val="16"/>
        </w:rPr>
        <w:br/>
      </w:r>
      <w:r w:rsidRPr="005C29F8">
        <w:rPr>
          <w:rFonts w:cs="Arial"/>
          <w:color w:val="000000" w:themeColor="text1"/>
          <w:szCs w:val="16"/>
        </w:rPr>
        <w:br/>
        <w:t>FFY2018 Data = 1.5%; FFY2019 Target &lt; 0.77%; FFY2019 Data = 1.18%</w:t>
      </w:r>
      <w:r w:rsidRPr="005C29F8">
        <w:rPr>
          <w:rFonts w:cs="Arial"/>
          <w:color w:val="000000" w:themeColor="text1"/>
          <w:szCs w:val="16"/>
        </w:rPr>
        <w:br/>
      </w:r>
      <w:r w:rsidRPr="005C29F8">
        <w:rPr>
          <w:rFonts w:cs="Arial"/>
          <w:color w:val="000000" w:themeColor="text1"/>
          <w:szCs w:val="16"/>
        </w:rPr>
        <w:br/>
        <w:t>Did Not Meet Target; No Slippage</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br/>
        <w:t>Maine CDS:</w:t>
      </w:r>
      <w:r w:rsidRPr="005C29F8">
        <w:rPr>
          <w:rFonts w:cs="Arial"/>
          <w:color w:val="000000" w:themeColor="text1"/>
          <w:szCs w:val="16"/>
        </w:rPr>
        <w:br/>
      </w:r>
      <w:r w:rsidRPr="005C29F8">
        <w:rPr>
          <w:rFonts w:cs="Arial"/>
          <w:color w:val="000000" w:themeColor="text1"/>
          <w:szCs w:val="16"/>
        </w:rPr>
        <w:br/>
        <w:t>Total number of children with IEPs aged 3 through 5 = 2,312</w:t>
      </w:r>
      <w:r w:rsidRPr="005C29F8">
        <w:rPr>
          <w:rFonts w:cs="Arial"/>
          <w:color w:val="000000" w:themeColor="text1"/>
          <w:szCs w:val="16"/>
        </w:rPr>
        <w:br/>
        <w:t>a1. Number of children attending a regular early childhood program and receiving the majority of special education and related services in the regular early childhood program = 873</w:t>
      </w:r>
      <w:r w:rsidRPr="005C29F8">
        <w:rPr>
          <w:rFonts w:cs="Arial"/>
          <w:color w:val="000000" w:themeColor="text1"/>
          <w:szCs w:val="16"/>
        </w:rPr>
        <w:br/>
        <w:t>b1. Number of children attending separate special education class = 234</w:t>
      </w:r>
      <w:r w:rsidRPr="005C29F8">
        <w:rPr>
          <w:rFonts w:cs="Arial"/>
          <w:color w:val="000000" w:themeColor="text1"/>
          <w:szCs w:val="16"/>
        </w:rPr>
        <w:br/>
        <w:t>b2. Number of children attending separate school = 346</w:t>
      </w:r>
      <w:r w:rsidRPr="005C29F8">
        <w:rPr>
          <w:rFonts w:cs="Arial"/>
          <w:color w:val="000000" w:themeColor="text1"/>
          <w:szCs w:val="16"/>
        </w:rPr>
        <w:br/>
        <w:t>b3. Number of children attending residential facility = 0</w:t>
      </w:r>
      <w:r w:rsidRPr="005C29F8">
        <w:rPr>
          <w:rFonts w:cs="Arial"/>
          <w:color w:val="000000" w:themeColor="text1"/>
          <w:szCs w:val="16"/>
        </w:rPr>
        <w:br/>
      </w:r>
      <w:r w:rsidRPr="005C29F8">
        <w:rPr>
          <w:rFonts w:cs="Arial"/>
          <w:color w:val="000000" w:themeColor="text1"/>
          <w:szCs w:val="16"/>
        </w:rPr>
        <w:br/>
        <w:t>A. Number of children with IEPs aged 3 through 5 attending a regular early childhood program and receiving the majority of special education and related services in the regular early childhood program = 873</w:t>
      </w:r>
      <w:r w:rsidRPr="005C29F8">
        <w:rPr>
          <w:rFonts w:cs="Arial"/>
          <w:color w:val="000000" w:themeColor="text1"/>
          <w:szCs w:val="16"/>
        </w:rPr>
        <w:br/>
      </w:r>
      <w:r w:rsidRPr="005C29F8">
        <w:rPr>
          <w:rFonts w:cs="Arial"/>
          <w:color w:val="000000" w:themeColor="text1"/>
          <w:szCs w:val="16"/>
        </w:rPr>
        <w:br/>
        <w:t>Total number of children with IEPs aged 3 through 5 = 2,312</w:t>
      </w:r>
      <w:r w:rsidRPr="005C29F8">
        <w:rPr>
          <w:rFonts w:cs="Arial"/>
          <w:color w:val="000000" w:themeColor="text1"/>
          <w:szCs w:val="16"/>
        </w:rPr>
        <w:br/>
      </w:r>
      <w:r w:rsidRPr="005C29F8">
        <w:rPr>
          <w:rFonts w:cs="Arial"/>
          <w:color w:val="000000" w:themeColor="text1"/>
          <w:szCs w:val="16"/>
        </w:rPr>
        <w:br/>
        <w:t>FFY2018 Data = 61.67%; FFY2019 Target &gt;= 53.50%; FFY2019 Data = 37.76%</w:t>
      </w:r>
      <w:r w:rsidRPr="005C29F8">
        <w:rPr>
          <w:rFonts w:cs="Arial"/>
          <w:color w:val="000000" w:themeColor="text1"/>
          <w:szCs w:val="16"/>
        </w:rPr>
        <w:br/>
      </w:r>
      <w:r w:rsidRPr="005C29F8">
        <w:rPr>
          <w:rFonts w:cs="Arial"/>
          <w:color w:val="000000" w:themeColor="text1"/>
          <w:szCs w:val="16"/>
        </w:rPr>
        <w:br/>
        <w:t>Did Not Meet Target; No Slippage</w:t>
      </w:r>
      <w:r w:rsidRPr="005C29F8">
        <w:rPr>
          <w:rFonts w:cs="Arial"/>
          <w:color w:val="000000" w:themeColor="text1"/>
          <w:szCs w:val="16"/>
        </w:rPr>
        <w:br/>
      </w:r>
      <w:r w:rsidRPr="005C29F8">
        <w:rPr>
          <w:rFonts w:cs="Arial"/>
          <w:color w:val="000000" w:themeColor="text1"/>
          <w:szCs w:val="16"/>
        </w:rPr>
        <w:br/>
        <w:t>B. Number of children with IEPs aged 3 through 5 attending a separate special education class, separate school, or residential facility = 580</w:t>
      </w:r>
      <w:r w:rsidRPr="005C29F8">
        <w:rPr>
          <w:rFonts w:cs="Arial"/>
          <w:color w:val="000000" w:themeColor="text1"/>
          <w:szCs w:val="16"/>
        </w:rPr>
        <w:br/>
      </w:r>
      <w:r w:rsidRPr="005C29F8">
        <w:rPr>
          <w:rFonts w:cs="Arial"/>
          <w:color w:val="000000" w:themeColor="text1"/>
          <w:szCs w:val="16"/>
        </w:rPr>
        <w:br/>
        <w:t>Total number of children with IEPs aged 3 through 5 = 2,312</w:t>
      </w:r>
      <w:r w:rsidRPr="005C29F8">
        <w:rPr>
          <w:rFonts w:cs="Arial"/>
          <w:color w:val="000000" w:themeColor="text1"/>
          <w:szCs w:val="16"/>
        </w:rPr>
        <w:br/>
      </w:r>
      <w:r w:rsidRPr="005C29F8">
        <w:rPr>
          <w:rFonts w:cs="Arial"/>
          <w:color w:val="000000" w:themeColor="text1"/>
          <w:szCs w:val="16"/>
        </w:rPr>
        <w:br/>
        <w:t>FFY2018 Data = 38.24%; FFY2019 Target &lt; 12.00%; FFY2019 Data = 25.09%</w:t>
      </w:r>
      <w:r w:rsidRPr="005C29F8">
        <w:rPr>
          <w:rFonts w:cs="Arial"/>
          <w:color w:val="000000" w:themeColor="text1"/>
          <w:szCs w:val="16"/>
        </w:rPr>
        <w:br/>
      </w:r>
      <w:r w:rsidRPr="005C29F8">
        <w:rPr>
          <w:rFonts w:cs="Arial"/>
          <w:color w:val="000000" w:themeColor="text1"/>
          <w:szCs w:val="16"/>
        </w:rPr>
        <w:br/>
        <w:t>Did Not Meet Target; No Slippage</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 xml:space="preserve">Reporting requirements for the IDEA section 618 data collection (specifically, IDEA Part B Child Counts and Educational Environments) were updated to allow States to include five-year-olds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five-year-olds in Kindergarten in FS002 in their SY 2019-20 submission or wait to do so with their SY 2020-21 submission, when the change becomes permanent. Maine transitioned to reporting five-year-olds in Kindergarten in FS002 for its SY 2019-20 submission under IDEA section 618. This change impacted Maine's data for SPP/APR Indicators 5 and 6, because the required data source for SPP/APR Indicators 5 and 6 is the same data as used for reporting to the Department under IDEA section 618. Therefore, Maine's slippage status indicates “NA” for this indicator. Maine revised the baseline year for this indicator, using data from FFY 2019 data, as indicated in the attachment. </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B1280F" w:rsidP="000A2C83">
      <w:pPr>
        <w:rPr>
          <w:rFonts w:cs="Arial"/>
          <w:color w:val="000000" w:themeColor="text1"/>
          <w:szCs w:val="16"/>
        </w:rPr>
      </w:pPr>
    </w:p>
    <w:p w14:paraId="1E26A8C7" w14:textId="516B5915" w:rsidR="000A2C83" w:rsidRPr="005C29F8" w:rsidRDefault="000A2C83" w:rsidP="004369B2">
      <w:pPr>
        <w:rPr>
          <w:b/>
          <w:color w:val="000000" w:themeColor="text1"/>
        </w:rPr>
      </w:pPr>
      <w:r w:rsidRPr="005C29F8">
        <w:rPr>
          <w:b/>
          <w:color w:val="000000" w:themeColor="text1"/>
        </w:rPr>
        <w:t>Response to actions required in FFY 2018 SPP/APR</w:t>
      </w:r>
    </w:p>
    <w:p w14:paraId="4C259B08" w14:textId="2849EACA" w:rsidR="000A2C83" w:rsidRPr="005C29F8" w:rsidRDefault="000A2C83" w:rsidP="000A2C83">
      <w:pPr>
        <w:rPr>
          <w:rFonts w:cs="Arial"/>
          <w:color w:val="000000" w:themeColor="text1"/>
          <w:szCs w:val="16"/>
        </w:rPr>
      </w:pPr>
    </w:p>
    <w:p w14:paraId="7B71DC87" w14:textId="5C9C7EF8" w:rsidR="00221EC9" w:rsidRPr="0033429D" w:rsidRDefault="00C96236" w:rsidP="008645AD">
      <w:pPr>
        <w:pStyle w:val="Heading2"/>
      </w:pPr>
      <w:r w:rsidRPr="0033429D">
        <w:t>6 - OSEP Response</w:t>
      </w:r>
    </w:p>
    <w:p w14:paraId="39CF981B" w14:textId="16EA9F6F" w:rsidR="003C308E" w:rsidRPr="005C29F8" w:rsidRDefault="002B7490" w:rsidP="001F692C">
      <w:pPr>
        <w:rPr>
          <w:rFonts w:cs="Arial"/>
          <w:color w:val="000000" w:themeColor="text1"/>
          <w:szCs w:val="16"/>
        </w:rPr>
      </w:pPr>
      <w:r w:rsidRPr="005C29F8">
        <w:rPr>
          <w:rFonts w:cs="Arial"/>
          <w:color w:val="000000" w:themeColor="text1"/>
          <w:szCs w:val="16"/>
        </w:rPr>
        <w:t xml:space="preserve">The State has revised the baseline for this indicator, using data from FFY 2019, but OSEP cannot accept that revision because the data the State submitted as baseline in its attachment is not consistent with the State's SY 2019-20 submission under IDEA section 618. Specifically, the State's baseline data noted on the attachment is 37.76% for 6A and 25.09% for 6B. However, its FFY 2019 SPP/APR data, derived from the State's IDEA section 618 submission, reflects 39.92% for 6A and 24.24% for 6B.  </w:t>
      </w:r>
      <w:r w:rsidRPr="005C29F8">
        <w:rPr>
          <w:rFonts w:cs="Arial"/>
          <w:color w:val="000000" w:themeColor="text1"/>
          <w:szCs w:val="16"/>
        </w:rPr>
        <w:br/>
      </w:r>
      <w:r w:rsidRPr="005C29F8">
        <w:rPr>
          <w:rFonts w:cs="Arial"/>
          <w:color w:val="000000" w:themeColor="text1"/>
          <w:szCs w:val="16"/>
        </w:rPr>
        <w:br/>
        <w:t xml:space="preserve">Reporting requirements for the IDEA section 618 data collection (specifically, IDEA Part B Child Counts and Educational Environments) were updated to allow States to include five-year-olds in Kindergarten in file specification FS002 - Children with Disabilities (IDEA) School Age and exclude these children from file specification FS089 - Children with Disabilities (IDEA) Early Childhood for School Year (SY) 2019-20. SY 2019-20 (i.e., FFY 2019) was the transition year for this change; States had the option to report five-year-olds in Kindergarten in FS002 in their SY 2019-20 submission or wait to do so with their SY 2020-21 submission, when the change becomes permanent.  The State transitioned to reporting five-year-olds in Kindergarten in FS002 for its SY 2019-20 submission under IDEA section 618. This change impacts the State’s data for SPP/APR Indicators 5 and 6, because the required data source for SPP/APR Indicators 5 and 6 is the same data as used for reporting to the Department under IDEA section 618.  Therefore, the State’s slippage status indicates “NA” for this indicator. </w:t>
      </w: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2B7490" w:rsidP="001F692C">
      <w:pPr>
        <w:rPr>
          <w:rFonts w:cs="Arial"/>
          <w:color w:val="000000" w:themeColor="text1"/>
          <w:szCs w:val="16"/>
        </w:rPr>
      </w:pPr>
      <w:r w:rsidRPr="005C29F8">
        <w:rPr>
          <w:rFonts w:cs="Arial"/>
          <w:color w:val="000000" w:themeColor="text1"/>
          <w:szCs w:val="16"/>
        </w:rPr>
        <w:t>In its FFY 2020 SPP/APR, the State must revise the baseline for this indicator, using data from FFY 2019.</w:t>
      </w:r>
    </w:p>
    <w:p w14:paraId="5DD1838E" w14:textId="77777777" w:rsidR="00B857B7" w:rsidRDefault="00B857B7">
      <w:pPr>
        <w:spacing w:before="0" w:after="200" w:line="276" w:lineRule="auto"/>
        <w:rPr>
          <w:rFonts w:cs="Arial"/>
          <w:color w:val="000000" w:themeColor="text1"/>
          <w:szCs w:val="16"/>
        </w:rPr>
      </w:pPr>
    </w:p>
    <w:p w14:paraId="2CA9DAE4" w14:textId="18B9380A" w:rsidR="00B857B7" w:rsidRDefault="00971472" w:rsidP="00971472">
      <w:pPr>
        <w:pStyle w:val="Heading2"/>
      </w:pPr>
      <w:r>
        <w:lastRenderedPageBreak/>
        <w:t xml:space="preserve">6 </w:t>
      </w:r>
      <w:r w:rsidR="00B857B7" w:rsidRPr="00B907AE">
        <w:t xml:space="preserve">- State Attachments </w:t>
      </w:r>
    </w:p>
    <w:bookmarkStart w:id="35" w:name="_MON_1689086874"/>
    <w:bookmarkEnd w:id="35"/>
    <w:p w14:paraId="2AA7BDE7" w14:textId="2666BA3D" w:rsidR="00600E15" w:rsidRPr="005C29F8" w:rsidRDefault="00B7112C" w:rsidP="004F43DA">
      <w:pPr>
        <w:rPr>
          <w:color w:val="000000" w:themeColor="text1"/>
          <w:szCs w:val="16"/>
        </w:rPr>
      </w:pPr>
      <w:r>
        <w:rPr>
          <w:color w:val="000000" w:themeColor="text1"/>
          <w:szCs w:val="16"/>
        </w:rPr>
        <w:object w:dxaOrig="1541" w:dyaOrig="998" w14:anchorId="314A344B">
          <v:shape id="_x0000_i1035" type="#_x0000_t75" alt="FFY2019Indicator6DataTargetsNewBaseline" style="width:77.25pt;height:50.25pt" o:ole="">
            <v:imagedata r:id="rId12" o:title=""/>
          </v:shape>
          <o:OLEObject Type="Embed" ProgID="Word.Document.12" ShapeID="_x0000_i1035" DrawAspect="Icon" ObjectID="_1689087079" r:id="rId13">
            <o:FieldCodes>\s</o:FieldCodes>
          </o:OLEObject>
        </w:object>
      </w:r>
      <w:r w:rsidR="00600E15" w:rsidRPr="005C29F8">
        <w:rPr>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3"/>
      <w:bookmarkEnd w:id="34"/>
    </w:p>
    <w:p w14:paraId="1404DCF9" w14:textId="77777777" w:rsidR="00531E54" w:rsidRPr="005C29F8" w:rsidRDefault="00531E54" w:rsidP="00A018D4">
      <w:pPr>
        <w:rPr>
          <w:color w:val="000000" w:themeColor="text1"/>
          <w:szCs w:val="20"/>
        </w:rPr>
      </w:pPr>
      <w:bookmarkStart w:id="36"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6"/>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65.00%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63.10%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71.79%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69.42%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72.36%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67.54%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69.79%</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38.00%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38.00%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38.00%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38.00%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39.00%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37.00%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54.50%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49.21%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43.24%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40.91%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38.53%</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67.00%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67.00%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67.00%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67.00%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68.00%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65.50%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72.87%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75.37%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75.30%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69.16%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73.34%</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36.00%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36.00%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36.00%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36.00%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37.00%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35.40%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50.40%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51.04%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42.31%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40.46%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40.90%</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60.00%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58.30%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66.38%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66.88%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68.74%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64.53%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68.48%</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52.00%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53.00%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51.00%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69.20%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67.48%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60.57%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55.46%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55.95%</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65.00%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39.00%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68.00%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37.00%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60.00%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53.00%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 xml:space="preserve">IDEA requires that each state establish a State Advisory Panel for the purpose of providing policy guidance with respect to special education and related services for children with disabilities in the State. Membership is specified in the federal regulations and a majority of the members must be individuals with disabilities or parents of children with disabilities (ages birth through 26). The Part B State Advisory Panel provides advice on the implementation of the IDEA program (Part B) that serves children with disabilities from age three to 20. Members are appointed by the Governor. The panel consists of 13 people: two parents of children with disabilities (ages birth through 26); an individual with a disability; a teacher; a representative of an institution of higher education that prepares special education/related services personnel; a State official who carries out activities under subtitle B of Title VII of the McKinney-Vento Homeless Assistance Act; two administrators of programs for children with disabilities; a representative of a State agency (Department of Health and Human Services) involved in the financing or delivery of related services to children with disabilities; a representative of a public charter school; a representative of a vocational, community or business organization concerned with the provision of transition services to children with disabilities; a representative from the State child welfare agency responsible for foster care; and a representative from the State juvenile and adult corrections agencies. A majority of the members of the panel must be individuals with disabilities or parents of children with disabilities (ages birth through 26). Among the members is an individual who represents the SAP on the State Systemic Improvement Plan stakeholder group. The SAP is a strong representation of community stakeholders. </w:t>
      </w:r>
      <w:r w:rsidRPr="005C29F8">
        <w:rPr>
          <w:rFonts w:cs="Arial"/>
          <w:color w:val="000000" w:themeColor="text1"/>
          <w:szCs w:val="16"/>
        </w:rPr>
        <w:br/>
      </w:r>
      <w:r w:rsidRPr="005C29F8">
        <w:rPr>
          <w:rFonts w:cs="Arial"/>
          <w:color w:val="000000" w:themeColor="text1"/>
          <w:szCs w:val="16"/>
        </w:rPr>
        <w:br/>
        <w:t>The director of the Maine DOE Office of Special Services met with the SAP during their quarterly meetings throughout FFY2019. Members were informed of department priorities and current issues and advice was sought from the membership for the Maine DOE to consider in legislation, rule-making, procedures and reporting. Topics included revisions to the Maine Unified Special Education Regulations, the State Systemic Improvement Plan, Significant Disproportionality Policy, and SPP/APR target-setting.</w:t>
      </w:r>
      <w:r w:rsidRPr="005C29F8">
        <w:rPr>
          <w:rFonts w:cs="Arial"/>
          <w:color w:val="000000" w:themeColor="text1"/>
          <w:szCs w:val="16"/>
        </w:rPr>
        <w:br/>
      </w:r>
      <w:r w:rsidRPr="005C29F8">
        <w:rPr>
          <w:rFonts w:cs="Arial"/>
          <w:color w:val="000000" w:themeColor="text1"/>
          <w:szCs w:val="16"/>
        </w:rPr>
        <w:br/>
        <w:t xml:space="preserve">Target-setting activities for the new SSIP consisted of series of meetings of the SAP membership in 2013 and 2014 during which members were informed of the development of the new State Performance Plan and the new alignment of indicators. These meetings included input from the public. Past performance for each indicator in the first year with comparable consistent measurement with the baseline was identified. Possible targets were suggested based on performance trajectories from previous years. Maine DOE staff members, including the director, data manager and SPP/APR coordinator, were available to answer any statistical or practical questions related to the indicators, past performance, or the analysis leading to suggestions of targets. SAP members discussed priorities and arrived at recommendations for targets for all results indicators (except B-17) for the life of the SPP. Additionally, in December, 2019, SAP members met to review all results indicator historical data and targets and recommended an extension of all results indicator targets for FFY2019. </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1,896</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14</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0.74%</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414</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21.84%</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lastRenderedPageBreak/>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794</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41.88%</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366</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19.30%</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308</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16.24%</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1,160</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1,588</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69.79%</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65.00%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73.05%</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674</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1,896</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38.53%</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39.00%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35.55%</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10</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0.53%</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416</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21.94%</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731</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38.55%</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428</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22.57%</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311</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16.40%</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1,159</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1,585</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73.34%</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68.00%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73.12%</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739</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1,896</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40.90%</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37.00%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38.98%</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lastRenderedPageBreak/>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12</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0.63%</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322</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16.98%</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543</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28.64%</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313</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16.51%</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706</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37.24%</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856</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1,190</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68.48%</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71.93%</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1,019</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1,896</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55.95%</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53.00%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53.74%</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Several factors have likely contributed to the slippage in the percent of children who function within age expectations with regard to positive social-emotional skills. These include Maine’s more restrictive eligibility criteria (Category C), an increase in the incidence of Autism Spectrum Disorder, and the regional prevalence of socioeconomic factors which significantly impact the health and development of children and their families. Also, the impact of transitioning to remote therapy sessions impacted children and families. Another factor which likely impacted Maine’s reporting is continued clarification on the accurate scoring of the Child Outcome Summary form.</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7" w:name="_Toc382082381"/>
      <w:bookmarkStart w:id="38"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Maine uses the ECO process for COS. The form has been built into the statewide system with validations to ensure every child has a COS form on file at entry and at exit from EI services if they have been in services for more than six months.</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9B37A2" w:rsidP="007D435F">
      <w:pPr>
        <w:rPr>
          <w:rFonts w:cs="Arial"/>
          <w:color w:val="000000" w:themeColor="text1"/>
          <w:szCs w:val="16"/>
        </w:rPr>
      </w:pP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lastRenderedPageBreak/>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7"/>
      <w:bookmarkEnd w:id="38"/>
    </w:p>
    <w:p w14:paraId="66FBCA03" w14:textId="77777777" w:rsidR="00B654C1" w:rsidRPr="005C29F8" w:rsidRDefault="00B654C1" w:rsidP="00A018D4">
      <w:pPr>
        <w:rPr>
          <w:color w:val="000000" w:themeColor="text1"/>
          <w:szCs w:val="20"/>
        </w:rPr>
      </w:pPr>
      <w:bookmarkStart w:id="39"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382D466C" w14:textId="23B61DDF" w:rsidTr="00487CBD">
        <w:tc>
          <w:tcPr>
            <w:tcW w:w="8324" w:type="dxa"/>
          </w:tcPr>
          <w:p w14:paraId="3ABB22A7" w14:textId="34110540" w:rsidR="000B547A" w:rsidRPr="005C29F8" w:rsidRDefault="006603CA" w:rsidP="00286BDF">
            <w:pPr>
              <w:rPr>
                <w:rFonts w:cs="Arial"/>
                <w:color w:val="000000" w:themeColor="text1"/>
                <w:szCs w:val="16"/>
              </w:rPr>
            </w:pPr>
            <w:r w:rsidRPr="005C29F8">
              <w:rPr>
                <w:rFonts w:cs="Arial"/>
                <w:color w:val="000000" w:themeColor="text1"/>
                <w:szCs w:val="16"/>
              </w:rPr>
              <w:t>If yes, will you be providing the data for preschool children separately?</w:t>
            </w:r>
          </w:p>
        </w:tc>
        <w:tc>
          <w:tcPr>
            <w:tcW w:w="2476" w:type="dxa"/>
          </w:tcPr>
          <w:p w14:paraId="2D03EBC9" w14:textId="5CCCA5EA"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9"/>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 xml:space="preserve">IDEA requires that each state establish a State Advisory Panel for the purpose of providing policy guidance with respect to special education and related services for children with disabilities in the State. Membership is specified in the federal regulations and a majority of the members must be individuals with disabilities or parents of children with disabilities (ages birth through 26). The Part B State Advisory Panel provides advice on the implementation of the IDEA program (Part B) that serves children with disabilities from age three to 20. Members are appointed by the Governor. The panel consists of 13 people: two parents of children with disabilities (ages birth through 26); an individual with a disability; a teacher; a representative of an institution of higher education that prepares special education/related services personnel; a State official who carries out activities under subtitle B of Title VII of the McKinney-Vento Homeless Assistance Act; two administrators of programs for children with disabilities; a representative of a State agency (Department of Health and Human Services) involved in the financing or delivery of related services to children with disabilities; a representative of a public charter school; a representative of a vocational, community or business organization concerned with the provision of transition services to children with disabilities; a representative from the State child welfare agency responsible for foster care; and a representative from the State juvenile and adult corrections agencies. A majority of the members of the panel must be individuals with disabilities or parents of children with disabilities (ages birth through 26). Among the members is an individual who represents the SAP on the State Systemic Improvement Plan stakeholder group. The SAP is a strong representation of community stakeholders. </w:t>
      </w:r>
      <w:r w:rsidRPr="005C29F8">
        <w:rPr>
          <w:rFonts w:cs="Arial"/>
          <w:color w:val="000000" w:themeColor="text1"/>
          <w:szCs w:val="16"/>
        </w:rPr>
        <w:br/>
      </w:r>
      <w:r w:rsidRPr="005C29F8">
        <w:rPr>
          <w:rFonts w:cs="Arial"/>
          <w:color w:val="000000" w:themeColor="text1"/>
          <w:szCs w:val="16"/>
        </w:rPr>
        <w:br/>
        <w:t>The director of the Maine DOE Office of Special Services met with the SAP during their quarterly meetings throughout FFY2019. Members were informed of department priorities and current issues and advice was sought from the membership for the Maine DOE to consider in legislation, rule-making, procedures and reporting. Topics included revisions to the Maine Unified Special Education Regulations, the State Systemic Improvement Plan, Significant Disproportionality Policy, and SPP/APR target-setting.</w:t>
      </w:r>
      <w:r w:rsidRPr="005C29F8">
        <w:rPr>
          <w:rFonts w:cs="Arial"/>
          <w:color w:val="000000" w:themeColor="text1"/>
          <w:szCs w:val="16"/>
        </w:rPr>
        <w:br/>
      </w:r>
      <w:r w:rsidRPr="005C29F8">
        <w:rPr>
          <w:rFonts w:cs="Arial"/>
          <w:color w:val="000000" w:themeColor="text1"/>
          <w:szCs w:val="16"/>
        </w:rPr>
        <w:br/>
        <w:t xml:space="preserve">Target-setting activities for the new SSIP consisted of series of meetings of the SAP membership in 2013 and 2014 during which members were informed of the development of the new State Performance Plan and the new alignment of indicators. These meetings included input from the public. Past performance for each indicator in the first year with comparable consistent measurement with the baseline was identified. Possible targets were suggested based on performance trajectories from previous years. Maine DOE staff members, including the director, data manager and SPP/APR coordinator, were available to answer any statistical or practical questions related to the indicators, past performance, or the analysis leading to suggestions of targets. SAP members discussed priorities and arrived at recommendations for targets for all results indicators (except B-17) for the life of the SPP. Additionally, in December, 2019, SAP members met to review all results indicator historical data and targets and recommended an extension of all results indicator targets for FFY2019. </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lastRenderedPageBreak/>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2006</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87.40%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91.00%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91.00%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91.00%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91.00%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91.00%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93.49%</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93.95%</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91.61%</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92.94%</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89.41%</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91.00%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453</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493</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89.41%</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91.00%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91.89%</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8,627</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5.71%</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For the combined (school-age and preschool) percentage, the number of school-age and preschool respondents who indicated that schools facilitated parent involvement were summed and then divided by the sum of all school-age and preschool respondents. Preschool data (age 3-5) were gathered from a census of all Child Development Services sites. School-aged data were collected through monitoring activities. LEAs are assigned to cohorts that are monitored on a four year rotation, ensuring that each LEA is monitored once every four years. The data for Child Development Services (CDS) (pre-school) and DOE are reported jointly for this indicator because the targets and baseline have been set for combined CDS and DOE data. However, Maine additionally reports CDS and DOE disaggregations - the FFY2019 data, both combined and disaggregated, are reported below.</w:t>
      </w:r>
      <w:r w:rsidRPr="005C29F8">
        <w:rPr>
          <w:rFonts w:cs="Arial"/>
          <w:color w:val="000000" w:themeColor="text1"/>
          <w:szCs w:val="16"/>
        </w:rPr>
        <w:br/>
      </w:r>
      <w:r w:rsidRPr="005C29F8">
        <w:rPr>
          <w:rFonts w:cs="Arial"/>
          <w:color w:val="000000" w:themeColor="text1"/>
          <w:szCs w:val="16"/>
        </w:rPr>
        <w:br/>
        <w:t>Measurement:</w:t>
      </w:r>
      <w:r w:rsidRPr="005C29F8">
        <w:rPr>
          <w:rFonts w:cs="Arial"/>
          <w:color w:val="000000" w:themeColor="text1"/>
          <w:szCs w:val="16"/>
        </w:rPr>
        <w:br/>
        <w:t>Percent = [(# of respondent parents who report schools facilitated parent involvement as a means of improving services and results for children with disabilities) divided by the (total # of respondent parents of children with disabilities)] times 100.</w:t>
      </w:r>
      <w:r w:rsidRPr="005C29F8">
        <w:rPr>
          <w:rFonts w:cs="Arial"/>
          <w:color w:val="000000" w:themeColor="text1"/>
          <w:szCs w:val="16"/>
        </w:rPr>
        <w:br/>
        <w:t>Overall (Combined) = [(275 + 178) / (305 + 188)]*100= 91.89%</w:t>
      </w:r>
      <w:r w:rsidRPr="005C29F8">
        <w:rPr>
          <w:rFonts w:cs="Arial"/>
          <w:color w:val="000000" w:themeColor="text1"/>
          <w:szCs w:val="16"/>
        </w:rPr>
        <w:br/>
        <w:t>DOE (School Age) = (275 / 305) * 100 = 90.16%</w:t>
      </w:r>
      <w:r w:rsidRPr="005C29F8">
        <w:rPr>
          <w:rFonts w:cs="Arial"/>
          <w:color w:val="000000" w:themeColor="text1"/>
          <w:szCs w:val="16"/>
        </w:rPr>
        <w:br/>
        <w:t>CDS = (178 / 188) * 100 = 94.68%</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Part B 619 data are not based on a sample, they are collected via a census, while school-age data are collected through monitoring activities (sample). School-age data were gathered from a cohort consisting of 1/4 of Maine's school districts. Preschool data (age 3-5) were gathered from a census of all Child Development Services sites.</w:t>
      </w:r>
      <w:r w:rsidRPr="005C29F8">
        <w:rPr>
          <w:rFonts w:cs="Arial"/>
          <w:color w:val="000000" w:themeColor="text1"/>
          <w:szCs w:val="16"/>
        </w:rPr>
        <w:br/>
      </w:r>
      <w:r w:rsidRPr="005C29F8">
        <w:rPr>
          <w:rFonts w:cs="Arial"/>
          <w:color w:val="000000" w:themeColor="text1"/>
          <w:szCs w:val="16"/>
        </w:rPr>
        <w:br/>
        <w:t>Maine DOE provided the electronic link to a parent survey to all monitored LEAs and the LEAs provided the link to all parents of students with IEPs in the LEA. 7.095 survey invitations were provided to parents of Part B school-aged children. Out of all survey respondents, 305 indicated either favorable or unfavorable responses to this indicator. The percentage of parents with a child receiving special education services who responded favorably was 90.16% (275 of 305 respondents). Analyses of the sample's representativeness of the population of monitored districts were conducted for gender, age group, and race/ethnicity. Respondent data across all categories were found to be represented in the sample at least to the extent that they existed in the population or were within 5% of the population values.</w:t>
      </w:r>
      <w:r w:rsidRPr="005C29F8">
        <w:rPr>
          <w:rFonts w:cs="Arial"/>
          <w:color w:val="000000" w:themeColor="text1"/>
          <w:szCs w:val="16"/>
        </w:rPr>
        <w:br/>
      </w:r>
      <w:r w:rsidRPr="005C29F8">
        <w:rPr>
          <w:rFonts w:cs="Arial"/>
          <w:color w:val="000000" w:themeColor="text1"/>
          <w:szCs w:val="16"/>
        </w:rPr>
        <w:br/>
        <w:t>CDS preschool data were collected via a census. All families of children receiving services through the nine regional sites received a text message or email with a link to the survey. 1,532 Part B (619) families were contacted to complete the survey and 188 responded. The percentage of parents with a child receiving special education services who reported that the schools facilitated parent involvement as a means of improving services and results for children with disabilities was 94.68%. In reviewing the data, the CDS State IEU has determined the response group is representative of the CDS system.</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lastRenderedPageBreak/>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School-age data were gathered from a cohort consisting of 1/4 of Maine's school districts. Preschool data (age 3-5) were gathered from a census of all Child Development Services sites.</w:t>
      </w:r>
      <w:r w:rsidRPr="005C29F8">
        <w:rPr>
          <w:rFonts w:cs="Arial"/>
          <w:color w:val="000000" w:themeColor="text1"/>
          <w:szCs w:val="16"/>
        </w:rPr>
        <w:br/>
      </w:r>
      <w:r w:rsidRPr="005C29F8">
        <w:rPr>
          <w:rFonts w:cs="Arial"/>
          <w:color w:val="000000" w:themeColor="text1"/>
          <w:szCs w:val="16"/>
        </w:rPr>
        <w:br/>
        <w:t>Maine DOE provided the electronic link to a parent survey to all monitored LEAs and the LEAs provided the link to all parents of students with IEPs in the LEA. 7.095 survey invitations were provided to parents of Part B school-aged children. Out of all survey respondents, 305 indicated either favorable or unfavorable responses to this indicator. The percentage of parents with a child receiving special education services who responded favorably was 90.16% (275 of 305 respondents). Analyses of the sample's representativeness of the population of monitored districts were conducted for gender, age group, and race/ethnicity. Respondent data across all categories were found to be represented in the sample at least to the extent that they existed in the population or were within 5% of the population values.</w:t>
      </w:r>
      <w:r w:rsidRPr="005C29F8">
        <w:rPr>
          <w:rFonts w:cs="Arial"/>
          <w:color w:val="000000" w:themeColor="text1"/>
          <w:szCs w:val="16"/>
        </w:rPr>
        <w:br/>
      </w:r>
      <w:r w:rsidRPr="005C29F8">
        <w:rPr>
          <w:rFonts w:cs="Arial"/>
          <w:color w:val="000000" w:themeColor="text1"/>
          <w:szCs w:val="16"/>
        </w:rPr>
        <w:br/>
        <w:t>CDS preschool data were collected via a census. All families of children receiving services through the nine regional sites received a text message or email with a link to the survey. 1,532 Part B (619) families were contacted to complete the survey and 188 responded. The percentage of parents with a child receiving special education services who reported that the schools facilitated parent involvement as a means of improving services and results for children with disabilities was 94.68%. In reviewing the data, the CDS State IEU has determined the response group is representative of the CDS system.</w:t>
      </w:r>
    </w:p>
    <w:p w14:paraId="1A0A4F5E" w14:textId="77777777" w:rsidR="00221EC9" w:rsidRPr="005C29F8" w:rsidRDefault="00221EC9" w:rsidP="00221EC9">
      <w:pPr>
        <w:rPr>
          <w:rFonts w:cs="Arial"/>
          <w:b/>
          <w:color w:val="000000" w:themeColor="text1"/>
          <w:szCs w:val="16"/>
        </w:rPr>
      </w:pPr>
      <w:bookmarkStart w:id="40" w:name="_Toc381956336"/>
      <w:bookmarkStart w:id="41" w:name="_Toc384383342"/>
      <w:bookmarkStart w:id="42" w:name="_Toc392159310"/>
      <w:bookmarkStart w:id="43" w:name="_Toc382082387"/>
      <w:r w:rsidRPr="005C29F8">
        <w:rPr>
          <w:rFonts w:cs="Arial"/>
          <w:b/>
          <w:color w:val="000000" w:themeColor="text1"/>
          <w:szCs w:val="16"/>
        </w:rPr>
        <w:t>Provide additional information about this indicator (optional)</w:t>
      </w:r>
    </w:p>
    <w:p w14:paraId="7F22D6A0" w14:textId="105FEEC5" w:rsidR="009B37A2" w:rsidRPr="005C29F8" w:rsidRDefault="009B37A2" w:rsidP="007D435F">
      <w:pPr>
        <w:rPr>
          <w:rFonts w:cs="Arial"/>
          <w:color w:val="000000" w:themeColor="text1"/>
          <w:szCs w:val="16"/>
        </w:rPr>
      </w:pP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9B37A2" w:rsidP="001F692C">
      <w:pPr>
        <w:rPr>
          <w:rFonts w:cs="Arial"/>
          <w:color w:val="000000" w:themeColor="text1"/>
          <w:szCs w:val="16"/>
        </w:rPr>
      </w:pP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0"/>
      <w:bookmarkEnd w:id="41"/>
      <w:bookmarkEnd w:id="42"/>
    </w:p>
    <w:p w14:paraId="30C4375D" w14:textId="77777777" w:rsidR="00AF5AFB" w:rsidRPr="005C29F8" w:rsidRDefault="00AF5AFB" w:rsidP="00A018D4">
      <w:pPr>
        <w:rPr>
          <w:color w:val="000000" w:themeColor="text1"/>
          <w:szCs w:val="20"/>
        </w:rPr>
      </w:pPr>
      <w:bookmarkStart w:id="44" w:name="_Toc384383343"/>
      <w:bookmarkStart w:id="45"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6" w:name="_Toc384383344"/>
      <w:bookmarkStart w:id="47" w:name="_Toc392159312"/>
      <w:bookmarkEnd w:id="44"/>
      <w:bookmarkEnd w:id="45"/>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6"/>
      <w:bookmarkEnd w:id="47"/>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121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144</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8" w:name="_Hlk494459610"/>
      <w:r w:rsidRPr="005C29F8">
        <w:rPr>
          <w:rFonts w:cs="Arial"/>
          <w:color w:val="000000" w:themeColor="text1"/>
          <w:szCs w:val="16"/>
        </w:rPr>
        <w:t>Disproportionate representation is defined as a significant difference between the identification rates of students with disabilities by race/ethnic proportion and the proportionate representation of the race/ethnicity overall within the district. A significant difference is defined as a risk ratio and an alternate risk ratio greater than or equal to 3 when comparing the risk of special education identification of students of a given race/ethnicity to the risk of special education identification of students of all other races/ethnicities. One year of data is used in the calculations. Multiple risk ratio measures and cell and n size criteria are used because the counts of students belonging to various racial/ethnic groups in Maine’s districts often are very small. The cell size and n size of an assessed racial/ethnic group in special education must be at least 10 and 30, respectively, and a comparison group of any other racial/ethnic group in the district must be at least 10.</w:t>
      </w:r>
    </w:p>
    <w:bookmarkEnd w:id="48"/>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No districts exhibited disproportionate representation of racial/ethnic groups in special education. Therefore, there was no review to determine if disproportionate representation was the result of inappropriate identification.</w:t>
      </w:r>
    </w:p>
    <w:p w14:paraId="3B71A72A" w14:textId="77777777" w:rsidR="00DF1529" w:rsidRPr="005C29F8" w:rsidRDefault="00DF1529" w:rsidP="00DF1529">
      <w:pPr>
        <w:rPr>
          <w:rFonts w:cs="Arial"/>
          <w:b/>
          <w:color w:val="000000" w:themeColor="text1"/>
          <w:szCs w:val="16"/>
        </w:rPr>
      </w:pPr>
      <w:bookmarkStart w:id="49" w:name="_Toc381956337"/>
      <w:bookmarkStart w:id="50" w:name="_Toc384383347"/>
      <w:bookmarkStart w:id="51" w:name="_Toc392159315"/>
      <w:r w:rsidRPr="005C29F8">
        <w:rPr>
          <w:rFonts w:cs="Arial"/>
          <w:b/>
          <w:color w:val="000000" w:themeColor="text1"/>
          <w:szCs w:val="16"/>
        </w:rPr>
        <w:t>Provide additional information about this indicator (optional)</w:t>
      </w:r>
    </w:p>
    <w:p w14:paraId="0CC85C5C" w14:textId="196142DC" w:rsidR="009B37A2" w:rsidRPr="005C29F8" w:rsidRDefault="009B37A2" w:rsidP="007D435F">
      <w:pPr>
        <w:rPr>
          <w:rFonts w:cs="Arial"/>
          <w:color w:val="000000" w:themeColor="text1"/>
          <w:szCs w:val="16"/>
        </w:rPr>
      </w:pP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9"/>
      <w:bookmarkEnd w:id="50"/>
      <w:bookmarkEnd w:id="51"/>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2" w:name="_Toc384383348"/>
      <w:bookmarkStart w:id="53"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4" w:name="_Toc384383349"/>
      <w:bookmarkStart w:id="55" w:name="_Toc392159317"/>
      <w:bookmarkEnd w:id="52"/>
      <w:bookmarkEnd w:id="53"/>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4"/>
      <w:bookmarkEnd w:id="55"/>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6" w:name="_Hlk20258880"/>
      <w:r w:rsidRPr="005C29F8">
        <w:rPr>
          <w:rFonts w:cs="Arial"/>
          <w:color w:val="000000" w:themeColor="text1"/>
          <w:szCs w:val="16"/>
        </w:rPr>
        <w:t>YES</w:t>
      </w:r>
    </w:p>
    <w:bookmarkEnd w:id="56"/>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131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134</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Disproportionate representation is defined as a significant difference between the rates of students identified for specific disability categories by race/ethnic proportion and the proportionate representation of the race/ethnicity overall within the district. A significant difference is defined as a risk ratio and an alternate risk ratio greater than or equal to 3 when comparing the risk of the identification of students of a given race/ethnicity in a disability category to the risk of identification of students of all other races/ethnicities. One year of data is used in the calculations. Multiple risk ratio measures and cell and n size criteria are used because the counts of students belonging to various racial/ethnic groups in Maine’s districts often are very small. The cell size and n size of an assessed racial/ethnic group in a disability category must be at least 10 and 30, respectively, and a comparison group of any other racial/ethnic group in the district must be at least 10.</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No districts exhibited disproportionate representation of racial/ethnic groups in specific disability categories. Therefore, there was no review to determine if disproportionate representation was the result of inappropriate identification.</w:t>
      </w:r>
    </w:p>
    <w:p w14:paraId="1FCF1BF3" w14:textId="77777777" w:rsidR="00DF1529" w:rsidRPr="005C29F8" w:rsidRDefault="00DF1529" w:rsidP="00DF1529">
      <w:pPr>
        <w:rPr>
          <w:rFonts w:cs="Arial"/>
          <w:b/>
          <w:color w:val="000000" w:themeColor="text1"/>
          <w:szCs w:val="16"/>
        </w:rPr>
      </w:pPr>
      <w:bookmarkStart w:id="57" w:name="_Toc381956338"/>
      <w:bookmarkStart w:id="58" w:name="_Toc384383352"/>
      <w:bookmarkStart w:id="59" w:name="_Toc392159320"/>
      <w:r w:rsidRPr="005C29F8">
        <w:rPr>
          <w:rFonts w:cs="Arial"/>
          <w:b/>
          <w:color w:val="000000" w:themeColor="text1"/>
          <w:szCs w:val="16"/>
        </w:rPr>
        <w:t>Provide additional information about this indicator (optional)</w:t>
      </w:r>
    </w:p>
    <w:p w14:paraId="6A3194C2" w14:textId="40939986" w:rsidR="00481536" w:rsidRPr="005C29F8" w:rsidRDefault="00481536" w:rsidP="007D435F">
      <w:pPr>
        <w:rPr>
          <w:rFonts w:cs="Arial"/>
          <w:color w:val="000000" w:themeColor="text1"/>
          <w:szCs w:val="16"/>
        </w:rPr>
      </w:pP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7"/>
      <w:bookmarkEnd w:id="58"/>
      <w:bookmarkEnd w:id="59"/>
    </w:p>
    <w:p w14:paraId="4F5D642D" w14:textId="77777777" w:rsidR="00E119B0" w:rsidRPr="005C29F8" w:rsidRDefault="00E119B0" w:rsidP="00A018D4">
      <w:pPr>
        <w:rPr>
          <w:color w:val="000000" w:themeColor="text1"/>
          <w:szCs w:val="20"/>
        </w:rPr>
      </w:pPr>
      <w:bookmarkStart w:id="60" w:name="_Toc384383353"/>
      <w:bookmarkStart w:id="61"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2" w:name="_Toc384383354"/>
      <w:bookmarkStart w:id="63" w:name="_Toc392159322"/>
      <w:bookmarkEnd w:id="60"/>
      <w:bookmarkEnd w:id="61"/>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2012</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86.00%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84.08%</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83.02%</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91.24%</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92.65%</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93.23%</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2"/>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749</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693</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93.23%</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92.52%</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56</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 xml:space="preserve">In Maine, children ages 3 through 5 are educated in two separate systems (Child Development Services (CDS) and Maine Department of Education (Maine DOE)). Children ages 3 through 5 served by CDS must be evaluated within 60 days, while school aged children ages 5 - 20 must be evaluated within 45 days. Therefore, the child find counts and analyses are reported separately below. </w:t>
      </w:r>
      <w:r w:rsidRPr="006620F3">
        <w:rPr>
          <w:color w:val="000000" w:themeColor="text1"/>
        </w:rPr>
        <w:br/>
      </w:r>
      <w:r w:rsidRPr="006620F3">
        <w:rPr>
          <w:color w:val="000000" w:themeColor="text1"/>
        </w:rPr>
        <w:br/>
        <w:t>Child Development Services (CDS):</w:t>
      </w:r>
      <w:r w:rsidRPr="006620F3">
        <w:rPr>
          <w:color w:val="000000" w:themeColor="text1"/>
        </w:rPr>
        <w:br/>
        <w:t>(a) Number of children for whom parental consent to evaluate was received = 456</w:t>
      </w:r>
      <w:r w:rsidRPr="006620F3">
        <w:rPr>
          <w:color w:val="000000" w:themeColor="text1"/>
        </w:rPr>
        <w:br/>
        <w:t>(b) Number of children whose evaluations were completed within 60 days = 409</w:t>
      </w:r>
      <w:r w:rsidRPr="006620F3">
        <w:rPr>
          <w:color w:val="000000" w:themeColor="text1"/>
        </w:rPr>
        <w:br/>
        <w:t>Percent of children with parental consent to evaluate who were evaluated within 60 days = [ (409 / 456) * 100 ] = 89.69%</w:t>
      </w:r>
      <w:r w:rsidRPr="006620F3">
        <w:rPr>
          <w:color w:val="000000" w:themeColor="text1"/>
        </w:rPr>
        <w:br/>
      </w:r>
      <w:r w:rsidRPr="006620F3">
        <w:rPr>
          <w:color w:val="000000" w:themeColor="text1"/>
        </w:rPr>
        <w:br/>
        <w:t>Reason for Delay</w:t>
      </w:r>
      <w:r w:rsidRPr="006620F3">
        <w:rPr>
          <w:color w:val="000000" w:themeColor="text1"/>
        </w:rPr>
        <w:br/>
        <w:t>CDS (no delay reason was given and/or delay was caused by regional site/staff) = 23</w:t>
      </w:r>
      <w:r w:rsidRPr="006620F3">
        <w:rPr>
          <w:color w:val="000000" w:themeColor="text1"/>
        </w:rPr>
        <w:br/>
        <w:t>Provider = 24</w:t>
      </w:r>
      <w:r w:rsidRPr="006620F3">
        <w:rPr>
          <w:color w:val="000000" w:themeColor="text1"/>
        </w:rPr>
        <w:br/>
      </w:r>
      <w:r w:rsidRPr="006620F3">
        <w:rPr>
          <w:color w:val="000000" w:themeColor="text1"/>
        </w:rPr>
        <w:br/>
        <w:t>Days Beyond Timeline</w:t>
      </w:r>
      <w:r w:rsidRPr="006620F3">
        <w:rPr>
          <w:color w:val="000000" w:themeColor="text1"/>
        </w:rPr>
        <w:br/>
        <w:t>61-75 = 27</w:t>
      </w:r>
      <w:r w:rsidRPr="006620F3">
        <w:rPr>
          <w:color w:val="000000" w:themeColor="text1"/>
        </w:rPr>
        <w:br/>
        <w:t>Over 75 = 20</w:t>
      </w:r>
      <w:r w:rsidRPr="006620F3">
        <w:rPr>
          <w:color w:val="000000" w:themeColor="text1"/>
        </w:rPr>
        <w:br/>
      </w:r>
      <w:r w:rsidRPr="006620F3">
        <w:rPr>
          <w:color w:val="000000" w:themeColor="text1"/>
        </w:rPr>
        <w:br/>
        <w:t>Maine DOE:</w:t>
      </w:r>
      <w:r w:rsidRPr="006620F3">
        <w:rPr>
          <w:color w:val="000000" w:themeColor="text1"/>
        </w:rPr>
        <w:br/>
        <w:t>(a) Number of children for whom parental consent to evaluate was received = 293</w:t>
      </w:r>
      <w:r w:rsidRPr="006620F3">
        <w:rPr>
          <w:color w:val="000000" w:themeColor="text1"/>
        </w:rPr>
        <w:br/>
        <w:t>(b) Number of children whose evaluations were completed within 60 days = 284</w:t>
      </w:r>
      <w:r w:rsidRPr="006620F3">
        <w:rPr>
          <w:color w:val="000000" w:themeColor="text1"/>
        </w:rPr>
        <w:br/>
        <w:t>Percent of children with parental consent to evaluate who were evaluated within 60 days = [ (284 / 293) * 100 ] = 96.93%</w:t>
      </w:r>
      <w:r w:rsidRPr="006620F3">
        <w:rPr>
          <w:color w:val="000000" w:themeColor="text1"/>
        </w:rPr>
        <w:br/>
      </w:r>
      <w:r w:rsidRPr="006620F3">
        <w:rPr>
          <w:color w:val="000000" w:themeColor="text1"/>
        </w:rPr>
        <w:br/>
        <w:t xml:space="preserve">The 50 LEAs monitored received 293 parental consents for evaluation with the number of educational files reviewed as outlined below: </w:t>
      </w:r>
      <w:r w:rsidRPr="006620F3">
        <w:rPr>
          <w:color w:val="000000" w:themeColor="text1"/>
        </w:rPr>
        <w:br/>
        <w:t>Child; Count Number of Files</w:t>
      </w:r>
      <w:r w:rsidRPr="006620F3">
        <w:rPr>
          <w:color w:val="000000" w:themeColor="text1"/>
        </w:rPr>
        <w:br/>
        <w:t>0 - 50; 15</w:t>
      </w:r>
      <w:r w:rsidRPr="006620F3">
        <w:rPr>
          <w:color w:val="000000" w:themeColor="text1"/>
        </w:rPr>
        <w:br/>
        <w:t>50 - 200; 20</w:t>
      </w:r>
      <w:r w:rsidRPr="006620F3">
        <w:rPr>
          <w:color w:val="000000" w:themeColor="text1"/>
        </w:rPr>
        <w:br/>
        <w:t>200 - 400; 30</w:t>
      </w:r>
      <w:r w:rsidRPr="006620F3">
        <w:rPr>
          <w:color w:val="000000" w:themeColor="text1"/>
        </w:rPr>
        <w:br/>
        <w:t>400 - 750; 50</w:t>
      </w:r>
      <w:r w:rsidRPr="006620F3">
        <w:rPr>
          <w:color w:val="000000" w:themeColor="text1"/>
        </w:rPr>
        <w:br/>
        <w:t>More than 750; 75</w:t>
      </w:r>
      <w:r w:rsidRPr="006620F3">
        <w:rPr>
          <w:color w:val="000000" w:themeColor="text1"/>
        </w:rPr>
        <w:br/>
      </w:r>
      <w:r w:rsidRPr="006620F3">
        <w:rPr>
          <w:color w:val="000000" w:themeColor="text1"/>
        </w:rPr>
        <w:br/>
        <w:t xml:space="preserve">As indicated above, 284 evaluations were completed within the 45 school-day timeline or within an allowable extension of time pursuant to Federal Regulations and Maine Unified Special Education Regulations (MUSER). Acceptable reasons for exceptions to the timeline are those that are beyond the LEA's control, including repeated parent failure or refusal to produce the child for evaluation, excessive child absences, documented delays in making contact with a parent to schedule the evaluation, documented parent request for a delay, or the child enrolled in the LEA after parental consent was received in another LEA but before the evaluation could be completed. </w:t>
      </w:r>
      <w:r w:rsidRPr="006620F3">
        <w:rPr>
          <w:color w:val="000000" w:themeColor="text1"/>
        </w:rPr>
        <w:br/>
      </w:r>
      <w:r w:rsidRPr="006620F3">
        <w:rPr>
          <w:color w:val="000000" w:themeColor="text1"/>
        </w:rPr>
        <w:br/>
        <w:t>All 9 students included in (a) but not included in (b) have completed initial evaluations, but they were not within the state-established timeline. The delays for these students ranged from 2 to 40 days. Reasons for these delays included lack of personnel resources to schedule and/or complete evaluation, the external evaluator failed to meet evaluation timelines, or the child was not available due to school activities.</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used the 60 day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monitoring</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Data-collection methods differ between students served under Child Development Services (CDS, which serves children ages 3-5) and school-aged students (age 5 and above).</w:t>
      </w:r>
      <w:r w:rsidRPr="005C29F8">
        <w:rPr>
          <w:rFonts w:cs="Arial"/>
          <w:color w:val="000000" w:themeColor="text1"/>
          <w:szCs w:val="16"/>
        </w:rPr>
        <w:br/>
      </w:r>
      <w:r w:rsidRPr="005C29F8">
        <w:rPr>
          <w:rFonts w:cs="Arial"/>
          <w:color w:val="000000" w:themeColor="text1"/>
          <w:szCs w:val="16"/>
        </w:rPr>
        <w:br/>
        <w:t>Early Childhood (ages 3-5): Data were collected through monitoring of the 9 regional CDS sites. All evaluations and eligibility determinations made between March 1, 2020 and June 30, 2020 were reviewed for timeliness. A total of 456 records were reviewed.</w:t>
      </w:r>
      <w:r w:rsidRPr="005C29F8">
        <w:rPr>
          <w:rFonts w:cs="Arial"/>
          <w:color w:val="000000" w:themeColor="text1"/>
          <w:szCs w:val="16"/>
        </w:rPr>
        <w:br/>
      </w:r>
      <w:r w:rsidRPr="005C29F8">
        <w:rPr>
          <w:rFonts w:cs="Arial"/>
          <w:color w:val="000000" w:themeColor="text1"/>
          <w:szCs w:val="16"/>
        </w:rPr>
        <w:br/>
        <w:t>School Aged (ages 5-20): The data for this indicator are monitoring data. LEAs are assigned to cohorts that are monitored on a four year rotation ensuring that each LEA is monitored once every four years. Initial evaluation data were collected from the 50 LEAs that were monitored during FFY2019. LEAs submit the following materials:</w:t>
      </w:r>
      <w:r w:rsidRPr="005C29F8">
        <w:rPr>
          <w:rFonts w:cs="Arial"/>
          <w:color w:val="000000" w:themeColor="text1"/>
          <w:szCs w:val="16"/>
        </w:rPr>
        <w:br/>
        <w:t>1. evidence of signed parental consent,</w:t>
      </w:r>
      <w:r w:rsidRPr="005C29F8">
        <w:rPr>
          <w:rFonts w:cs="Arial"/>
          <w:color w:val="000000" w:themeColor="text1"/>
          <w:szCs w:val="16"/>
        </w:rPr>
        <w:br/>
        <w:t>2. completed evaluations for initial evaluations occurring during the monitoring period,</w:t>
      </w:r>
      <w:r w:rsidRPr="005C29F8">
        <w:rPr>
          <w:rFonts w:cs="Arial"/>
          <w:color w:val="000000" w:themeColor="text1"/>
          <w:szCs w:val="16"/>
        </w:rPr>
        <w:br/>
        <w:t>3. school calendars for evidence of “student” days and “no student” days, and</w:t>
      </w:r>
      <w:r w:rsidRPr="005C29F8">
        <w:rPr>
          <w:rFonts w:cs="Arial"/>
          <w:color w:val="000000" w:themeColor="text1"/>
          <w:szCs w:val="16"/>
        </w:rPr>
        <w:br/>
        <w:t>4. reasons for delay of completion of initial evaluations. LEAs are required to provide evidence of accepted reasons for delay.</w:t>
      </w:r>
      <w:r w:rsidRPr="005C29F8">
        <w:rPr>
          <w:rFonts w:cs="Arial"/>
          <w:color w:val="000000" w:themeColor="text1"/>
          <w:szCs w:val="16"/>
        </w:rPr>
        <w:br/>
        <w:t>The monitoring period is selected to ensure there are at least 45 school days between the date parental consent was received and the date evaluations were completed prior to submission due date. Data collected on students whose files are randomly selected for on site review and received initial evaluation during the 2019-20 school year are identical to that submitted for desk audit; signed parental consent received by the LEA, completed evaluations and school calendar. Data are reviewed by the public school program monitoring team and checked for accuracy and inter-observer reliability.</w:t>
      </w:r>
    </w:p>
    <w:p w14:paraId="4F981BFF" w14:textId="77777777" w:rsidR="00C86164" w:rsidRPr="005C29F8" w:rsidRDefault="00C86164" w:rsidP="00C86164">
      <w:pPr>
        <w:rPr>
          <w:rFonts w:cs="Arial"/>
          <w:b/>
          <w:color w:val="000000" w:themeColor="text1"/>
          <w:szCs w:val="16"/>
        </w:rPr>
      </w:pPr>
      <w:bookmarkStart w:id="64" w:name="_Toc381956339"/>
      <w:bookmarkStart w:id="65" w:name="_Toc384383357"/>
      <w:bookmarkStart w:id="66" w:name="_Toc392159325"/>
      <w:r w:rsidRPr="005C29F8">
        <w:rPr>
          <w:rFonts w:cs="Arial"/>
          <w:b/>
          <w:color w:val="000000" w:themeColor="text1"/>
          <w:szCs w:val="16"/>
        </w:rPr>
        <w:t>Provide additional information about this indicator (optional)</w:t>
      </w:r>
    </w:p>
    <w:p w14:paraId="4D7330D9" w14:textId="5E39C58C" w:rsidR="00326C0B" w:rsidRPr="005C29F8" w:rsidRDefault="00326C0B" w:rsidP="007D435F">
      <w:pPr>
        <w:rPr>
          <w:rFonts w:cs="Arial"/>
          <w:color w:val="000000" w:themeColor="text1"/>
          <w:szCs w:val="16"/>
        </w:rPr>
      </w:pP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17</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17</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Early Childhood (ages 3-5): Children Evaluated Within 60 Days:</w:t>
      </w:r>
      <w:r w:rsidRPr="005C29F8">
        <w:rPr>
          <w:rFonts w:cs="Arial"/>
          <w:color w:val="000000" w:themeColor="text1"/>
          <w:szCs w:val="16"/>
        </w:rPr>
        <w:br/>
        <w:t>Prior to considering any finding from FFY 2018 corrected, CDS State IEU verified that each regional site with noncompliance: (1) was correctly implementing 34 CFR §§300.301(c)(1) (achieved 100% compliance) and 34 CFR §§300.301(d) (exceptions to the timeline) based on updated data such as data subsequently collected through on-site monitoring or a State data system; and (2) had corrected each individual case of noncompliance, unless the child was no longer within the jurisdiction of the regional site, consistent with OSEP Memorandum 09-02, dated October 17, 2008 (OSEP Memo 09-02).</w:t>
      </w:r>
      <w:r w:rsidRPr="005C29F8">
        <w:rPr>
          <w:rFonts w:cs="Arial"/>
          <w:color w:val="000000" w:themeColor="text1"/>
          <w:szCs w:val="16"/>
        </w:rPr>
        <w:br/>
      </w:r>
      <w:r w:rsidRPr="005C29F8">
        <w:rPr>
          <w:rFonts w:cs="Arial"/>
          <w:color w:val="000000" w:themeColor="text1"/>
          <w:szCs w:val="16"/>
        </w:rPr>
        <w:br/>
        <w:t xml:space="preserve">School-Aged (ages 5-20): Children aged 5-20 Evaluated within the State-Established Timeline of 45 Days: </w:t>
      </w:r>
      <w:r w:rsidRPr="005C29F8">
        <w:rPr>
          <w:rFonts w:cs="Arial"/>
          <w:color w:val="000000" w:themeColor="text1"/>
          <w:szCs w:val="16"/>
        </w:rPr>
        <w:br/>
        <w:t>Prior to considering any finding from FFY2018 corrected, Maine DOE verified that each LEA with noncompliance: (1) was correctly implementing 34 CFR §§300.320(b) and 300.321(b), (i.e., achieved 100% compliance) based on updated data subsequently collected through corrective activities; and (2) has corrected each individual case of noncompliance, unless the child is no longer within the jurisdiction of the LEA, consistent with OSEP Memorandum 09-02, dated October 17, 2008.</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Early Childhood (ages 3-5): Children Evaluated Within 60 Days:</w:t>
      </w:r>
      <w:r w:rsidRPr="005C29F8">
        <w:rPr>
          <w:rFonts w:cs="Arial"/>
          <w:color w:val="000000" w:themeColor="text1"/>
          <w:szCs w:val="16"/>
        </w:rPr>
        <w:br/>
        <w:t>CDS was able to verify that an evaluation and initial IEP meeting were conducted for each child aged 3-5 for whom consent was received, although late. Specifically, to verify that each regional site was correctly implementing the requirements, CDS State IEU reviewed subsequent updated data from, performed on-site file reviews, and verified subsequent data submitted through regional site self-assessments and compliance reports submitted by each regional site. The time period for which each program was required to demonstrate 100% compliance varied based on the level of noncompliance identified in the program. In addition to verifying correction according to the OSEP 09-02 Memorandum, CDS State IEU also complied with the requirements to account for all instances of noncompliance identified through its database as well as on-site monitoring and other monitoring procedures; identify the level, location (regional site), and root cause(s) of all noncompliance; and require any regional site with policies, procedures, or practices that contributed to the noncompliance to revise those policies, procedures, or practices and submit corrective action plans (CAPs). CDS State IEU and the regional site created the CAPs. These activities ranged from providing staff training, attending required TA, submitting monthly reports to the CDS State IEU and completing CAP check-in calls with the CDS State IEU.</w:t>
      </w:r>
      <w:r w:rsidRPr="005C29F8">
        <w:rPr>
          <w:rFonts w:cs="Arial"/>
          <w:color w:val="000000" w:themeColor="text1"/>
          <w:szCs w:val="16"/>
        </w:rPr>
        <w:br/>
      </w:r>
      <w:r w:rsidRPr="005C29F8">
        <w:rPr>
          <w:rFonts w:cs="Arial"/>
          <w:color w:val="000000" w:themeColor="text1"/>
          <w:szCs w:val="16"/>
        </w:rPr>
        <w:br/>
        <w:t>School-Aged (ages 5-20): Children aged 5-20 Evaluated within the State-Established Timeline of 45 Days:</w:t>
      </w:r>
      <w:r w:rsidRPr="005C29F8">
        <w:rPr>
          <w:rFonts w:cs="Arial"/>
          <w:color w:val="000000" w:themeColor="text1"/>
          <w:szCs w:val="16"/>
        </w:rPr>
        <w:br/>
        <w:t>To verify that each LEA correctly implemented the requirements, Maine DOE reviewed and verified subsequent updated data submitted by the LEAs through corrective activities. LEAs were required to develop a plan for monitoring in the LEA to meet initial evaluation timelines. LEAs were to provide training on Child Find requirements and timelines, including the requirement to conduct an initial evaluation within 45 school days of receipt of parental consent to evaluate, and to use the LEAs timeline monitoring plan. LEAs were required to submit the following evidence: 1) outline of training, attendance at training, training plan, and 2) five parental consent to evaluate forms and evidence of date evaluation(s) received by the LEA. The time period within which each LEA with noncompliance was required to demonstrate 100% compliance was within one year of identification of noncompliance. All findings of noncompliance were demonstrated and verified as meeting 100% compliance within the one year of the identification of non-compliance, unless the child was no longer under the jurisdiction of the LEA, consistent with OSEP Memorandum 09-02, dated October 17, 2008. The monitoring team was able to verify that the evaluations were conducted for each school-aged 5-20 child for whom consent was received, although outside of the required 45 school day timeline. Evidence for the findings of noncompliance, including paper and digital copies of evaluations and written notices, were submitted to the Maine DOE and the content was verified by members of the monitoring team ensuring all evaluations met the criteria for Indicator 11.</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4"/>
      <w:bookmarkEnd w:id="65"/>
      <w:bookmarkEnd w:id="66"/>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7" w:name="_Toc384383358"/>
      <w:bookmarkStart w:id="68"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9" w:name="_Toc384383359"/>
      <w:bookmarkStart w:id="70" w:name="_Toc392159327"/>
      <w:bookmarkEnd w:id="67"/>
      <w:bookmarkEnd w:id="68"/>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97.00%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9"/>
          <w:bookmarkEnd w:id="70"/>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99.33%</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99.67%</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81.62%</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80.00%</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89.72%</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379</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22</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199</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69</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63</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199</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225</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89.72%</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88.44%</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The reason for slippage is unclear, but the amount of decline in FFY2019 is within the range of historical year-to-year variability, especially given the significant increase between FFY2017 and FFY2018. Maine will continue to monitor these rates to determine if there is a systemic trend that indicates slippage over time.</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26</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Days beyond; Number of Children</w:t>
      </w:r>
      <w:r w:rsidRPr="005C29F8">
        <w:rPr>
          <w:bCs/>
          <w:color w:val="000000" w:themeColor="text1"/>
        </w:rPr>
        <w:br/>
        <w:t>0-15 Days; 6</w:t>
      </w:r>
      <w:r w:rsidRPr="005C29F8">
        <w:rPr>
          <w:bCs/>
          <w:color w:val="000000" w:themeColor="text1"/>
        </w:rPr>
        <w:br/>
        <w:t xml:space="preserve">16-30 Days; 9 </w:t>
      </w:r>
      <w:r w:rsidRPr="005C29F8">
        <w:rPr>
          <w:bCs/>
          <w:color w:val="000000" w:themeColor="text1"/>
        </w:rPr>
        <w:br/>
        <w:t>31-60 Days; 9</w:t>
      </w:r>
      <w:r w:rsidRPr="005C29F8">
        <w:rPr>
          <w:bCs/>
          <w:color w:val="000000" w:themeColor="text1"/>
        </w:rPr>
        <w:br/>
        <w:t>60+ Days; 2</w:t>
      </w:r>
      <w:r w:rsidRPr="005C29F8">
        <w:rPr>
          <w:bCs/>
          <w:color w:val="000000" w:themeColor="text1"/>
        </w:rPr>
        <w:br/>
      </w:r>
      <w:r w:rsidRPr="005C29F8">
        <w:rPr>
          <w:bCs/>
          <w:color w:val="000000" w:themeColor="text1"/>
        </w:rPr>
        <w:br/>
        <w:t>Reasons for Delay Number of Children</w:t>
      </w:r>
      <w:r w:rsidRPr="005C29F8">
        <w:rPr>
          <w:bCs/>
          <w:color w:val="000000" w:themeColor="text1"/>
        </w:rPr>
        <w:br/>
        <w:t>CDS 15</w:t>
      </w:r>
      <w:r w:rsidRPr="005C29F8">
        <w:rPr>
          <w:bCs/>
          <w:color w:val="000000" w:themeColor="text1"/>
        </w:rPr>
        <w:br/>
        <w:t>Contracted provider 11</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1" w:name="_Hlk20318414"/>
      <w:bookmarkEnd w:id="71"/>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Data were collected from the State database for all children for the reporting period of July 1, 2019 through June 30, 2020. Findings of noncomplaince were made based on a review of these data.</w:t>
      </w:r>
      <w:r w:rsidRPr="005C29F8">
        <w:rPr>
          <w:rFonts w:cs="Arial"/>
          <w:color w:val="000000" w:themeColor="text1"/>
          <w:szCs w:val="16"/>
        </w:rPr>
        <w:br/>
      </w:r>
      <w:r w:rsidRPr="005C29F8">
        <w:rPr>
          <w:rFonts w:cs="Arial"/>
          <w:color w:val="000000" w:themeColor="text1"/>
          <w:szCs w:val="16"/>
        </w:rPr>
        <w:br/>
        <w:t>Children and families in Maine do not have the option to continue early intervention services after age 3.</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326C0B" w:rsidP="007D435F">
      <w:pPr>
        <w:rPr>
          <w:rFonts w:cs="Arial"/>
          <w:color w:val="000000" w:themeColor="text1"/>
          <w:szCs w:val="16"/>
        </w:rPr>
      </w:pP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22</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22</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Prior to considering any finding from FFY2018 corrected, CDS State IEU verified that each regional site with noncompliance: (1) was correctly implementing 34 CFR §§300.124(b) (i.e., achieved 100% compliance) based on updated data such as data subsequently collected through on-site monitoring or a State data system; and (2) had corrected each individual case of noncompliance, unless the child was no longer within the jurisdiction of the regional site, consistent with OSEP Memorandum 09-02, dated October 17, 2008 (OSEP Memo 09-02).</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To verify that each regional site was correctly implementing the requirements, CDS State IEU reviewed subsequent, performed on-site file reviews and verified subsequent data submitted through regional site self-assessments and compliance reports submitted by each regional site. The time period for which each program was required to demonstrate 100% compliance varied based on the level of noncompliance identified in the program.</w:t>
      </w:r>
      <w:r w:rsidRPr="005C29F8">
        <w:rPr>
          <w:rFonts w:cs="Arial"/>
          <w:color w:val="000000" w:themeColor="text1"/>
          <w:szCs w:val="16"/>
        </w:rPr>
        <w:br/>
      </w:r>
      <w:r w:rsidRPr="005C29F8">
        <w:rPr>
          <w:rFonts w:cs="Arial"/>
          <w:color w:val="000000" w:themeColor="text1"/>
          <w:szCs w:val="16"/>
        </w:rPr>
        <w:br/>
        <w:t xml:space="preserve">CDS was also able to verify that each child referred by Part C, prior to age 3, who was found eligible for Part B, subsequently had an IEP developed, </w:t>
      </w:r>
      <w:r w:rsidRPr="005C29F8">
        <w:rPr>
          <w:rFonts w:cs="Arial"/>
          <w:color w:val="000000" w:themeColor="text1"/>
          <w:szCs w:val="16"/>
        </w:rPr>
        <w:lastRenderedPageBreak/>
        <w:t>although late.</w:t>
      </w:r>
      <w:r w:rsidRPr="005C29F8">
        <w:rPr>
          <w:rFonts w:cs="Arial"/>
          <w:color w:val="000000" w:themeColor="text1"/>
          <w:szCs w:val="16"/>
        </w:rPr>
        <w:br/>
      </w:r>
      <w:r w:rsidRPr="005C29F8">
        <w:rPr>
          <w:rFonts w:cs="Arial"/>
          <w:color w:val="000000" w:themeColor="text1"/>
          <w:szCs w:val="16"/>
        </w:rPr>
        <w:br/>
        <w:t>In addition to verifying correction according to the OSEP 09-02 Memorandum, CDS State IEU also complied with the requirements to account for all instances of noncompliance identified through its database as well as on-site monitoring and other monitoring procedures; identify the level, location (regional site), and root cause(s) of all noncompliance; and require any regional site with policies, procedures, or practices that contributed to the noncompliance to revise those policies, procedures, or practices and submit CAPs. CDS State IEU and the regional site created the CAPs. These activities included providing staff training, attending required TA, submitting monthly reports to the CDS State IEU and completing CAP check-in calls with the CDS State IEU.</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2" w:name="_Toc384383363"/>
      <w:bookmarkStart w:id="73"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Secondary transition: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4" w:name="_Toc384383364"/>
      <w:bookmarkStart w:id="75" w:name="_Toc392159332"/>
      <w:bookmarkEnd w:id="72"/>
      <w:bookmarkEnd w:id="73"/>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2012</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36.00%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54.29%</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88.96%</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94.38%</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95.12%</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97.08%</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109</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116</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97.08%</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93.97%</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56B3BB4" w14:textId="223762EA" w:rsidR="004301DA" w:rsidRPr="007C1BCF" w:rsidRDefault="00326C0B" w:rsidP="004301DA">
      <w:pPr>
        <w:rPr>
          <w:rFonts w:cs="Arial"/>
          <w:b/>
          <w:iCs/>
          <w:color w:val="000000" w:themeColor="text1"/>
          <w:szCs w:val="16"/>
        </w:rPr>
      </w:pPr>
      <w:r w:rsidRPr="005C29F8">
        <w:rPr>
          <w:rFonts w:cs="Arial"/>
          <w:b/>
          <w:color w:val="000000" w:themeColor="text1"/>
          <w:szCs w:val="16"/>
        </w:rPr>
        <w:t>Provide reasons for slippage, if applicable</w:t>
      </w:r>
    </w:p>
    <w:p w14:paraId="1C23CDFF" w14:textId="05BA6A6C" w:rsidR="00326C0B" w:rsidRDefault="002B7490" w:rsidP="007D435F">
      <w:pPr>
        <w:rPr>
          <w:rFonts w:cs="Arial"/>
          <w:color w:val="000000" w:themeColor="text1"/>
          <w:szCs w:val="16"/>
        </w:rPr>
      </w:pPr>
      <w:r w:rsidRPr="005C29F8">
        <w:rPr>
          <w:rFonts w:cs="Arial"/>
          <w:color w:val="000000" w:themeColor="text1"/>
          <w:szCs w:val="16"/>
        </w:rPr>
        <w:lastRenderedPageBreak/>
        <w:t>The reason for slippage is unclear, but a degree of year-to-year variability may be due different cohorts being monitored each year; LEAs are assigned to cohorts that are monitored on a four year rotation. Maine will continue to monitor these rates to determine if there is a systemic trend that indicates slippage over time.</w:t>
      </w:r>
    </w:p>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LEAs are assigned to cohorts that are monitored on a four year rotation, ensuring that each LEA is monitored once every four years. The data for this indicator reflect direct monitoring data. Postsecondary transition data were collected from the FFY2019 monitored LEAs. The number of educational files reviewed for this indicator is outlined below: </w:t>
      </w:r>
      <w:r w:rsidRPr="005C29F8">
        <w:rPr>
          <w:rFonts w:cs="Arial"/>
          <w:color w:val="000000" w:themeColor="text1"/>
          <w:szCs w:val="16"/>
        </w:rPr>
        <w:br/>
        <w:t xml:space="preserve">Child Count; Number of Files </w:t>
      </w:r>
      <w:r w:rsidRPr="005C29F8">
        <w:rPr>
          <w:rFonts w:cs="Arial"/>
          <w:color w:val="000000" w:themeColor="text1"/>
          <w:szCs w:val="16"/>
        </w:rPr>
        <w:br/>
        <w:t>0 - 50; 2</w:t>
      </w:r>
      <w:r w:rsidRPr="005C29F8">
        <w:rPr>
          <w:rFonts w:cs="Arial"/>
          <w:color w:val="000000" w:themeColor="text1"/>
          <w:szCs w:val="16"/>
        </w:rPr>
        <w:br/>
        <w:t>50 - 200; 4</w:t>
      </w:r>
      <w:r w:rsidRPr="005C29F8">
        <w:rPr>
          <w:rFonts w:cs="Arial"/>
          <w:color w:val="000000" w:themeColor="text1"/>
          <w:szCs w:val="16"/>
        </w:rPr>
        <w:br/>
        <w:t xml:space="preserve">200 - 400; 6 </w:t>
      </w:r>
      <w:r w:rsidRPr="005C29F8">
        <w:rPr>
          <w:rFonts w:cs="Arial"/>
          <w:color w:val="000000" w:themeColor="text1"/>
          <w:szCs w:val="16"/>
        </w:rPr>
        <w:br/>
        <w:t xml:space="preserve">400 - 750; 8 </w:t>
      </w:r>
      <w:r w:rsidRPr="005C29F8">
        <w:rPr>
          <w:rFonts w:cs="Arial"/>
          <w:color w:val="000000" w:themeColor="text1"/>
          <w:szCs w:val="16"/>
        </w:rPr>
        <w:br/>
        <w:t>More than 750; 10</w:t>
      </w:r>
      <w:r w:rsidRPr="005C29F8">
        <w:rPr>
          <w:rFonts w:cs="Arial"/>
          <w:color w:val="000000" w:themeColor="text1"/>
          <w:szCs w:val="16"/>
        </w:rPr>
        <w:br/>
        <w:t>Postsecondary plans were evaluated using the postsecondary transition plan checklist developed by the National Technical Assistance Center for Transition (NTACT). Findings of noncompliance were identified both through self-assessment and on-site assessment.</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351FF0B8" w14:textId="0AE6898F" w:rsidR="00326C0B" w:rsidRPr="005C29F8" w:rsidRDefault="00AF30E8" w:rsidP="005F442C">
      <w:pPr>
        <w:rPr>
          <w:rFonts w:cs="Arial"/>
          <w:b/>
          <w:color w:val="000000" w:themeColor="text1"/>
          <w:szCs w:val="16"/>
        </w:rPr>
      </w:pPr>
      <w:r w:rsidRPr="005C29F8">
        <w:rPr>
          <w:rFonts w:cs="Arial"/>
          <w:b/>
          <w:color w:val="000000" w:themeColor="text1"/>
          <w:szCs w:val="16"/>
        </w:rPr>
        <w:t>If no, please explain</w:t>
      </w:r>
    </w:p>
    <w:p w14:paraId="2562A48D" w14:textId="1B6BD32F" w:rsidR="00326C0B" w:rsidRDefault="002B7490" w:rsidP="005F442C">
      <w:pPr>
        <w:rPr>
          <w:rFonts w:cs="Arial"/>
          <w:color w:val="000000" w:themeColor="text1"/>
          <w:szCs w:val="16"/>
        </w:rPr>
      </w:pPr>
      <w:r w:rsidRPr="005C29F8">
        <w:rPr>
          <w:rFonts w:cs="Arial"/>
          <w:color w:val="000000" w:themeColor="text1"/>
          <w:szCs w:val="16"/>
        </w:rPr>
        <w:t>In Maine, public agencies must meet these requirements for students in grade 9 and above, even if the students are younger than 16. However, for the baseline and yearly reporting on this indicator, only students ages 16 and above are included.</w:t>
      </w:r>
    </w:p>
    <w:p w14:paraId="735DB55A" w14:textId="18C77FF1" w:rsidR="00644AC8" w:rsidRPr="005C29F8" w:rsidRDefault="00644AC8" w:rsidP="005F442C">
      <w:pPr>
        <w:rPr>
          <w:rFonts w:cs="Arial"/>
          <w:b/>
          <w:color w:val="000000" w:themeColor="text1"/>
          <w:szCs w:val="16"/>
        </w:rPr>
      </w:pPr>
      <w:bookmarkStart w:id="76" w:name="_Toc392159335"/>
      <w:r w:rsidRPr="005C29F8">
        <w:rPr>
          <w:rFonts w:cs="Arial"/>
          <w:b/>
          <w:color w:val="000000" w:themeColor="text1"/>
          <w:szCs w:val="16"/>
        </w:rPr>
        <w:t>Provide additional information about this indicator (optional)</w:t>
      </w:r>
    </w:p>
    <w:p w14:paraId="2F22AC76" w14:textId="5FF8D00A" w:rsidR="00326C0B" w:rsidRPr="005C29F8" w:rsidRDefault="00326C0B" w:rsidP="007D435F">
      <w:pPr>
        <w:rPr>
          <w:rFonts w:cs="Arial"/>
          <w:color w:val="000000" w:themeColor="text1"/>
          <w:szCs w:val="16"/>
        </w:rPr>
      </w:pP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5</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5</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Prior to considering any finding from FFY2018 corrected, Maine DOE verified that each LEA with noncompliance: (1) was correctly implementing 34 CFR §§300.320(b) and 300.321(b), (i.e., achieved 100% compliance)  based on updated data subsequently collected through corrective activities; and (2) has corrected each individual case of noncompliance, unless the child is no longer within the jurisdiction of the LEA, consistent with OSEP Memorandum 09-02, dated October 17, 2008. To verify that each LEA was correctly implementing the requirements, Maine DOE reviewed and verified subsequent data submitted by the LEAs through corrective action reports. This data demonstrated systemic correction of noncompliance. The time period for which each program was required to demonstrate 100% compliance was within one year of the identification of the noncompliance. In addition to verifying correction according to the OSEP 09-02 Memorandum, Maine DOE also complied with the requirements to: account for all instances of noncompliance identified through monitoring procedures; identify the level, location, and root cause(s) of all noncompliance; and require any LEA with policies, procedures, or practices that contributed to the noncompliance to revise those policies, procedures, or practices and submit corrected secondary transition plans developed after the finding of non-compliance.</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LEAs with noncompliant plans reviewed during monitoring received a finding for post-secondary transition plans. Because transition plan information can be corrected, the LEAs were required to convene IEP meetings to revise the plans to meet the requirements in those cases where transition plans were found to be noncompliant. The amended plans with prior written notice were submitted to Maine DOE for review. When all instances of noncompliance were reviewed and found compliant, the LEA's finding was closed.</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lastRenderedPageBreak/>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3"/>
      <w:bookmarkEnd w:id="76"/>
    </w:p>
    <w:p w14:paraId="22761492" w14:textId="77777777" w:rsidR="005C50DB" w:rsidRPr="00D37503" w:rsidRDefault="005C50DB" w:rsidP="00A018D4">
      <w:pPr>
        <w:rPr>
          <w:szCs w:val="20"/>
        </w:rPr>
      </w:pPr>
      <w:bookmarkStart w:id="77"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(four or more year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Option 2: States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1. Enrolled in higher education within one year of leaving high school;</w:t>
      </w:r>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7"/>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27.00%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30.00%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18.81%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22.98%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26.30%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18.81%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17.27%</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19.49%</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76.60%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76.60%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79.00%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80.00%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65.68%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62.12%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68.87%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65.68%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71.21%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70.04%</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82.30%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82.30%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83.00%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84.00%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85.00%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77.56%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89.38%</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96.16%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77.56%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80.91%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80.51%</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30.00%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80.00%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85.00%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 xml:space="preserve">IDEA requires that each state establish a State Advisory Panel for the purpose of providing policy guidance with respect to special education and related services for children with disabilities in the State. Membership is specified in the federal regulations and a majority of the members must be individuals with disabilities or parents of children with disabilities (ages birth through 26). The Part B State Advisory Panel provides advice on the implementation of the IDEA program (Part B) that serves children with disabilities from age three to 20. Members are appointed by the Governor. The panel consists of 13 people: two parents of children with disabilities (ages birth through 26); an individual with a disability; a teacher; a representative of an institution of higher education that prepares special education/related services personnel; a State official who carries out activities under subtitle B of Title VII of the McKinney-Vento Homeless Assistance Act; two administrators of programs for children with disabilities; a representative of a State agency (Department of Health and Human Services) involved in the financing or delivery of related services to children with disabilities; a representative of a public charter school; a representative of a vocational, community or business organization concerned with the provision of transition services to children with disabilities; a representative from the State child welfare agency responsible for foster care; and a representative from the State juvenile and adult corrections agencies. A majority of the members of the panel must be individuals with disabilities or parents of children with disabilities (ages birth through 26). Among the members is an individual who represents the SAP on the State Systemic Improvement Plan stakeholder group. The SAP is a strong representation of community stakeholders. </w:t>
      </w:r>
      <w:r w:rsidRPr="005C29F8">
        <w:rPr>
          <w:rFonts w:cs="Arial"/>
          <w:color w:val="000000" w:themeColor="text1"/>
          <w:szCs w:val="16"/>
        </w:rPr>
        <w:br/>
      </w:r>
      <w:r w:rsidRPr="005C29F8">
        <w:rPr>
          <w:rFonts w:cs="Arial"/>
          <w:color w:val="000000" w:themeColor="text1"/>
          <w:szCs w:val="16"/>
        </w:rPr>
        <w:br/>
        <w:t>The director of the Maine DOE Office of Special Services met with the SAP during their quarterly meetings throughout FFY2019. Members were informed of department priorities and current issues and advice was sought from the membership for the Maine DOE to consider in legislation, rule-making, procedures and reporting. Topics included revisions to the Maine Unified Special Education Regulations, the State Systemic Improvement Plan, Significant Disproportionality Policy, and SPP/APR target-setting.</w:t>
      </w:r>
      <w:r w:rsidRPr="005C29F8">
        <w:rPr>
          <w:rFonts w:cs="Arial"/>
          <w:color w:val="000000" w:themeColor="text1"/>
          <w:szCs w:val="16"/>
        </w:rPr>
        <w:br/>
      </w:r>
      <w:r w:rsidRPr="005C29F8">
        <w:rPr>
          <w:rFonts w:cs="Arial"/>
          <w:color w:val="000000" w:themeColor="text1"/>
          <w:szCs w:val="16"/>
        </w:rPr>
        <w:br/>
        <w:t xml:space="preserve">Target-setting activities for the new SSIP consisted of series of meetings of the SAP membership in 2013 and 2014 during which members were informed of the development of the new State Performance Plan and the new alignment of indicators. These meetings included input from the public. Past performance for each indicator in the first year with comparable consistent measurement with the baseline was identified. Possible targets were suggested based on performance trajectories from previous years. Maine DOE staff members, including the director, data manager and SPP/APR coordinator, were available to answer any statistical or practical questions related to the indicators, past performance, or the analysis leading to </w:t>
      </w:r>
      <w:r w:rsidRPr="005C29F8">
        <w:rPr>
          <w:rFonts w:cs="Arial"/>
          <w:color w:val="000000" w:themeColor="text1"/>
          <w:szCs w:val="16"/>
        </w:rPr>
        <w:lastRenderedPageBreak/>
        <w:t xml:space="preserve">suggestions of targets. SAP members discussed priorities and arrived at recommendations for targets for all results indicators (except B-17) for the life of the SPP. Additionally, in December, 2019, SAP members met to review all results indicator historical data and targets and recommended an extension of all results indicator targets for FFY2019. </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8"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349</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83</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148</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23</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13</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83</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349</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19.49%</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30.00%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23.78%</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231</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349</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70.04%</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66.19%</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267</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349</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80.51%</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76.50%</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14E24734" w14:textId="77777777" w:rsidTr="009E40E1">
        <w:tc>
          <w:tcPr>
            <w:tcW w:w="715" w:type="dxa"/>
            <w:vAlign w:val="center"/>
          </w:tcPr>
          <w:p w14:paraId="425A2916" w14:textId="77777777" w:rsidR="001773E7" w:rsidRPr="005C29F8" w:rsidRDefault="001773E7" w:rsidP="004369B2">
            <w:pPr>
              <w:jc w:val="center"/>
              <w:rPr>
                <w:b/>
                <w:color w:val="000000" w:themeColor="text1"/>
              </w:rPr>
            </w:pPr>
            <w:r w:rsidRPr="005C29F8">
              <w:rPr>
                <w:b/>
                <w:color w:val="000000" w:themeColor="text1"/>
              </w:rPr>
              <w:t>B</w:t>
            </w:r>
          </w:p>
        </w:tc>
        <w:tc>
          <w:tcPr>
            <w:tcW w:w="10080" w:type="dxa"/>
            <w:shd w:val="clear" w:color="auto" w:fill="auto"/>
          </w:tcPr>
          <w:p w14:paraId="17E7061D" w14:textId="3241D10F" w:rsidR="001773E7" w:rsidRPr="005C29F8" w:rsidRDefault="001773E7" w:rsidP="009E40E1">
            <w:pPr>
              <w:rPr>
                <w:rFonts w:cs="Arial"/>
                <w:color w:val="000000" w:themeColor="text1"/>
                <w:szCs w:val="16"/>
              </w:rPr>
            </w:pPr>
            <w:r w:rsidRPr="005C29F8">
              <w:rPr>
                <w:rFonts w:cs="Arial"/>
                <w:color w:val="000000" w:themeColor="text1"/>
                <w:szCs w:val="16"/>
              </w:rPr>
              <w:t>There were decreases in the employment categories. It appears likely these categories were impacted by COVID-19, given some of the survey comments. The former students' individual needs/safety and/or changes in the circumstances of employers may have interrupted employment. The SEA was unable to mitigate any degree of COVID-19 impact for this indicator.</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There were decreases in the employment categories. It appears likely these categories were impacted by COVID-19, given some of the survey comments. The former students' individual needs/safety and/or changes in the circumstances of employers may have interrupted employment. The SEA was unable to mitigate any degree of COVID-19 impact for this indicator.</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lastRenderedPageBreak/>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At least two phone calls were attempted for all 1,291 of the former students. The total count of survey respondents was 349, yielding a response rate of 27.03%. The respondent representativeness of the population of exiters (youth who are no longer in secondary school and had IEPs in effect at the time they left school) was assessed for Gender, Disability, and Race/Ethnicity and all were found to be within 5% of the population percentages. The analysis indicates that the response group was representative of the demographics of youth who are no longer in secondary school and had IEPs in effect at the time they left school.</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9"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80" w:name="_Toc382082390"/>
      <w:bookmarkStart w:id="81" w:name="_Toc392159339"/>
      <w:bookmarkEnd w:id="79"/>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Education increased, but there were decreases in the employment categories for this indicator. It appears likely these categories were impacted by COVID-19, given some of the survey comments. The former students' individual needs/safety and/or changes in the circumstances of employers may have interrupted employment. The SEA was unable to mitigate any degree of COVID-19 impact for this indicator.</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93C7E" w:rsidP="001F692C">
      <w:pPr>
        <w:rPr>
          <w:rFonts w:cs="Arial"/>
          <w:color w:val="000000" w:themeColor="text1"/>
          <w:szCs w:val="16"/>
        </w:rPr>
      </w:pP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0"/>
      <w:bookmarkEnd w:id="81"/>
    </w:p>
    <w:p w14:paraId="7EA31497" w14:textId="77777777" w:rsidR="005B0B58" w:rsidRPr="005C29F8" w:rsidRDefault="005B0B58" w:rsidP="00A018D4">
      <w:pPr>
        <w:rPr>
          <w:color w:val="000000" w:themeColor="text1"/>
          <w:szCs w:val="20"/>
        </w:rPr>
      </w:pPr>
      <w:bookmarkStart w:id="82" w:name="_Toc381786822"/>
      <w:bookmarkStart w:id="83" w:name="_Toc382731911"/>
      <w:bookmarkStart w:id="84" w:name="_Toc382731912"/>
      <w:bookmarkStart w:id="85" w:name="_Toc392159340"/>
      <w:bookmarkEnd w:id="82"/>
      <w:bookmarkEnd w:id="83"/>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4"/>
    <w:bookmarkEnd w:id="85"/>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62CEFB3" w14:textId="55A4ED3A" w:rsidR="004A33CD" w:rsidRPr="005C29F8" w:rsidRDefault="00E31E29">
      <w:pPr>
        <w:rPr>
          <w:b/>
          <w:color w:val="000000" w:themeColor="text1"/>
        </w:rPr>
      </w:pPr>
      <w:bookmarkStart w:id="86" w:name="_Toc382731913"/>
      <w:bookmarkStart w:id="87"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 xml:space="preserve">IDEA requires that each state establish a State Advisory Panel for the purpose of providing policy guidance with respect to special education and related services for children with disabilities in the State. Membership is specified in the federal regulations and a majority of the members must be individuals with disabilities or parents of children with disabilities (ages birth through 26). The Part B State Advisory Panel provides advice on the implementation of the IDEA program (Part B) that serves children with disabilities from age three to 20. Members are appointed by the Governor. The panel consists of 13 people: two parents of children with disabilities (ages birth through 26); an individual with a disability; a teacher; a representative of an institution of higher education that prepares special education/related services personnel; a State official who carries out activities under subtitle B of Title VII of the McKinney-Vento Homeless Assistance Act; two administrators of programs for children with disabilities; a representative of a State agency (Department of Health and Human Services) involved in the financing or delivery of related services to children with disabilities; a representative of a public charter school; a representative of a vocational, community or business organization concerned with the provision of transition services to children with disabilities; a representative from the State child welfare agency responsible for foster care; and a representative from the State juvenile and adult corrections agencies. A majority of the members of the panel must be individuals with disabilities or parents of children with disabilities (ages birth through 26). Among the members is an individual who represents the SAP on the State Systemic Improvement Plan stakeholder group. The SAP is a strong representation of community stakeholders. </w:t>
      </w:r>
      <w:r w:rsidRPr="005C29F8">
        <w:rPr>
          <w:rFonts w:cs="Arial"/>
          <w:color w:val="000000" w:themeColor="text1"/>
          <w:szCs w:val="16"/>
        </w:rPr>
        <w:br/>
      </w:r>
      <w:r w:rsidRPr="005C29F8">
        <w:rPr>
          <w:rFonts w:cs="Arial"/>
          <w:color w:val="000000" w:themeColor="text1"/>
          <w:szCs w:val="16"/>
        </w:rPr>
        <w:br/>
        <w:t>The director of the Maine DOE Office of Special Services met with the SAP during their quarterly meetings throughout FFY2019. Members were informed of department priorities and current issues and advice was sought from the membership for the Maine DOE to consider in legislation, rule-making, procedures and reporting. Topics included revisions to the Maine Unified Special Education Regulations, the State Systemic Improvement Plan, Significant Disproportionality Policy, and SPP/APR target-setting.</w:t>
      </w:r>
      <w:r w:rsidRPr="005C29F8">
        <w:rPr>
          <w:rFonts w:cs="Arial"/>
          <w:color w:val="000000" w:themeColor="text1"/>
          <w:szCs w:val="16"/>
        </w:rPr>
        <w:br/>
      </w:r>
      <w:r w:rsidRPr="005C29F8">
        <w:rPr>
          <w:rFonts w:cs="Arial"/>
          <w:color w:val="000000" w:themeColor="text1"/>
          <w:szCs w:val="16"/>
        </w:rPr>
        <w:br/>
        <w:t xml:space="preserve">Target-setting activities for the new SSIP consisted of series of meetings of the SAP membership in 2013 and 2014 during which members were informed of the development of the new State Performance Plan and the new alignment of indicators. These meetings included input from the public. Past performance for each indicator in the first year with comparable consistent measurement with the baseline was identified. Possible targets were suggested based on performance trajectories from previous years. Maine DOE staff members, including the director, data manager and SPP/APR coordinator, were available to answer any statistical or practical questions related to the indicators, past performance, or the analysis leading to suggestions of targets. SAP members discussed priorities and arrived at recommendations for targets for all results indicators (except B-17) for the life of the SPP. Additionally, in December, 2019, SAP members met to review all results indicator historical data and targets and recommended an extension of all results indicator targets for FFY2019. </w:t>
      </w:r>
    </w:p>
    <w:p w14:paraId="43B1695A" w14:textId="2970A905" w:rsidR="000A2C83" w:rsidRPr="005C29F8" w:rsidRDefault="000A2C83" w:rsidP="000A2C83">
      <w:pPr>
        <w:rPr>
          <w:rFonts w:cs="Arial"/>
          <w:color w:val="000000" w:themeColor="text1"/>
          <w:szCs w:val="16"/>
        </w:rPr>
      </w:pPr>
    </w:p>
    <w:bookmarkEnd w:id="86"/>
    <w:bookmarkEnd w:id="87"/>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57.00%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58.00%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833" w:type="pct"/>
            <w:shd w:val="clear" w:color="auto" w:fill="auto"/>
          </w:tcPr>
          <w:p w14:paraId="6CEC3330" w14:textId="5E8A3E06" w:rsidR="00206890" w:rsidRPr="005C29F8" w:rsidRDefault="00206890" w:rsidP="00A018D4">
            <w:pPr>
              <w:jc w:val="center"/>
              <w:rPr>
                <w:rFonts w:cs="Arial"/>
                <w:color w:val="000000" w:themeColor="text1"/>
                <w:szCs w:val="16"/>
              </w:rPr>
            </w:pP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14.29%</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40.00%</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58.00%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40.00%</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692" w:type="pct"/>
            <w:shd w:val="clear" w:color="auto" w:fill="auto"/>
          </w:tcPr>
          <w:p w14:paraId="4B8389D1" w14:textId="31159250" w:rsidR="00372DF8" w:rsidRPr="005C29F8" w:rsidRDefault="00372DF8" w:rsidP="00A018D4">
            <w:pPr>
              <w:jc w:val="center"/>
              <w:rPr>
                <w:rFonts w:cs="Arial"/>
                <w:color w:val="000000" w:themeColor="text1"/>
                <w:szCs w:val="16"/>
              </w:rPr>
            </w:pP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Maine reported fewer than ten resolution sessions held in FFY 2019. The State is not required to meet its targets until any fiscal year in which ten or more resolution sessions were held.</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resolution sessions held in FFY 2019. The State is not required to meet its targets until any fiscal year in which ten or more resolution sessions were held.</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8" w:name="_Toc382731916"/>
      <w:bookmarkStart w:id="89"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(2.1(a)(i) + 2.1(b)(i))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8"/>
    <w:bookmarkEnd w:id="89"/>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47</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10</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12</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YES</w:t>
      </w:r>
    </w:p>
    <w:p w14:paraId="650D2318" w14:textId="65FB88E9" w:rsidR="00FE68B6" w:rsidRPr="005C29F8" w:rsidRDefault="00FE68B6" w:rsidP="004369B2">
      <w:pPr>
        <w:rPr>
          <w:b/>
          <w:color w:val="000000" w:themeColor="text1"/>
        </w:rPr>
      </w:pPr>
      <w:r w:rsidRPr="005C29F8">
        <w:rPr>
          <w:b/>
          <w:color w:val="000000" w:themeColor="text1"/>
        </w:rPr>
        <w:t>Provide an explanation below</w:t>
      </w:r>
    </w:p>
    <w:p w14:paraId="660CFBAB" w14:textId="45F8724E" w:rsidR="0087456C" w:rsidRDefault="0087456C" w:rsidP="009B76C5">
      <w:pPr>
        <w:rPr>
          <w:color w:val="000000" w:themeColor="text1"/>
        </w:rPr>
      </w:pPr>
      <w:r w:rsidRPr="005C29F8">
        <w:rPr>
          <w:color w:val="000000" w:themeColor="text1"/>
        </w:rPr>
        <w:t>An error in the mediation section of the EMAPS Dispute Resolution Survey resulted in inaccurate prepopulation of the number of mediation agreements related to due process complaints (2.1.a.i). The number of mediation agreements related to due process complaints is 21, not 10. The mediation data will be resubmitted upon reopening of the EMAPS Dispute Resolution Survey. The FFY2019 percentage for this indicator is 70.21%. The data are as follows:</w:t>
      </w:r>
      <w:r w:rsidRPr="005C29F8">
        <w:rPr>
          <w:color w:val="000000" w:themeColor="text1"/>
        </w:rPr>
        <w:br/>
      </w:r>
      <w:r w:rsidRPr="005C29F8">
        <w:rPr>
          <w:color w:val="000000" w:themeColor="text1"/>
        </w:rPr>
        <w:br/>
        <w:t>2.1 Number of mediations held = 47</w:t>
      </w:r>
      <w:r w:rsidRPr="005C29F8">
        <w:rPr>
          <w:color w:val="000000" w:themeColor="text1"/>
        </w:rPr>
        <w:br/>
        <w:t>2.1.a.i Mediation agreements related to due process complaints = 21</w:t>
      </w:r>
      <w:r w:rsidRPr="005C29F8">
        <w:rPr>
          <w:color w:val="000000" w:themeColor="text1"/>
        </w:rPr>
        <w:br/>
        <w:t>2.1.b.i Mediation agreements not related to due process complaints = 12</w:t>
      </w:r>
      <w:r w:rsidRPr="005C29F8">
        <w:rPr>
          <w:color w:val="000000" w:themeColor="text1"/>
        </w:rPr>
        <w:br/>
      </w:r>
      <w:r w:rsidRPr="005C29F8">
        <w:rPr>
          <w:color w:val="000000" w:themeColor="text1"/>
        </w:rPr>
        <w:br/>
        <w:t>FFY 2018 Data = 67.31%</w:t>
      </w:r>
      <w:r w:rsidRPr="005C29F8">
        <w:rPr>
          <w:color w:val="000000" w:themeColor="text1"/>
        </w:rPr>
        <w:br/>
        <w:t>FFY 2019 Target = 85%</w:t>
      </w:r>
      <w:r w:rsidRPr="005C29F8">
        <w:rPr>
          <w:color w:val="000000" w:themeColor="text1"/>
        </w:rPr>
        <w:br/>
        <w:t>FFY 2019 Data = 70.21%</w:t>
      </w:r>
      <w:r w:rsidRPr="005C29F8">
        <w:rPr>
          <w:color w:val="000000" w:themeColor="text1"/>
        </w:rPr>
        <w:br/>
        <w:t>Status = Did Not Meet Target</w:t>
      </w:r>
      <w:r w:rsidRPr="005C29F8">
        <w:rPr>
          <w:color w:val="000000" w:themeColor="text1"/>
        </w:rPr>
        <w:br/>
        <w:t>No Slippage</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 xml:space="preserve">IDEA requires that each state establish a State Advisory Panel for the purpose of providing policy guidance with respect to special education and related services for children with disabilities in the State. Membership is specified in the federal regulations and a majority of the members must be individuals with disabilities or parents of children with disabilities (ages birth through 26). The Part B State Advisory Panel provides advice on the implementation of the IDEA program (Part B) that serves children with disabilities from age three to 20. Members are appointed by the Governor. The panel consists of 13 people: two parents of children with disabilities (ages birth through 26); an individual with a disability; a teacher; a representative of an institution of higher education that prepares special education/related services personnel; a State official who carries out activities under subtitle B of Title VII of the McKinney-Vento Homeless Assistance Act; two administrators of programs for children with disabilities; a representative of a State agency (Department of Health and Human Services) involved in the financing or delivery of related services to children with disabilities; a representative of a public charter school; a representative of a vocational, community or business organization concerned with the provision of transition services to children with disabilities; a representative from the State child welfare agency responsible for foster care; and a representative from the State juvenile and adult corrections agencies. A majority of the members of the panel must be individuals with disabilities or parents of children with disabilities (ages birth through 26). Among the members is an individual who represents the SAP on the State Systemic Improvement Plan stakeholder group. The SAP is a strong representation of community stakeholders. </w:t>
      </w:r>
      <w:r w:rsidRPr="005C29F8">
        <w:rPr>
          <w:rFonts w:cs="Arial"/>
          <w:color w:val="000000" w:themeColor="text1"/>
          <w:szCs w:val="16"/>
        </w:rPr>
        <w:br/>
      </w:r>
      <w:r w:rsidRPr="005C29F8">
        <w:rPr>
          <w:rFonts w:cs="Arial"/>
          <w:color w:val="000000" w:themeColor="text1"/>
          <w:szCs w:val="16"/>
        </w:rPr>
        <w:lastRenderedPageBreak/>
        <w:br/>
        <w:t>The director of the Maine DOE Office of Special Services met with the SAP during their quarterly meetings throughout FFY2019. Members were informed of department priorities and current issues and advice was sought from the membership for the Maine DOE to consider in legislation, rule-making, procedures and reporting. Topics included revisions to the Maine Unified Special Education Regulations, the State Systemic Improvement Plan, Significant Disproportionality Policy, and SPP/APR target-setting.</w:t>
      </w:r>
      <w:r w:rsidRPr="005C29F8">
        <w:rPr>
          <w:rFonts w:cs="Arial"/>
          <w:color w:val="000000" w:themeColor="text1"/>
          <w:szCs w:val="16"/>
        </w:rPr>
        <w:br/>
      </w:r>
      <w:r w:rsidRPr="005C29F8">
        <w:rPr>
          <w:rFonts w:cs="Arial"/>
          <w:color w:val="000000" w:themeColor="text1"/>
          <w:szCs w:val="16"/>
        </w:rPr>
        <w:br/>
        <w:t xml:space="preserve">Target-setting activities for the new SSIP consisted of series of meetings of the SAP membership in 2013 and 2014 during which members were informed of the development of the new State Performance Plan and the new alignment of indicators. These meetings included input from the public. Past performance for each indicator in the first year with comparable consistent measurement with the baseline was identified. Possible targets were suggested based on performance trajectories from previous years. Maine DOE staff members, including the director, data manager and SPP/APR coordinator, were available to answer any statistical or practical questions related to the indicators, past performance, or the analysis leading to suggestions of targets. SAP members discussed priorities and arrived at recommendations for targets for all results indicators (except B-17) for the life of the SPP. Additionally, in December, 2019, SAP members met to review all results indicator historical data and targets and recommended an extension of all results indicator targets for FFY2019. </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83.30%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85.00%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85.00%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85.00%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85.00%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85.00%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62.00%</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71.79%</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60.47%</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69.09%</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67.31%</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85.00%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21</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12</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47</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67.31%</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85.00%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70.21%</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 xml:space="preserve">An error in the mediation section of the EMAPS Dispute Resolution Survey resulted in inaccurate prepopulation of the number of mediation agreements related to due process complaints (2.1.a.i). The number of mediation agreements related to due process complaints is 21 (as indicated above), not 10 (as was prepopulated). The mediation data will be resubmitted upon reopening of the EMAPS Dispute Resolution Survey. </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B7490" w:rsidP="001F692C">
      <w:pPr>
        <w:rPr>
          <w:rFonts w:cs="Arial"/>
          <w:color w:val="000000" w:themeColor="text1"/>
          <w:szCs w:val="16"/>
        </w:rPr>
      </w:pPr>
      <w:r w:rsidRPr="005C29F8">
        <w:rPr>
          <w:rFonts w:cs="Arial"/>
          <w:color w:val="000000" w:themeColor="text1"/>
          <w:szCs w:val="16"/>
        </w:rPr>
        <w:t>OSEP notes that the State submitted updated SY 2019-2020 IDEA Dispute Resolution data on May 25, 2021.  The updated data reflect the number of mediation agreements related to due process complaints as 21.</w:t>
      </w:r>
    </w:p>
    <w:p w14:paraId="4669D1F0" w14:textId="36788104" w:rsidR="00522CB2" w:rsidRDefault="001C46DC" w:rsidP="006C3D28">
      <w:pPr>
        <w:pStyle w:val="Heading2"/>
      </w:pPr>
      <w:r w:rsidRPr="0033429D">
        <w:t>16 - Required Actions</w:t>
      </w:r>
    </w:p>
    <w:p w14:paraId="2C56FFCA" w14:textId="209FA72D" w:rsidR="008A68C5" w:rsidRDefault="008A68C5" w:rsidP="008A68C5"/>
    <w:p w14:paraId="27DD2511" w14:textId="69E3CE19" w:rsidR="008A68C5" w:rsidRDefault="008A68C5" w:rsidP="008A68C5"/>
    <w:p w14:paraId="63667583" w14:textId="6CB71A06" w:rsidR="008A68C5" w:rsidRDefault="008A68C5" w:rsidP="008A68C5"/>
    <w:p w14:paraId="476E468D" w14:textId="6C955820" w:rsidR="008A68C5" w:rsidRDefault="008A68C5" w:rsidP="008A68C5"/>
    <w:p w14:paraId="3862B9B6" w14:textId="77777777" w:rsidR="008A68C5" w:rsidRPr="008A68C5" w:rsidRDefault="008A68C5" w:rsidP="006E78FF"/>
    <w:p w14:paraId="1D156701" w14:textId="77777777" w:rsidR="004F43DA" w:rsidRDefault="004F43DA">
      <w:pPr>
        <w:spacing w:before="0" w:after="200" w:line="276" w:lineRule="auto"/>
        <w:rPr>
          <w:rFonts w:eastAsiaTheme="majorEastAsia" w:cstheme="majorBidi"/>
          <w:b/>
          <w:bCs/>
          <w:sz w:val="20"/>
          <w:szCs w:val="28"/>
        </w:rPr>
      </w:pPr>
      <w:r>
        <w:br w:type="page"/>
      </w:r>
    </w:p>
    <w:p w14:paraId="22A492BE" w14:textId="2D11C092" w:rsidR="00522CB2" w:rsidRDefault="00522CB2" w:rsidP="00522CB2">
      <w:pPr>
        <w:pStyle w:val="Heading1"/>
      </w:pPr>
      <w:r w:rsidRPr="00522CB2">
        <w:lastRenderedPageBreak/>
        <w:t xml:space="preserve">Indicator 17: State Systemic Improvement Plan </w:t>
      </w:r>
    </w:p>
    <w:p w14:paraId="7CBFEF1A" w14:textId="77777777" w:rsidR="00522CB2" w:rsidRPr="00522CB2" w:rsidRDefault="00522CB2" w:rsidP="006E78FF"/>
    <w:p w14:paraId="457CCED9" w14:textId="6DBF5C10" w:rsidR="00522CB2" w:rsidRPr="005C29F8" w:rsidRDefault="006C3D28" w:rsidP="001F692C">
      <w:pPr>
        <w:rPr>
          <w:rFonts w:cs="Arial"/>
          <w:color w:val="000000" w:themeColor="text1"/>
          <w:szCs w:val="16"/>
        </w:rPr>
      </w:pPr>
      <w:r>
        <w:rPr>
          <w:rFonts w:cs="Arial"/>
          <w:color w:val="000000" w:themeColor="text1"/>
          <w:szCs w:val="16"/>
        </w:rPr>
        <w:object w:dxaOrig="1508" w:dyaOrig="983" w14:anchorId="32DFBB15">
          <v:shape id="_x0000_i1027" type="#_x0000_t75" alt="Maine SSIP Final FFY2019" style="width:77.25pt;height:51.75pt" o:ole="">
            <v:imagedata r:id="rId14" o:title=""/>
          </v:shape>
          <o:OLEObject Type="Embed" ProgID="Acrobat.Document.DC" ShapeID="_x0000_i1027" DrawAspect="Icon" ObjectID="_1689087080" r:id="rId15"/>
        </w:object>
      </w: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47A15380" w14:textId="2BFE46A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0"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Erin Frazier</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Director of Special Services Birth to 22</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erin.frazier@maine.gov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2076246713</w:t>
      </w:r>
    </w:p>
    <w:bookmarkEnd w:id="90"/>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B3E4991" w:rsidR="000657F0" w:rsidRPr="005C29F8"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04/28/21  1:55:08 PM</w:t>
      </w:r>
    </w:p>
    <w:p w14:paraId="596B3C30" w14:textId="09465E6F" w:rsidR="00755AF7" w:rsidRPr="005C29F8" w:rsidRDefault="00755AF7" w:rsidP="00EE4B59">
      <w:pPr>
        <w:rPr>
          <w:rFonts w:cs="Arial"/>
          <w:color w:val="000000" w:themeColor="text1"/>
          <w:szCs w:val="16"/>
        </w:rPr>
      </w:pPr>
    </w:p>
    <w:p w14:paraId="12BC2562" w14:textId="77777777" w:rsidR="00FB6CEF" w:rsidRDefault="00FB6CEF">
      <w:pPr>
        <w:spacing w:before="0" w:after="200" w:line="276" w:lineRule="auto"/>
        <w:rPr>
          <w:rFonts w:eastAsiaTheme="majorEastAsia" w:cstheme="majorBidi"/>
          <w:b/>
          <w:bCs/>
          <w:sz w:val="20"/>
          <w:szCs w:val="28"/>
        </w:rPr>
      </w:pPr>
      <w:r>
        <w:br w:type="page"/>
      </w:r>
    </w:p>
    <w:p w14:paraId="64A7B975" w14:textId="53E1A678" w:rsidR="00522CB2" w:rsidRDefault="00522CB2" w:rsidP="00522CB2">
      <w:pPr>
        <w:pStyle w:val="Heading1"/>
      </w:pPr>
      <w:r w:rsidRPr="00522CB2">
        <w:lastRenderedPageBreak/>
        <w:t>ED</w:t>
      </w:r>
      <w:r w:rsidRPr="0063531B">
        <w:t xml:space="preserve"> Attachments</w:t>
      </w:r>
    </w:p>
    <w:p w14:paraId="2769E200" w14:textId="240FF0EB" w:rsidR="00522CB2" w:rsidRDefault="00522CB2" w:rsidP="00522CB2"/>
    <w:p w14:paraId="129A35D3" w14:textId="164376D2" w:rsidR="00522CB2" w:rsidRPr="00522CB2" w:rsidRDefault="006E78FF" w:rsidP="006E78FF">
      <w:r>
        <w:object w:dxaOrig="1508" w:dyaOrig="983" w14:anchorId="55630865">
          <v:shape id="_x0000_i1029" type="#_x0000_t75" alt="ME-2021DataRubricPartB" style="width:77.25pt;height:51.75pt" o:ole="">
            <v:imagedata r:id="rId16" o:title=""/>
          </v:shape>
          <o:OLEObject Type="Embed" ProgID="Excel.Sheet.12" ShapeID="_x0000_i1029" DrawAspect="Icon" ObjectID="_1689087081" r:id="rId17"/>
        </w:object>
      </w:r>
      <w:r w:rsidR="00FB6CEF">
        <w:tab/>
      </w:r>
      <w:r w:rsidR="006773B9">
        <w:object w:dxaOrig="1376" w:dyaOrig="893" w14:anchorId="491CA658">
          <v:shape id="_x0000_i1040" type="#_x0000_t75" alt="me-resultsmatrix-2021b" style="width:70.5pt;height:47.25pt" o:ole="">
            <v:imagedata r:id="rId18" o:title=""/>
          </v:shape>
          <o:OLEObject Type="Embed" ProgID="Acrobat.Document.DC" ShapeID="_x0000_i1040" DrawAspect="Icon" ObjectID="_1689087082" r:id="rId19"/>
        </w:object>
      </w:r>
      <w:r w:rsidR="00FB6CEF">
        <w:tab/>
      </w:r>
      <w:r w:rsidR="006773B9">
        <w:tab/>
      </w:r>
      <w:r>
        <w:object w:dxaOrig="1508" w:dyaOrig="983" w14:anchorId="368799EE">
          <v:shape id="_x0000_i1031" type="#_x0000_t75" alt="ME-B-Dispute-Resolution-2019-20" style="width:77.25pt;height:51.75pt" o:ole="">
            <v:imagedata r:id="rId20" o:title=""/>
          </v:shape>
          <o:OLEObject Type="Embed" ProgID="Acrobat.Document.DC" ShapeID="_x0000_i1031" DrawAspect="Icon" ObjectID="_1689087083" r:id="rId21"/>
        </w:object>
      </w:r>
    </w:p>
    <w:sectPr w:rsidR="00522CB2" w:rsidRPr="00522CB2" w:rsidSect="00651E83">
      <w:footerReference w:type="default" r:id="rId22"/>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BEE2C" w14:textId="77777777" w:rsidR="001D6A8B" w:rsidRDefault="001D6A8B" w:rsidP="000802F7">
      <w:pPr>
        <w:spacing w:before="0" w:after="0"/>
      </w:pPr>
      <w:r>
        <w:separator/>
      </w:r>
    </w:p>
  </w:endnote>
  <w:endnote w:type="continuationSeparator" w:id="0">
    <w:p w14:paraId="04A10143" w14:textId="77777777" w:rsidR="001D6A8B" w:rsidRDefault="001D6A8B" w:rsidP="000802F7">
      <w:pPr>
        <w:spacing w:before="0" w:after="0"/>
      </w:pPr>
      <w:r>
        <w:continuationSeparator/>
      </w:r>
    </w:p>
  </w:endnote>
  <w:endnote w:type="continuationNotice" w:id="1">
    <w:p w14:paraId="103C45C4" w14:textId="77777777" w:rsidR="001D6A8B" w:rsidRDefault="001D6A8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08D4F" w14:textId="77777777" w:rsidR="001D6A8B" w:rsidRDefault="001D6A8B" w:rsidP="000802F7">
      <w:pPr>
        <w:spacing w:before="0" w:after="0"/>
      </w:pPr>
      <w:r>
        <w:separator/>
      </w:r>
    </w:p>
  </w:footnote>
  <w:footnote w:type="continuationSeparator" w:id="0">
    <w:p w14:paraId="76C6EAB2" w14:textId="77777777" w:rsidR="001D6A8B" w:rsidRDefault="001D6A8B" w:rsidP="000802F7">
      <w:pPr>
        <w:spacing w:before="0" w:after="0"/>
      </w:pPr>
      <w:r>
        <w:continuationSeparator/>
      </w:r>
    </w:p>
  </w:footnote>
  <w:footnote w:type="continuationNotice" w:id="1">
    <w:p w14:paraId="0BF8CFE3" w14:textId="77777777" w:rsidR="001D6A8B" w:rsidRDefault="001D6A8B">
      <w:pPr>
        <w:spacing w:before="0" w:after="0"/>
      </w:pPr>
    </w:p>
  </w:footnote>
  <w:footnote w:id="2">
    <w:p w14:paraId="1CB4164C" w14:textId="712F53C1" w:rsidR="00C07FCF" w:rsidRDefault="00C07FCF">
      <w:pPr>
        <w:pStyle w:val="FootnoteText"/>
      </w:pPr>
      <w:r>
        <w:rPr>
          <w:rStyle w:val="FootnoteReference"/>
        </w:rPr>
        <w:footnoteRef/>
      </w:r>
      <w:r>
        <w:t xml:space="preserve"> </w:t>
      </w:r>
      <w:r w:rsidRPr="00C07FCF">
        <w:rPr>
          <w:sz w:val="16"/>
          <w:szCs w:val="16"/>
        </w:rPr>
        <w:t>Data suppressed due to privacy protection</w:t>
      </w:r>
    </w:p>
  </w:footnote>
  <w:footnote w:id="3">
    <w:p w14:paraId="3F1D9DA0" w14:textId="7D53C900" w:rsidR="00C656BF" w:rsidRDefault="00C656BF">
      <w:pPr>
        <w:pStyle w:val="FootnoteText"/>
      </w:pPr>
      <w:r>
        <w:rPr>
          <w:rStyle w:val="FootnoteReference"/>
        </w:rPr>
        <w:footnoteRef/>
      </w:r>
      <w:r>
        <w:t xml:space="preserve"> </w:t>
      </w:r>
      <w:r w:rsidRPr="00C656BF">
        <w:rPr>
          <w:sz w:val="16"/>
          <w:szCs w:val="16"/>
        </w:rPr>
        <w:t>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style="width:19.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2C2CCD"/>
    <w:multiLevelType w:val="hybridMultilevel"/>
    <w:tmpl w:val="1FFC4E9A"/>
    <w:lvl w:ilvl="0" w:tplc="96ACB54C">
      <w:start w:val="1"/>
      <w:numFmt w:val="decimal"/>
      <w:lvlText w:val="%1."/>
      <w:lvlJc w:val="left"/>
      <w:pPr>
        <w:ind w:left="720" w:hanging="360"/>
      </w:pPr>
      <w:rPr>
        <w:rFonts w:ascii="Segoe UI Light" w:eastAsiaTheme="minorHAnsi" w:hAnsi="Segoe UI Light" w:cs="Segoe UI Light"/>
      </w:rPr>
    </w:lvl>
    <w:lvl w:ilvl="1" w:tplc="CA689FE0">
      <w:start w:val="1"/>
      <w:numFmt w:val="lowerLetter"/>
      <w:lvlText w:val="%2."/>
      <w:lvlJc w:val="left"/>
      <w:pPr>
        <w:ind w:left="1440" w:hanging="360"/>
      </w:pPr>
      <w:rPr>
        <w:b w:val="0"/>
        <w:bCs w:val="0"/>
      </w:rPr>
    </w:lvl>
    <w:lvl w:ilvl="2" w:tplc="04090001">
      <w:start w:val="1"/>
      <w:numFmt w:val="bullet"/>
      <w:lvlText w:val=""/>
      <w:lvlJc w:val="left"/>
      <w:pPr>
        <w:ind w:left="2160" w:hanging="180"/>
      </w:pPr>
      <w:rPr>
        <w:rFonts w:ascii="Symbol" w:hAnsi="Symbol" w:hint="default"/>
      </w:rPr>
    </w:lvl>
    <w:lvl w:ilvl="3" w:tplc="59EC29DA">
      <w:start w:val="1"/>
      <w:numFmt w:val="bullet"/>
      <w:lvlText w:val="‒"/>
      <w:lvlJc w:val="left"/>
      <w:pPr>
        <w:ind w:left="2880" w:hanging="360"/>
      </w:pPr>
      <w:rPr>
        <w:rFonts w:ascii="Segoe UI Light" w:hAnsi="Segoe UI Light"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9"/>
  </w:num>
  <w:num w:numId="3">
    <w:abstractNumId w:val="19"/>
  </w:num>
  <w:num w:numId="4">
    <w:abstractNumId w:val="23"/>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8"/>
  </w:num>
  <w:num w:numId="13">
    <w:abstractNumId w:val="7"/>
  </w:num>
  <w:num w:numId="14">
    <w:abstractNumId w:val="13"/>
  </w:num>
  <w:num w:numId="15">
    <w:abstractNumId w:val="11"/>
  </w:num>
  <w:num w:numId="16">
    <w:abstractNumId w:val="20"/>
  </w:num>
  <w:num w:numId="17">
    <w:abstractNumId w:val="2"/>
  </w:num>
  <w:num w:numId="18">
    <w:abstractNumId w:val="5"/>
  </w:num>
  <w:num w:numId="19">
    <w:abstractNumId w:val="1"/>
  </w:num>
  <w:num w:numId="20">
    <w:abstractNumId w:val="16"/>
  </w:num>
  <w:num w:numId="21">
    <w:abstractNumId w:val="22"/>
  </w:num>
  <w:num w:numId="22">
    <w:abstractNumId w:val="4"/>
  </w:num>
  <w:num w:numId="23">
    <w:abstractNumId w:val="3"/>
  </w:num>
  <w:num w:numId="24">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A8B"/>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2C7"/>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4DC"/>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43DA"/>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2CB2"/>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31B"/>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3B9"/>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3D28"/>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E78FF"/>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8C5"/>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472"/>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9EB"/>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370"/>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12C"/>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57B7"/>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07FCF"/>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979"/>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6BF"/>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1DCD"/>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22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6CEF"/>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3.xml><?xml version="1.0" encoding="utf-8"?>
<ds:datastoreItem xmlns:ds="http://schemas.openxmlformats.org/officeDocument/2006/customXml" ds:itemID="{E34A9DCB-E3D8-4048-BDD4-1F7881EB959B}">
  <ds:schemaRefs>
    <ds:schemaRef ds:uri="http://www.w3.org/XML/1998/namespace"/>
    <ds:schemaRef ds:uri="http://purl.org/dc/dcmitype/"/>
    <ds:schemaRef ds:uri="http://purl.org/dc/elements/1.1/"/>
    <ds:schemaRef ds:uri="http://schemas.microsoft.com/office/2006/documentManagement/types"/>
    <ds:schemaRef ds:uri="ffcb171c-5eb6-4b7e-bff7-850b4441ed9e"/>
    <ds:schemaRef ds:uri="http://schemas.openxmlformats.org/package/2006/metadata/core-properties"/>
    <ds:schemaRef ds:uri="http://purl.org/dc/terms/"/>
    <ds:schemaRef ds:uri="http://schemas.microsoft.com/office/infopath/2007/PartnerControls"/>
    <ds:schemaRef ds:uri="dd23999d-55bb-4b1f-885e-83712e5c49df"/>
    <ds:schemaRef ds:uri="http://schemas.microsoft.com/office/2006/metadata/properties"/>
  </ds:schemaRefs>
</ds:datastoreItem>
</file>

<file path=customXml/itemProps4.xml><?xml version="1.0" encoding="utf-8"?>
<ds:datastoreItem xmlns:ds="http://schemas.openxmlformats.org/officeDocument/2006/customXml" ds:itemID="{78793AA2-0171-4901-9E08-741242F7E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62</Pages>
  <Words>31544</Words>
  <Characters>179803</Characters>
  <Application>Microsoft Office Word</Application>
  <DocSecurity>0</DocSecurity>
  <Lines>1498</Lines>
  <Paragraphs>421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12</cp:revision>
  <cp:lastPrinted>2014-08-19T16:56:00Z</cp:lastPrinted>
  <dcterms:created xsi:type="dcterms:W3CDTF">2021-07-23T19:05:00Z</dcterms:created>
  <dcterms:modified xsi:type="dcterms:W3CDTF">2021-07-29T21:57:00Z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659d9e3f-9501-46be-94f7-624f97ed76fa</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