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Maryland</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Please see attachment.</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25</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Please see attachment.</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Please see attachment.</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Please see attachment.</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Please see attachment.</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NO</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Please see attachment.</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5C29F8">
        <w:rPr>
          <w:rFonts w:cs="Arial"/>
          <w:color w:val="000000" w:themeColor="text1"/>
          <w:szCs w:val="16"/>
        </w:rPr>
        <w:br/>
        <w:t>The State must report, with its FFY 2019 SPP/APR submission, due February 1, 2021, on: (1) the technical assistance sources from which the State received assistance; and (2) the actions the State took as a result of that technical assistance.</w:t>
      </w:r>
      <w:r w:rsidRPr="005C29F8">
        <w:rPr>
          <w:rFonts w:cs="Arial"/>
          <w:color w:val="000000" w:themeColor="text1"/>
          <w:szCs w:val="16"/>
        </w:rPr>
        <w:br/>
      </w:r>
      <w:r w:rsidRPr="005C29F8">
        <w:rPr>
          <w:rFonts w:cs="Arial"/>
          <w:color w:val="000000" w:themeColor="text1"/>
          <w:szCs w:val="16"/>
        </w:rPr>
        <w:b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0C24C2" w:rsidP="000E33D0">
      <w:pPr>
        <w:rPr>
          <w:rFonts w:cs="Arial"/>
          <w:color w:val="000000" w:themeColor="text1"/>
          <w:szCs w:val="16"/>
        </w:rPr>
      </w:pP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determinations for both 2019 and 2020 were Needs Assistance.  Pursuant to section 616(e)(1) of the IDEA and 34 C.F.R. § 300.604(a), OSEP's June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p>
    <w:p w14:paraId="53B509C2" w14:textId="7458BB00" w:rsidR="00CE6EB0" w:rsidRPr="0033429D" w:rsidRDefault="00684B51" w:rsidP="008645AD">
      <w:pPr>
        <w:pStyle w:val="Heading2"/>
      </w:pPr>
      <w:r w:rsidRPr="0033429D">
        <w:lastRenderedPageBreak/>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2020 SPP/APR submission, due February 1, 2022,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51A61436" w14:textId="77777777" w:rsidR="00174E5E" w:rsidRDefault="00174E5E">
      <w:pPr>
        <w:spacing w:before="0" w:after="200" w:line="276" w:lineRule="auto"/>
        <w:rPr>
          <w:rFonts w:cs="Arial"/>
          <w:color w:val="000000" w:themeColor="text1"/>
          <w:szCs w:val="16"/>
        </w:rPr>
      </w:pPr>
    </w:p>
    <w:p w14:paraId="7DE44964" w14:textId="77777777" w:rsidR="00174E5E" w:rsidRDefault="00174E5E" w:rsidP="00972CAE">
      <w:pPr>
        <w:pStyle w:val="Heading2"/>
      </w:pPr>
      <w:r>
        <w:t xml:space="preserve">Intro </w:t>
      </w:r>
      <w:r w:rsidRPr="00B907AE">
        <w:t xml:space="preserve">- State Attachments </w:t>
      </w:r>
    </w:p>
    <w:p w14:paraId="42393C4C" w14:textId="09FFAD1F" w:rsidR="00D37BF0" w:rsidRPr="005C29F8" w:rsidRDefault="00B53D29" w:rsidP="00972CAE">
      <w:pPr>
        <w:rPr>
          <w:color w:val="000000" w:themeColor="text1"/>
          <w:szCs w:val="16"/>
        </w:rPr>
      </w:pPr>
      <w:r>
        <w:object w:dxaOrig="1508" w:dyaOrig="983" w14:anchorId="608C29D9">
          <v:shape id="_x0000_i1026" type="#_x0000_t75" alt="Maryland Part B Introduction" style="width:75.75pt;height:48.75pt" o:ole="">
            <v:imagedata r:id="rId12" o:title=""/>
          </v:shape>
          <o:OLEObject Type="Embed" ProgID="Acrobat.Document.DC" ShapeID="_x0000_i1026" DrawAspect="Icon" ObjectID="_1689086274" r:id="rId13"/>
        </w:object>
      </w:r>
      <w:r w:rsidR="00D37BF0" w:rsidRPr="005C29F8">
        <w:rPr>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56.57%</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61.43%</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63.67%</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65.91%</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68.14%</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70.38%</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63.45%</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63.93%</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66.86%</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67.48%</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66.84%</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72.62%</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The data provided for Indicator 1 of the SPP/APR are taken from the Maryland Report Card, Maryland’s official ESEA data reporting source for the MSDE that aligns with Maryland’s Consolidated State Performance Report (CSPR). The Maryland Report Card may be accessed at http://mdreportcard.org/. The targets for Maryland's graduation rate are the same as the annual graduation rate targets under ESSA. The Office of Special Education Programs (OSEP) has approved this process.</w:t>
      </w:r>
      <w:r w:rsidRPr="005C29F8">
        <w:rPr>
          <w:rFonts w:cs="Arial"/>
          <w:color w:val="000000" w:themeColor="text1"/>
          <w:szCs w:val="16"/>
        </w:rPr>
        <w:br/>
      </w:r>
      <w:r w:rsidRPr="005C29F8">
        <w:rPr>
          <w:rFonts w:cs="Arial"/>
          <w:color w:val="000000" w:themeColor="text1"/>
          <w:szCs w:val="16"/>
        </w:rPr>
        <w:br/>
        <w:t>No changes to baselines or targets are being proposed for FFY 2019. To set current targets, the MSDE obtained stakeholder feedback through a survey sent to Special Education stakeholders, including Local Special Education Directors, Local Preschool Coordinators, and all members of the Special Education State Advisory Committee (SESAC</w:t>
      </w:r>
      <w:proofErr w:type="gramStart"/>
      <w:r w:rsidRPr="005C29F8">
        <w:rPr>
          <w:rFonts w:cs="Arial"/>
          <w:color w:val="000000" w:themeColor="text1"/>
          <w:szCs w:val="16"/>
        </w:rPr>
        <w:t>) .</w:t>
      </w:r>
      <w:proofErr w:type="gramEnd"/>
      <w:r w:rsidRPr="005C29F8">
        <w:rPr>
          <w:rFonts w:cs="Arial"/>
          <w:color w:val="000000" w:themeColor="text1"/>
          <w:szCs w:val="16"/>
        </w:rPr>
        <w:t xml:space="preserve"> Survey results guided target setting and the targets are included with this APR submission. </w:t>
      </w:r>
      <w:r w:rsidRPr="005C29F8">
        <w:rPr>
          <w:rFonts w:cs="Arial"/>
          <w:color w:val="000000" w:themeColor="text1"/>
          <w:szCs w:val="16"/>
        </w:rPr>
        <w:br/>
      </w:r>
      <w:r w:rsidRPr="005C29F8">
        <w:rPr>
          <w:rFonts w:cs="Arial"/>
          <w:color w:val="000000" w:themeColor="text1"/>
          <w:szCs w:val="16"/>
        </w:rPr>
        <w:br/>
        <w:t>Throughout FFY 2019, the MSDE provided information and preliminary data on the Part B APR indicators and multiple opportunities for questions, 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preschool indicators). Those special APR presentations were made to the State Interagency Coordinating Council (SICC) on January 7, 2021 (for Part C and preschool indicators) and to the SESAC on January 28, 2021.</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0AB89D24" w:rsidR="00866B4D" w:rsidRPr="005C29F8" w:rsidRDefault="008F15F8" w:rsidP="00A018D4">
            <w:pPr>
              <w:jc w:val="center"/>
              <w:rPr>
                <w:rFonts w:cs="Arial"/>
                <w:color w:val="000000" w:themeColor="text1"/>
                <w:szCs w:val="16"/>
              </w:rPr>
            </w:pPr>
            <w:r>
              <w:rPr>
                <w:rFonts w:cs="Arial"/>
                <w:color w:val="000000" w:themeColor="text1"/>
                <w:szCs w:val="16"/>
              </w:rPr>
              <w:t>*</w:t>
            </w:r>
            <w:bookmarkStart w:id="3" w:name="_Ref78285439"/>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lastRenderedPageBreak/>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5,463</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5DCA04AC" w:rsidR="00866B4D" w:rsidRPr="005C29F8" w:rsidRDefault="002B7490" w:rsidP="00A018D4">
            <w:pPr>
              <w:jc w:val="center"/>
              <w:rPr>
                <w:rFonts w:cs="Arial"/>
                <w:color w:val="000000" w:themeColor="text1"/>
                <w:szCs w:val="16"/>
              </w:rPr>
            </w:pPr>
            <w:r w:rsidRPr="005C29F8">
              <w:rPr>
                <w:rFonts w:cs="Arial"/>
                <w:color w:val="000000" w:themeColor="text1"/>
                <w:szCs w:val="16"/>
              </w:rPr>
              <w:t>63.5%</w:t>
            </w:r>
            <w:bookmarkStart w:id="4" w:name="_Ref78285444"/>
            <w:r w:rsidR="001E4095">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7AF0A302" w:rsidR="0098478C" w:rsidRPr="005C29F8" w:rsidRDefault="008F15F8" w:rsidP="00A018D4">
            <w:pPr>
              <w:jc w:val="center"/>
              <w:rPr>
                <w:rFonts w:cs="Arial"/>
                <w:color w:val="000000" w:themeColor="text1"/>
                <w:szCs w:val="16"/>
              </w:rPr>
            </w:pPr>
            <w:r>
              <w:rPr>
                <w:rFonts w:cs="Arial"/>
                <w:color w:val="000000" w:themeColor="text1"/>
                <w:szCs w:val="16"/>
              </w:rPr>
              <w:t>*</w:t>
            </w:r>
            <w:r w:rsidR="006F410A" w:rsidRPr="006F410A">
              <w:rPr>
                <w:rFonts w:cs="Arial"/>
                <w:color w:val="000000" w:themeColor="text1"/>
                <w:szCs w:val="16"/>
                <w:vertAlign w:val="superscript"/>
              </w:rPr>
              <w:fldChar w:fldCharType="begin"/>
            </w:r>
            <w:r w:rsidR="006F410A" w:rsidRPr="006F410A">
              <w:rPr>
                <w:rFonts w:cs="Arial"/>
                <w:color w:val="000000" w:themeColor="text1"/>
                <w:szCs w:val="16"/>
                <w:vertAlign w:val="superscript"/>
              </w:rPr>
              <w:instrText xml:space="preserve"> NOTEREF _Ref78285439 \h </w:instrText>
            </w:r>
            <w:r w:rsidR="006F410A">
              <w:rPr>
                <w:rFonts w:cs="Arial"/>
                <w:color w:val="000000" w:themeColor="text1"/>
                <w:szCs w:val="16"/>
                <w:vertAlign w:val="superscript"/>
              </w:rPr>
              <w:instrText xml:space="preserve"> \* MERGEFORMAT </w:instrText>
            </w:r>
            <w:r w:rsidR="006F410A" w:rsidRPr="006F410A">
              <w:rPr>
                <w:rFonts w:cs="Arial"/>
                <w:color w:val="000000" w:themeColor="text1"/>
                <w:szCs w:val="16"/>
                <w:vertAlign w:val="superscript"/>
              </w:rPr>
            </w:r>
            <w:r w:rsidR="006F410A" w:rsidRPr="006F410A">
              <w:rPr>
                <w:rFonts w:cs="Arial"/>
                <w:color w:val="000000" w:themeColor="text1"/>
                <w:szCs w:val="16"/>
                <w:vertAlign w:val="superscript"/>
              </w:rPr>
              <w:fldChar w:fldCharType="separate"/>
            </w:r>
            <w:r w:rsidR="006F410A" w:rsidRPr="006F410A">
              <w:rPr>
                <w:rFonts w:cs="Arial"/>
                <w:color w:val="000000" w:themeColor="text1"/>
                <w:szCs w:val="16"/>
                <w:vertAlign w:val="superscript"/>
              </w:rPr>
              <w:t>1</w:t>
            </w:r>
            <w:r w:rsidR="006F410A" w:rsidRPr="006F410A">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5,463</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66.84%</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72.62%</w:t>
            </w:r>
          </w:p>
        </w:tc>
        <w:tc>
          <w:tcPr>
            <w:tcW w:w="633" w:type="pct"/>
            <w:shd w:val="clear" w:color="auto" w:fill="auto"/>
          </w:tcPr>
          <w:p w14:paraId="4A53AF2D" w14:textId="7CAA844D" w:rsidR="0098478C" w:rsidRPr="005C29F8" w:rsidRDefault="002B7490" w:rsidP="00A018D4">
            <w:pPr>
              <w:jc w:val="center"/>
              <w:rPr>
                <w:rFonts w:cs="Arial"/>
                <w:color w:val="000000" w:themeColor="text1"/>
                <w:szCs w:val="16"/>
              </w:rPr>
            </w:pPr>
            <w:r w:rsidRPr="005C29F8">
              <w:rPr>
                <w:rFonts w:cs="Arial"/>
                <w:color w:val="000000" w:themeColor="text1"/>
                <w:szCs w:val="16"/>
              </w:rPr>
              <w:t>63.5%</w:t>
            </w:r>
            <w:r w:rsidR="006F410A" w:rsidRPr="006F410A">
              <w:rPr>
                <w:rFonts w:cs="Arial"/>
                <w:color w:val="000000" w:themeColor="text1"/>
                <w:szCs w:val="16"/>
                <w:vertAlign w:val="superscript"/>
              </w:rPr>
              <w:fldChar w:fldCharType="begin"/>
            </w:r>
            <w:r w:rsidR="006F410A" w:rsidRPr="006F410A">
              <w:rPr>
                <w:rFonts w:cs="Arial"/>
                <w:color w:val="000000" w:themeColor="text1"/>
                <w:szCs w:val="16"/>
                <w:vertAlign w:val="superscript"/>
              </w:rPr>
              <w:instrText xml:space="preserve"> NOTEREF _Ref78285444 \h </w:instrText>
            </w:r>
            <w:r w:rsidR="006F410A">
              <w:rPr>
                <w:rFonts w:cs="Arial"/>
                <w:color w:val="000000" w:themeColor="text1"/>
                <w:szCs w:val="16"/>
                <w:vertAlign w:val="superscript"/>
              </w:rPr>
              <w:instrText xml:space="preserve"> \* MERGEFORMAT </w:instrText>
            </w:r>
            <w:r w:rsidR="006F410A" w:rsidRPr="006F410A">
              <w:rPr>
                <w:rFonts w:cs="Arial"/>
                <w:color w:val="000000" w:themeColor="text1"/>
                <w:szCs w:val="16"/>
                <w:vertAlign w:val="superscript"/>
              </w:rPr>
            </w:r>
            <w:r w:rsidR="006F410A" w:rsidRPr="006F410A">
              <w:rPr>
                <w:rFonts w:cs="Arial"/>
                <w:color w:val="000000" w:themeColor="text1"/>
                <w:szCs w:val="16"/>
                <w:vertAlign w:val="superscript"/>
              </w:rPr>
              <w:fldChar w:fldCharType="separate"/>
            </w:r>
            <w:r w:rsidR="006F410A" w:rsidRPr="006F410A">
              <w:rPr>
                <w:rFonts w:cs="Arial"/>
                <w:color w:val="000000" w:themeColor="text1"/>
                <w:szCs w:val="16"/>
                <w:vertAlign w:val="superscript"/>
              </w:rPr>
              <w:t>2</w:t>
            </w:r>
            <w:r w:rsidR="006F410A" w:rsidRPr="006F410A">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68A148EF" w14:textId="201EE2DF" w:rsidR="00120808" w:rsidRPr="005C29F8" w:rsidRDefault="00120808" w:rsidP="004369B2">
      <w:pPr>
        <w:rPr>
          <w:b/>
          <w:color w:val="000000" w:themeColor="text1"/>
        </w:rPr>
      </w:pPr>
      <w:r w:rsidRPr="005C29F8">
        <w:rPr>
          <w:b/>
          <w:color w:val="000000" w:themeColor="text1"/>
        </w:rPr>
        <w:t>Provide reasons for slippage, if applicable</w:t>
      </w:r>
    </w:p>
    <w:p w14:paraId="57093C7C" w14:textId="103154AB" w:rsidR="002D145D" w:rsidRDefault="002B7490" w:rsidP="00AD3C71">
      <w:pPr>
        <w:rPr>
          <w:rFonts w:cs="Arial"/>
          <w:color w:val="000000" w:themeColor="text1"/>
          <w:szCs w:val="16"/>
        </w:rPr>
      </w:pPr>
      <w:r w:rsidRPr="005C29F8">
        <w:rPr>
          <w:rFonts w:cs="Arial"/>
          <w:color w:val="000000" w:themeColor="text1"/>
          <w:szCs w:val="16"/>
        </w:rPr>
        <w:t xml:space="preserve">Revised data were submitted to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on January 26, 2021, which indicate a statewide graduation rate of 65.77% for FFY 2019. Therefore, data did not meet the state target and decreased from 66.84% in FFY 2018 to 65.77% in FFY 2019. In examining the data, only 8 LSSs met the State Target for FFY 2019.  Eleven (11) LSSs showed increases in the percentage of students with disabilities who graduated with a diploma, whereas 14 showed decreases. Most decreases were negligible but 3 LSSs had decreases of over 15 percentage points. While these 3 are smaller school systems, it should be noted that one of Maryland's largest school systems had a decrease of almost 5 percentage points.</w:t>
      </w:r>
    </w:p>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proofErr w:type="gramStart"/>
      <w:r w:rsidRPr="005C29F8">
        <w:rPr>
          <w:rFonts w:cs="Arial"/>
          <w:color w:val="000000" w:themeColor="text1"/>
          <w:szCs w:val="16"/>
        </w:rPr>
        <w:t>The MSDE DEI/SES,</w:t>
      </w:r>
      <w:proofErr w:type="gramEnd"/>
      <w:r w:rsidRPr="005C29F8">
        <w:rPr>
          <w:rFonts w:cs="Arial"/>
          <w:color w:val="000000" w:themeColor="text1"/>
          <w:szCs w:val="16"/>
        </w:rPr>
        <w:t xml:space="preserve"> reported the same data to the U.S. Department of Education under Title I of the Elementary and Secondary Education Act (ESEA) as amended by The Every Student Succeeds Act (ESSA) which reauthorizes the ESEA of 1965. </w:t>
      </w:r>
      <w:r w:rsidRPr="005C29F8">
        <w:rPr>
          <w:rFonts w:cs="Arial"/>
          <w:color w:val="000000" w:themeColor="text1"/>
          <w:szCs w:val="16"/>
        </w:rPr>
        <w:br/>
      </w:r>
      <w:r w:rsidRPr="005C29F8">
        <w:rPr>
          <w:rFonts w:cs="Arial"/>
          <w:color w:val="000000" w:themeColor="text1"/>
          <w:szCs w:val="16"/>
        </w:rPr>
        <w:br/>
        <w:t xml:space="preserve">NOTE: Updated data were resubmitted to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System on January 26, 2021. </w:t>
      </w:r>
      <w:r w:rsidRPr="005C29F8">
        <w:rPr>
          <w:rFonts w:cs="Arial"/>
          <w:color w:val="000000" w:themeColor="text1"/>
          <w:szCs w:val="16"/>
        </w:rPr>
        <w:br/>
      </w:r>
      <w:r w:rsidRPr="005C29F8">
        <w:rPr>
          <w:rFonts w:cs="Arial"/>
          <w:color w:val="000000" w:themeColor="text1"/>
          <w:szCs w:val="16"/>
        </w:rPr>
        <w:br/>
        <w:t xml:space="preserve">Using the required 2018-2019 Four-Year Adjusted Cohort Rate 3,891 youth with IEPs out of a possible 5,916 graduated with a regular diploma. This is a 4-year adjusted cohort graduation rate of 65.77% which demonstrates a slight decrease from FFY 2017-2018 data. The State did not meet its target for FFY 2018-2019 data. The 4-year adjusted cohort graduation rate of 86.86% for regular education students when compared to the 4-year adjusted cohort rate for special education students reflects a 23.26 percentage point gap between the graduation rate of non-disabled peers and youth with disabilities who received services in accordance with an Individualized Education Program (IEP). </w:t>
      </w:r>
      <w:r w:rsidRPr="005C29F8">
        <w:rPr>
          <w:rFonts w:cs="Arial"/>
          <w:color w:val="000000" w:themeColor="text1"/>
          <w:szCs w:val="16"/>
        </w:rPr>
        <w:br/>
      </w:r>
      <w:r w:rsidRPr="005C29F8">
        <w:rPr>
          <w:rFonts w:cs="Arial"/>
          <w:color w:val="000000" w:themeColor="text1"/>
          <w:szCs w:val="16"/>
        </w:rPr>
        <w:br/>
        <w:t>Four Year Adjusted Cohort Graduation Rate</w:t>
      </w:r>
      <w:r w:rsidRPr="005C29F8">
        <w:rPr>
          <w:rFonts w:cs="Arial"/>
          <w:color w:val="000000" w:themeColor="text1"/>
          <w:szCs w:val="16"/>
        </w:rPr>
        <w:br/>
        <w:t>The four-year adjusted cohort rate is the number of students who graduate in four years with a regular high school diploma divided by the number of students who form the adjusted cohort for the graduating class. From the beginning of the 9th grade, students who are entering that grade for the first time form a cohort that is subsequently “adjusted” by adding any student who transfers into the cohort later during the 9th grade year and the next three years and subtracting out any students who transfer out, emigrate to another county, or die during that same period. This definition is defined in federal regulation 34 C.F.R. §200.19(b)(1)(</w:t>
      </w:r>
      <w:proofErr w:type="spellStart"/>
      <w:r w:rsidRPr="005C29F8">
        <w:rPr>
          <w:rFonts w:cs="Arial"/>
          <w:color w:val="000000" w:themeColor="text1"/>
          <w:szCs w:val="16"/>
        </w:rPr>
        <w:t>i</w:t>
      </w:r>
      <w:proofErr w:type="spellEnd"/>
      <w:r w:rsidRPr="005C29F8">
        <w:rPr>
          <w:rFonts w:cs="Arial"/>
          <w:color w:val="000000" w:themeColor="text1"/>
          <w:szCs w:val="16"/>
        </w:rPr>
        <w:t>)-(iv). The four-year adjusted cohort graduation rate also strictly adheres to section 111(b)(2)(C)(vi) of the Elementary and Secondary Education Act (ESEA), as amended by The Every Student Succeeds Act (ESSA) which reauthorizes the ESEA of 1965 which defines graduation rate as the “percentage of students who graduate from secondary school with a regular diploma in the standard number of years.”</w:t>
      </w:r>
      <w:r w:rsidRPr="005C29F8">
        <w:rPr>
          <w:rFonts w:cs="Arial"/>
          <w:color w:val="000000" w:themeColor="text1"/>
          <w:szCs w:val="16"/>
        </w:rPr>
        <w:br/>
      </w:r>
      <w:r w:rsidRPr="005C29F8">
        <w:rPr>
          <w:rFonts w:cs="Arial"/>
          <w:color w:val="000000" w:themeColor="text1"/>
          <w:szCs w:val="16"/>
        </w:rPr>
        <w:br/>
        <w:t>Under 34 C.F.R. §200.19(b)(1)(iv), 200.19(b)(1)(</w:t>
      </w:r>
      <w:proofErr w:type="spellStart"/>
      <w:r w:rsidRPr="005C29F8">
        <w:rPr>
          <w:rFonts w:cs="Arial"/>
          <w:color w:val="000000" w:themeColor="text1"/>
          <w:szCs w:val="16"/>
        </w:rPr>
        <w:t>i</w:t>
      </w:r>
      <w:proofErr w:type="spellEnd"/>
      <w:r w:rsidRPr="005C29F8">
        <w:rPr>
          <w:rFonts w:cs="Arial"/>
          <w:color w:val="000000" w:themeColor="text1"/>
          <w:szCs w:val="16"/>
        </w:rPr>
        <w:t xml:space="preserve">)-(iv). The four-year adjusted cohort graduation rate also strictly adheres to section 111(b)(2)(C)(vi) of the Elementary and Secondary Education Act (ESEA), which defines graduation rate as the “percentage of students who graduate from secondary school with a regular diploma in the standard number of years. </w:t>
      </w:r>
      <w:r w:rsidRPr="005C29F8">
        <w:rPr>
          <w:rFonts w:cs="Arial"/>
          <w:color w:val="000000" w:themeColor="text1"/>
          <w:szCs w:val="16"/>
        </w:rPr>
        <w:br/>
      </w:r>
      <w:r w:rsidRPr="005C29F8">
        <w:rPr>
          <w:rFonts w:cs="Arial"/>
          <w:color w:val="000000" w:themeColor="text1"/>
          <w:szCs w:val="16"/>
        </w:rPr>
        <w:br/>
        <w:t>The data provided are from the Maryland Report Card, Maryland’s official ESEA data reporting source for the Maryland State Department of Education that aligns with Maryland’s Consolidated State Performance Report (CSPR). The Maryland Report Card may be accessed at http://mdreportcard.org/. The graduation rate targets are the same as the annual graduation rate targets under Title I of the ESEA.</w:t>
      </w:r>
      <w:r w:rsidRPr="005C29F8">
        <w:rPr>
          <w:rFonts w:cs="Arial"/>
          <w:color w:val="000000" w:themeColor="text1"/>
          <w:szCs w:val="16"/>
        </w:rPr>
        <w:br/>
      </w:r>
      <w:r w:rsidRPr="005C29F8">
        <w:rPr>
          <w:rFonts w:cs="Arial"/>
          <w:color w:val="000000" w:themeColor="text1"/>
          <w:szCs w:val="16"/>
        </w:rPr>
        <w:br/>
        <w:t>Leaver Rate = The graduation rate Maryland previously reported is called the “Leaver Rate.” The Leaver Rate is defined as the percentage of students who received a Maryland High School Diploma during the reported school year. The Leaver Rate is an estimated cohort rate. It is calculated by dividing the number of high school graduates by the sum of the dropouts for grades 9 through 12, respectively, in consecutive years, plus the number of high school graduates.</w:t>
      </w:r>
      <w:r w:rsidRPr="005C29F8">
        <w:rPr>
          <w:rFonts w:cs="Arial"/>
          <w:color w:val="000000" w:themeColor="text1"/>
          <w:szCs w:val="16"/>
        </w:rPr>
        <w:br/>
      </w:r>
      <w:r w:rsidRPr="005C29F8">
        <w:rPr>
          <w:rFonts w:cs="Arial"/>
          <w:color w:val="000000" w:themeColor="text1"/>
          <w:szCs w:val="16"/>
        </w:rPr>
        <w:br/>
        <w:t>Graduation Conditions</w:t>
      </w:r>
      <w:r w:rsidRPr="005C29F8">
        <w:rPr>
          <w:rFonts w:cs="Arial"/>
          <w:color w:val="000000" w:themeColor="text1"/>
          <w:szCs w:val="16"/>
        </w:rPr>
        <w:br/>
        <w:t>Maryland offers one diploma known as the Maryland High School Diploma. The requirements for a Maryland High School Diploma are applicable to all students, including youth with IEPs. To be awarded a diploma, a student, including a youth with an IEP, shall be enrolled in a Maryland public school and have earned a minimum of 21 credits that include the following:</w:t>
      </w:r>
      <w:r w:rsidRPr="005C29F8">
        <w:rPr>
          <w:rFonts w:cs="Arial"/>
          <w:color w:val="000000" w:themeColor="text1"/>
          <w:szCs w:val="16"/>
        </w:rPr>
        <w:br/>
      </w:r>
      <w:r w:rsidRPr="005C29F8">
        <w:rPr>
          <w:rFonts w:cs="Arial"/>
          <w:color w:val="000000" w:themeColor="text1"/>
          <w:szCs w:val="16"/>
        </w:rPr>
        <w:br/>
        <w:t>Subject Area Specific Credit Requirement</w:t>
      </w:r>
      <w:r w:rsidRPr="005C29F8">
        <w:rPr>
          <w:rFonts w:cs="Arial"/>
          <w:color w:val="000000" w:themeColor="text1"/>
          <w:szCs w:val="16"/>
        </w:rPr>
        <w:br/>
      </w:r>
      <w:r w:rsidRPr="005C29F8">
        <w:rPr>
          <w:rFonts w:cs="Arial"/>
          <w:color w:val="000000" w:themeColor="text1"/>
          <w:szCs w:val="16"/>
        </w:rPr>
        <w:lastRenderedPageBreak/>
        <w:t>English - 4 credits</w:t>
      </w:r>
      <w:r w:rsidRPr="005C29F8">
        <w:rPr>
          <w:rFonts w:cs="Arial"/>
          <w:color w:val="000000" w:themeColor="text1"/>
          <w:szCs w:val="16"/>
        </w:rPr>
        <w:br/>
      </w:r>
      <w:r w:rsidRPr="005C29F8">
        <w:rPr>
          <w:rFonts w:cs="Arial"/>
          <w:color w:val="000000" w:themeColor="text1"/>
          <w:szCs w:val="16"/>
        </w:rPr>
        <w:br/>
        <w:t>Math - 3 credits</w:t>
      </w:r>
      <w:r w:rsidRPr="005C29F8">
        <w:rPr>
          <w:rFonts w:cs="Arial"/>
          <w:color w:val="000000" w:themeColor="text1"/>
          <w:szCs w:val="16"/>
        </w:rPr>
        <w:br/>
        <w:t>1 in Algebra/Data Analysis</w:t>
      </w:r>
      <w:r w:rsidRPr="005C29F8">
        <w:rPr>
          <w:rFonts w:cs="Arial"/>
          <w:color w:val="000000" w:themeColor="text1"/>
          <w:szCs w:val="16"/>
        </w:rPr>
        <w:br/>
        <w:t>1 in Geometry</w:t>
      </w:r>
      <w:r w:rsidRPr="005C29F8">
        <w:rPr>
          <w:rFonts w:cs="Arial"/>
          <w:color w:val="000000" w:themeColor="text1"/>
          <w:szCs w:val="16"/>
        </w:rPr>
        <w:br/>
        <w:t>1 in additional Mathematics credit</w:t>
      </w:r>
      <w:r w:rsidRPr="005C29F8">
        <w:rPr>
          <w:rFonts w:cs="Arial"/>
          <w:color w:val="000000" w:themeColor="text1"/>
          <w:szCs w:val="16"/>
        </w:rPr>
        <w:br/>
      </w:r>
      <w:r w:rsidRPr="005C29F8">
        <w:rPr>
          <w:rFonts w:cs="Arial"/>
          <w:color w:val="000000" w:themeColor="text1"/>
          <w:szCs w:val="16"/>
        </w:rPr>
        <w:br/>
        <w:t>Science - 3 credits</w:t>
      </w:r>
      <w:r w:rsidRPr="005C29F8">
        <w:rPr>
          <w:rFonts w:cs="Arial"/>
          <w:color w:val="000000" w:themeColor="text1"/>
          <w:szCs w:val="16"/>
        </w:rPr>
        <w:br/>
        <w:t>1 in Biology</w:t>
      </w:r>
      <w:r w:rsidRPr="005C29F8">
        <w:rPr>
          <w:rFonts w:cs="Arial"/>
          <w:color w:val="000000" w:themeColor="text1"/>
          <w:szCs w:val="16"/>
        </w:rPr>
        <w:br/>
        <w:t>2 that must include laboratory experience in all or any of the following areas: earth science, life science, physical science</w:t>
      </w:r>
      <w:r w:rsidRPr="005C29F8">
        <w:rPr>
          <w:rFonts w:cs="Arial"/>
          <w:color w:val="000000" w:themeColor="text1"/>
          <w:szCs w:val="16"/>
        </w:rPr>
        <w:br/>
      </w:r>
      <w:r w:rsidRPr="005C29F8">
        <w:rPr>
          <w:rFonts w:cs="Arial"/>
          <w:color w:val="000000" w:themeColor="text1"/>
          <w:szCs w:val="16"/>
        </w:rPr>
        <w:br/>
        <w:t>Social Studies - 3 credits</w:t>
      </w:r>
      <w:r w:rsidRPr="005C29F8">
        <w:rPr>
          <w:rFonts w:cs="Arial"/>
          <w:color w:val="000000" w:themeColor="text1"/>
          <w:szCs w:val="16"/>
        </w:rPr>
        <w:br/>
        <w:t>1 in US History</w:t>
      </w:r>
      <w:r w:rsidRPr="005C29F8">
        <w:rPr>
          <w:rFonts w:cs="Arial"/>
          <w:color w:val="000000" w:themeColor="text1"/>
          <w:szCs w:val="16"/>
        </w:rPr>
        <w:br/>
        <w:t>1 in World History</w:t>
      </w:r>
      <w:r w:rsidRPr="005C29F8">
        <w:rPr>
          <w:rFonts w:cs="Arial"/>
          <w:color w:val="000000" w:themeColor="text1"/>
          <w:szCs w:val="16"/>
        </w:rPr>
        <w:br/>
        <w:t>1 in Local, State, and National Government</w:t>
      </w:r>
      <w:r w:rsidRPr="005C29F8">
        <w:rPr>
          <w:rFonts w:cs="Arial"/>
          <w:color w:val="000000" w:themeColor="text1"/>
          <w:szCs w:val="16"/>
        </w:rPr>
        <w:br/>
      </w:r>
      <w:r w:rsidRPr="005C29F8">
        <w:rPr>
          <w:rFonts w:cs="Arial"/>
          <w:color w:val="000000" w:themeColor="text1"/>
          <w:szCs w:val="16"/>
        </w:rPr>
        <w:br/>
        <w:t>Fine Arts - 1 credit</w:t>
      </w:r>
      <w:r w:rsidRPr="005C29F8">
        <w:rPr>
          <w:rFonts w:cs="Arial"/>
          <w:color w:val="000000" w:themeColor="text1"/>
          <w:szCs w:val="16"/>
        </w:rPr>
        <w:br/>
      </w:r>
      <w:r w:rsidRPr="005C29F8">
        <w:rPr>
          <w:rFonts w:cs="Arial"/>
          <w:color w:val="000000" w:themeColor="text1"/>
          <w:szCs w:val="16"/>
        </w:rPr>
        <w:br/>
        <w:t>Physical Education - ½ credit</w:t>
      </w:r>
      <w:r w:rsidRPr="005C29F8">
        <w:rPr>
          <w:rFonts w:cs="Arial"/>
          <w:color w:val="000000" w:themeColor="text1"/>
          <w:szCs w:val="16"/>
        </w:rPr>
        <w:br/>
      </w:r>
      <w:r w:rsidRPr="005C29F8">
        <w:rPr>
          <w:rFonts w:cs="Arial"/>
          <w:color w:val="000000" w:themeColor="text1"/>
          <w:szCs w:val="16"/>
        </w:rPr>
        <w:br/>
        <w:t>Health - ½ credit</w:t>
      </w:r>
      <w:r w:rsidRPr="005C29F8">
        <w:rPr>
          <w:rFonts w:cs="Arial"/>
          <w:color w:val="000000" w:themeColor="text1"/>
          <w:szCs w:val="16"/>
        </w:rPr>
        <w:br/>
      </w:r>
      <w:r w:rsidRPr="005C29F8">
        <w:rPr>
          <w:rFonts w:cs="Arial"/>
          <w:color w:val="000000" w:themeColor="text1"/>
          <w:szCs w:val="16"/>
        </w:rPr>
        <w:br/>
        <w:t>Technology Education - 1 credit</w:t>
      </w:r>
      <w:r w:rsidRPr="005C29F8">
        <w:rPr>
          <w:rFonts w:cs="Arial"/>
          <w:color w:val="000000" w:themeColor="text1"/>
          <w:szCs w:val="16"/>
        </w:rPr>
        <w:br/>
      </w:r>
      <w:r w:rsidRPr="005C29F8">
        <w:rPr>
          <w:rFonts w:cs="Arial"/>
          <w:color w:val="000000" w:themeColor="text1"/>
          <w:szCs w:val="16"/>
        </w:rPr>
        <w:br/>
        <w:t xml:space="preserve">Other </w:t>
      </w:r>
      <w:r w:rsidRPr="005C29F8">
        <w:rPr>
          <w:rFonts w:cs="Arial"/>
          <w:color w:val="000000" w:themeColor="text1"/>
          <w:szCs w:val="16"/>
        </w:rPr>
        <w:br/>
        <w:t>2 credits of foreign language or 2 credits of American Sign Language or 2 credits of advanced technology education and 3 credits in electives OR 4 credits by successfully completing a State approved career &amp; &amp; technology program and 1 credit in an elective</w:t>
      </w:r>
      <w:r w:rsidRPr="005C29F8">
        <w:rPr>
          <w:rFonts w:cs="Arial"/>
          <w:color w:val="000000" w:themeColor="text1"/>
          <w:szCs w:val="16"/>
        </w:rPr>
        <w:br/>
      </w:r>
      <w:r w:rsidRPr="005C29F8">
        <w:rPr>
          <w:rFonts w:cs="Arial"/>
          <w:color w:val="000000" w:themeColor="text1"/>
          <w:szCs w:val="16"/>
        </w:rPr>
        <w:br/>
        <w:t>Students must also meet attendance, service-learning, and any local school system requirements.</w:t>
      </w:r>
      <w:r w:rsidRPr="005C29F8">
        <w:rPr>
          <w:rFonts w:cs="Arial"/>
          <w:color w:val="000000" w:themeColor="text1"/>
          <w:szCs w:val="16"/>
        </w:rPr>
        <w:br/>
      </w:r>
      <w:r w:rsidRPr="005C29F8">
        <w:rPr>
          <w:rFonts w:cs="Arial"/>
          <w:color w:val="000000" w:themeColor="text1"/>
          <w:szCs w:val="16"/>
        </w:rPr>
        <w:br/>
        <w:t>In addition, all students, including youth with IEPs, must complete the following High School Assessments requirements:</w:t>
      </w:r>
      <w:r w:rsidRPr="005C29F8">
        <w:rPr>
          <w:rFonts w:cs="Arial"/>
          <w:color w:val="000000" w:themeColor="text1"/>
          <w:szCs w:val="16"/>
        </w:rPr>
        <w:br/>
        <w:t>Algebra/Data Analysis, English 10, and Biology</w:t>
      </w:r>
      <w:r w:rsidRPr="005C29F8">
        <w:rPr>
          <w:rFonts w:cs="Arial"/>
          <w:color w:val="000000" w:themeColor="text1"/>
          <w:szCs w:val="16"/>
        </w:rPr>
        <w:br/>
        <w:t>Students who entered grade 9 in the fall of 2005 and later (COMAR 13A.03.02.09) must obtain either a passing score on Algebra/Data Analysis, English 10, and Biology or obtain an overall combined score of 1208 or 1602 (see below). Students who meet specific criteria may use the Bridge Plan for Academic Validation to meet the passing requirement. For more information about the Bridge Plan for Academic Validation, please see questions 20 and 21 (pages 10-11) in the High School Graduation Requirements Questions and Answers at http://hsaexam.org/img/HS_Grad_Q_A.pdf.</w:t>
      </w:r>
      <w:r w:rsidRPr="005C29F8">
        <w:rPr>
          <w:rFonts w:cs="Arial"/>
          <w:color w:val="000000" w:themeColor="text1"/>
          <w:szCs w:val="16"/>
        </w:rPr>
        <w:br/>
      </w:r>
      <w:r w:rsidRPr="005C29F8">
        <w:rPr>
          <w:rFonts w:cs="Arial"/>
          <w:color w:val="000000" w:themeColor="text1"/>
          <w:szCs w:val="16"/>
        </w:rPr>
        <w:br/>
        <w:t>Government</w:t>
      </w:r>
      <w:r w:rsidRPr="005C29F8">
        <w:rPr>
          <w:rFonts w:cs="Arial"/>
          <w:color w:val="000000" w:themeColor="text1"/>
          <w:szCs w:val="16"/>
        </w:rPr>
        <w:br/>
        <w:t>Students who entered 9th grade in the 2012-13 school year are not required to pass the Government High School Assessment for graduation but may use it if they pursue a combined score to satisfy the graduation requirements. Students have two options. Students may achieve either a combined score of:</w:t>
      </w:r>
      <w:r w:rsidRPr="005C29F8">
        <w:rPr>
          <w:rFonts w:cs="Arial"/>
          <w:color w:val="000000" w:themeColor="text1"/>
          <w:szCs w:val="16"/>
        </w:rPr>
        <w:br/>
      </w:r>
      <w:r w:rsidRPr="005C29F8">
        <w:rPr>
          <w:rFonts w:cs="Arial"/>
          <w:color w:val="000000" w:themeColor="text1"/>
          <w:szCs w:val="16"/>
        </w:rPr>
        <w:br/>
        <w:t>1602 for English, Algebra/Data Analysis, Biology, and Government; or</w:t>
      </w:r>
      <w:r w:rsidRPr="005C29F8">
        <w:rPr>
          <w:rFonts w:cs="Arial"/>
          <w:color w:val="000000" w:themeColor="text1"/>
          <w:szCs w:val="16"/>
        </w:rPr>
        <w:br/>
        <w:t>1208 for English, Algebra/Data Analysis, and</w:t>
      </w:r>
      <w:r w:rsidRPr="005C29F8">
        <w:rPr>
          <w:rFonts w:cs="Arial"/>
          <w:color w:val="000000" w:themeColor="text1"/>
          <w:szCs w:val="16"/>
        </w:rPr>
        <w:br/>
      </w:r>
      <w:r w:rsidRPr="005C29F8">
        <w:rPr>
          <w:rFonts w:cs="Arial"/>
          <w:color w:val="000000" w:themeColor="text1"/>
          <w:szCs w:val="16"/>
        </w:rPr>
        <w:br/>
        <w:t>Students entering 9th grade in the 2013-2014 school year and beyond must either pass the Government High School Assessment or include the Government High School Assessment score to meet a combined score of 1602.</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 xml:space="preserve">The collection and reporting of data for this indicator were not impacted by the COVID-19 pandemic.  </w:t>
      </w: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5.41%</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4.47%</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3.99%</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3.51%</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3.03%</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2.55%</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4.63%</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4.73%</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3.90%</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4.21%</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3.98%</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2.55%</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1646393A" w14:textId="2F9E8E4A" w:rsidR="002D145D" w:rsidRPr="005C29F8" w:rsidRDefault="002B7490" w:rsidP="002D145D">
      <w:pPr>
        <w:rPr>
          <w:rFonts w:cs="Arial"/>
          <w:color w:val="000000" w:themeColor="text1"/>
          <w:szCs w:val="16"/>
        </w:rPr>
      </w:pPr>
      <w:r w:rsidRPr="005C29F8">
        <w:rPr>
          <w:rFonts w:cs="Arial"/>
          <w:color w:val="000000" w:themeColor="text1"/>
          <w:szCs w:val="16"/>
        </w:rPr>
        <w:t xml:space="preserve">No changes to baselines are being proposed for FFY 2019. To set targets, the MSDE obtained stakeholder feedback through a survey sent to Special Education stakeholders, including Local Special Education Directors, Local Preschool Coordinators, and all members of the Special Education State Advisory Committee (SESAC). Survey results guided target setting and those targets are included with this APR submission. </w:t>
      </w:r>
      <w:r w:rsidRPr="005C29F8">
        <w:rPr>
          <w:rFonts w:cs="Arial"/>
          <w:color w:val="000000" w:themeColor="text1"/>
          <w:szCs w:val="16"/>
        </w:rPr>
        <w:br/>
      </w:r>
      <w:r w:rsidRPr="005C29F8">
        <w:rPr>
          <w:rFonts w:cs="Arial"/>
          <w:color w:val="000000" w:themeColor="text1"/>
          <w:szCs w:val="16"/>
        </w:rPr>
        <w:br/>
        <w:t>Throughout FFY 2019, the MSDE provided information and preliminary data on the Part B APR indicators and multiple opportunities for questions, 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preschool indicators). Those special APR presentations were made to the State Interagency Coordinating Council (SICC) on January 7, 2021 (for Part C and preschool indicators) and to the SESAC on January 28, 2021.</w:t>
      </w: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lastRenderedPageBreak/>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4,670</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797</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51</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1,196</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25</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NO</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9" w:name="_Hlk494379356"/>
      <w:r w:rsidRPr="005C29F8">
        <w:rPr>
          <w:rFonts w:cs="Arial"/>
          <w:color w:val="000000" w:themeColor="text1"/>
          <w:szCs w:val="16"/>
          <w:shd w:val="clear" w:color="auto" w:fill="FFFFFF"/>
        </w:rPr>
        <w:t>The MSDE, DEI/SES is using Option 2. The calculation is an annual event dropout rate that reflects the number of IEP dropouts from grades 9-12 divided by the number of IEP students in grades 9-12. The instructions for Option 2 state that Maryland is to "use the annual event school dropout rate for students leaving a school in a single year determined in accordance with the National Center for Education Statistic's Common Core of Data." These data are from SY 2018-2019 as the data for this indicator are "lagged" data. The State did not meet the target of 2.55% and these data show a decrease in the percentage of students dropping out compared to the previous year.</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Annual Dropout Rate is the percentage of students dropping out of school in grades 9 through 12 in a single year. The number and percentage of students who leave school for any reason, except death, before graduation or completion of a Maryland approved educational program and who are not known to enroll in another school or state-approved program during the current school year. The year is defined as July through June and includes students dropping out over the summer and students dropping out of evening high school and other alternative programs. Using the MSDE 2018-2019 school year Annual Dropout Rate data, the MSDE, DEI/SES reports an Annual Dropout Rate of 3.26%, (995/30,502 X 100). These data are from the Maryland Report Card, the official reporting source for Maryland Public Schools. The Maryland Report Card can be found at http://mdreportcard.org.</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0" w:name="_Toc392159265"/>
      <w:bookmarkEnd w:id="9"/>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995</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30,502</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3.98%</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2.55%</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3.26%</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The Annual Dropout Rate is the percentage of students dropping out of school in grades 9 through 12 in a single year. The number and percentage of students who leave school for any reason, except death, before graduation or completion of a Maryland approved educational program and who are not known to enroll in another school or state-approved program during the current school year. The year is defined as July through June and includes students dropping out over the summer and students dropping out of evening high school and other alternative programs. Using the MSDE 2018-2019 school year Annual Dropout Rate data, the MSDE, DEI/SES reports an Annual Dropout Rate of 3.26%, (995/30,502 X 100). These data are from the Maryland Report Card, the official reporting source for Maryland Public Schools. The Maryland Report Card can be found at http://mdreportcard.org.</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1" w:name="_Toc382082362"/>
      <w:bookmarkStart w:id="12" w:name="_Toc392159270"/>
      <w:bookmarkStart w:id="13" w:name="_Toc365403651"/>
      <w:bookmarkEnd w:id="10"/>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 xml:space="preserve">The collection and reporting of data for this indicator were not impacted by the COVID-19 pandemic.  </w:t>
      </w:r>
    </w:p>
    <w:p w14:paraId="6E187388" w14:textId="724EF642" w:rsidR="000A2C83" w:rsidRPr="0033429D" w:rsidRDefault="00F914B4" w:rsidP="008645AD">
      <w:pPr>
        <w:pStyle w:val="Heading2"/>
      </w:pPr>
      <w:r w:rsidRPr="0033429D">
        <w:lastRenderedPageBreak/>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1"/>
      <w:bookmarkEnd w:id="12"/>
    </w:p>
    <w:p w14:paraId="66C662B8" w14:textId="77777777" w:rsidR="007C3C89" w:rsidRPr="005C29F8" w:rsidRDefault="007C3C89" w:rsidP="00A018D4">
      <w:pPr>
        <w:rPr>
          <w:color w:val="000000" w:themeColor="text1"/>
          <w:szCs w:val="20"/>
        </w:rPr>
      </w:pPr>
      <w:bookmarkStart w:id="14"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4"/>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100.00%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97.84%</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98.01%</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97.97%</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97.73%</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98.74%</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100.00%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97.82%</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97.92%</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98.51%</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96.84%</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98.56%</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97.00%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97.00%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2C104549" w14:textId="03A0AB0D" w:rsidR="002D145D" w:rsidRPr="005C29F8" w:rsidRDefault="002B7490" w:rsidP="002D145D">
      <w:pPr>
        <w:rPr>
          <w:rFonts w:cs="Arial"/>
          <w:color w:val="000000" w:themeColor="text1"/>
          <w:szCs w:val="16"/>
        </w:rPr>
      </w:pPr>
      <w:r w:rsidRPr="005C29F8">
        <w:rPr>
          <w:rFonts w:cs="Arial"/>
          <w:color w:val="000000" w:themeColor="text1"/>
          <w:szCs w:val="16"/>
        </w:rPr>
        <w:t xml:space="preserve">No changes to baselines are being proposed for FFY 2019. To set targets, the MSDE obtained stakeholder feedback through a survey sent to Special Education stakeholders, including Local Special Education Directors, Local Preschool Coordinators, and all members of the Special Education State Advisory Committee (SESAC). Survey results guided target setting and proposed targets are included with this APR submission. </w:t>
      </w:r>
      <w:r w:rsidRPr="005C29F8">
        <w:rPr>
          <w:rFonts w:cs="Arial"/>
          <w:color w:val="000000" w:themeColor="text1"/>
          <w:szCs w:val="16"/>
        </w:rPr>
        <w:br/>
      </w:r>
      <w:r w:rsidRPr="005C29F8">
        <w:rPr>
          <w:rFonts w:cs="Arial"/>
          <w:color w:val="000000" w:themeColor="text1"/>
          <w:szCs w:val="16"/>
        </w:rPr>
        <w:br/>
        <w:t>Throughout FFY 2019, the MSDE provided information and preliminary data on the Part B APR indicators and multiple opportunities for questions, 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preschool indicators). Those special APR presentations were made to the State Interagency Coordinating Council (SICC) on January 7, 2021 (for Part C and preschool indicators) and to the SESAC on January 28, 2021.</w:t>
      </w:r>
    </w:p>
    <w:p w14:paraId="2446B7C2" w14:textId="77777777" w:rsidR="00F20369" w:rsidRPr="005C29F8" w:rsidRDefault="00F20369" w:rsidP="004369B2">
      <w:pPr>
        <w:rPr>
          <w:color w:val="000000" w:themeColor="text1"/>
        </w:rPr>
      </w:pPr>
      <w:bookmarkStart w:id="15"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lastRenderedPageBreak/>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5"/>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98.74%</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97.00%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98.56%</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97.00%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lastRenderedPageBreak/>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 xml:space="preserve">The Maryland Report Card at http://reportcard.msde.maryland.gov/ reports performance data by State, county, and school. Further desegregation of assessment data, including data specific to alternate assessments, can be found at https://reportcard.msde.maryland.gov/Graphs/#/DataDownloads/datadownload/3/17/6/99/XXXX. Finally, assessment data for students with disabilities with accommodations can be found at http://www.marylandpublicschools.org/programs/Pages/Special-Education/AssessmentData.aspx. </w:t>
      </w:r>
      <w:r w:rsidRPr="005C29F8">
        <w:rPr>
          <w:rFonts w:cs="Arial"/>
          <w:color w:val="000000" w:themeColor="text1"/>
          <w:szCs w:val="16"/>
        </w:rPr>
        <w:br/>
      </w:r>
      <w:r w:rsidRPr="005C29F8">
        <w:rPr>
          <w:rFonts w:cs="Arial"/>
          <w:color w:val="000000" w:themeColor="text1"/>
          <w:szCs w:val="16"/>
        </w:rPr>
        <w:br/>
        <w:t>The MSDE implements necessary limits on the data reported on both websites in accordance with FERPA guidelines. The changes to the websites were designed to maximize the information provided to the public while also protecting the privacy of small identifiable groups of students.</w:t>
      </w:r>
    </w:p>
    <w:p w14:paraId="2BE473B4" w14:textId="77777777" w:rsidR="00053391" w:rsidRPr="005C29F8" w:rsidRDefault="00053391" w:rsidP="004369B2">
      <w:pPr>
        <w:rPr>
          <w:b/>
          <w:color w:val="000000" w:themeColor="text1"/>
        </w:rPr>
      </w:pPr>
      <w:bookmarkStart w:id="16" w:name="_Toc382082367"/>
      <w:bookmarkStart w:id="17"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 xml:space="preserve">On March 27, 2020, the State received from the Assistant Secretary for Elementary and Secondary Education, U.S. Department of Education, a letter approving Maryland’s request for a waiver of assessment and accountability requirements. Through the waiver, Maryland was not required to administer its statewide assessments to all students in the 2019-2020 school year. </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6"/>
      <w:bookmarkEnd w:id="17"/>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8" w:name="_Toc384383330"/>
      <w:bookmarkStart w:id="19" w:name="_Toc392159282"/>
      <w:bookmarkStart w:id="20"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r w:rsidR="005C29F8" w:rsidRPr="005C29F8" w14:paraId="2E3B9467" w14:textId="77777777" w:rsidTr="0033429D">
        <w:trPr>
          <w:trHeight w:val="361"/>
        </w:trPr>
        <w:tc>
          <w:tcPr>
            <w:tcW w:w="271" w:type="pct"/>
            <w:shd w:val="clear" w:color="auto" w:fill="auto"/>
            <w:vAlign w:val="center"/>
          </w:tcPr>
          <w:p w14:paraId="3B93C39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vAlign w:val="center"/>
          </w:tcPr>
          <w:p w14:paraId="2EC394AF" w14:textId="71B01FD9"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vAlign w:val="center"/>
          </w:tcPr>
          <w:p w14:paraId="202BB7B9" w14:textId="27CB8FA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33E5E2" w14:textId="51B3BAF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06F95A" w14:textId="58B764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98BAE6" w14:textId="11D48D2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646F527" w14:textId="701E536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B37ACB7" w14:textId="2A5635E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1E9B042" w14:textId="5FB2902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D1BD4A1" w14:textId="50C138C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FB8F9AF" w14:textId="18D04C2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4F7635" w14:textId="2F2D916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769B9C" w14:textId="24BF864E" w:rsidR="00421D14" w:rsidRPr="005C29F8" w:rsidRDefault="00421D14" w:rsidP="007D7A20">
            <w:pPr>
              <w:pStyle w:val="Default"/>
              <w:jc w:val="center"/>
              <w:rPr>
                <w:b/>
                <w:color w:val="000000" w:themeColor="text1"/>
                <w:sz w:val="16"/>
                <w:szCs w:val="16"/>
              </w:rPr>
            </w:pPr>
          </w:p>
        </w:tc>
      </w:tr>
      <w:tr w:rsidR="005C29F8" w:rsidRPr="005C29F8" w14:paraId="62BDD11C" w14:textId="77777777" w:rsidTr="0033429D">
        <w:trPr>
          <w:trHeight w:val="361"/>
        </w:trPr>
        <w:tc>
          <w:tcPr>
            <w:tcW w:w="271" w:type="pct"/>
            <w:shd w:val="clear" w:color="auto" w:fill="auto"/>
            <w:vAlign w:val="center"/>
          </w:tcPr>
          <w:p w14:paraId="3EB8F00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vAlign w:val="center"/>
          </w:tcPr>
          <w:p w14:paraId="57DD6116" w14:textId="6E60B73B"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vAlign w:val="center"/>
          </w:tcPr>
          <w:p w14:paraId="62E25E55" w14:textId="4AC100A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149DED0" w14:textId="755BA7A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9F595AD" w14:textId="7E0DBB4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D7BC598" w14:textId="20013D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0583774" w14:textId="50522E2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35431CF" w14:textId="36245A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07B5C8" w14:textId="438059C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2D57C91" w14:textId="0FE76EE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18A863" w14:textId="73C9687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40099AF" w14:textId="297510E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149F80" w14:textId="77464486" w:rsidR="00421D14" w:rsidRPr="005C29F8" w:rsidRDefault="00421D14" w:rsidP="007D7A20">
            <w:pPr>
              <w:pStyle w:val="Default"/>
              <w:jc w:val="center"/>
              <w:rPr>
                <w:b/>
                <w:color w:val="000000" w:themeColor="text1"/>
                <w:sz w:val="16"/>
                <w:szCs w:val="16"/>
              </w:rPr>
            </w:pPr>
          </w:p>
        </w:tc>
      </w:tr>
      <w:tr w:rsidR="005C29F8" w:rsidRPr="005C29F8" w14:paraId="3F92557B" w14:textId="77777777" w:rsidTr="0033429D">
        <w:trPr>
          <w:trHeight w:val="361"/>
        </w:trPr>
        <w:tc>
          <w:tcPr>
            <w:tcW w:w="271" w:type="pct"/>
            <w:shd w:val="clear" w:color="auto" w:fill="auto"/>
            <w:vAlign w:val="center"/>
          </w:tcPr>
          <w:p w14:paraId="270C0D8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vAlign w:val="center"/>
          </w:tcPr>
          <w:p w14:paraId="14705654" w14:textId="10947C68"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vAlign w:val="center"/>
          </w:tcPr>
          <w:p w14:paraId="34AC9D46" w14:textId="517F5DB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1A4837" w14:textId="3401ED0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4515240" w14:textId="0D8CCC0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CD4D25" w14:textId="69B0E7F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1573DC" w14:textId="67162D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0A9C96" w14:textId="41AACA5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925DBEB" w14:textId="120B2E9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C728D67" w14:textId="6BDD845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1A789C0" w14:textId="1746D3F2"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5C62B8" w14:textId="3FAA003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43E9C4" w14:textId="0F276294" w:rsidR="00421D14" w:rsidRPr="005C29F8" w:rsidRDefault="00421D14" w:rsidP="007D7A20">
            <w:pPr>
              <w:pStyle w:val="Default"/>
              <w:jc w:val="center"/>
              <w:rPr>
                <w:b/>
                <w:color w:val="000000" w:themeColor="text1"/>
                <w:sz w:val="16"/>
                <w:szCs w:val="16"/>
              </w:rPr>
            </w:pPr>
          </w:p>
        </w:tc>
      </w:tr>
      <w:tr w:rsidR="005C29F8" w:rsidRPr="005C29F8" w14:paraId="0A12E47B" w14:textId="77777777" w:rsidTr="0033429D">
        <w:trPr>
          <w:trHeight w:val="361"/>
        </w:trPr>
        <w:tc>
          <w:tcPr>
            <w:tcW w:w="271" w:type="pct"/>
            <w:shd w:val="clear" w:color="auto" w:fill="auto"/>
            <w:vAlign w:val="center"/>
          </w:tcPr>
          <w:p w14:paraId="6BE626B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vAlign w:val="center"/>
          </w:tcPr>
          <w:p w14:paraId="77697022" w14:textId="0789B10D" w:rsidR="00421D14" w:rsidRPr="005C29F8" w:rsidRDefault="00421D14" w:rsidP="007D7A20">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vAlign w:val="center"/>
          </w:tcPr>
          <w:p w14:paraId="22FFC735" w14:textId="3D4F832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98A03A9" w14:textId="45416A4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BB4834" w14:textId="248589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CDDC9E" w14:textId="530CCB2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1955830" w14:textId="2D629E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9650B85" w14:textId="3DFA762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77D53D" w14:textId="2F5C54C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3C82E3" w14:textId="539F656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7636BB" w14:textId="5A742A6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21E4580" w14:textId="607F7C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E5D27B9" w14:textId="591C2CF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15.34%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16.60%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18.60%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21.33%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23.39%</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15.34%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15.34%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11.18%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12.04%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11.23%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11.74%</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14.37%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19.10%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21.10%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23.83%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25.89%</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14.37%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14.37%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9.90%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9.98%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11.36%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10.20%</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11.87%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21.60%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23.60%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26.33%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28.39%</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11.87%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11.87%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9.15%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8.81%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8.68%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9.53%</w:t>
            </w:r>
          </w:p>
        </w:tc>
      </w:tr>
      <w:tr w:rsidR="005C29F8" w:rsidRPr="005C29F8" w14:paraId="044FD95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C5180C0"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DC5340B" w14:textId="2675213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16A7239" w14:textId="3CF845F6" w:rsidR="007262AD" w:rsidRPr="005C29F8" w:rsidRDefault="007262AD"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BACC1A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8E38C7" w14:textId="62179DD5" w:rsidR="00A447E0" w:rsidRPr="005C29F8" w:rsidRDefault="00A447E0" w:rsidP="00A018D4">
            <w:pPr>
              <w:jc w:val="center"/>
              <w:rPr>
                <w:rFonts w:cs="Arial"/>
                <w:color w:val="000000" w:themeColor="text1"/>
                <w:szCs w:val="16"/>
              </w:rPr>
            </w:pPr>
            <w:r w:rsidRPr="005C29F8">
              <w:rPr>
                <w:rFonts w:cs="Arial"/>
                <w:color w:val="000000" w:themeColor="text1"/>
                <w:szCs w:val="16"/>
              </w:rPr>
              <w:t>11.40%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24EF99" w14:textId="3A70D952" w:rsidR="00A447E0" w:rsidRPr="005C29F8" w:rsidRDefault="00A447E0" w:rsidP="00A018D4">
            <w:pPr>
              <w:jc w:val="center"/>
              <w:rPr>
                <w:rFonts w:cs="Arial"/>
                <w:color w:val="000000" w:themeColor="text1"/>
                <w:szCs w:val="16"/>
              </w:rPr>
            </w:pPr>
            <w:r w:rsidRPr="005C29F8">
              <w:rPr>
                <w:rFonts w:cs="Arial"/>
                <w:color w:val="000000" w:themeColor="text1"/>
                <w:szCs w:val="16"/>
              </w:rPr>
              <w:t>24.10%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808C175" w14:textId="4795D22E" w:rsidR="00A447E0" w:rsidRPr="005C29F8" w:rsidRDefault="00A447E0" w:rsidP="00A018D4">
            <w:pPr>
              <w:jc w:val="center"/>
              <w:rPr>
                <w:rFonts w:cs="Arial"/>
                <w:color w:val="000000" w:themeColor="text1"/>
                <w:szCs w:val="16"/>
              </w:rPr>
            </w:pPr>
            <w:r w:rsidRPr="005C29F8">
              <w:rPr>
                <w:rFonts w:cs="Arial"/>
                <w:color w:val="000000" w:themeColor="text1"/>
                <w:szCs w:val="16"/>
              </w:rPr>
              <w:t>26.10%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F28F88" w14:textId="5C28722C" w:rsidR="00A447E0" w:rsidRPr="005C29F8" w:rsidRDefault="00A447E0" w:rsidP="00A018D4">
            <w:pPr>
              <w:jc w:val="center"/>
              <w:rPr>
                <w:rFonts w:cs="Arial"/>
                <w:color w:val="000000" w:themeColor="text1"/>
                <w:szCs w:val="16"/>
              </w:rPr>
            </w:pPr>
            <w:r w:rsidRPr="005C29F8">
              <w:rPr>
                <w:rFonts w:cs="Arial"/>
                <w:color w:val="000000" w:themeColor="text1"/>
                <w:szCs w:val="16"/>
              </w:rPr>
              <w:t>28.83%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E7908B4" w14:textId="1BCB29DC" w:rsidR="00A447E0" w:rsidRPr="005C29F8" w:rsidRDefault="00A447E0" w:rsidP="00A018D4">
            <w:pPr>
              <w:jc w:val="center"/>
              <w:rPr>
                <w:rFonts w:cs="Arial"/>
                <w:color w:val="000000" w:themeColor="text1"/>
                <w:szCs w:val="16"/>
              </w:rPr>
            </w:pPr>
            <w:r w:rsidRPr="005C29F8">
              <w:rPr>
                <w:rFonts w:cs="Arial"/>
                <w:color w:val="000000" w:themeColor="text1"/>
                <w:szCs w:val="16"/>
              </w:rPr>
              <w:t>30.89%</w:t>
            </w:r>
          </w:p>
        </w:tc>
      </w:tr>
      <w:tr w:rsidR="005C29F8" w:rsidRPr="005C29F8" w14:paraId="5A95A7F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522432" w14:textId="7DBD6EE4"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43451E" w14:textId="67542A2B" w:rsidR="004427EB" w:rsidRPr="005C29F8" w:rsidRDefault="004427EB"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7BF5727" w14:textId="5538B993" w:rsidR="004427EB" w:rsidRPr="005C29F8" w:rsidRDefault="007262AD" w:rsidP="00A018D4">
            <w:pPr>
              <w:jc w:val="center"/>
              <w:rPr>
                <w:rFonts w:cs="Arial"/>
                <w:color w:val="000000" w:themeColor="text1"/>
                <w:szCs w:val="16"/>
              </w:rPr>
            </w:pPr>
            <w:r w:rsidRPr="005C29F8">
              <w:rPr>
                <w:rFonts w:cs="Arial"/>
                <w:color w:val="000000" w:themeColor="text1"/>
                <w:szCs w:val="16"/>
              </w:rPr>
              <w:t>11.40%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7F6968"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FB8662" w14:textId="29C36062" w:rsidR="004427EB" w:rsidRPr="005C29F8" w:rsidRDefault="004427EB" w:rsidP="00A018D4">
            <w:pPr>
              <w:jc w:val="center"/>
              <w:rPr>
                <w:rFonts w:cs="Arial"/>
                <w:color w:val="000000" w:themeColor="text1"/>
                <w:szCs w:val="16"/>
              </w:rPr>
            </w:pPr>
            <w:r w:rsidRPr="005C29F8">
              <w:rPr>
                <w:rFonts w:cs="Arial"/>
                <w:color w:val="000000" w:themeColor="text1"/>
                <w:szCs w:val="16"/>
              </w:rPr>
              <w:t>11.40%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5F4202" w14:textId="2F3FCDD1" w:rsidR="004427EB" w:rsidRPr="005C29F8" w:rsidRDefault="004427EB" w:rsidP="00A018D4">
            <w:pPr>
              <w:jc w:val="center"/>
              <w:rPr>
                <w:rFonts w:cs="Arial"/>
                <w:color w:val="000000" w:themeColor="text1"/>
                <w:szCs w:val="16"/>
              </w:rPr>
            </w:pPr>
            <w:r w:rsidRPr="005C29F8">
              <w:rPr>
                <w:rFonts w:cs="Arial"/>
                <w:color w:val="000000" w:themeColor="text1"/>
                <w:szCs w:val="16"/>
              </w:rPr>
              <w:t>6.39%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974097D" w14:textId="2AF273F4" w:rsidR="004427EB" w:rsidRPr="005C29F8" w:rsidRDefault="004427EB" w:rsidP="00A018D4">
            <w:pPr>
              <w:jc w:val="center"/>
              <w:rPr>
                <w:rFonts w:cs="Arial"/>
                <w:color w:val="000000" w:themeColor="text1"/>
                <w:szCs w:val="16"/>
              </w:rPr>
            </w:pPr>
            <w:r w:rsidRPr="005C29F8">
              <w:rPr>
                <w:rFonts w:cs="Arial"/>
                <w:color w:val="000000" w:themeColor="text1"/>
                <w:szCs w:val="16"/>
              </w:rPr>
              <w:t>7.14%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39CD42E" w14:textId="50D6899F" w:rsidR="004427EB" w:rsidRPr="005C29F8" w:rsidRDefault="004427EB" w:rsidP="00A018D4">
            <w:pPr>
              <w:jc w:val="center"/>
              <w:rPr>
                <w:rFonts w:cs="Arial"/>
                <w:color w:val="000000" w:themeColor="text1"/>
                <w:szCs w:val="16"/>
              </w:rPr>
            </w:pPr>
            <w:r w:rsidRPr="005C29F8">
              <w:rPr>
                <w:rFonts w:cs="Arial"/>
                <w:color w:val="000000" w:themeColor="text1"/>
                <w:szCs w:val="16"/>
              </w:rPr>
              <w:t>9.50%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84C566" w14:textId="7C004C83" w:rsidR="004427EB" w:rsidRPr="005C29F8" w:rsidRDefault="004427EB" w:rsidP="00A018D4">
            <w:pPr>
              <w:jc w:val="center"/>
              <w:rPr>
                <w:rFonts w:cs="Arial"/>
                <w:color w:val="000000" w:themeColor="text1"/>
                <w:szCs w:val="16"/>
              </w:rPr>
            </w:pPr>
            <w:r w:rsidRPr="005C29F8">
              <w:rPr>
                <w:rFonts w:cs="Arial"/>
                <w:color w:val="000000" w:themeColor="text1"/>
                <w:szCs w:val="16"/>
              </w:rPr>
              <w:t>8.75%</w:t>
            </w:r>
          </w:p>
        </w:tc>
      </w:tr>
      <w:tr w:rsidR="005C29F8" w:rsidRPr="005C29F8" w14:paraId="47E02AC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A5A1E6D"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2E4E1810" w14:textId="12DF4D8D"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4FDD6D6" w14:textId="3A6F4961" w:rsidR="008F4E37" w:rsidRPr="005C29F8" w:rsidRDefault="008F4E37"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78BFD"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321DE3" w14:textId="6822278F" w:rsidR="00A447E0" w:rsidRPr="005C29F8" w:rsidRDefault="00A447E0" w:rsidP="00A018D4">
            <w:pPr>
              <w:jc w:val="center"/>
              <w:rPr>
                <w:rFonts w:cs="Arial"/>
                <w:color w:val="000000" w:themeColor="text1"/>
                <w:szCs w:val="16"/>
              </w:rPr>
            </w:pPr>
            <w:r w:rsidRPr="005C29F8">
              <w:rPr>
                <w:rFonts w:cs="Arial"/>
                <w:color w:val="000000" w:themeColor="text1"/>
                <w:szCs w:val="16"/>
              </w:rPr>
              <w:t>13.40%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6B1510D" w14:textId="24F4854F" w:rsidR="00A447E0" w:rsidRPr="005C29F8" w:rsidRDefault="00A447E0" w:rsidP="00A018D4">
            <w:pPr>
              <w:jc w:val="center"/>
              <w:rPr>
                <w:rFonts w:cs="Arial"/>
                <w:color w:val="000000" w:themeColor="text1"/>
                <w:szCs w:val="16"/>
              </w:rPr>
            </w:pPr>
            <w:r w:rsidRPr="005C29F8">
              <w:rPr>
                <w:rFonts w:cs="Arial"/>
                <w:color w:val="000000" w:themeColor="text1"/>
                <w:szCs w:val="16"/>
              </w:rPr>
              <w:t>26.60%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7F336A" w14:textId="5EB812B9" w:rsidR="00A447E0" w:rsidRPr="005C29F8" w:rsidRDefault="00A447E0" w:rsidP="00A018D4">
            <w:pPr>
              <w:jc w:val="center"/>
              <w:rPr>
                <w:rFonts w:cs="Arial"/>
                <w:color w:val="000000" w:themeColor="text1"/>
                <w:szCs w:val="16"/>
              </w:rPr>
            </w:pPr>
            <w:r w:rsidRPr="005C29F8">
              <w:rPr>
                <w:rFonts w:cs="Arial"/>
                <w:color w:val="000000" w:themeColor="text1"/>
                <w:szCs w:val="16"/>
              </w:rPr>
              <w:t>28.60%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E46596" w14:textId="33E65F12" w:rsidR="00A447E0" w:rsidRPr="005C29F8" w:rsidRDefault="00A447E0" w:rsidP="00A018D4">
            <w:pPr>
              <w:jc w:val="center"/>
              <w:rPr>
                <w:rFonts w:cs="Arial"/>
                <w:color w:val="000000" w:themeColor="text1"/>
                <w:szCs w:val="16"/>
              </w:rPr>
            </w:pPr>
            <w:r w:rsidRPr="005C29F8">
              <w:rPr>
                <w:rFonts w:cs="Arial"/>
                <w:color w:val="000000" w:themeColor="text1"/>
                <w:szCs w:val="16"/>
              </w:rPr>
              <w:t>31.33%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A1A23E7" w14:textId="725EFB7D" w:rsidR="00A447E0" w:rsidRPr="005C29F8" w:rsidRDefault="00A447E0" w:rsidP="00A018D4">
            <w:pPr>
              <w:jc w:val="center"/>
              <w:rPr>
                <w:rFonts w:cs="Arial"/>
                <w:color w:val="000000" w:themeColor="text1"/>
                <w:szCs w:val="16"/>
              </w:rPr>
            </w:pPr>
            <w:r w:rsidRPr="005C29F8">
              <w:rPr>
                <w:rFonts w:cs="Arial"/>
                <w:color w:val="000000" w:themeColor="text1"/>
                <w:szCs w:val="16"/>
              </w:rPr>
              <w:t>33.39%</w:t>
            </w:r>
          </w:p>
        </w:tc>
      </w:tr>
      <w:tr w:rsidR="005C29F8" w:rsidRPr="005C29F8" w14:paraId="7787312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DD64100" w14:textId="06A9D04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F8890FE" w14:textId="3BA8667F" w:rsidR="004427EB" w:rsidRPr="005C29F8" w:rsidRDefault="004427EB"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2F1AA4" w14:textId="46E0170C" w:rsidR="004427EB" w:rsidRPr="005C29F8" w:rsidRDefault="008F4E37" w:rsidP="00A018D4">
            <w:pPr>
              <w:jc w:val="center"/>
              <w:rPr>
                <w:rFonts w:cs="Arial"/>
                <w:color w:val="000000" w:themeColor="text1"/>
                <w:szCs w:val="16"/>
              </w:rPr>
            </w:pPr>
            <w:r w:rsidRPr="005C29F8">
              <w:rPr>
                <w:rFonts w:cs="Arial"/>
                <w:color w:val="000000" w:themeColor="text1"/>
                <w:szCs w:val="16"/>
              </w:rPr>
              <w:t>13.40%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1DF287"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EDDC91" w14:textId="58196B34" w:rsidR="004427EB" w:rsidRPr="005C29F8" w:rsidRDefault="004427EB" w:rsidP="00A018D4">
            <w:pPr>
              <w:jc w:val="center"/>
              <w:rPr>
                <w:rFonts w:cs="Arial"/>
                <w:color w:val="000000" w:themeColor="text1"/>
                <w:szCs w:val="16"/>
              </w:rPr>
            </w:pPr>
            <w:r w:rsidRPr="005C29F8">
              <w:rPr>
                <w:rFonts w:cs="Arial"/>
                <w:color w:val="000000" w:themeColor="text1"/>
                <w:szCs w:val="16"/>
              </w:rPr>
              <w:t>13.40%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337101" w14:textId="4883FCA1" w:rsidR="004427EB" w:rsidRPr="005C29F8" w:rsidRDefault="004427EB" w:rsidP="00A018D4">
            <w:pPr>
              <w:jc w:val="center"/>
              <w:rPr>
                <w:rFonts w:cs="Arial"/>
                <w:color w:val="000000" w:themeColor="text1"/>
                <w:szCs w:val="16"/>
              </w:rPr>
            </w:pPr>
            <w:r w:rsidRPr="005C29F8">
              <w:rPr>
                <w:rFonts w:cs="Arial"/>
                <w:color w:val="000000" w:themeColor="text1"/>
                <w:szCs w:val="16"/>
              </w:rPr>
              <w:t>8.19%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6831465" w14:textId="59A47270" w:rsidR="004427EB" w:rsidRPr="005C29F8" w:rsidRDefault="004427EB" w:rsidP="00A018D4">
            <w:pPr>
              <w:jc w:val="center"/>
              <w:rPr>
                <w:rFonts w:cs="Arial"/>
                <w:color w:val="000000" w:themeColor="text1"/>
                <w:szCs w:val="16"/>
              </w:rPr>
            </w:pPr>
            <w:r w:rsidRPr="005C29F8">
              <w:rPr>
                <w:rFonts w:cs="Arial"/>
                <w:color w:val="000000" w:themeColor="text1"/>
                <w:szCs w:val="16"/>
              </w:rPr>
              <w:t>9.40%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DB24925" w14:textId="327D911F" w:rsidR="004427EB" w:rsidRPr="005C29F8" w:rsidRDefault="004427EB" w:rsidP="00A018D4">
            <w:pPr>
              <w:jc w:val="center"/>
              <w:rPr>
                <w:rFonts w:cs="Arial"/>
                <w:color w:val="000000" w:themeColor="text1"/>
                <w:szCs w:val="16"/>
              </w:rPr>
            </w:pPr>
            <w:r w:rsidRPr="005C29F8">
              <w:rPr>
                <w:rFonts w:cs="Arial"/>
                <w:color w:val="000000" w:themeColor="text1"/>
                <w:szCs w:val="16"/>
              </w:rPr>
              <w:t>10.54%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BAD0435" w14:textId="10BE950F" w:rsidR="004427EB" w:rsidRPr="005C29F8" w:rsidRDefault="004427EB" w:rsidP="00A018D4">
            <w:pPr>
              <w:jc w:val="center"/>
              <w:rPr>
                <w:rFonts w:cs="Arial"/>
                <w:color w:val="000000" w:themeColor="text1"/>
                <w:szCs w:val="16"/>
              </w:rPr>
            </w:pPr>
            <w:r w:rsidRPr="005C29F8">
              <w:rPr>
                <w:rFonts w:cs="Arial"/>
                <w:color w:val="000000" w:themeColor="text1"/>
                <w:szCs w:val="16"/>
              </w:rPr>
              <w:t>11.29%</w:t>
            </w:r>
          </w:p>
        </w:tc>
      </w:tr>
      <w:tr w:rsidR="005C29F8" w:rsidRPr="005C29F8" w14:paraId="6A5C779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75A573"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lastRenderedPageBreak/>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58DF0D" w14:textId="2FA0B51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071F15C" w14:textId="45F83CB7" w:rsidR="001B5817" w:rsidRPr="005C29F8" w:rsidRDefault="001B5817"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E44FECE"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F0215E" w14:textId="6949FFE5" w:rsidR="00A447E0" w:rsidRPr="005C29F8" w:rsidRDefault="00A447E0" w:rsidP="00A018D4">
            <w:pPr>
              <w:jc w:val="center"/>
              <w:rPr>
                <w:rFonts w:cs="Arial"/>
                <w:color w:val="000000" w:themeColor="text1"/>
                <w:szCs w:val="16"/>
              </w:rPr>
            </w:pPr>
            <w:r w:rsidRPr="005C29F8">
              <w:rPr>
                <w:rFonts w:cs="Arial"/>
                <w:color w:val="000000" w:themeColor="text1"/>
                <w:szCs w:val="16"/>
              </w:rPr>
              <w:t>12.25%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3CE8CB" w14:textId="09679526" w:rsidR="00A447E0" w:rsidRPr="005C29F8" w:rsidRDefault="00A447E0" w:rsidP="00A018D4">
            <w:pPr>
              <w:jc w:val="center"/>
              <w:rPr>
                <w:rFonts w:cs="Arial"/>
                <w:color w:val="000000" w:themeColor="text1"/>
                <w:szCs w:val="16"/>
              </w:rPr>
            </w:pPr>
            <w:r w:rsidRPr="005C29F8">
              <w:rPr>
                <w:rFonts w:cs="Arial"/>
                <w:color w:val="000000" w:themeColor="text1"/>
                <w:szCs w:val="16"/>
              </w:rPr>
              <w:t>29.10%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5BB7ED3" w14:textId="34D6AA46" w:rsidR="00A447E0" w:rsidRPr="005C29F8" w:rsidRDefault="00A447E0" w:rsidP="00A018D4">
            <w:pPr>
              <w:jc w:val="center"/>
              <w:rPr>
                <w:rFonts w:cs="Arial"/>
                <w:color w:val="000000" w:themeColor="text1"/>
                <w:szCs w:val="16"/>
              </w:rPr>
            </w:pPr>
            <w:r w:rsidRPr="005C29F8">
              <w:rPr>
                <w:rFonts w:cs="Arial"/>
                <w:color w:val="000000" w:themeColor="text1"/>
                <w:szCs w:val="16"/>
              </w:rPr>
              <w:t>31.10%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4FD3EA4" w14:textId="36418C7B" w:rsidR="00A447E0" w:rsidRPr="005C29F8" w:rsidRDefault="00A447E0" w:rsidP="00A018D4">
            <w:pPr>
              <w:jc w:val="center"/>
              <w:rPr>
                <w:rFonts w:cs="Arial"/>
                <w:color w:val="000000" w:themeColor="text1"/>
                <w:szCs w:val="16"/>
              </w:rPr>
            </w:pPr>
            <w:r w:rsidRPr="005C29F8">
              <w:rPr>
                <w:rFonts w:cs="Arial"/>
                <w:color w:val="000000" w:themeColor="text1"/>
                <w:szCs w:val="16"/>
              </w:rPr>
              <w:t>33.83%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258F930" w14:textId="0D59EAD6" w:rsidR="00A447E0" w:rsidRPr="005C29F8" w:rsidRDefault="00A447E0" w:rsidP="00A018D4">
            <w:pPr>
              <w:jc w:val="center"/>
              <w:rPr>
                <w:rFonts w:cs="Arial"/>
                <w:color w:val="000000" w:themeColor="text1"/>
                <w:szCs w:val="16"/>
              </w:rPr>
            </w:pPr>
            <w:r w:rsidRPr="005C29F8">
              <w:rPr>
                <w:rFonts w:cs="Arial"/>
                <w:color w:val="000000" w:themeColor="text1"/>
                <w:szCs w:val="16"/>
              </w:rPr>
              <w:t>35.89%</w:t>
            </w:r>
          </w:p>
        </w:tc>
      </w:tr>
      <w:tr w:rsidR="005C29F8" w:rsidRPr="005C29F8" w14:paraId="778CBC54"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8648477" w14:textId="29D0FE6E"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33AB44E" w14:textId="51BD81E0" w:rsidR="004427EB" w:rsidRPr="005C29F8" w:rsidRDefault="004427EB"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E23DD8B" w14:textId="3F517D3A" w:rsidR="004427EB" w:rsidRPr="005C29F8" w:rsidRDefault="001B5817" w:rsidP="00A018D4">
            <w:pPr>
              <w:jc w:val="center"/>
              <w:rPr>
                <w:rFonts w:cs="Arial"/>
                <w:color w:val="000000" w:themeColor="text1"/>
                <w:szCs w:val="16"/>
              </w:rPr>
            </w:pPr>
            <w:r w:rsidRPr="005C29F8">
              <w:rPr>
                <w:rFonts w:cs="Arial"/>
                <w:color w:val="000000" w:themeColor="text1"/>
                <w:szCs w:val="16"/>
              </w:rPr>
              <w:t>12.25%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0F6E2B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64F37B" w14:textId="13813A8D" w:rsidR="004427EB" w:rsidRPr="005C29F8" w:rsidRDefault="004427EB" w:rsidP="00A018D4">
            <w:pPr>
              <w:jc w:val="center"/>
              <w:rPr>
                <w:rFonts w:cs="Arial"/>
                <w:color w:val="000000" w:themeColor="text1"/>
                <w:szCs w:val="16"/>
              </w:rPr>
            </w:pPr>
            <w:r w:rsidRPr="005C29F8">
              <w:rPr>
                <w:rFonts w:cs="Arial"/>
                <w:color w:val="000000" w:themeColor="text1"/>
                <w:szCs w:val="16"/>
              </w:rPr>
              <w:t>12.25%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DDD7D78" w14:textId="7DBE89D4" w:rsidR="004427EB" w:rsidRPr="005C29F8" w:rsidRDefault="004427EB" w:rsidP="00A018D4">
            <w:pPr>
              <w:jc w:val="center"/>
              <w:rPr>
                <w:rFonts w:cs="Arial"/>
                <w:color w:val="000000" w:themeColor="text1"/>
                <w:szCs w:val="16"/>
              </w:rPr>
            </w:pPr>
            <w:r w:rsidRPr="005C29F8">
              <w:rPr>
                <w:rFonts w:cs="Arial"/>
                <w:color w:val="000000" w:themeColor="text1"/>
                <w:szCs w:val="16"/>
              </w:rPr>
              <w:t>7.14%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5232406" w14:textId="3C94953F" w:rsidR="004427EB" w:rsidRPr="005C29F8" w:rsidRDefault="004427EB" w:rsidP="00A018D4">
            <w:pPr>
              <w:jc w:val="center"/>
              <w:rPr>
                <w:rFonts w:cs="Arial"/>
                <w:color w:val="000000" w:themeColor="text1"/>
                <w:szCs w:val="16"/>
              </w:rPr>
            </w:pPr>
            <w:r w:rsidRPr="005C29F8">
              <w:rPr>
                <w:rFonts w:cs="Arial"/>
                <w:color w:val="000000" w:themeColor="text1"/>
                <w:szCs w:val="16"/>
              </w:rPr>
              <w:t>7.20%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029B795" w14:textId="2DCAFD0C" w:rsidR="004427EB" w:rsidRPr="005C29F8" w:rsidRDefault="004427EB" w:rsidP="00A018D4">
            <w:pPr>
              <w:jc w:val="center"/>
              <w:rPr>
                <w:rFonts w:cs="Arial"/>
                <w:color w:val="000000" w:themeColor="text1"/>
                <w:szCs w:val="16"/>
              </w:rPr>
            </w:pPr>
            <w:r w:rsidRPr="005C29F8">
              <w:rPr>
                <w:rFonts w:cs="Arial"/>
                <w:color w:val="000000" w:themeColor="text1"/>
                <w:szCs w:val="16"/>
              </w:rPr>
              <w:t>8.31%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B74B691" w14:textId="2E09A229" w:rsidR="004427EB" w:rsidRPr="005C29F8" w:rsidRDefault="004427EB" w:rsidP="00A018D4">
            <w:pPr>
              <w:jc w:val="center"/>
              <w:rPr>
                <w:rFonts w:cs="Arial"/>
                <w:color w:val="000000" w:themeColor="text1"/>
                <w:szCs w:val="16"/>
              </w:rPr>
            </w:pPr>
            <w:r w:rsidRPr="005C29F8">
              <w:rPr>
                <w:rFonts w:cs="Arial"/>
                <w:color w:val="000000" w:themeColor="text1"/>
                <w:szCs w:val="16"/>
              </w:rPr>
              <w:t>9.59%</w:t>
            </w:r>
          </w:p>
        </w:tc>
      </w:tr>
      <w:tr w:rsidR="005C29F8" w:rsidRPr="005C29F8" w14:paraId="18630C4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21D2D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5A21A02" w14:textId="317E5E1F"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6CC9677" w14:textId="0049C4E3" w:rsidR="008A6DCA" w:rsidRPr="005C29F8" w:rsidRDefault="008A6DCA"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B547F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296CEEF" w14:textId="66839C84" w:rsidR="00A447E0" w:rsidRPr="005C29F8" w:rsidRDefault="00A447E0" w:rsidP="00A018D4">
            <w:pPr>
              <w:jc w:val="center"/>
              <w:rPr>
                <w:rFonts w:cs="Arial"/>
                <w:color w:val="000000" w:themeColor="text1"/>
                <w:szCs w:val="16"/>
              </w:rPr>
            </w:pPr>
            <w:r w:rsidRPr="005C29F8">
              <w:rPr>
                <w:rFonts w:cs="Arial"/>
                <w:color w:val="000000" w:themeColor="text1"/>
                <w:szCs w:val="16"/>
              </w:rPr>
              <w:t>50.50%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8D787F" w14:textId="5C475591" w:rsidR="00A447E0" w:rsidRPr="005C29F8" w:rsidRDefault="00A447E0" w:rsidP="00A018D4">
            <w:pPr>
              <w:jc w:val="center"/>
              <w:rPr>
                <w:rFonts w:cs="Arial"/>
                <w:color w:val="000000" w:themeColor="text1"/>
                <w:szCs w:val="16"/>
              </w:rPr>
            </w:pPr>
            <w:r w:rsidRPr="005C29F8">
              <w:rPr>
                <w:rFonts w:cs="Arial"/>
                <w:color w:val="000000" w:themeColor="text1"/>
                <w:szCs w:val="16"/>
              </w:rPr>
              <w:t>50.51%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547988" w14:textId="2575EC12" w:rsidR="00A447E0" w:rsidRPr="005C29F8" w:rsidRDefault="00A447E0" w:rsidP="00A018D4">
            <w:pPr>
              <w:jc w:val="center"/>
              <w:rPr>
                <w:rFonts w:cs="Arial"/>
                <w:color w:val="000000" w:themeColor="text1"/>
                <w:szCs w:val="16"/>
              </w:rPr>
            </w:pPr>
            <w:r w:rsidRPr="005C29F8">
              <w:rPr>
                <w:rFonts w:cs="Arial"/>
                <w:color w:val="000000" w:themeColor="text1"/>
                <w:szCs w:val="16"/>
              </w:rPr>
              <w:t>50.52%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C6FE45" w14:textId="476D702D" w:rsidR="00A447E0" w:rsidRPr="005C29F8" w:rsidRDefault="00A447E0" w:rsidP="00A018D4">
            <w:pPr>
              <w:jc w:val="center"/>
              <w:rPr>
                <w:rFonts w:cs="Arial"/>
                <w:color w:val="000000" w:themeColor="text1"/>
                <w:szCs w:val="16"/>
              </w:rPr>
            </w:pPr>
            <w:r w:rsidRPr="005C29F8">
              <w:rPr>
                <w:rFonts w:cs="Arial"/>
                <w:color w:val="000000" w:themeColor="text1"/>
                <w:szCs w:val="16"/>
              </w:rPr>
              <w:t>50.53%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81568D1" w14:textId="47FDC687" w:rsidR="00A447E0" w:rsidRPr="005C29F8" w:rsidRDefault="00A447E0" w:rsidP="00A018D4">
            <w:pPr>
              <w:jc w:val="center"/>
              <w:rPr>
                <w:rFonts w:cs="Arial"/>
                <w:color w:val="000000" w:themeColor="text1"/>
                <w:szCs w:val="16"/>
              </w:rPr>
            </w:pPr>
            <w:r w:rsidRPr="005C29F8">
              <w:rPr>
                <w:rFonts w:cs="Arial"/>
                <w:color w:val="000000" w:themeColor="text1"/>
                <w:szCs w:val="16"/>
              </w:rPr>
              <w:t>50.54%</w:t>
            </w:r>
          </w:p>
        </w:tc>
      </w:tr>
      <w:tr w:rsidR="005C29F8" w:rsidRPr="005C29F8" w14:paraId="34A5F2F1"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ADA6D96" w14:textId="60C6836F"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AAE804" w14:textId="3AAD29B8" w:rsidR="004427EB" w:rsidRPr="005C29F8" w:rsidRDefault="004427EB"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F9390BB" w14:textId="2912E7D2" w:rsidR="004427EB" w:rsidRPr="005C29F8" w:rsidRDefault="008A6DCA" w:rsidP="00A018D4">
            <w:pPr>
              <w:jc w:val="center"/>
              <w:rPr>
                <w:rFonts w:cs="Arial"/>
                <w:color w:val="000000" w:themeColor="text1"/>
                <w:szCs w:val="16"/>
              </w:rPr>
            </w:pPr>
            <w:r w:rsidRPr="005C29F8">
              <w:rPr>
                <w:rFonts w:cs="Arial"/>
                <w:color w:val="000000" w:themeColor="text1"/>
                <w:szCs w:val="16"/>
              </w:rPr>
              <w:t>50.50%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244761"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9D30804" w14:textId="793AB98C" w:rsidR="004427EB" w:rsidRPr="005C29F8" w:rsidRDefault="004427EB" w:rsidP="00A018D4">
            <w:pPr>
              <w:jc w:val="center"/>
              <w:rPr>
                <w:rFonts w:cs="Arial"/>
                <w:color w:val="000000" w:themeColor="text1"/>
                <w:szCs w:val="16"/>
              </w:rPr>
            </w:pPr>
            <w:r w:rsidRPr="005C29F8">
              <w:rPr>
                <w:rFonts w:cs="Arial"/>
                <w:color w:val="000000" w:themeColor="text1"/>
                <w:szCs w:val="16"/>
              </w:rPr>
              <w:t>50.50%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E748A2" w14:textId="12E3A15B" w:rsidR="004427EB" w:rsidRPr="005C29F8" w:rsidRDefault="004427EB" w:rsidP="00A018D4">
            <w:pPr>
              <w:jc w:val="center"/>
              <w:rPr>
                <w:rFonts w:cs="Arial"/>
                <w:color w:val="000000" w:themeColor="text1"/>
                <w:szCs w:val="16"/>
              </w:rPr>
            </w:pPr>
            <w:r w:rsidRPr="005C29F8">
              <w:rPr>
                <w:rFonts w:cs="Arial"/>
                <w:color w:val="000000" w:themeColor="text1"/>
                <w:szCs w:val="16"/>
              </w:rPr>
              <w:t>31.61%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DA5E1E" w14:textId="5E211F89" w:rsidR="004427EB" w:rsidRPr="005C29F8" w:rsidRDefault="004427EB" w:rsidP="00A018D4">
            <w:pPr>
              <w:jc w:val="center"/>
              <w:rPr>
                <w:rFonts w:cs="Arial"/>
                <w:color w:val="000000" w:themeColor="text1"/>
                <w:szCs w:val="16"/>
              </w:rPr>
            </w:pPr>
            <w:r w:rsidRPr="005C29F8">
              <w:rPr>
                <w:rFonts w:cs="Arial"/>
                <w:color w:val="000000" w:themeColor="text1"/>
                <w:szCs w:val="16"/>
              </w:rPr>
              <w:t>13.47%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2599B0F" w14:textId="68EA96B1" w:rsidR="004427EB" w:rsidRPr="005C29F8" w:rsidRDefault="004427EB" w:rsidP="00A018D4">
            <w:pPr>
              <w:jc w:val="center"/>
              <w:rPr>
                <w:rFonts w:cs="Arial"/>
                <w:color w:val="000000" w:themeColor="text1"/>
                <w:szCs w:val="16"/>
              </w:rPr>
            </w:pPr>
            <w:r w:rsidRPr="005C29F8">
              <w:rPr>
                <w:rFonts w:cs="Arial"/>
                <w:color w:val="000000" w:themeColor="text1"/>
                <w:szCs w:val="16"/>
              </w:rPr>
              <w:t>15.60%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9E7973" w14:textId="513F3B2E" w:rsidR="004427EB" w:rsidRPr="005C29F8" w:rsidRDefault="004427EB" w:rsidP="00A018D4">
            <w:pPr>
              <w:jc w:val="center"/>
              <w:rPr>
                <w:rFonts w:cs="Arial"/>
                <w:color w:val="000000" w:themeColor="text1"/>
                <w:szCs w:val="16"/>
              </w:rPr>
            </w:pPr>
            <w:r w:rsidRPr="005C29F8">
              <w:rPr>
                <w:rFonts w:cs="Arial"/>
                <w:color w:val="000000" w:themeColor="text1"/>
                <w:szCs w:val="16"/>
              </w:rPr>
              <w:t>20.57%</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16.11%</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16.20%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16.50%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18.58%</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20.71%</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16.11%</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16.11%</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15.35%</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16.47%</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14.97%</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14.50%</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12.26%</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14.40%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16.15%</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18.23%</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20.36%</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12.26%</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12.26%</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10.83%</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11.30%</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12.89%</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12.22%</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10.79%</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17.10%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18.85%</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20.93%</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23.06%</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10.79%</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10.79%</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10.18%</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9.87%</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10.68%</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10.42%</w:t>
            </w:r>
          </w:p>
        </w:tc>
      </w:tr>
      <w:tr w:rsidR="005C29F8" w:rsidRPr="005C29F8" w14:paraId="4FDF1875" w14:textId="77777777" w:rsidTr="00AB0D6A">
        <w:trPr>
          <w:trHeight w:val="152"/>
        </w:trPr>
        <w:tc>
          <w:tcPr>
            <w:tcW w:w="248" w:type="pct"/>
            <w:shd w:val="clear" w:color="auto" w:fill="auto"/>
            <w:vAlign w:val="center"/>
          </w:tcPr>
          <w:p w14:paraId="679B58F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707A86C0" w14:textId="2790586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E9283C1" w14:textId="6A388C83"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4526962C" w14:textId="1673769A"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745BE6FB" w14:textId="42460D92" w:rsidR="00911AA1" w:rsidRPr="005C29F8" w:rsidRDefault="00911AA1" w:rsidP="00A018D4">
            <w:pPr>
              <w:jc w:val="center"/>
              <w:rPr>
                <w:rFonts w:cs="Arial"/>
                <w:color w:val="000000" w:themeColor="text1"/>
                <w:szCs w:val="16"/>
              </w:rPr>
            </w:pPr>
            <w:r w:rsidRPr="005C29F8">
              <w:rPr>
                <w:rFonts w:cs="Arial"/>
                <w:color w:val="000000" w:themeColor="text1"/>
                <w:szCs w:val="16"/>
              </w:rPr>
              <w:t>11.17%</w:t>
            </w:r>
          </w:p>
        </w:tc>
        <w:tc>
          <w:tcPr>
            <w:tcW w:w="684" w:type="pct"/>
            <w:shd w:val="clear" w:color="auto" w:fill="auto"/>
            <w:vAlign w:val="bottom"/>
          </w:tcPr>
          <w:p w14:paraId="04B91297" w14:textId="0D8DE6F1" w:rsidR="00911AA1" w:rsidRPr="005C29F8" w:rsidRDefault="00911AA1" w:rsidP="00A018D4">
            <w:pPr>
              <w:jc w:val="center"/>
              <w:rPr>
                <w:rFonts w:cs="Arial"/>
                <w:color w:val="000000" w:themeColor="text1"/>
                <w:szCs w:val="16"/>
              </w:rPr>
            </w:pPr>
            <w:r w:rsidRPr="005C29F8">
              <w:rPr>
                <w:rFonts w:cs="Arial"/>
                <w:color w:val="000000" w:themeColor="text1"/>
                <w:szCs w:val="16"/>
              </w:rPr>
              <w:t>18.80%</w:t>
            </w:r>
          </w:p>
        </w:tc>
        <w:tc>
          <w:tcPr>
            <w:tcW w:w="684" w:type="pct"/>
            <w:shd w:val="clear" w:color="auto" w:fill="auto"/>
            <w:vAlign w:val="bottom"/>
          </w:tcPr>
          <w:p w14:paraId="4B0AD171" w14:textId="29F90BBC" w:rsidR="00911AA1" w:rsidRPr="005C29F8" w:rsidRDefault="00911AA1" w:rsidP="00A018D4">
            <w:pPr>
              <w:jc w:val="center"/>
              <w:rPr>
                <w:rFonts w:cs="Arial"/>
                <w:color w:val="000000" w:themeColor="text1"/>
                <w:szCs w:val="16"/>
              </w:rPr>
            </w:pPr>
            <w:r w:rsidRPr="005C29F8">
              <w:rPr>
                <w:rFonts w:cs="Arial"/>
                <w:color w:val="000000" w:themeColor="text1"/>
                <w:szCs w:val="16"/>
              </w:rPr>
              <w:t>20.55%</w:t>
            </w:r>
          </w:p>
        </w:tc>
        <w:tc>
          <w:tcPr>
            <w:tcW w:w="684" w:type="pct"/>
            <w:shd w:val="clear" w:color="auto" w:fill="auto"/>
            <w:vAlign w:val="bottom"/>
          </w:tcPr>
          <w:p w14:paraId="7911CACB" w14:textId="279ADF9D" w:rsidR="00911AA1" w:rsidRPr="005C29F8" w:rsidRDefault="00911AA1" w:rsidP="00A018D4">
            <w:pPr>
              <w:jc w:val="center"/>
              <w:rPr>
                <w:rFonts w:cs="Arial"/>
                <w:color w:val="000000" w:themeColor="text1"/>
                <w:szCs w:val="16"/>
              </w:rPr>
            </w:pPr>
            <w:r w:rsidRPr="005C29F8">
              <w:rPr>
                <w:rFonts w:cs="Arial"/>
                <w:color w:val="000000" w:themeColor="text1"/>
                <w:szCs w:val="16"/>
              </w:rPr>
              <w:t>22.63%</w:t>
            </w:r>
          </w:p>
        </w:tc>
        <w:tc>
          <w:tcPr>
            <w:tcW w:w="682" w:type="pct"/>
            <w:shd w:val="clear" w:color="auto" w:fill="auto"/>
            <w:vAlign w:val="bottom"/>
          </w:tcPr>
          <w:p w14:paraId="3A9DB96B" w14:textId="2F13ED06" w:rsidR="00911AA1" w:rsidRPr="005C29F8" w:rsidRDefault="003D7F56">
            <w:pPr>
              <w:jc w:val="center"/>
              <w:rPr>
                <w:color w:val="000000" w:themeColor="text1"/>
              </w:rPr>
            </w:pPr>
            <w:r w:rsidRPr="005C29F8">
              <w:rPr>
                <w:color w:val="000000" w:themeColor="text1"/>
              </w:rPr>
              <w:t>24.76%</w:t>
            </w:r>
          </w:p>
        </w:tc>
      </w:tr>
      <w:tr w:rsidR="005C29F8" w:rsidRPr="005C29F8" w14:paraId="214137DE" w14:textId="77777777" w:rsidTr="00AB0D6A">
        <w:trPr>
          <w:trHeight w:val="80"/>
        </w:trPr>
        <w:tc>
          <w:tcPr>
            <w:tcW w:w="248" w:type="pct"/>
            <w:shd w:val="clear" w:color="auto" w:fill="auto"/>
            <w:vAlign w:val="center"/>
          </w:tcPr>
          <w:p w14:paraId="4AE6EB0B" w14:textId="580C89E6"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17D3D3F9" w14:textId="74132E1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3F75E59" w14:textId="3264D70D" w:rsidR="00060ADC" w:rsidRPr="005C29F8" w:rsidRDefault="00DD2761">
            <w:pPr>
              <w:spacing w:before="0" w:after="0"/>
              <w:jc w:val="center"/>
              <w:rPr>
                <w:rFonts w:cs="Arial"/>
                <w:color w:val="000000" w:themeColor="text1"/>
                <w:szCs w:val="16"/>
              </w:rPr>
            </w:pPr>
            <w:r w:rsidRPr="005C29F8">
              <w:rPr>
                <w:rFonts w:cs="Arial"/>
                <w:color w:val="000000" w:themeColor="text1"/>
                <w:szCs w:val="16"/>
              </w:rPr>
              <w:t>11.17%</w:t>
            </w:r>
          </w:p>
        </w:tc>
        <w:tc>
          <w:tcPr>
            <w:tcW w:w="335" w:type="pct"/>
            <w:shd w:val="clear" w:color="auto" w:fill="auto"/>
            <w:vAlign w:val="center"/>
          </w:tcPr>
          <w:p w14:paraId="4E09ABAE" w14:textId="65D553A9"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640C042E" w14:textId="69CA039A" w:rsidR="00060ADC" w:rsidRPr="005C29F8" w:rsidRDefault="00060ADC" w:rsidP="00A018D4">
            <w:pPr>
              <w:jc w:val="center"/>
              <w:rPr>
                <w:rFonts w:cs="Arial"/>
                <w:color w:val="000000" w:themeColor="text1"/>
                <w:szCs w:val="16"/>
              </w:rPr>
            </w:pPr>
            <w:r w:rsidRPr="005C29F8">
              <w:rPr>
                <w:rFonts w:cs="Arial"/>
                <w:color w:val="000000" w:themeColor="text1"/>
                <w:szCs w:val="16"/>
              </w:rPr>
              <w:t>11.17%</w:t>
            </w:r>
          </w:p>
        </w:tc>
        <w:tc>
          <w:tcPr>
            <w:tcW w:w="684" w:type="pct"/>
            <w:tcBorders>
              <w:bottom w:val="single" w:sz="4" w:space="0" w:color="auto"/>
            </w:tcBorders>
            <w:shd w:val="clear" w:color="auto" w:fill="auto"/>
            <w:vAlign w:val="bottom"/>
          </w:tcPr>
          <w:p w14:paraId="3C094DF9" w14:textId="1044C636" w:rsidR="00060ADC" w:rsidRPr="005C29F8" w:rsidRDefault="00060ADC" w:rsidP="00A018D4">
            <w:pPr>
              <w:jc w:val="center"/>
              <w:rPr>
                <w:rFonts w:cs="Arial"/>
                <w:color w:val="000000" w:themeColor="text1"/>
                <w:szCs w:val="16"/>
              </w:rPr>
            </w:pPr>
            <w:r w:rsidRPr="005C29F8">
              <w:rPr>
                <w:rFonts w:cs="Arial"/>
                <w:color w:val="000000" w:themeColor="text1"/>
                <w:szCs w:val="16"/>
              </w:rPr>
              <w:t>7.64%</w:t>
            </w:r>
          </w:p>
        </w:tc>
        <w:tc>
          <w:tcPr>
            <w:tcW w:w="684" w:type="pct"/>
            <w:tcBorders>
              <w:bottom w:val="single" w:sz="4" w:space="0" w:color="auto"/>
            </w:tcBorders>
            <w:shd w:val="clear" w:color="auto" w:fill="auto"/>
            <w:vAlign w:val="bottom"/>
          </w:tcPr>
          <w:p w14:paraId="4C012D90" w14:textId="3433B82B" w:rsidR="00060ADC" w:rsidRPr="005C29F8" w:rsidRDefault="00060ADC" w:rsidP="00A018D4">
            <w:pPr>
              <w:jc w:val="center"/>
              <w:rPr>
                <w:rFonts w:cs="Arial"/>
                <w:color w:val="000000" w:themeColor="text1"/>
                <w:szCs w:val="16"/>
              </w:rPr>
            </w:pPr>
            <w:r w:rsidRPr="005C29F8">
              <w:rPr>
                <w:rFonts w:cs="Arial"/>
                <w:color w:val="000000" w:themeColor="text1"/>
                <w:szCs w:val="16"/>
              </w:rPr>
              <w:t>8.04%</w:t>
            </w:r>
          </w:p>
        </w:tc>
        <w:tc>
          <w:tcPr>
            <w:tcW w:w="684" w:type="pct"/>
            <w:tcBorders>
              <w:bottom w:val="single" w:sz="4" w:space="0" w:color="auto"/>
            </w:tcBorders>
            <w:shd w:val="clear" w:color="auto" w:fill="auto"/>
            <w:vAlign w:val="bottom"/>
          </w:tcPr>
          <w:p w14:paraId="643DBA90" w14:textId="6386CABB" w:rsidR="00060ADC" w:rsidRPr="005C29F8" w:rsidRDefault="00060ADC" w:rsidP="00A018D4">
            <w:pPr>
              <w:jc w:val="center"/>
              <w:rPr>
                <w:rFonts w:cs="Arial"/>
                <w:color w:val="000000" w:themeColor="text1"/>
                <w:szCs w:val="16"/>
              </w:rPr>
            </w:pPr>
            <w:r w:rsidRPr="005C29F8">
              <w:rPr>
                <w:rFonts w:cs="Arial"/>
                <w:color w:val="000000" w:themeColor="text1"/>
                <w:szCs w:val="16"/>
              </w:rPr>
              <w:t>8.84%</w:t>
            </w:r>
          </w:p>
        </w:tc>
        <w:tc>
          <w:tcPr>
            <w:tcW w:w="682" w:type="pct"/>
            <w:tcBorders>
              <w:bottom w:val="single" w:sz="4" w:space="0" w:color="auto"/>
            </w:tcBorders>
            <w:shd w:val="clear" w:color="auto" w:fill="auto"/>
            <w:vAlign w:val="bottom"/>
          </w:tcPr>
          <w:p w14:paraId="2F2B0A91" w14:textId="19550363" w:rsidR="00060ADC" w:rsidRPr="005C29F8" w:rsidRDefault="00060ADC" w:rsidP="00A018D4">
            <w:pPr>
              <w:jc w:val="center"/>
              <w:rPr>
                <w:rFonts w:cs="Arial"/>
                <w:color w:val="000000" w:themeColor="text1"/>
                <w:szCs w:val="16"/>
              </w:rPr>
            </w:pPr>
            <w:r w:rsidRPr="005C29F8">
              <w:rPr>
                <w:rFonts w:cs="Arial"/>
                <w:color w:val="000000" w:themeColor="text1"/>
                <w:szCs w:val="16"/>
              </w:rPr>
              <w:t>7.88%</w:t>
            </w:r>
          </w:p>
        </w:tc>
      </w:tr>
      <w:tr w:rsidR="005C29F8" w:rsidRPr="005C29F8" w14:paraId="047995CE" w14:textId="77777777" w:rsidTr="00AB0D6A">
        <w:trPr>
          <w:trHeight w:val="152"/>
        </w:trPr>
        <w:tc>
          <w:tcPr>
            <w:tcW w:w="248" w:type="pct"/>
            <w:shd w:val="clear" w:color="auto" w:fill="auto"/>
            <w:vAlign w:val="center"/>
          </w:tcPr>
          <w:p w14:paraId="2D41EF18"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29C4D193" w14:textId="7EA8D009"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781BD338" w14:textId="76683519" w:rsidR="00676950" w:rsidRPr="005C29F8" w:rsidRDefault="00676950">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18B7408D" w14:textId="16C9EB0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9340FD4" w14:textId="1C953704" w:rsidR="00911AA1" w:rsidRPr="005C29F8" w:rsidRDefault="00911AA1" w:rsidP="00A018D4">
            <w:pPr>
              <w:jc w:val="center"/>
              <w:rPr>
                <w:rFonts w:cs="Arial"/>
                <w:color w:val="000000" w:themeColor="text1"/>
                <w:szCs w:val="16"/>
              </w:rPr>
            </w:pPr>
            <w:r w:rsidRPr="005C29F8">
              <w:rPr>
                <w:rFonts w:cs="Arial"/>
                <w:color w:val="000000" w:themeColor="text1"/>
                <w:szCs w:val="16"/>
              </w:rPr>
              <w:t>12.29%</w:t>
            </w:r>
          </w:p>
        </w:tc>
        <w:tc>
          <w:tcPr>
            <w:tcW w:w="684" w:type="pct"/>
            <w:shd w:val="clear" w:color="auto" w:fill="auto"/>
            <w:vAlign w:val="bottom"/>
          </w:tcPr>
          <w:p w14:paraId="6D50111A" w14:textId="52750B82" w:rsidR="00911AA1" w:rsidRPr="005C29F8" w:rsidRDefault="00911AA1" w:rsidP="00A018D4">
            <w:pPr>
              <w:jc w:val="center"/>
              <w:rPr>
                <w:rFonts w:cs="Arial"/>
                <w:color w:val="000000" w:themeColor="text1"/>
                <w:szCs w:val="16"/>
              </w:rPr>
            </w:pPr>
            <w:r w:rsidRPr="005C29F8">
              <w:rPr>
                <w:rFonts w:cs="Arial"/>
                <w:color w:val="000000" w:themeColor="text1"/>
                <w:szCs w:val="16"/>
              </w:rPr>
              <w:t>20.50%</w:t>
            </w:r>
          </w:p>
        </w:tc>
        <w:tc>
          <w:tcPr>
            <w:tcW w:w="684" w:type="pct"/>
            <w:shd w:val="clear" w:color="auto" w:fill="auto"/>
            <w:vAlign w:val="bottom"/>
          </w:tcPr>
          <w:p w14:paraId="33AD1186" w14:textId="0F322D33" w:rsidR="00911AA1" w:rsidRPr="005C29F8" w:rsidRDefault="00911AA1" w:rsidP="00A018D4">
            <w:pPr>
              <w:jc w:val="center"/>
              <w:rPr>
                <w:rFonts w:cs="Arial"/>
                <w:color w:val="000000" w:themeColor="text1"/>
                <w:szCs w:val="16"/>
              </w:rPr>
            </w:pPr>
            <w:r w:rsidRPr="005C29F8">
              <w:rPr>
                <w:rFonts w:cs="Arial"/>
                <w:color w:val="000000" w:themeColor="text1"/>
                <w:szCs w:val="16"/>
              </w:rPr>
              <w:t>22.25%</w:t>
            </w:r>
          </w:p>
        </w:tc>
        <w:tc>
          <w:tcPr>
            <w:tcW w:w="684" w:type="pct"/>
            <w:shd w:val="clear" w:color="auto" w:fill="auto"/>
            <w:vAlign w:val="bottom"/>
          </w:tcPr>
          <w:p w14:paraId="11861DEB" w14:textId="0C273D74" w:rsidR="00911AA1" w:rsidRPr="005C29F8" w:rsidRDefault="00911AA1" w:rsidP="00A018D4">
            <w:pPr>
              <w:jc w:val="center"/>
              <w:rPr>
                <w:rFonts w:cs="Arial"/>
                <w:color w:val="000000" w:themeColor="text1"/>
                <w:szCs w:val="16"/>
              </w:rPr>
            </w:pPr>
            <w:r w:rsidRPr="005C29F8">
              <w:rPr>
                <w:rFonts w:cs="Arial"/>
                <w:color w:val="000000" w:themeColor="text1"/>
                <w:szCs w:val="16"/>
              </w:rPr>
              <w:t>24.33%</w:t>
            </w:r>
          </w:p>
        </w:tc>
        <w:tc>
          <w:tcPr>
            <w:tcW w:w="682" w:type="pct"/>
            <w:shd w:val="clear" w:color="auto" w:fill="auto"/>
            <w:vAlign w:val="bottom"/>
          </w:tcPr>
          <w:p w14:paraId="61368AD9" w14:textId="596033BD" w:rsidR="00911AA1" w:rsidRPr="005C29F8" w:rsidRDefault="00911AA1" w:rsidP="00A018D4">
            <w:pPr>
              <w:jc w:val="center"/>
              <w:rPr>
                <w:rFonts w:cs="Arial"/>
                <w:color w:val="000000" w:themeColor="text1"/>
                <w:szCs w:val="16"/>
              </w:rPr>
            </w:pPr>
            <w:r w:rsidRPr="005C29F8">
              <w:rPr>
                <w:rFonts w:cs="Arial"/>
                <w:color w:val="000000" w:themeColor="text1"/>
                <w:szCs w:val="16"/>
              </w:rPr>
              <w:t>26.46%</w:t>
            </w:r>
          </w:p>
        </w:tc>
      </w:tr>
      <w:tr w:rsidR="005C29F8" w:rsidRPr="005C29F8" w14:paraId="2C996BE2" w14:textId="77777777" w:rsidTr="00AB0D6A">
        <w:trPr>
          <w:trHeight w:val="80"/>
        </w:trPr>
        <w:tc>
          <w:tcPr>
            <w:tcW w:w="248" w:type="pct"/>
            <w:shd w:val="clear" w:color="auto" w:fill="auto"/>
            <w:vAlign w:val="center"/>
          </w:tcPr>
          <w:p w14:paraId="58A1F7E1" w14:textId="4942FC11"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58AF6647" w14:textId="29CD02CD"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6475CA92" w14:textId="3D30E733" w:rsidR="00060ADC" w:rsidRPr="005C29F8" w:rsidRDefault="00676950">
            <w:pPr>
              <w:spacing w:before="0" w:after="0"/>
              <w:jc w:val="center"/>
              <w:rPr>
                <w:rFonts w:cs="Arial"/>
                <w:color w:val="000000" w:themeColor="text1"/>
                <w:szCs w:val="16"/>
              </w:rPr>
            </w:pPr>
            <w:r w:rsidRPr="005C29F8">
              <w:rPr>
                <w:rFonts w:cs="Arial"/>
                <w:color w:val="000000" w:themeColor="text1"/>
                <w:szCs w:val="16"/>
              </w:rPr>
              <w:t>12.29%</w:t>
            </w:r>
          </w:p>
        </w:tc>
        <w:tc>
          <w:tcPr>
            <w:tcW w:w="335" w:type="pct"/>
            <w:shd w:val="clear" w:color="auto" w:fill="auto"/>
            <w:vAlign w:val="center"/>
          </w:tcPr>
          <w:p w14:paraId="631E3516" w14:textId="5E830C25"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8E77824" w14:textId="1CFBE39B" w:rsidR="00060ADC" w:rsidRPr="005C29F8" w:rsidRDefault="00060ADC" w:rsidP="00A018D4">
            <w:pPr>
              <w:jc w:val="center"/>
              <w:rPr>
                <w:rFonts w:cs="Arial"/>
                <w:color w:val="000000" w:themeColor="text1"/>
                <w:szCs w:val="16"/>
              </w:rPr>
            </w:pPr>
            <w:r w:rsidRPr="005C29F8">
              <w:rPr>
                <w:rFonts w:cs="Arial"/>
                <w:color w:val="000000" w:themeColor="text1"/>
                <w:szCs w:val="16"/>
              </w:rPr>
              <w:t>12.29%</w:t>
            </w:r>
          </w:p>
        </w:tc>
        <w:tc>
          <w:tcPr>
            <w:tcW w:w="684" w:type="pct"/>
            <w:tcBorders>
              <w:bottom w:val="single" w:sz="4" w:space="0" w:color="auto"/>
            </w:tcBorders>
            <w:shd w:val="clear" w:color="auto" w:fill="auto"/>
            <w:vAlign w:val="bottom"/>
          </w:tcPr>
          <w:p w14:paraId="02F8CD2E" w14:textId="4334DF47" w:rsidR="00060ADC" w:rsidRPr="005C29F8" w:rsidRDefault="00060ADC" w:rsidP="00A018D4">
            <w:pPr>
              <w:jc w:val="center"/>
              <w:rPr>
                <w:rFonts w:cs="Arial"/>
                <w:color w:val="000000" w:themeColor="text1"/>
                <w:szCs w:val="16"/>
              </w:rPr>
            </w:pPr>
            <w:r w:rsidRPr="005C29F8">
              <w:rPr>
                <w:rFonts w:cs="Arial"/>
                <w:color w:val="000000" w:themeColor="text1"/>
                <w:szCs w:val="16"/>
              </w:rPr>
              <w:t>7.96%</w:t>
            </w:r>
          </w:p>
        </w:tc>
        <w:tc>
          <w:tcPr>
            <w:tcW w:w="684" w:type="pct"/>
            <w:tcBorders>
              <w:bottom w:val="single" w:sz="4" w:space="0" w:color="auto"/>
            </w:tcBorders>
            <w:shd w:val="clear" w:color="auto" w:fill="auto"/>
            <w:vAlign w:val="bottom"/>
          </w:tcPr>
          <w:p w14:paraId="1DE417DC" w14:textId="6DC972E8" w:rsidR="00060ADC" w:rsidRPr="005C29F8" w:rsidRDefault="00060ADC" w:rsidP="00A018D4">
            <w:pPr>
              <w:jc w:val="center"/>
              <w:rPr>
                <w:rFonts w:cs="Arial"/>
                <w:color w:val="000000" w:themeColor="text1"/>
                <w:szCs w:val="16"/>
              </w:rPr>
            </w:pPr>
            <w:r w:rsidRPr="005C29F8">
              <w:rPr>
                <w:rFonts w:cs="Arial"/>
                <w:color w:val="000000" w:themeColor="text1"/>
                <w:szCs w:val="16"/>
              </w:rPr>
              <w:t>8.02%</w:t>
            </w:r>
          </w:p>
        </w:tc>
        <w:tc>
          <w:tcPr>
            <w:tcW w:w="684" w:type="pct"/>
            <w:tcBorders>
              <w:bottom w:val="single" w:sz="4" w:space="0" w:color="auto"/>
            </w:tcBorders>
            <w:shd w:val="clear" w:color="auto" w:fill="auto"/>
            <w:vAlign w:val="bottom"/>
          </w:tcPr>
          <w:p w14:paraId="5274049A" w14:textId="0B558322" w:rsidR="00060ADC" w:rsidRPr="005C29F8" w:rsidRDefault="00060ADC" w:rsidP="00A018D4">
            <w:pPr>
              <w:jc w:val="center"/>
              <w:rPr>
                <w:rFonts w:cs="Arial"/>
                <w:color w:val="000000" w:themeColor="text1"/>
                <w:szCs w:val="16"/>
              </w:rPr>
            </w:pPr>
            <w:r w:rsidRPr="005C29F8">
              <w:rPr>
                <w:rFonts w:cs="Arial"/>
                <w:color w:val="000000" w:themeColor="text1"/>
                <w:szCs w:val="16"/>
              </w:rPr>
              <w:t>9.15%</w:t>
            </w:r>
          </w:p>
        </w:tc>
        <w:tc>
          <w:tcPr>
            <w:tcW w:w="682" w:type="pct"/>
            <w:tcBorders>
              <w:bottom w:val="single" w:sz="4" w:space="0" w:color="auto"/>
            </w:tcBorders>
            <w:shd w:val="clear" w:color="auto" w:fill="auto"/>
            <w:vAlign w:val="bottom"/>
          </w:tcPr>
          <w:p w14:paraId="47E162D5" w14:textId="04BBCC2F" w:rsidR="00060ADC" w:rsidRPr="005C29F8" w:rsidRDefault="00060ADC" w:rsidP="00A018D4">
            <w:pPr>
              <w:jc w:val="center"/>
              <w:rPr>
                <w:rFonts w:cs="Arial"/>
                <w:color w:val="000000" w:themeColor="text1"/>
                <w:szCs w:val="16"/>
              </w:rPr>
            </w:pPr>
            <w:r w:rsidRPr="005C29F8">
              <w:rPr>
                <w:rFonts w:cs="Arial"/>
                <w:color w:val="000000" w:themeColor="text1"/>
                <w:szCs w:val="16"/>
              </w:rPr>
              <w:t>9.38%</w:t>
            </w:r>
          </w:p>
        </w:tc>
      </w:tr>
      <w:tr w:rsidR="005C29F8" w:rsidRPr="005C29F8" w14:paraId="5AA29A8D" w14:textId="77777777" w:rsidTr="00AB0D6A">
        <w:trPr>
          <w:trHeight w:val="152"/>
        </w:trPr>
        <w:tc>
          <w:tcPr>
            <w:tcW w:w="248" w:type="pct"/>
            <w:shd w:val="clear" w:color="auto" w:fill="auto"/>
            <w:vAlign w:val="center"/>
          </w:tcPr>
          <w:p w14:paraId="19BD55F5"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7ED05B83" w14:textId="1A53BE6F"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2CCEC0D9" w14:textId="0620B556" w:rsidR="00925B2E" w:rsidRPr="005C29F8" w:rsidRDefault="00925B2E">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04D08F5E" w14:textId="2FD94CB4"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018C9F6" w14:textId="16240722" w:rsidR="00911AA1" w:rsidRPr="005C29F8" w:rsidRDefault="00911AA1" w:rsidP="00A018D4">
            <w:pPr>
              <w:jc w:val="center"/>
              <w:rPr>
                <w:rFonts w:cs="Arial"/>
                <w:color w:val="000000" w:themeColor="text1"/>
                <w:szCs w:val="16"/>
              </w:rPr>
            </w:pPr>
            <w:r w:rsidRPr="005C29F8">
              <w:rPr>
                <w:rFonts w:cs="Arial"/>
                <w:color w:val="000000" w:themeColor="text1"/>
                <w:szCs w:val="16"/>
              </w:rPr>
              <w:t>11.51%</w:t>
            </w:r>
          </w:p>
        </w:tc>
        <w:tc>
          <w:tcPr>
            <w:tcW w:w="684" w:type="pct"/>
            <w:shd w:val="clear" w:color="auto" w:fill="auto"/>
            <w:vAlign w:val="bottom"/>
          </w:tcPr>
          <w:p w14:paraId="6208C0C6" w14:textId="710B8D32" w:rsidR="00911AA1" w:rsidRPr="005C29F8" w:rsidRDefault="00911AA1" w:rsidP="00A018D4">
            <w:pPr>
              <w:jc w:val="center"/>
              <w:rPr>
                <w:rFonts w:cs="Arial"/>
                <w:color w:val="000000" w:themeColor="text1"/>
                <w:szCs w:val="16"/>
              </w:rPr>
            </w:pPr>
            <w:r w:rsidRPr="005C29F8">
              <w:rPr>
                <w:rFonts w:cs="Arial"/>
                <w:color w:val="000000" w:themeColor="text1"/>
                <w:szCs w:val="16"/>
              </w:rPr>
              <w:t>22.20%</w:t>
            </w:r>
          </w:p>
        </w:tc>
        <w:tc>
          <w:tcPr>
            <w:tcW w:w="684" w:type="pct"/>
            <w:shd w:val="clear" w:color="auto" w:fill="auto"/>
            <w:vAlign w:val="bottom"/>
          </w:tcPr>
          <w:p w14:paraId="04D8670A" w14:textId="783A80C1" w:rsidR="00911AA1" w:rsidRPr="005C29F8" w:rsidRDefault="00911AA1" w:rsidP="00A018D4">
            <w:pPr>
              <w:jc w:val="center"/>
              <w:rPr>
                <w:rFonts w:cs="Arial"/>
                <w:color w:val="000000" w:themeColor="text1"/>
                <w:szCs w:val="16"/>
              </w:rPr>
            </w:pPr>
            <w:r w:rsidRPr="005C29F8">
              <w:rPr>
                <w:rFonts w:cs="Arial"/>
                <w:color w:val="000000" w:themeColor="text1"/>
                <w:szCs w:val="16"/>
              </w:rPr>
              <w:t>23.95%</w:t>
            </w:r>
          </w:p>
        </w:tc>
        <w:tc>
          <w:tcPr>
            <w:tcW w:w="684" w:type="pct"/>
            <w:shd w:val="clear" w:color="auto" w:fill="auto"/>
            <w:vAlign w:val="bottom"/>
          </w:tcPr>
          <w:p w14:paraId="7CF5AED0" w14:textId="666732CA" w:rsidR="00911AA1" w:rsidRPr="005C29F8" w:rsidRDefault="00911AA1" w:rsidP="00A018D4">
            <w:pPr>
              <w:jc w:val="center"/>
              <w:rPr>
                <w:rFonts w:cs="Arial"/>
                <w:color w:val="000000" w:themeColor="text1"/>
                <w:szCs w:val="16"/>
              </w:rPr>
            </w:pPr>
            <w:r w:rsidRPr="005C29F8">
              <w:rPr>
                <w:rFonts w:cs="Arial"/>
                <w:color w:val="000000" w:themeColor="text1"/>
                <w:szCs w:val="16"/>
              </w:rPr>
              <w:t>26.03%</w:t>
            </w:r>
          </w:p>
        </w:tc>
        <w:tc>
          <w:tcPr>
            <w:tcW w:w="682" w:type="pct"/>
            <w:shd w:val="clear" w:color="auto" w:fill="auto"/>
            <w:vAlign w:val="bottom"/>
          </w:tcPr>
          <w:p w14:paraId="78406D00" w14:textId="15FF2552" w:rsidR="00911AA1" w:rsidRPr="005C29F8" w:rsidRDefault="00911AA1" w:rsidP="00A018D4">
            <w:pPr>
              <w:jc w:val="center"/>
              <w:rPr>
                <w:rFonts w:cs="Arial"/>
                <w:color w:val="000000" w:themeColor="text1"/>
                <w:szCs w:val="16"/>
              </w:rPr>
            </w:pPr>
            <w:r w:rsidRPr="005C29F8">
              <w:rPr>
                <w:rFonts w:cs="Arial"/>
                <w:color w:val="000000" w:themeColor="text1"/>
                <w:szCs w:val="16"/>
              </w:rPr>
              <w:t>28.16%</w:t>
            </w:r>
          </w:p>
        </w:tc>
      </w:tr>
      <w:tr w:rsidR="005C29F8" w:rsidRPr="005C29F8" w14:paraId="6EADCFD8" w14:textId="77777777" w:rsidTr="00AB0D6A">
        <w:trPr>
          <w:trHeight w:val="80"/>
        </w:trPr>
        <w:tc>
          <w:tcPr>
            <w:tcW w:w="248" w:type="pct"/>
            <w:shd w:val="clear" w:color="auto" w:fill="auto"/>
            <w:vAlign w:val="center"/>
          </w:tcPr>
          <w:p w14:paraId="23A53D9A" w14:textId="62A83502"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1539142A" w14:textId="6A068C0E"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4823643C" w14:textId="4BDEEC4E" w:rsidR="00060ADC" w:rsidRPr="005C29F8" w:rsidRDefault="00925B2E">
            <w:pPr>
              <w:spacing w:before="0" w:after="0"/>
              <w:jc w:val="center"/>
              <w:rPr>
                <w:rFonts w:cs="Arial"/>
                <w:color w:val="000000" w:themeColor="text1"/>
                <w:szCs w:val="16"/>
              </w:rPr>
            </w:pPr>
            <w:r w:rsidRPr="005C29F8">
              <w:rPr>
                <w:rFonts w:cs="Arial"/>
                <w:color w:val="000000" w:themeColor="text1"/>
                <w:szCs w:val="16"/>
              </w:rPr>
              <w:t>11.51%</w:t>
            </w:r>
          </w:p>
        </w:tc>
        <w:tc>
          <w:tcPr>
            <w:tcW w:w="335" w:type="pct"/>
            <w:shd w:val="clear" w:color="auto" w:fill="auto"/>
            <w:vAlign w:val="center"/>
          </w:tcPr>
          <w:p w14:paraId="1D5C8C9B" w14:textId="12C91B27"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28AE729" w14:textId="1D5751EC" w:rsidR="00060ADC" w:rsidRPr="005C29F8" w:rsidRDefault="00060ADC" w:rsidP="00A018D4">
            <w:pPr>
              <w:jc w:val="center"/>
              <w:rPr>
                <w:rFonts w:cs="Arial"/>
                <w:color w:val="000000" w:themeColor="text1"/>
                <w:szCs w:val="16"/>
              </w:rPr>
            </w:pPr>
            <w:r w:rsidRPr="005C29F8">
              <w:rPr>
                <w:rFonts w:cs="Arial"/>
                <w:color w:val="000000" w:themeColor="text1"/>
                <w:szCs w:val="16"/>
              </w:rPr>
              <w:t>11.51%</w:t>
            </w:r>
          </w:p>
        </w:tc>
        <w:tc>
          <w:tcPr>
            <w:tcW w:w="684" w:type="pct"/>
            <w:tcBorders>
              <w:bottom w:val="single" w:sz="4" w:space="0" w:color="auto"/>
            </w:tcBorders>
            <w:shd w:val="clear" w:color="auto" w:fill="auto"/>
            <w:vAlign w:val="bottom"/>
          </w:tcPr>
          <w:p w14:paraId="25D2C2FF" w14:textId="55EC7C31" w:rsidR="00060ADC" w:rsidRPr="005C29F8" w:rsidRDefault="00060ADC" w:rsidP="00A018D4">
            <w:pPr>
              <w:jc w:val="center"/>
              <w:rPr>
                <w:rFonts w:cs="Arial"/>
                <w:color w:val="000000" w:themeColor="text1"/>
                <w:szCs w:val="16"/>
              </w:rPr>
            </w:pPr>
            <w:r w:rsidRPr="005C29F8">
              <w:rPr>
                <w:rFonts w:cs="Arial"/>
                <w:color w:val="000000" w:themeColor="text1"/>
                <w:szCs w:val="16"/>
              </w:rPr>
              <w:t>9.29%</w:t>
            </w:r>
          </w:p>
        </w:tc>
        <w:tc>
          <w:tcPr>
            <w:tcW w:w="684" w:type="pct"/>
            <w:tcBorders>
              <w:bottom w:val="single" w:sz="4" w:space="0" w:color="auto"/>
            </w:tcBorders>
            <w:shd w:val="clear" w:color="auto" w:fill="auto"/>
            <w:vAlign w:val="bottom"/>
          </w:tcPr>
          <w:p w14:paraId="218F85D6" w14:textId="0FED6E36" w:rsidR="00060ADC" w:rsidRPr="005C29F8" w:rsidRDefault="00060ADC" w:rsidP="00A018D4">
            <w:pPr>
              <w:jc w:val="center"/>
              <w:rPr>
                <w:rFonts w:cs="Arial"/>
                <w:color w:val="000000" w:themeColor="text1"/>
                <w:szCs w:val="16"/>
              </w:rPr>
            </w:pPr>
            <w:r w:rsidRPr="005C29F8">
              <w:rPr>
                <w:rFonts w:cs="Arial"/>
                <w:color w:val="000000" w:themeColor="text1"/>
                <w:szCs w:val="16"/>
              </w:rPr>
              <w:t>9.68%</w:t>
            </w:r>
          </w:p>
        </w:tc>
        <w:tc>
          <w:tcPr>
            <w:tcW w:w="684" w:type="pct"/>
            <w:tcBorders>
              <w:bottom w:val="single" w:sz="4" w:space="0" w:color="auto"/>
            </w:tcBorders>
            <w:shd w:val="clear" w:color="auto" w:fill="auto"/>
            <w:vAlign w:val="bottom"/>
          </w:tcPr>
          <w:p w14:paraId="1A0E1B04" w14:textId="0491B0F0" w:rsidR="00060ADC" w:rsidRPr="005C29F8" w:rsidRDefault="00060ADC" w:rsidP="00A018D4">
            <w:pPr>
              <w:jc w:val="center"/>
              <w:rPr>
                <w:rFonts w:cs="Arial"/>
                <w:color w:val="000000" w:themeColor="text1"/>
                <w:szCs w:val="16"/>
              </w:rPr>
            </w:pPr>
            <w:r w:rsidRPr="005C29F8">
              <w:rPr>
                <w:rFonts w:cs="Arial"/>
                <w:color w:val="000000" w:themeColor="text1"/>
                <w:szCs w:val="16"/>
              </w:rPr>
              <w:t>10.02%</w:t>
            </w:r>
          </w:p>
        </w:tc>
        <w:tc>
          <w:tcPr>
            <w:tcW w:w="682" w:type="pct"/>
            <w:tcBorders>
              <w:bottom w:val="single" w:sz="4" w:space="0" w:color="auto"/>
            </w:tcBorders>
            <w:shd w:val="clear" w:color="auto" w:fill="auto"/>
            <w:vAlign w:val="bottom"/>
          </w:tcPr>
          <w:p w14:paraId="2A2F2BBE" w14:textId="58101A50" w:rsidR="00060ADC" w:rsidRPr="005C29F8" w:rsidRDefault="00060ADC" w:rsidP="00A018D4">
            <w:pPr>
              <w:jc w:val="center"/>
              <w:rPr>
                <w:rFonts w:cs="Arial"/>
                <w:color w:val="000000" w:themeColor="text1"/>
                <w:szCs w:val="16"/>
              </w:rPr>
            </w:pPr>
            <w:r w:rsidRPr="005C29F8">
              <w:rPr>
                <w:rFonts w:cs="Arial"/>
                <w:color w:val="000000" w:themeColor="text1"/>
                <w:szCs w:val="16"/>
              </w:rPr>
              <w:t>10.02%</w:t>
            </w:r>
          </w:p>
        </w:tc>
      </w:tr>
      <w:tr w:rsidR="005C29F8" w:rsidRPr="005C29F8" w14:paraId="7197D032" w14:textId="77777777" w:rsidTr="00AB0D6A">
        <w:trPr>
          <w:trHeight w:val="152"/>
        </w:trPr>
        <w:tc>
          <w:tcPr>
            <w:tcW w:w="248" w:type="pct"/>
            <w:shd w:val="clear" w:color="auto" w:fill="auto"/>
            <w:vAlign w:val="center"/>
          </w:tcPr>
          <w:p w14:paraId="45DEA98B"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66E873E8" w14:textId="7EB376BA"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10D27B6F" w14:textId="19C9A464" w:rsidR="00630A49" w:rsidRPr="005C29F8" w:rsidRDefault="00630A49">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5BFAD208" w14:textId="67B448AC"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05860DC" w14:textId="489B3C3B" w:rsidR="00911AA1" w:rsidRPr="005C29F8" w:rsidRDefault="00911AA1" w:rsidP="00A018D4">
            <w:pPr>
              <w:jc w:val="center"/>
              <w:rPr>
                <w:rFonts w:cs="Arial"/>
                <w:color w:val="000000" w:themeColor="text1"/>
                <w:szCs w:val="16"/>
              </w:rPr>
            </w:pPr>
            <w:r w:rsidRPr="005C29F8">
              <w:rPr>
                <w:rFonts w:cs="Arial"/>
                <w:color w:val="000000" w:themeColor="text1"/>
                <w:szCs w:val="16"/>
              </w:rPr>
              <w:t>56.06%</w:t>
            </w:r>
          </w:p>
        </w:tc>
        <w:tc>
          <w:tcPr>
            <w:tcW w:w="684" w:type="pct"/>
            <w:shd w:val="clear" w:color="auto" w:fill="auto"/>
            <w:vAlign w:val="bottom"/>
          </w:tcPr>
          <w:p w14:paraId="1988BD9A" w14:textId="07C73839" w:rsidR="00911AA1" w:rsidRPr="005C29F8" w:rsidRDefault="00911AA1" w:rsidP="00A018D4">
            <w:pPr>
              <w:jc w:val="center"/>
              <w:rPr>
                <w:rFonts w:cs="Arial"/>
                <w:color w:val="000000" w:themeColor="text1"/>
                <w:szCs w:val="16"/>
              </w:rPr>
            </w:pPr>
            <w:r w:rsidRPr="005C29F8">
              <w:rPr>
                <w:rFonts w:cs="Arial"/>
                <w:color w:val="000000" w:themeColor="text1"/>
                <w:szCs w:val="16"/>
              </w:rPr>
              <w:t>56.07%</w:t>
            </w:r>
          </w:p>
        </w:tc>
        <w:tc>
          <w:tcPr>
            <w:tcW w:w="684" w:type="pct"/>
            <w:shd w:val="clear" w:color="auto" w:fill="auto"/>
            <w:vAlign w:val="bottom"/>
          </w:tcPr>
          <w:p w14:paraId="2DDE8314" w14:textId="2A11FAC0" w:rsidR="00911AA1" w:rsidRPr="005C29F8" w:rsidRDefault="00911AA1" w:rsidP="00A018D4">
            <w:pPr>
              <w:jc w:val="center"/>
              <w:rPr>
                <w:rFonts w:cs="Arial"/>
                <w:color w:val="000000" w:themeColor="text1"/>
                <w:szCs w:val="16"/>
              </w:rPr>
            </w:pPr>
            <w:r w:rsidRPr="005C29F8">
              <w:rPr>
                <w:rFonts w:cs="Arial"/>
                <w:color w:val="000000" w:themeColor="text1"/>
                <w:szCs w:val="16"/>
              </w:rPr>
              <w:t>56.08%</w:t>
            </w:r>
          </w:p>
        </w:tc>
        <w:tc>
          <w:tcPr>
            <w:tcW w:w="684" w:type="pct"/>
            <w:shd w:val="clear" w:color="auto" w:fill="auto"/>
            <w:vAlign w:val="bottom"/>
          </w:tcPr>
          <w:p w14:paraId="4C5770B4" w14:textId="06B9B471" w:rsidR="00911AA1" w:rsidRPr="005C29F8" w:rsidRDefault="00911AA1" w:rsidP="00A018D4">
            <w:pPr>
              <w:jc w:val="center"/>
              <w:rPr>
                <w:rFonts w:cs="Arial"/>
                <w:color w:val="000000" w:themeColor="text1"/>
                <w:szCs w:val="16"/>
              </w:rPr>
            </w:pPr>
            <w:r w:rsidRPr="005C29F8">
              <w:rPr>
                <w:rFonts w:cs="Arial"/>
                <w:color w:val="000000" w:themeColor="text1"/>
                <w:szCs w:val="16"/>
              </w:rPr>
              <w:t>56.09%</w:t>
            </w:r>
          </w:p>
        </w:tc>
        <w:tc>
          <w:tcPr>
            <w:tcW w:w="682" w:type="pct"/>
            <w:shd w:val="clear" w:color="auto" w:fill="auto"/>
            <w:vAlign w:val="bottom"/>
          </w:tcPr>
          <w:p w14:paraId="518B8C72" w14:textId="05D62BC2" w:rsidR="00911AA1" w:rsidRPr="005C29F8" w:rsidRDefault="00911AA1" w:rsidP="00A018D4">
            <w:pPr>
              <w:jc w:val="center"/>
              <w:rPr>
                <w:rFonts w:cs="Arial"/>
                <w:color w:val="000000" w:themeColor="text1"/>
                <w:szCs w:val="16"/>
              </w:rPr>
            </w:pPr>
            <w:r w:rsidRPr="005C29F8">
              <w:rPr>
                <w:rFonts w:cs="Arial"/>
                <w:color w:val="000000" w:themeColor="text1"/>
                <w:szCs w:val="16"/>
              </w:rPr>
              <w:t>56.10%</w:t>
            </w:r>
          </w:p>
        </w:tc>
      </w:tr>
      <w:tr w:rsidR="005C29F8" w:rsidRPr="005C29F8" w14:paraId="4FCE5DB2" w14:textId="77777777" w:rsidTr="00AB0D6A">
        <w:trPr>
          <w:trHeight w:val="80"/>
        </w:trPr>
        <w:tc>
          <w:tcPr>
            <w:tcW w:w="248" w:type="pct"/>
            <w:shd w:val="clear" w:color="auto" w:fill="auto"/>
            <w:vAlign w:val="center"/>
          </w:tcPr>
          <w:p w14:paraId="254E248E" w14:textId="60D9FA00"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41DD14E8" w14:textId="2558BA61" w:rsidR="00060ADC" w:rsidRPr="005C29F8" w:rsidRDefault="00060ADC">
            <w:pPr>
              <w:spacing w:before="0" w:after="0"/>
              <w:jc w:val="center"/>
              <w:rPr>
                <w:rFonts w:cs="Arial"/>
                <w:color w:val="000000" w:themeColor="text1"/>
                <w:szCs w:val="16"/>
              </w:rPr>
            </w:pPr>
            <w:r w:rsidRPr="005C29F8">
              <w:rPr>
                <w:rFonts w:cs="Arial"/>
                <w:color w:val="000000" w:themeColor="text1"/>
                <w:szCs w:val="16"/>
              </w:rPr>
              <w:t>HS</w:t>
            </w:r>
          </w:p>
        </w:tc>
        <w:tc>
          <w:tcPr>
            <w:tcW w:w="541" w:type="pct"/>
            <w:shd w:val="clear" w:color="auto" w:fill="auto"/>
          </w:tcPr>
          <w:p w14:paraId="2E3561A3" w14:textId="364AD4F5" w:rsidR="00060ADC" w:rsidRPr="005C29F8" w:rsidRDefault="00630A49">
            <w:pPr>
              <w:spacing w:before="0" w:after="0"/>
              <w:jc w:val="center"/>
              <w:rPr>
                <w:rFonts w:cs="Arial"/>
                <w:color w:val="000000" w:themeColor="text1"/>
                <w:szCs w:val="16"/>
              </w:rPr>
            </w:pPr>
            <w:r w:rsidRPr="005C29F8">
              <w:rPr>
                <w:rFonts w:cs="Arial"/>
                <w:color w:val="000000" w:themeColor="text1"/>
                <w:szCs w:val="16"/>
              </w:rPr>
              <w:t>56.06%</w:t>
            </w:r>
          </w:p>
        </w:tc>
        <w:tc>
          <w:tcPr>
            <w:tcW w:w="335" w:type="pct"/>
            <w:shd w:val="clear" w:color="auto" w:fill="auto"/>
            <w:vAlign w:val="center"/>
          </w:tcPr>
          <w:p w14:paraId="6FB86CB1" w14:textId="75D602C6"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12EA941" w14:textId="39A932F6" w:rsidR="00060ADC" w:rsidRPr="005C29F8" w:rsidRDefault="00060ADC" w:rsidP="00A018D4">
            <w:pPr>
              <w:jc w:val="center"/>
              <w:rPr>
                <w:rFonts w:cs="Arial"/>
                <w:color w:val="000000" w:themeColor="text1"/>
                <w:szCs w:val="16"/>
              </w:rPr>
            </w:pPr>
            <w:r w:rsidRPr="005C29F8">
              <w:rPr>
                <w:rFonts w:cs="Arial"/>
                <w:color w:val="000000" w:themeColor="text1"/>
                <w:szCs w:val="16"/>
              </w:rPr>
              <w:t>56.06%</w:t>
            </w:r>
          </w:p>
        </w:tc>
        <w:tc>
          <w:tcPr>
            <w:tcW w:w="684" w:type="pct"/>
            <w:tcBorders>
              <w:bottom w:val="single" w:sz="4" w:space="0" w:color="auto"/>
            </w:tcBorders>
            <w:shd w:val="clear" w:color="auto" w:fill="auto"/>
            <w:vAlign w:val="bottom"/>
          </w:tcPr>
          <w:p w14:paraId="461FEC45" w14:textId="4C4F7601" w:rsidR="00060ADC" w:rsidRPr="005C29F8" w:rsidRDefault="00060ADC" w:rsidP="00A018D4">
            <w:pPr>
              <w:jc w:val="center"/>
              <w:rPr>
                <w:rFonts w:cs="Arial"/>
                <w:color w:val="000000" w:themeColor="text1"/>
                <w:szCs w:val="16"/>
              </w:rPr>
            </w:pPr>
            <w:r w:rsidRPr="005C29F8">
              <w:rPr>
                <w:rFonts w:cs="Arial"/>
                <w:color w:val="000000" w:themeColor="text1"/>
                <w:szCs w:val="16"/>
              </w:rPr>
              <w:t>43.41%</w:t>
            </w:r>
          </w:p>
        </w:tc>
        <w:tc>
          <w:tcPr>
            <w:tcW w:w="684" w:type="pct"/>
            <w:tcBorders>
              <w:bottom w:val="single" w:sz="4" w:space="0" w:color="auto"/>
            </w:tcBorders>
            <w:shd w:val="clear" w:color="auto" w:fill="auto"/>
            <w:vAlign w:val="bottom"/>
          </w:tcPr>
          <w:p w14:paraId="51B7DBBF" w14:textId="347A163C" w:rsidR="00060ADC" w:rsidRPr="005C29F8" w:rsidRDefault="00060ADC" w:rsidP="00A018D4">
            <w:pPr>
              <w:jc w:val="center"/>
              <w:rPr>
                <w:rFonts w:cs="Arial"/>
                <w:color w:val="000000" w:themeColor="text1"/>
                <w:szCs w:val="16"/>
              </w:rPr>
            </w:pPr>
            <w:r w:rsidRPr="005C29F8">
              <w:rPr>
                <w:rFonts w:cs="Arial"/>
                <w:color w:val="000000" w:themeColor="text1"/>
                <w:szCs w:val="16"/>
              </w:rPr>
              <w:t>30.82%</w:t>
            </w:r>
          </w:p>
        </w:tc>
        <w:tc>
          <w:tcPr>
            <w:tcW w:w="684" w:type="pct"/>
            <w:tcBorders>
              <w:bottom w:val="single" w:sz="4" w:space="0" w:color="auto"/>
            </w:tcBorders>
            <w:shd w:val="clear" w:color="auto" w:fill="auto"/>
            <w:vAlign w:val="bottom"/>
          </w:tcPr>
          <w:p w14:paraId="15760F92" w14:textId="2FC5565C" w:rsidR="00060ADC" w:rsidRPr="005C29F8" w:rsidRDefault="00060ADC" w:rsidP="00A018D4">
            <w:pPr>
              <w:jc w:val="center"/>
              <w:rPr>
                <w:rFonts w:cs="Arial"/>
                <w:color w:val="000000" w:themeColor="text1"/>
                <w:szCs w:val="16"/>
              </w:rPr>
            </w:pPr>
            <w:r w:rsidRPr="005C29F8">
              <w:rPr>
                <w:rFonts w:cs="Arial"/>
                <w:color w:val="000000" w:themeColor="text1"/>
                <w:szCs w:val="16"/>
              </w:rPr>
              <w:t>11.90%</w:t>
            </w:r>
          </w:p>
        </w:tc>
        <w:tc>
          <w:tcPr>
            <w:tcW w:w="682" w:type="pct"/>
            <w:tcBorders>
              <w:bottom w:val="single" w:sz="4" w:space="0" w:color="auto"/>
            </w:tcBorders>
            <w:shd w:val="clear" w:color="auto" w:fill="auto"/>
            <w:vAlign w:val="bottom"/>
          </w:tcPr>
          <w:p w14:paraId="6D401E11" w14:textId="4325F1D1" w:rsidR="00060ADC" w:rsidRPr="005C29F8" w:rsidRDefault="00060ADC" w:rsidP="00A018D4">
            <w:pPr>
              <w:jc w:val="center"/>
              <w:rPr>
                <w:rFonts w:cs="Arial"/>
                <w:color w:val="000000" w:themeColor="text1"/>
                <w:szCs w:val="16"/>
              </w:rPr>
            </w:pPr>
            <w:r w:rsidRPr="005C29F8">
              <w:rPr>
                <w:rFonts w:cs="Arial"/>
                <w:color w:val="000000" w:themeColor="text1"/>
                <w:szCs w:val="16"/>
              </w:rPr>
              <w:t>16.36%</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25.45%</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27.95%</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30.45%</w:t>
            </w:r>
          </w:p>
        </w:tc>
      </w:tr>
      <w:tr w:rsidR="00085D89" w:rsidRPr="005C29F8" w14:paraId="0B4381CC" w14:textId="1F6CD926" w:rsidTr="00085D89">
        <w:tc>
          <w:tcPr>
            <w:tcW w:w="550" w:type="pct"/>
            <w:shd w:val="clear" w:color="auto" w:fill="auto"/>
          </w:tcPr>
          <w:p w14:paraId="11AE0990" w14:textId="606C77A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CB184EB" w14:textId="6A33A78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1F2039D" w14:textId="2F6721A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214520A3" w14:textId="0B06A38E" w:rsidR="00085D89" w:rsidRPr="005C29F8" w:rsidRDefault="00085D89" w:rsidP="00A018D4">
            <w:pPr>
              <w:jc w:val="center"/>
              <w:rPr>
                <w:rFonts w:cs="Arial"/>
                <w:color w:val="000000" w:themeColor="text1"/>
                <w:szCs w:val="16"/>
              </w:rPr>
            </w:pPr>
            <w:r w:rsidRPr="005C29F8">
              <w:rPr>
                <w:rFonts w:cs="Arial"/>
                <w:color w:val="000000" w:themeColor="text1"/>
                <w:szCs w:val="16"/>
              </w:rPr>
              <w:t>32.95%</w:t>
            </w:r>
          </w:p>
        </w:tc>
      </w:tr>
      <w:tr w:rsidR="00085D89" w:rsidRPr="005C29F8" w14:paraId="59AB3BDE" w14:textId="1B5B8EBC" w:rsidTr="00085D89">
        <w:tc>
          <w:tcPr>
            <w:tcW w:w="550" w:type="pct"/>
            <w:shd w:val="clear" w:color="auto" w:fill="auto"/>
          </w:tcPr>
          <w:p w14:paraId="37D732FF" w14:textId="3C380AC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5CC29D7" w14:textId="5AAE9120"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5903F60B" w14:textId="15AA401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146E08B5" w14:textId="29DB2345" w:rsidR="00085D89" w:rsidRPr="005C29F8" w:rsidRDefault="00085D89" w:rsidP="00A018D4">
            <w:pPr>
              <w:jc w:val="center"/>
              <w:rPr>
                <w:rFonts w:cs="Arial"/>
                <w:color w:val="000000" w:themeColor="text1"/>
                <w:szCs w:val="16"/>
              </w:rPr>
            </w:pPr>
            <w:r w:rsidRPr="005C29F8">
              <w:rPr>
                <w:rFonts w:cs="Arial"/>
                <w:color w:val="000000" w:themeColor="text1"/>
                <w:szCs w:val="16"/>
              </w:rPr>
              <w:t>35.45%</w:t>
            </w:r>
          </w:p>
        </w:tc>
      </w:tr>
      <w:tr w:rsidR="00085D89" w:rsidRPr="005C29F8" w14:paraId="6DCBC4E6" w14:textId="13176D97" w:rsidTr="00085D89">
        <w:tc>
          <w:tcPr>
            <w:tcW w:w="550" w:type="pct"/>
            <w:shd w:val="clear" w:color="auto" w:fill="auto"/>
          </w:tcPr>
          <w:p w14:paraId="1924AA7D" w14:textId="4D015EF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2EAD3409" w14:textId="76026378"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73E7EB2D" w14:textId="0F6AC2EC"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45B200B4" w14:textId="194D5C1E" w:rsidR="00085D89" w:rsidRPr="005C29F8" w:rsidRDefault="00085D89" w:rsidP="00A018D4">
            <w:pPr>
              <w:jc w:val="center"/>
              <w:rPr>
                <w:rFonts w:cs="Arial"/>
                <w:color w:val="000000" w:themeColor="text1"/>
                <w:szCs w:val="16"/>
              </w:rPr>
            </w:pPr>
            <w:r w:rsidRPr="005C29F8">
              <w:rPr>
                <w:rFonts w:cs="Arial"/>
                <w:color w:val="000000" w:themeColor="text1"/>
                <w:szCs w:val="16"/>
              </w:rPr>
              <w:t>37.95%</w:t>
            </w:r>
          </w:p>
        </w:tc>
      </w:tr>
      <w:tr w:rsidR="00085D89" w:rsidRPr="005C29F8" w14:paraId="391F6C85" w14:textId="52D9F551" w:rsidTr="00085D89">
        <w:tc>
          <w:tcPr>
            <w:tcW w:w="550" w:type="pct"/>
            <w:shd w:val="clear" w:color="auto" w:fill="auto"/>
          </w:tcPr>
          <w:p w14:paraId="3D4D9BCD" w14:textId="48A4DCD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55ECA3B" w14:textId="54AEF38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6A89450A" w14:textId="681DA709"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00813392" w14:textId="50943BAF" w:rsidR="00085D89" w:rsidRPr="005C29F8" w:rsidRDefault="00085D89" w:rsidP="00A018D4">
            <w:pPr>
              <w:jc w:val="center"/>
              <w:rPr>
                <w:rFonts w:cs="Arial"/>
                <w:color w:val="000000" w:themeColor="text1"/>
                <w:szCs w:val="16"/>
              </w:rPr>
            </w:pPr>
            <w:r w:rsidRPr="005C29F8">
              <w:rPr>
                <w:rFonts w:cs="Arial"/>
                <w:color w:val="000000" w:themeColor="text1"/>
                <w:szCs w:val="16"/>
              </w:rPr>
              <w:t>50.55%</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22.84%</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22.49%</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25.19%</w:t>
            </w:r>
          </w:p>
        </w:tc>
      </w:tr>
      <w:tr w:rsidR="00085D89" w:rsidRPr="005C29F8" w14:paraId="7ABA739F" w14:textId="1275CFB5" w:rsidTr="00085D89">
        <w:tc>
          <w:tcPr>
            <w:tcW w:w="550" w:type="pct"/>
            <w:shd w:val="clear" w:color="auto" w:fill="auto"/>
          </w:tcPr>
          <w:p w14:paraId="3049D83A" w14:textId="01C45029"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1BF8E757" w14:textId="111791A3"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5C304BE" w14:textId="22EF2592"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36CFA5E9" w14:textId="3A8DF5A0" w:rsidR="00085D89" w:rsidRPr="005C29F8" w:rsidRDefault="00085D89" w:rsidP="00A018D4">
            <w:pPr>
              <w:jc w:val="center"/>
              <w:rPr>
                <w:rFonts w:cs="Arial"/>
                <w:color w:val="000000" w:themeColor="text1"/>
                <w:szCs w:val="16"/>
              </w:rPr>
            </w:pPr>
            <w:r w:rsidRPr="005C29F8">
              <w:rPr>
                <w:rFonts w:cs="Arial"/>
                <w:color w:val="000000" w:themeColor="text1"/>
                <w:szCs w:val="16"/>
              </w:rPr>
              <w:t>26.89%</w:t>
            </w:r>
          </w:p>
        </w:tc>
      </w:tr>
      <w:tr w:rsidR="00085D89" w:rsidRPr="005C29F8" w14:paraId="2E673434" w14:textId="4A5A40CE" w:rsidTr="00085D89">
        <w:tc>
          <w:tcPr>
            <w:tcW w:w="550" w:type="pct"/>
            <w:shd w:val="clear" w:color="auto" w:fill="auto"/>
          </w:tcPr>
          <w:p w14:paraId="5DF28A07" w14:textId="6343E8B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CA624B5" w14:textId="503ADB67"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20F168B6" w14:textId="490AC57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4CDAF863" w14:textId="579EEBDD" w:rsidR="00085D89" w:rsidRPr="005C29F8" w:rsidRDefault="00085D89" w:rsidP="00A018D4">
            <w:pPr>
              <w:jc w:val="center"/>
              <w:rPr>
                <w:rFonts w:cs="Arial"/>
                <w:color w:val="000000" w:themeColor="text1"/>
                <w:szCs w:val="16"/>
              </w:rPr>
            </w:pPr>
            <w:r w:rsidRPr="005C29F8">
              <w:rPr>
                <w:rFonts w:cs="Arial"/>
                <w:color w:val="000000" w:themeColor="text1"/>
                <w:szCs w:val="16"/>
              </w:rPr>
              <w:t>28.59%</w:t>
            </w:r>
          </w:p>
        </w:tc>
      </w:tr>
      <w:tr w:rsidR="00085D89" w:rsidRPr="005C29F8" w14:paraId="1F891608" w14:textId="39B6F38C" w:rsidTr="00085D89">
        <w:tc>
          <w:tcPr>
            <w:tcW w:w="550" w:type="pct"/>
            <w:shd w:val="clear" w:color="auto" w:fill="auto"/>
          </w:tcPr>
          <w:p w14:paraId="484A7074" w14:textId="3F44B58A"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AC8E981" w14:textId="7CFFD94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1764B0B8" w14:textId="583C6CF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38B2F220" w14:textId="1D07F91F" w:rsidR="00085D89" w:rsidRPr="005C29F8" w:rsidRDefault="00085D89" w:rsidP="00A018D4">
            <w:pPr>
              <w:jc w:val="center"/>
              <w:rPr>
                <w:rFonts w:cs="Arial"/>
                <w:color w:val="000000" w:themeColor="text1"/>
                <w:szCs w:val="16"/>
              </w:rPr>
            </w:pPr>
            <w:r w:rsidRPr="005C29F8">
              <w:rPr>
                <w:rFonts w:cs="Arial"/>
                <w:color w:val="000000" w:themeColor="text1"/>
                <w:szCs w:val="16"/>
              </w:rPr>
              <w:t>30.29%</w:t>
            </w:r>
          </w:p>
        </w:tc>
      </w:tr>
      <w:tr w:rsidR="00085D89" w:rsidRPr="005C29F8" w14:paraId="0EB4F1EB" w14:textId="282F73A5" w:rsidTr="00085D89">
        <w:tc>
          <w:tcPr>
            <w:tcW w:w="550" w:type="pct"/>
            <w:shd w:val="clear" w:color="auto" w:fill="auto"/>
          </w:tcPr>
          <w:p w14:paraId="691EF670" w14:textId="49F54AE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E1161B" w14:textId="7E406BD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7B164BAD" w14:textId="1442910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4D19E778" w14:textId="1445BB27" w:rsidR="00085D89" w:rsidRPr="005C29F8" w:rsidRDefault="00085D89" w:rsidP="00A018D4">
            <w:pPr>
              <w:jc w:val="center"/>
              <w:rPr>
                <w:rFonts w:cs="Arial"/>
                <w:color w:val="000000" w:themeColor="text1"/>
                <w:szCs w:val="16"/>
              </w:rPr>
            </w:pPr>
            <w:r w:rsidRPr="005C29F8">
              <w:rPr>
                <w:rFonts w:cs="Arial"/>
                <w:color w:val="000000" w:themeColor="text1"/>
                <w:szCs w:val="16"/>
              </w:rPr>
              <w:t>56.11%</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2261CE05" w14:textId="31E113F2" w:rsidR="002D145D" w:rsidRPr="005C29F8" w:rsidRDefault="002B7490" w:rsidP="002D145D">
      <w:pPr>
        <w:rPr>
          <w:rFonts w:cs="Arial"/>
          <w:color w:val="000000" w:themeColor="text1"/>
          <w:szCs w:val="16"/>
        </w:rPr>
      </w:pPr>
      <w:r w:rsidRPr="005C29F8">
        <w:rPr>
          <w:rFonts w:cs="Arial"/>
          <w:color w:val="000000" w:themeColor="text1"/>
          <w:szCs w:val="16"/>
        </w:rPr>
        <w:t xml:space="preserve">No changes to baselines are being proposed for FFY 2019. To set targets, the MSDE obtained stakeholder feedback through a survey sent to Special Education stakeholders, including Local Special Education Directors, Local Preschool Coordinators, and all members of the Special Education State Advisory Committee (SESAC). Survey results guided target setting and proposed targets are included with this APR submission. </w:t>
      </w:r>
      <w:r w:rsidRPr="005C29F8">
        <w:rPr>
          <w:rFonts w:cs="Arial"/>
          <w:color w:val="000000" w:themeColor="text1"/>
          <w:szCs w:val="16"/>
        </w:rPr>
        <w:br/>
      </w:r>
      <w:r w:rsidRPr="005C29F8">
        <w:rPr>
          <w:rFonts w:cs="Arial"/>
          <w:color w:val="000000" w:themeColor="text1"/>
          <w:szCs w:val="16"/>
        </w:rPr>
        <w:br/>
        <w:t xml:space="preserve">Throughout FFY 2019, the MSDE provided information and preliminary data on the Part B APR indicators and multiple opportunities for questions, 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w:t>
      </w:r>
      <w:r w:rsidRPr="005C29F8">
        <w:rPr>
          <w:rFonts w:cs="Arial"/>
          <w:color w:val="000000" w:themeColor="text1"/>
          <w:szCs w:val="16"/>
        </w:rPr>
        <w:lastRenderedPageBreak/>
        <w:t>preschool indicators). Those special APR presentations were made to the State Interagency Coordinating Council (SICC) on January 7, 2021 (for Part C and preschool indicators) and to the SESAC on January 28, 2021.</w:t>
      </w: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11.74%</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25.45%</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10.20%</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27.95%</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9.53%</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30.45%</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BFCB49" w14:textId="77777777" w:rsidTr="000C3A20">
        <w:tc>
          <w:tcPr>
            <w:tcW w:w="222" w:type="pct"/>
            <w:shd w:val="clear" w:color="auto" w:fill="auto"/>
            <w:vAlign w:val="center"/>
          </w:tcPr>
          <w:p w14:paraId="0AFC507A"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9" w:type="pct"/>
            <w:shd w:val="clear" w:color="auto" w:fill="auto"/>
          </w:tcPr>
          <w:p w14:paraId="3571ACC0" w14:textId="7E02EAF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0CA8080E" w14:textId="1DB90279" w:rsidR="004E1F6F" w:rsidRPr="005C29F8" w:rsidRDefault="004E1F6F" w:rsidP="004E1F6F">
            <w:pPr>
              <w:jc w:val="center"/>
              <w:rPr>
                <w:rFonts w:cs="Arial"/>
                <w:color w:val="000000" w:themeColor="text1"/>
                <w:szCs w:val="16"/>
              </w:rPr>
            </w:pPr>
          </w:p>
        </w:tc>
        <w:tc>
          <w:tcPr>
            <w:tcW w:w="600" w:type="pct"/>
            <w:shd w:val="clear" w:color="auto" w:fill="auto"/>
          </w:tcPr>
          <w:p w14:paraId="2549A940" w14:textId="73F401EA" w:rsidR="004E1F6F" w:rsidRPr="005C29F8" w:rsidRDefault="004E1F6F" w:rsidP="004E1F6F">
            <w:pPr>
              <w:jc w:val="center"/>
              <w:rPr>
                <w:rFonts w:cs="Arial"/>
                <w:color w:val="000000" w:themeColor="text1"/>
                <w:szCs w:val="16"/>
              </w:rPr>
            </w:pPr>
          </w:p>
        </w:tc>
        <w:tc>
          <w:tcPr>
            <w:tcW w:w="550" w:type="pct"/>
            <w:shd w:val="clear" w:color="auto" w:fill="auto"/>
          </w:tcPr>
          <w:p w14:paraId="15EEBD84" w14:textId="74BE4F0B" w:rsidR="004E1F6F" w:rsidRPr="005C29F8" w:rsidRDefault="004E1F6F" w:rsidP="004E1F6F">
            <w:pPr>
              <w:jc w:val="center"/>
              <w:rPr>
                <w:rFonts w:cs="Arial"/>
                <w:color w:val="000000" w:themeColor="text1"/>
                <w:szCs w:val="16"/>
              </w:rPr>
            </w:pPr>
            <w:r w:rsidRPr="005C29F8">
              <w:rPr>
                <w:rFonts w:cs="Arial"/>
                <w:color w:val="000000" w:themeColor="text1"/>
                <w:szCs w:val="16"/>
              </w:rPr>
              <w:t>8.75%</w:t>
            </w:r>
          </w:p>
        </w:tc>
        <w:tc>
          <w:tcPr>
            <w:tcW w:w="766" w:type="pct"/>
            <w:shd w:val="clear" w:color="auto" w:fill="auto"/>
          </w:tcPr>
          <w:p w14:paraId="02E92C73" w14:textId="2E4BA0FF" w:rsidR="004E1F6F" w:rsidRPr="005C29F8" w:rsidRDefault="004E1F6F" w:rsidP="004E1F6F">
            <w:pPr>
              <w:jc w:val="center"/>
              <w:rPr>
                <w:rFonts w:cs="Arial"/>
                <w:color w:val="000000" w:themeColor="text1"/>
                <w:szCs w:val="16"/>
              </w:rPr>
            </w:pPr>
            <w:r w:rsidRPr="005C29F8">
              <w:rPr>
                <w:rFonts w:cs="Arial"/>
                <w:color w:val="000000" w:themeColor="text1"/>
                <w:szCs w:val="16"/>
              </w:rPr>
              <w:t>32.95%</w:t>
            </w:r>
          </w:p>
        </w:tc>
        <w:tc>
          <w:tcPr>
            <w:tcW w:w="507" w:type="pct"/>
            <w:shd w:val="clear" w:color="auto" w:fill="auto"/>
          </w:tcPr>
          <w:p w14:paraId="465AF3CB" w14:textId="7E512059" w:rsidR="004E1F6F" w:rsidRPr="005C29F8" w:rsidRDefault="004E1F6F" w:rsidP="004E1F6F">
            <w:pPr>
              <w:jc w:val="center"/>
              <w:rPr>
                <w:rFonts w:cs="Arial"/>
                <w:color w:val="000000" w:themeColor="text1"/>
                <w:szCs w:val="16"/>
              </w:rPr>
            </w:pPr>
          </w:p>
        </w:tc>
        <w:tc>
          <w:tcPr>
            <w:tcW w:w="611" w:type="pct"/>
            <w:shd w:val="clear" w:color="auto" w:fill="auto"/>
          </w:tcPr>
          <w:p w14:paraId="2A479F8C" w14:textId="5BD4A51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8C07E73" w14:textId="34291F0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CF7BB6F" w14:textId="77777777" w:rsidTr="000C3A20">
        <w:tc>
          <w:tcPr>
            <w:tcW w:w="222" w:type="pct"/>
            <w:shd w:val="clear" w:color="auto" w:fill="auto"/>
            <w:vAlign w:val="center"/>
          </w:tcPr>
          <w:p w14:paraId="77E66A43"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9" w:type="pct"/>
            <w:shd w:val="clear" w:color="auto" w:fill="auto"/>
          </w:tcPr>
          <w:p w14:paraId="20433A45" w14:textId="3139E19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5D8775C3" w14:textId="5DA092E1" w:rsidR="004E1F6F" w:rsidRPr="005C29F8" w:rsidRDefault="004E1F6F" w:rsidP="004E1F6F">
            <w:pPr>
              <w:jc w:val="center"/>
              <w:rPr>
                <w:rFonts w:cs="Arial"/>
                <w:color w:val="000000" w:themeColor="text1"/>
                <w:szCs w:val="16"/>
              </w:rPr>
            </w:pPr>
          </w:p>
        </w:tc>
        <w:tc>
          <w:tcPr>
            <w:tcW w:w="600" w:type="pct"/>
            <w:shd w:val="clear" w:color="auto" w:fill="auto"/>
          </w:tcPr>
          <w:p w14:paraId="30BDA98F" w14:textId="72FA6A89" w:rsidR="004E1F6F" w:rsidRPr="005C29F8" w:rsidRDefault="004E1F6F" w:rsidP="004E1F6F">
            <w:pPr>
              <w:jc w:val="center"/>
              <w:rPr>
                <w:rFonts w:cs="Arial"/>
                <w:color w:val="000000" w:themeColor="text1"/>
                <w:szCs w:val="16"/>
              </w:rPr>
            </w:pPr>
          </w:p>
        </w:tc>
        <w:tc>
          <w:tcPr>
            <w:tcW w:w="550" w:type="pct"/>
            <w:shd w:val="clear" w:color="auto" w:fill="auto"/>
          </w:tcPr>
          <w:p w14:paraId="771EA61E" w14:textId="3753C511" w:rsidR="004E1F6F" w:rsidRPr="005C29F8" w:rsidRDefault="004E1F6F" w:rsidP="004E1F6F">
            <w:pPr>
              <w:jc w:val="center"/>
              <w:rPr>
                <w:rFonts w:cs="Arial"/>
                <w:color w:val="000000" w:themeColor="text1"/>
                <w:szCs w:val="16"/>
              </w:rPr>
            </w:pPr>
            <w:r w:rsidRPr="005C29F8">
              <w:rPr>
                <w:rFonts w:cs="Arial"/>
                <w:color w:val="000000" w:themeColor="text1"/>
                <w:szCs w:val="16"/>
              </w:rPr>
              <w:t>11.29%</w:t>
            </w:r>
          </w:p>
        </w:tc>
        <w:tc>
          <w:tcPr>
            <w:tcW w:w="766" w:type="pct"/>
            <w:shd w:val="clear" w:color="auto" w:fill="auto"/>
          </w:tcPr>
          <w:p w14:paraId="6DD7BE90" w14:textId="52823C5C" w:rsidR="004E1F6F" w:rsidRPr="005C29F8" w:rsidRDefault="004E1F6F" w:rsidP="004E1F6F">
            <w:pPr>
              <w:jc w:val="center"/>
              <w:rPr>
                <w:rFonts w:cs="Arial"/>
                <w:color w:val="000000" w:themeColor="text1"/>
                <w:szCs w:val="16"/>
              </w:rPr>
            </w:pPr>
            <w:r w:rsidRPr="005C29F8">
              <w:rPr>
                <w:rFonts w:cs="Arial"/>
                <w:color w:val="000000" w:themeColor="text1"/>
                <w:szCs w:val="16"/>
              </w:rPr>
              <w:t>35.45%</w:t>
            </w:r>
          </w:p>
        </w:tc>
        <w:tc>
          <w:tcPr>
            <w:tcW w:w="507" w:type="pct"/>
            <w:shd w:val="clear" w:color="auto" w:fill="auto"/>
          </w:tcPr>
          <w:p w14:paraId="08B68949" w14:textId="13543967" w:rsidR="004E1F6F" w:rsidRPr="005C29F8" w:rsidRDefault="004E1F6F" w:rsidP="004E1F6F">
            <w:pPr>
              <w:jc w:val="center"/>
              <w:rPr>
                <w:rFonts w:cs="Arial"/>
                <w:color w:val="000000" w:themeColor="text1"/>
                <w:szCs w:val="16"/>
              </w:rPr>
            </w:pPr>
          </w:p>
        </w:tc>
        <w:tc>
          <w:tcPr>
            <w:tcW w:w="611" w:type="pct"/>
            <w:shd w:val="clear" w:color="auto" w:fill="auto"/>
          </w:tcPr>
          <w:p w14:paraId="5DBD6971" w14:textId="622C8613"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46830F88" w14:textId="3D651ED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C95651D" w14:textId="77777777" w:rsidTr="000C3A20">
        <w:tc>
          <w:tcPr>
            <w:tcW w:w="222" w:type="pct"/>
            <w:shd w:val="clear" w:color="auto" w:fill="auto"/>
            <w:vAlign w:val="center"/>
          </w:tcPr>
          <w:p w14:paraId="36DE61C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9" w:type="pct"/>
            <w:shd w:val="clear" w:color="auto" w:fill="auto"/>
          </w:tcPr>
          <w:p w14:paraId="340F812C" w14:textId="31C744B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0C5AAC19" w14:textId="742FA10B" w:rsidR="004E1F6F" w:rsidRPr="005C29F8" w:rsidRDefault="004E1F6F" w:rsidP="004E1F6F">
            <w:pPr>
              <w:jc w:val="center"/>
              <w:rPr>
                <w:rFonts w:cs="Arial"/>
                <w:color w:val="000000" w:themeColor="text1"/>
                <w:szCs w:val="16"/>
              </w:rPr>
            </w:pPr>
          </w:p>
        </w:tc>
        <w:tc>
          <w:tcPr>
            <w:tcW w:w="600" w:type="pct"/>
            <w:shd w:val="clear" w:color="auto" w:fill="auto"/>
          </w:tcPr>
          <w:p w14:paraId="0D88FE85" w14:textId="0BD605C8" w:rsidR="004E1F6F" w:rsidRPr="005C29F8" w:rsidRDefault="004E1F6F" w:rsidP="004E1F6F">
            <w:pPr>
              <w:jc w:val="center"/>
              <w:rPr>
                <w:rFonts w:cs="Arial"/>
                <w:color w:val="000000" w:themeColor="text1"/>
                <w:szCs w:val="16"/>
              </w:rPr>
            </w:pPr>
          </w:p>
        </w:tc>
        <w:tc>
          <w:tcPr>
            <w:tcW w:w="550" w:type="pct"/>
            <w:shd w:val="clear" w:color="auto" w:fill="auto"/>
          </w:tcPr>
          <w:p w14:paraId="5B98FA13" w14:textId="7D144537" w:rsidR="004E1F6F" w:rsidRPr="005C29F8" w:rsidRDefault="004E1F6F" w:rsidP="004E1F6F">
            <w:pPr>
              <w:jc w:val="center"/>
              <w:rPr>
                <w:rFonts w:cs="Arial"/>
                <w:color w:val="000000" w:themeColor="text1"/>
                <w:szCs w:val="16"/>
              </w:rPr>
            </w:pPr>
            <w:r w:rsidRPr="005C29F8">
              <w:rPr>
                <w:rFonts w:cs="Arial"/>
                <w:color w:val="000000" w:themeColor="text1"/>
                <w:szCs w:val="16"/>
              </w:rPr>
              <w:t>9.59%</w:t>
            </w:r>
          </w:p>
        </w:tc>
        <w:tc>
          <w:tcPr>
            <w:tcW w:w="766" w:type="pct"/>
            <w:shd w:val="clear" w:color="auto" w:fill="auto"/>
          </w:tcPr>
          <w:p w14:paraId="16BE88DE" w14:textId="491E9D12" w:rsidR="004E1F6F" w:rsidRPr="005C29F8" w:rsidRDefault="004E1F6F" w:rsidP="004E1F6F">
            <w:pPr>
              <w:jc w:val="center"/>
              <w:rPr>
                <w:rFonts w:cs="Arial"/>
                <w:color w:val="000000" w:themeColor="text1"/>
                <w:szCs w:val="16"/>
              </w:rPr>
            </w:pPr>
            <w:r w:rsidRPr="005C29F8">
              <w:rPr>
                <w:rFonts w:cs="Arial"/>
                <w:color w:val="000000" w:themeColor="text1"/>
                <w:szCs w:val="16"/>
              </w:rPr>
              <w:t>37.95%</w:t>
            </w:r>
          </w:p>
        </w:tc>
        <w:tc>
          <w:tcPr>
            <w:tcW w:w="507" w:type="pct"/>
            <w:shd w:val="clear" w:color="auto" w:fill="auto"/>
          </w:tcPr>
          <w:p w14:paraId="26955796" w14:textId="7B6C423A" w:rsidR="004E1F6F" w:rsidRPr="005C29F8" w:rsidRDefault="004E1F6F" w:rsidP="004E1F6F">
            <w:pPr>
              <w:jc w:val="center"/>
              <w:rPr>
                <w:rFonts w:cs="Arial"/>
                <w:color w:val="000000" w:themeColor="text1"/>
                <w:szCs w:val="16"/>
              </w:rPr>
            </w:pPr>
          </w:p>
        </w:tc>
        <w:tc>
          <w:tcPr>
            <w:tcW w:w="611" w:type="pct"/>
            <w:shd w:val="clear" w:color="auto" w:fill="auto"/>
          </w:tcPr>
          <w:p w14:paraId="4A4DCC0A" w14:textId="37DC808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25997E77" w14:textId="3F1DF5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EC19C08" w14:textId="77777777" w:rsidTr="000C3A20">
        <w:tc>
          <w:tcPr>
            <w:tcW w:w="222" w:type="pct"/>
            <w:shd w:val="clear" w:color="auto" w:fill="auto"/>
            <w:vAlign w:val="center"/>
          </w:tcPr>
          <w:p w14:paraId="5A54C0C2"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9" w:type="pct"/>
            <w:shd w:val="clear" w:color="auto" w:fill="auto"/>
          </w:tcPr>
          <w:p w14:paraId="49C7CFF8" w14:textId="1CBCB14B"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0073A74D" w14:textId="624224FF" w:rsidR="004E1F6F" w:rsidRPr="005C29F8" w:rsidRDefault="004E1F6F" w:rsidP="004E1F6F">
            <w:pPr>
              <w:jc w:val="center"/>
              <w:rPr>
                <w:rFonts w:cs="Arial"/>
                <w:color w:val="000000" w:themeColor="text1"/>
                <w:szCs w:val="16"/>
              </w:rPr>
            </w:pPr>
          </w:p>
        </w:tc>
        <w:tc>
          <w:tcPr>
            <w:tcW w:w="600" w:type="pct"/>
            <w:shd w:val="clear" w:color="auto" w:fill="auto"/>
          </w:tcPr>
          <w:p w14:paraId="6FE5D9C3" w14:textId="2CA86E73" w:rsidR="004E1F6F" w:rsidRPr="005C29F8" w:rsidRDefault="004E1F6F" w:rsidP="004E1F6F">
            <w:pPr>
              <w:jc w:val="center"/>
              <w:rPr>
                <w:rFonts w:cs="Arial"/>
                <w:color w:val="000000" w:themeColor="text1"/>
                <w:szCs w:val="16"/>
              </w:rPr>
            </w:pPr>
          </w:p>
        </w:tc>
        <w:tc>
          <w:tcPr>
            <w:tcW w:w="550" w:type="pct"/>
            <w:shd w:val="clear" w:color="auto" w:fill="auto"/>
          </w:tcPr>
          <w:p w14:paraId="5FDFEECC" w14:textId="41366019" w:rsidR="004E1F6F" w:rsidRPr="005C29F8" w:rsidRDefault="004E1F6F" w:rsidP="004E1F6F">
            <w:pPr>
              <w:jc w:val="center"/>
              <w:rPr>
                <w:rFonts w:cs="Arial"/>
                <w:color w:val="000000" w:themeColor="text1"/>
                <w:szCs w:val="16"/>
              </w:rPr>
            </w:pPr>
            <w:r w:rsidRPr="005C29F8">
              <w:rPr>
                <w:rFonts w:cs="Arial"/>
                <w:color w:val="000000" w:themeColor="text1"/>
                <w:szCs w:val="16"/>
              </w:rPr>
              <w:t>20.57%</w:t>
            </w:r>
          </w:p>
        </w:tc>
        <w:tc>
          <w:tcPr>
            <w:tcW w:w="766" w:type="pct"/>
            <w:shd w:val="clear" w:color="auto" w:fill="auto"/>
          </w:tcPr>
          <w:p w14:paraId="2CD8EF23" w14:textId="512D0010" w:rsidR="004E1F6F" w:rsidRPr="005C29F8" w:rsidRDefault="004E1F6F" w:rsidP="004E1F6F">
            <w:pPr>
              <w:jc w:val="center"/>
              <w:rPr>
                <w:rFonts w:cs="Arial"/>
                <w:color w:val="000000" w:themeColor="text1"/>
                <w:szCs w:val="16"/>
              </w:rPr>
            </w:pPr>
            <w:r w:rsidRPr="005C29F8">
              <w:rPr>
                <w:rFonts w:cs="Arial"/>
                <w:color w:val="000000" w:themeColor="text1"/>
                <w:szCs w:val="16"/>
              </w:rPr>
              <w:t>50.55%</w:t>
            </w:r>
          </w:p>
        </w:tc>
        <w:tc>
          <w:tcPr>
            <w:tcW w:w="507" w:type="pct"/>
            <w:shd w:val="clear" w:color="auto" w:fill="auto"/>
          </w:tcPr>
          <w:p w14:paraId="195AE231" w14:textId="0DAB6302" w:rsidR="004E1F6F" w:rsidRPr="005C29F8" w:rsidRDefault="004E1F6F" w:rsidP="004E1F6F">
            <w:pPr>
              <w:jc w:val="center"/>
              <w:rPr>
                <w:rFonts w:cs="Arial"/>
                <w:color w:val="000000" w:themeColor="text1"/>
                <w:szCs w:val="16"/>
              </w:rPr>
            </w:pPr>
          </w:p>
        </w:tc>
        <w:tc>
          <w:tcPr>
            <w:tcW w:w="611" w:type="pct"/>
            <w:shd w:val="clear" w:color="auto" w:fill="auto"/>
          </w:tcPr>
          <w:p w14:paraId="4EA4286C" w14:textId="065224A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0AAFA109" w14:textId="7A54B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14.50%</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22.84%</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12.22%</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22.49%</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10.42%</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25.19%</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FE9FB0F" w14:textId="77777777" w:rsidTr="000C3A20">
        <w:tc>
          <w:tcPr>
            <w:tcW w:w="222" w:type="pct"/>
            <w:shd w:val="clear" w:color="auto" w:fill="auto"/>
            <w:vAlign w:val="center"/>
          </w:tcPr>
          <w:p w14:paraId="353F749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6" w:type="pct"/>
            <w:shd w:val="clear" w:color="auto" w:fill="auto"/>
          </w:tcPr>
          <w:p w14:paraId="77150586" w14:textId="62B27766"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5E685976" w14:textId="32D02A36" w:rsidR="004E1F6F" w:rsidRPr="005C29F8" w:rsidRDefault="004E1F6F" w:rsidP="004E1F6F">
            <w:pPr>
              <w:jc w:val="center"/>
              <w:rPr>
                <w:rFonts w:cs="Arial"/>
                <w:color w:val="000000" w:themeColor="text1"/>
                <w:szCs w:val="16"/>
              </w:rPr>
            </w:pPr>
          </w:p>
        </w:tc>
        <w:tc>
          <w:tcPr>
            <w:tcW w:w="601" w:type="pct"/>
            <w:shd w:val="clear" w:color="auto" w:fill="auto"/>
          </w:tcPr>
          <w:p w14:paraId="643CDBD5" w14:textId="0E6DEB3B" w:rsidR="004E1F6F" w:rsidRPr="005C29F8" w:rsidRDefault="004E1F6F" w:rsidP="004E1F6F">
            <w:pPr>
              <w:jc w:val="center"/>
              <w:rPr>
                <w:rFonts w:cs="Arial"/>
                <w:color w:val="000000" w:themeColor="text1"/>
                <w:szCs w:val="16"/>
              </w:rPr>
            </w:pPr>
          </w:p>
        </w:tc>
        <w:tc>
          <w:tcPr>
            <w:tcW w:w="551" w:type="pct"/>
            <w:shd w:val="clear" w:color="auto" w:fill="auto"/>
          </w:tcPr>
          <w:p w14:paraId="0DCA5DAA" w14:textId="737C85D7" w:rsidR="004E1F6F" w:rsidRPr="005C29F8" w:rsidRDefault="004E1F6F" w:rsidP="004E1F6F">
            <w:pPr>
              <w:jc w:val="center"/>
              <w:rPr>
                <w:rFonts w:cs="Arial"/>
                <w:color w:val="000000" w:themeColor="text1"/>
                <w:szCs w:val="16"/>
              </w:rPr>
            </w:pPr>
            <w:r w:rsidRPr="005C29F8">
              <w:rPr>
                <w:rFonts w:cs="Arial"/>
                <w:color w:val="000000" w:themeColor="text1"/>
                <w:szCs w:val="16"/>
              </w:rPr>
              <w:t>7.88%</w:t>
            </w:r>
          </w:p>
        </w:tc>
        <w:tc>
          <w:tcPr>
            <w:tcW w:w="765" w:type="pct"/>
            <w:shd w:val="clear" w:color="auto" w:fill="auto"/>
          </w:tcPr>
          <w:p w14:paraId="2777E9B9" w14:textId="323997B0" w:rsidR="004E1F6F" w:rsidRPr="005C29F8" w:rsidRDefault="004E1F6F" w:rsidP="004E1F6F">
            <w:pPr>
              <w:jc w:val="center"/>
              <w:rPr>
                <w:rFonts w:cs="Arial"/>
                <w:color w:val="000000" w:themeColor="text1"/>
                <w:szCs w:val="16"/>
              </w:rPr>
            </w:pPr>
            <w:r w:rsidRPr="005C29F8">
              <w:rPr>
                <w:rFonts w:cs="Arial"/>
                <w:color w:val="000000" w:themeColor="text1"/>
                <w:szCs w:val="16"/>
              </w:rPr>
              <w:t>26.89%</w:t>
            </w:r>
          </w:p>
        </w:tc>
        <w:tc>
          <w:tcPr>
            <w:tcW w:w="508" w:type="pct"/>
            <w:shd w:val="clear" w:color="auto" w:fill="auto"/>
          </w:tcPr>
          <w:p w14:paraId="3E4E2311" w14:textId="150DD2DD" w:rsidR="004E1F6F" w:rsidRPr="005C29F8" w:rsidRDefault="004E1F6F" w:rsidP="004E1F6F">
            <w:pPr>
              <w:jc w:val="center"/>
              <w:rPr>
                <w:rFonts w:cs="Arial"/>
                <w:color w:val="000000" w:themeColor="text1"/>
                <w:szCs w:val="16"/>
              </w:rPr>
            </w:pPr>
          </w:p>
        </w:tc>
        <w:tc>
          <w:tcPr>
            <w:tcW w:w="612" w:type="pct"/>
            <w:shd w:val="clear" w:color="auto" w:fill="auto"/>
          </w:tcPr>
          <w:p w14:paraId="56A41A3E" w14:textId="47BCDF4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08F98E8" w14:textId="3DBA0F0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2B25319" w14:textId="77777777" w:rsidTr="000C3A20">
        <w:tc>
          <w:tcPr>
            <w:tcW w:w="222" w:type="pct"/>
            <w:shd w:val="clear" w:color="auto" w:fill="auto"/>
            <w:vAlign w:val="center"/>
          </w:tcPr>
          <w:p w14:paraId="5E51552D"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6" w:type="pct"/>
            <w:shd w:val="clear" w:color="auto" w:fill="auto"/>
          </w:tcPr>
          <w:p w14:paraId="11D8FDE2" w14:textId="766EA2F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713D7A4F" w14:textId="76F03866" w:rsidR="004E1F6F" w:rsidRPr="005C29F8" w:rsidRDefault="004E1F6F" w:rsidP="004E1F6F">
            <w:pPr>
              <w:jc w:val="center"/>
              <w:rPr>
                <w:rFonts w:cs="Arial"/>
                <w:color w:val="000000" w:themeColor="text1"/>
                <w:szCs w:val="16"/>
              </w:rPr>
            </w:pPr>
          </w:p>
        </w:tc>
        <w:tc>
          <w:tcPr>
            <w:tcW w:w="601" w:type="pct"/>
            <w:shd w:val="clear" w:color="auto" w:fill="auto"/>
          </w:tcPr>
          <w:p w14:paraId="5E8A162B" w14:textId="29E5DC46" w:rsidR="004E1F6F" w:rsidRPr="005C29F8" w:rsidRDefault="004E1F6F" w:rsidP="004E1F6F">
            <w:pPr>
              <w:jc w:val="center"/>
              <w:rPr>
                <w:rFonts w:cs="Arial"/>
                <w:color w:val="000000" w:themeColor="text1"/>
                <w:szCs w:val="16"/>
              </w:rPr>
            </w:pPr>
          </w:p>
        </w:tc>
        <w:tc>
          <w:tcPr>
            <w:tcW w:w="551" w:type="pct"/>
            <w:shd w:val="clear" w:color="auto" w:fill="auto"/>
          </w:tcPr>
          <w:p w14:paraId="728157FE" w14:textId="0755673E" w:rsidR="004E1F6F" w:rsidRPr="005C29F8" w:rsidRDefault="004E1F6F" w:rsidP="004E1F6F">
            <w:pPr>
              <w:jc w:val="center"/>
              <w:rPr>
                <w:rFonts w:cs="Arial"/>
                <w:color w:val="000000" w:themeColor="text1"/>
                <w:szCs w:val="16"/>
              </w:rPr>
            </w:pPr>
            <w:r w:rsidRPr="005C29F8">
              <w:rPr>
                <w:rFonts w:cs="Arial"/>
                <w:color w:val="000000" w:themeColor="text1"/>
                <w:szCs w:val="16"/>
              </w:rPr>
              <w:t>9.38%</w:t>
            </w:r>
          </w:p>
        </w:tc>
        <w:tc>
          <w:tcPr>
            <w:tcW w:w="765" w:type="pct"/>
            <w:shd w:val="clear" w:color="auto" w:fill="auto"/>
          </w:tcPr>
          <w:p w14:paraId="6719AC73" w14:textId="16B444A4" w:rsidR="004E1F6F" w:rsidRPr="005C29F8" w:rsidRDefault="004E1F6F" w:rsidP="004E1F6F">
            <w:pPr>
              <w:jc w:val="center"/>
              <w:rPr>
                <w:rFonts w:cs="Arial"/>
                <w:color w:val="000000" w:themeColor="text1"/>
                <w:szCs w:val="16"/>
              </w:rPr>
            </w:pPr>
            <w:r w:rsidRPr="005C29F8">
              <w:rPr>
                <w:rFonts w:cs="Arial"/>
                <w:color w:val="000000" w:themeColor="text1"/>
                <w:szCs w:val="16"/>
              </w:rPr>
              <w:t>28.59%</w:t>
            </w:r>
          </w:p>
        </w:tc>
        <w:tc>
          <w:tcPr>
            <w:tcW w:w="508" w:type="pct"/>
            <w:shd w:val="clear" w:color="auto" w:fill="auto"/>
          </w:tcPr>
          <w:p w14:paraId="5EF9974F" w14:textId="21CB0A8C" w:rsidR="004E1F6F" w:rsidRPr="005C29F8" w:rsidRDefault="004E1F6F" w:rsidP="004E1F6F">
            <w:pPr>
              <w:jc w:val="center"/>
              <w:rPr>
                <w:rFonts w:cs="Arial"/>
                <w:color w:val="000000" w:themeColor="text1"/>
                <w:szCs w:val="16"/>
              </w:rPr>
            </w:pPr>
          </w:p>
        </w:tc>
        <w:tc>
          <w:tcPr>
            <w:tcW w:w="612" w:type="pct"/>
            <w:shd w:val="clear" w:color="auto" w:fill="auto"/>
          </w:tcPr>
          <w:p w14:paraId="282EA23E" w14:textId="674FEC4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2012F79F" w14:textId="50FFB61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60A9B6E" w14:textId="77777777" w:rsidTr="000C3A20">
        <w:tc>
          <w:tcPr>
            <w:tcW w:w="222" w:type="pct"/>
            <w:shd w:val="clear" w:color="auto" w:fill="auto"/>
            <w:vAlign w:val="center"/>
          </w:tcPr>
          <w:p w14:paraId="5E2AB2BB"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6" w:type="pct"/>
            <w:shd w:val="clear" w:color="auto" w:fill="auto"/>
          </w:tcPr>
          <w:p w14:paraId="3F1D793B" w14:textId="04C17CC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2717A92B" w14:textId="78B098A3" w:rsidR="004E1F6F" w:rsidRPr="005C29F8" w:rsidRDefault="004E1F6F" w:rsidP="004E1F6F">
            <w:pPr>
              <w:jc w:val="center"/>
              <w:rPr>
                <w:rFonts w:cs="Arial"/>
                <w:color w:val="000000" w:themeColor="text1"/>
                <w:szCs w:val="16"/>
              </w:rPr>
            </w:pPr>
          </w:p>
        </w:tc>
        <w:tc>
          <w:tcPr>
            <w:tcW w:w="601" w:type="pct"/>
            <w:shd w:val="clear" w:color="auto" w:fill="auto"/>
          </w:tcPr>
          <w:p w14:paraId="51C1AC6A" w14:textId="724038DA" w:rsidR="004E1F6F" w:rsidRPr="005C29F8" w:rsidRDefault="004E1F6F" w:rsidP="004E1F6F">
            <w:pPr>
              <w:jc w:val="center"/>
              <w:rPr>
                <w:rFonts w:cs="Arial"/>
                <w:color w:val="000000" w:themeColor="text1"/>
                <w:szCs w:val="16"/>
              </w:rPr>
            </w:pPr>
          </w:p>
        </w:tc>
        <w:tc>
          <w:tcPr>
            <w:tcW w:w="551" w:type="pct"/>
            <w:shd w:val="clear" w:color="auto" w:fill="auto"/>
          </w:tcPr>
          <w:p w14:paraId="0E003787" w14:textId="5DEB15C4" w:rsidR="004E1F6F" w:rsidRPr="005C29F8" w:rsidRDefault="004E1F6F" w:rsidP="004E1F6F">
            <w:pPr>
              <w:jc w:val="center"/>
              <w:rPr>
                <w:rFonts w:cs="Arial"/>
                <w:color w:val="000000" w:themeColor="text1"/>
                <w:szCs w:val="16"/>
              </w:rPr>
            </w:pPr>
            <w:r w:rsidRPr="005C29F8">
              <w:rPr>
                <w:rFonts w:cs="Arial"/>
                <w:color w:val="000000" w:themeColor="text1"/>
                <w:szCs w:val="16"/>
              </w:rPr>
              <w:t>10.02%</w:t>
            </w:r>
          </w:p>
        </w:tc>
        <w:tc>
          <w:tcPr>
            <w:tcW w:w="765" w:type="pct"/>
            <w:shd w:val="clear" w:color="auto" w:fill="auto"/>
          </w:tcPr>
          <w:p w14:paraId="395EE16D" w14:textId="51EE47D9" w:rsidR="004E1F6F" w:rsidRPr="005C29F8" w:rsidRDefault="004E1F6F" w:rsidP="004E1F6F">
            <w:pPr>
              <w:jc w:val="center"/>
              <w:rPr>
                <w:rFonts w:cs="Arial"/>
                <w:color w:val="000000" w:themeColor="text1"/>
                <w:szCs w:val="16"/>
              </w:rPr>
            </w:pPr>
            <w:r w:rsidRPr="005C29F8">
              <w:rPr>
                <w:rFonts w:cs="Arial"/>
                <w:color w:val="000000" w:themeColor="text1"/>
                <w:szCs w:val="16"/>
              </w:rPr>
              <w:t>30.29%</w:t>
            </w:r>
          </w:p>
        </w:tc>
        <w:tc>
          <w:tcPr>
            <w:tcW w:w="508" w:type="pct"/>
            <w:shd w:val="clear" w:color="auto" w:fill="auto"/>
          </w:tcPr>
          <w:p w14:paraId="07FAF2F6" w14:textId="6FC40BE8" w:rsidR="004E1F6F" w:rsidRPr="005C29F8" w:rsidRDefault="004E1F6F" w:rsidP="004E1F6F">
            <w:pPr>
              <w:jc w:val="center"/>
              <w:rPr>
                <w:rFonts w:cs="Arial"/>
                <w:color w:val="000000" w:themeColor="text1"/>
                <w:szCs w:val="16"/>
              </w:rPr>
            </w:pPr>
          </w:p>
        </w:tc>
        <w:tc>
          <w:tcPr>
            <w:tcW w:w="612" w:type="pct"/>
            <w:shd w:val="clear" w:color="auto" w:fill="auto"/>
          </w:tcPr>
          <w:p w14:paraId="41476B1C" w14:textId="35811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6BE4DD4C" w14:textId="7D05906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A0EAD9D" w14:textId="77777777" w:rsidTr="000C3A20">
        <w:tc>
          <w:tcPr>
            <w:tcW w:w="222" w:type="pct"/>
            <w:shd w:val="clear" w:color="auto" w:fill="auto"/>
            <w:vAlign w:val="center"/>
          </w:tcPr>
          <w:p w14:paraId="1FF99751"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6" w:type="pct"/>
            <w:shd w:val="clear" w:color="auto" w:fill="auto"/>
          </w:tcPr>
          <w:p w14:paraId="7B165029" w14:textId="426B5EC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452EB56C" w14:textId="29DCA186" w:rsidR="004E1F6F" w:rsidRPr="005C29F8" w:rsidRDefault="004E1F6F" w:rsidP="004E1F6F">
            <w:pPr>
              <w:jc w:val="center"/>
              <w:rPr>
                <w:rFonts w:cs="Arial"/>
                <w:color w:val="000000" w:themeColor="text1"/>
                <w:szCs w:val="16"/>
              </w:rPr>
            </w:pPr>
          </w:p>
        </w:tc>
        <w:tc>
          <w:tcPr>
            <w:tcW w:w="601" w:type="pct"/>
            <w:shd w:val="clear" w:color="auto" w:fill="auto"/>
          </w:tcPr>
          <w:p w14:paraId="2BF2D683" w14:textId="24D1F1B7" w:rsidR="004E1F6F" w:rsidRPr="005C29F8" w:rsidRDefault="004E1F6F" w:rsidP="004E1F6F">
            <w:pPr>
              <w:jc w:val="center"/>
              <w:rPr>
                <w:rFonts w:cs="Arial"/>
                <w:color w:val="000000" w:themeColor="text1"/>
                <w:szCs w:val="16"/>
              </w:rPr>
            </w:pPr>
          </w:p>
        </w:tc>
        <w:tc>
          <w:tcPr>
            <w:tcW w:w="551" w:type="pct"/>
            <w:shd w:val="clear" w:color="auto" w:fill="auto"/>
          </w:tcPr>
          <w:p w14:paraId="1E1C371C" w14:textId="364E59E4" w:rsidR="004E1F6F" w:rsidRPr="005C29F8" w:rsidRDefault="004E1F6F" w:rsidP="004E1F6F">
            <w:pPr>
              <w:jc w:val="center"/>
              <w:rPr>
                <w:rFonts w:cs="Arial"/>
                <w:color w:val="000000" w:themeColor="text1"/>
                <w:szCs w:val="16"/>
              </w:rPr>
            </w:pPr>
            <w:r w:rsidRPr="005C29F8">
              <w:rPr>
                <w:rFonts w:cs="Arial"/>
                <w:color w:val="000000" w:themeColor="text1"/>
                <w:szCs w:val="16"/>
              </w:rPr>
              <w:t>16.36%</w:t>
            </w:r>
          </w:p>
        </w:tc>
        <w:tc>
          <w:tcPr>
            <w:tcW w:w="765" w:type="pct"/>
            <w:shd w:val="clear" w:color="auto" w:fill="auto"/>
          </w:tcPr>
          <w:p w14:paraId="3B7AE6A4" w14:textId="53260824" w:rsidR="004E1F6F" w:rsidRPr="005C29F8" w:rsidRDefault="004E1F6F" w:rsidP="004E1F6F">
            <w:pPr>
              <w:jc w:val="center"/>
              <w:rPr>
                <w:rFonts w:cs="Arial"/>
                <w:color w:val="000000" w:themeColor="text1"/>
                <w:szCs w:val="16"/>
              </w:rPr>
            </w:pPr>
            <w:r w:rsidRPr="005C29F8">
              <w:rPr>
                <w:rFonts w:cs="Arial"/>
                <w:color w:val="000000" w:themeColor="text1"/>
                <w:szCs w:val="16"/>
              </w:rPr>
              <w:t>56.11%</w:t>
            </w:r>
          </w:p>
        </w:tc>
        <w:tc>
          <w:tcPr>
            <w:tcW w:w="508" w:type="pct"/>
            <w:shd w:val="clear" w:color="auto" w:fill="auto"/>
          </w:tcPr>
          <w:p w14:paraId="74EF07A1" w14:textId="324176A0" w:rsidR="004E1F6F" w:rsidRPr="005C29F8" w:rsidRDefault="004E1F6F" w:rsidP="004E1F6F">
            <w:pPr>
              <w:jc w:val="center"/>
              <w:rPr>
                <w:rFonts w:cs="Arial"/>
                <w:color w:val="000000" w:themeColor="text1"/>
                <w:szCs w:val="16"/>
              </w:rPr>
            </w:pPr>
          </w:p>
        </w:tc>
        <w:tc>
          <w:tcPr>
            <w:tcW w:w="612" w:type="pct"/>
            <w:shd w:val="clear" w:color="auto" w:fill="auto"/>
          </w:tcPr>
          <w:p w14:paraId="11049477" w14:textId="74F45C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7C05F23" w14:textId="7C175F2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 xml:space="preserve">The Maryland Report Card at http://reportcard.msde.maryland.gov/ reports performance data by State, county, and school. Further desegregation of assessment data, including data specific to alternate assessments, can be found at https://reportcard.msde.maryland.gov/Graphs/#/DataDownloads/datadownload/3/17/6/99/XXXX. Finally, assessment data for students with disabilities with accommodations can be found at http://www.marylandpublicschools.org/programs/Pages/Special-Education/AssessmentData.aspx. </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The MSDE implements necessary limits on the data reported on both websites in accordance with FERPA guidelines. The changes to the websites were designed to maximize the information provided to the public while also protecting the privacy of small identifiable groups of students.</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 xml:space="preserve">On March 27, 2020, the State received from the Assistant Secretary for Elementary and Secondary Education, U.S. Department of Education, a letter approving Maryland’s request for a waiver of assessment and accountability requirements. Through the waiver, Maryland was not required to administer its statewide assessments to all students in the 2019-2020 school year. </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lastRenderedPageBreak/>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8"/>
      <w:bookmarkEnd w:id="19"/>
    </w:p>
    <w:p w14:paraId="6B24B370" w14:textId="77777777" w:rsidR="006E5AE4" w:rsidRPr="005C29F8" w:rsidRDefault="006E5AE4" w:rsidP="00A018D4">
      <w:pPr>
        <w:rPr>
          <w:color w:val="000000" w:themeColor="text1"/>
          <w:szCs w:val="20"/>
        </w:rPr>
      </w:pPr>
      <w:bookmarkStart w:id="21" w:name="_Toc384383331"/>
      <w:bookmarkStart w:id="22"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3" w:name="_Toc384383332"/>
      <w:bookmarkStart w:id="24" w:name="_Toc392159284"/>
      <w:bookmarkEnd w:id="21"/>
      <w:bookmarkEnd w:id="22"/>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2017</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71.43%</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12.00%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12.00%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71.43%</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66.43%</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16.00%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12.00%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71.43%</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57.14%</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61.43%</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3FD5337B" w14:textId="54E74935" w:rsidR="002D145D" w:rsidRPr="005C29F8" w:rsidRDefault="002B7490" w:rsidP="002D145D">
      <w:pPr>
        <w:rPr>
          <w:rFonts w:cs="Arial"/>
          <w:color w:val="000000" w:themeColor="text1"/>
          <w:szCs w:val="16"/>
        </w:rPr>
      </w:pPr>
      <w:r w:rsidRPr="005C29F8">
        <w:rPr>
          <w:rFonts w:cs="Arial"/>
          <w:color w:val="000000" w:themeColor="text1"/>
          <w:szCs w:val="16"/>
        </w:rPr>
        <w:t xml:space="preserve">No changes to baselines are being proposed for FFY 2019. To set targets, the MSDE obtained stakeholder feedback through a survey sent to Special Education stakeholders, including Local Special Education Directors, Local Preschool Coordinators, and all members of the Special Education State Advisory Committee (SESAC). Survey results guided target setting and proposed targets are included with this APR submission. </w:t>
      </w:r>
      <w:r w:rsidRPr="005C29F8">
        <w:rPr>
          <w:rFonts w:cs="Arial"/>
          <w:color w:val="000000" w:themeColor="text1"/>
          <w:szCs w:val="16"/>
        </w:rPr>
        <w:br/>
      </w:r>
      <w:r w:rsidRPr="005C29F8">
        <w:rPr>
          <w:rFonts w:cs="Arial"/>
          <w:color w:val="000000" w:themeColor="text1"/>
          <w:szCs w:val="16"/>
        </w:rPr>
        <w:br/>
        <w:t xml:space="preserve">Throughout FFY 2019, the MSDE provided information and preliminary data on the Part B APR indicators and multiple opportunities for questions, </w:t>
      </w:r>
      <w:r w:rsidRPr="005C29F8">
        <w:rPr>
          <w:rFonts w:cs="Arial"/>
          <w:color w:val="000000" w:themeColor="text1"/>
          <w:szCs w:val="16"/>
        </w:rPr>
        <w:lastRenderedPageBreak/>
        <w:t>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preschool indicators). Those special APR presentations were made to the State Interagency Coordinating Council (SICC) on January 7, 2021 (for Part C and preschool indicators) and to the SESAC on January 28, 2021.</w:t>
      </w: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3"/>
      <w:bookmarkEnd w:id="24"/>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13</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1D37BBE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1D37BBE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57.14%</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61.43%</w:t>
            </w:r>
          </w:p>
        </w:tc>
        <w:tc>
          <w:tcPr>
            <w:tcW w:w="584" w:type="pct"/>
            <w:shd w:val="clear" w:color="auto" w:fill="auto"/>
          </w:tcPr>
          <w:p w14:paraId="411F4E7C" w14:textId="75D461E9" w:rsidR="00A862C3" w:rsidRPr="005C29F8" w:rsidRDefault="251CDF40" w:rsidP="1D37BBEA">
            <w:pPr>
              <w:jc w:val="center"/>
              <w:rPr>
                <w:rFonts w:cs="Arial"/>
                <w:color w:val="000000" w:themeColor="text1"/>
              </w:rPr>
            </w:pPr>
            <w:r w:rsidRPr="1D37BBEA">
              <w:rPr>
                <w:rFonts w:cs="Arial"/>
                <w:color w:val="000000" w:themeColor="text1"/>
              </w:rPr>
              <w:t>NVR</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The rates of suspensions and expulsions of greater than 10 days in a school year for children with IEPs in each LEA compared to the rates for nondisabled children in the same LEA</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The MSDE, DEI/SES's definition of a significant discrepancy is having a Rate Ratio of 2.0 or greater when comparing the rate of suspension of students with disabilities for greater than ten days to the rate of suspension of nondisabled students for greater than ten days. Calculation of the Rate Ratio is the local school system suspension/expulsion rate for children with disabilities divided by the local school system suspension/expulsion rate for children without disabilities. The Rate Ratio is modeled after a Risk Ratio which is the ratio between two rates of outcomes. If the ratio is greater than 2.0, the local school system </w:t>
      </w:r>
      <w:proofErr w:type="gramStart"/>
      <w:r w:rsidRPr="005C29F8">
        <w:rPr>
          <w:rFonts w:cs="Arial"/>
          <w:color w:val="000000" w:themeColor="text1"/>
          <w:szCs w:val="16"/>
        </w:rPr>
        <w:t>is considered to be</w:t>
      </w:r>
      <w:proofErr w:type="gramEnd"/>
      <w:r w:rsidRPr="005C29F8">
        <w:rPr>
          <w:rFonts w:cs="Arial"/>
          <w:color w:val="000000" w:themeColor="text1"/>
          <w:szCs w:val="16"/>
        </w:rPr>
        <w:t xml:space="preserve"> significantly discrepant. In addition to meeting the Rate Ratio of 2.0 or above, a local school system (LSS) must meet the criteria for the minimum cell size (numerator) and n-size (denominator). The minimum cell size for all LSSs is 5 students with disabilities suspended or expelled for greater than 10 school days in a school year. The minimum n-size set by the State is 20 students with disabilities in the LSS.</w:t>
      </w:r>
      <w:r w:rsidRPr="005C29F8">
        <w:rPr>
          <w:rFonts w:cs="Arial"/>
          <w:color w:val="000000" w:themeColor="text1"/>
          <w:szCs w:val="16"/>
        </w:rPr>
        <w:br/>
      </w:r>
      <w:r w:rsidRPr="005C29F8">
        <w:rPr>
          <w:rFonts w:cs="Arial"/>
          <w:color w:val="000000" w:themeColor="text1"/>
          <w:szCs w:val="16"/>
        </w:rPr>
        <w:br/>
        <w:t>The MSDE, DEI/SES's analysis of the data demonstrated that six (6) of the 12 LSSs were identified as having a significant discrepancy in the rate of suspensions and expulsions of greater than ten days in a school year for children with IEPs. In addition, thirteen (13) of the 25 LSSs were excluded because they did not meet the State-established minimum cell size requirement of 5 students with disabilities suspended greater than 10 days. No, LSSs were excluded due to not meeting an n-size of at least 20.</w:t>
      </w:r>
    </w:p>
    <w:p w14:paraId="47F07052" w14:textId="77777777" w:rsidR="00BB504D" w:rsidRPr="005C29F8" w:rsidRDefault="00BB504D" w:rsidP="004369B2">
      <w:pPr>
        <w:rPr>
          <w:b/>
          <w:color w:val="000000" w:themeColor="text1"/>
        </w:rPr>
      </w:pPr>
      <w:bookmarkStart w:id="25" w:name="_Toc384383334"/>
      <w:bookmarkStart w:id="26"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 xml:space="preserve">The collection and reporting of data for this indicator were not impacted by the COVID-19 pandemic.  </w:t>
      </w:r>
    </w:p>
    <w:bookmarkEnd w:id="25"/>
    <w:bookmarkEnd w:id="26"/>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For each of the eight (8) local school systems (LSSs) identified with a significant discrepancy in the rates of suspension identified in FFY 2019 using FFY 2018 (2018 - 2019) data, the MSDE, DEI/SES staff, using a discipline review document, conducted a review of the suspension policies and procedures related to:</w:t>
      </w:r>
      <w:r w:rsidRPr="005C29F8">
        <w:rPr>
          <w:rFonts w:cs="Arial"/>
          <w:color w:val="000000" w:themeColor="text1"/>
          <w:szCs w:val="16"/>
        </w:rPr>
        <w:br/>
        <w:t>1) discipline of students with disabilities,</w:t>
      </w:r>
      <w:r w:rsidRPr="005C29F8">
        <w:rPr>
          <w:rFonts w:cs="Arial"/>
          <w:color w:val="000000" w:themeColor="text1"/>
          <w:szCs w:val="16"/>
        </w:rPr>
        <w:br/>
        <w:t>2) development and implementation of IEPs,</w:t>
      </w:r>
      <w:r w:rsidRPr="005C29F8">
        <w:rPr>
          <w:rFonts w:cs="Arial"/>
          <w:color w:val="000000" w:themeColor="text1"/>
          <w:szCs w:val="16"/>
        </w:rPr>
        <w:br/>
        <w:t>3) the use of positive behavioral interventions and supports; and</w:t>
      </w:r>
      <w:r w:rsidRPr="005C29F8">
        <w:rPr>
          <w:rFonts w:cs="Arial"/>
          <w:color w:val="000000" w:themeColor="text1"/>
          <w:szCs w:val="16"/>
        </w:rPr>
        <w:br/>
        <w:t>4) procedural safeguards.</w:t>
      </w:r>
      <w:r w:rsidRPr="005C29F8">
        <w:rPr>
          <w:rFonts w:cs="Arial"/>
          <w:color w:val="000000" w:themeColor="text1"/>
          <w:szCs w:val="16"/>
        </w:rPr>
        <w:br/>
      </w:r>
      <w:r w:rsidRPr="005C29F8">
        <w:rPr>
          <w:rFonts w:cs="Arial"/>
          <w:color w:val="000000" w:themeColor="text1"/>
          <w:szCs w:val="16"/>
        </w:rPr>
        <w:br/>
        <w:t>Staff from the MSDE and LSS utilized the discipline review document to conduct a review of policies, procedures, and practices and to ensure compliance with federal and State regulations. Additionally, the MSDE conducted a record review to review individual student records from another data period to ensure that the implementation of policies and procedures, and practices were consistent with federal and State regulatory requirements, as required by 34 CFR §300.170(b). The MSDE, DEI/SES did not identify noncompliance with this review.</w:t>
      </w:r>
      <w:r w:rsidRPr="005C29F8">
        <w:rPr>
          <w:rFonts w:cs="Arial"/>
          <w:color w:val="000000" w:themeColor="text1"/>
          <w:szCs w:val="16"/>
        </w:rPr>
        <w:br/>
      </w:r>
      <w:r w:rsidRPr="005C29F8">
        <w:rPr>
          <w:rFonts w:cs="Arial"/>
          <w:color w:val="000000" w:themeColor="text1"/>
          <w:szCs w:val="16"/>
        </w:rPr>
        <w:b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7" w:name="_Toc381956335"/>
      <w:bookmarkStart w:id="28" w:name="_Toc384383336"/>
      <w:bookmarkStart w:id="29"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B7490" w:rsidP="00212954">
      <w:pPr>
        <w:rPr>
          <w:rFonts w:cs="Arial"/>
          <w:color w:val="000000" w:themeColor="text1"/>
          <w:szCs w:val="16"/>
        </w:rPr>
      </w:pPr>
      <w:r w:rsidRPr="005C29F8">
        <w:rPr>
          <w:rFonts w:cs="Arial"/>
          <w:color w:val="000000" w:themeColor="text1"/>
          <w:szCs w:val="16"/>
        </w:rPr>
        <w:t>OSEP cannot determine whether the data are valid and reliable. The State reported in the data field that six (6) districts were identified with significant discrepancy, however, in the narrative the State reported that "[f]or each of the eight (8) local school systems (LSSs) identified with a significant discrepancy in the rates of suspension identified in FFY 2019 using FFY 2018 (2018 - 2019) data, the MSDE, DEI/SES staff, using a discipline review document, conducted a review of the suspension policies and procedures." Therefore, OSEP could not determine whether the State met its target.</w:t>
      </w: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B7490" w:rsidP="00212954">
      <w:pPr>
        <w:rPr>
          <w:rFonts w:cs="Arial"/>
          <w:color w:val="000000" w:themeColor="text1"/>
          <w:szCs w:val="16"/>
        </w:rPr>
      </w:pPr>
      <w:r w:rsidRPr="005C29F8">
        <w:rPr>
          <w:rFonts w:cs="Arial"/>
          <w:color w:val="000000" w:themeColor="text1"/>
          <w:szCs w:val="16"/>
        </w:rPr>
        <w:t>The State did not provide valid and reliable data for FFY 2019. The State must provide valid and reliable data for FFY 2020 in the FFY 2020 SPP/APR.</w:t>
      </w: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7"/>
      <w:bookmarkEnd w:id="28"/>
      <w:bookmarkEnd w:id="29"/>
    </w:p>
    <w:p w14:paraId="1BA30D93" w14:textId="77777777" w:rsidR="008637F8" w:rsidRPr="005C29F8" w:rsidRDefault="008637F8" w:rsidP="00A018D4">
      <w:pPr>
        <w:rPr>
          <w:color w:val="000000" w:themeColor="text1"/>
          <w:szCs w:val="20"/>
        </w:rPr>
      </w:pPr>
      <w:bookmarkStart w:id="30" w:name="_Toc384383338"/>
      <w:bookmarkStart w:id="31"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0"/>
      <w:bookmarkEnd w:id="31"/>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14</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7</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11</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2"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 xml:space="preserve">The Maryland State Department of Education, Division of Early Intervention/Special Education Services (DEI/SES) utilized a Rate Ratio to compare the district-level suspension/expulsion rates for children with disabilities from each racial/ethnic group to the suspension/expulsion rate for all children with disabilities in that same district. </w:t>
      </w:r>
      <w:r w:rsidRPr="005C29F8">
        <w:rPr>
          <w:rFonts w:cs="Arial"/>
          <w:color w:val="000000" w:themeColor="text1"/>
          <w:szCs w:val="16"/>
        </w:rPr>
        <w:br/>
      </w:r>
      <w:r w:rsidRPr="005C29F8">
        <w:rPr>
          <w:rFonts w:cs="Arial"/>
          <w:color w:val="000000" w:themeColor="text1"/>
          <w:szCs w:val="16"/>
        </w:rPr>
        <w:br/>
        <w:t xml:space="preserve">If the Rate Ratio is greater than 2.0, the local school system </w:t>
      </w:r>
      <w:proofErr w:type="gramStart"/>
      <w:r w:rsidRPr="005C29F8">
        <w:rPr>
          <w:rFonts w:cs="Arial"/>
          <w:color w:val="000000" w:themeColor="text1"/>
          <w:szCs w:val="16"/>
        </w:rPr>
        <w:t>is considered to be</w:t>
      </w:r>
      <w:proofErr w:type="gramEnd"/>
      <w:r w:rsidRPr="005C29F8">
        <w:rPr>
          <w:rFonts w:cs="Arial"/>
          <w:color w:val="000000" w:themeColor="text1"/>
          <w:szCs w:val="16"/>
        </w:rPr>
        <w:t xml:space="preserve"> significantly discrepant. In addition to meeting the Rate Ratio of 2.0 or above, the local school systems must meet the criteria for the minimum n-size. Beginning in FFY 2017, the minimum n-size has changed to 5 instead of 30, which was used in FFY 2016. This change was made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stakeholder concerns about the previous n-size. Significant discrepancy calculations were made for local school systems that had at least 5 children with disabilities in a particular race/ethnic group suspended for greater than ten days.</w:t>
      </w:r>
      <w:r w:rsidRPr="005C29F8">
        <w:rPr>
          <w:rFonts w:cs="Arial"/>
          <w:color w:val="000000" w:themeColor="text1"/>
          <w:szCs w:val="16"/>
        </w:rPr>
        <w:br/>
      </w:r>
      <w:r w:rsidRPr="005C29F8">
        <w:rPr>
          <w:rFonts w:cs="Arial"/>
          <w:color w:val="000000" w:themeColor="text1"/>
          <w:szCs w:val="16"/>
        </w:rPr>
        <w:br/>
        <w:t xml:space="preserve">The MSDE, DEI/SES's analysis of the data demonstrated seven (7) of the 25 LSSs were identified as having a significant discrepancy, in a particular race/ethnic group suspended or expelled for greater than 10 days in a school year. Fourteen (14) LSSs were excluded because they did not meet the State-established minimum n-size. </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 xml:space="preserve">The collection and reporting of data for this indicator were not impacted by the COVID-19 pandemic.  </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For each of the eleven (11) local school systems (LSSs) identified with a significant discrepancy in the rates of suspension by race/ethnicity identified in FFY 2019 using FFY 2018 (2018 - 2019) data, the MSDE, DEI/SES staff, using a discipline review document, conducted a review of the suspension policies and procedures related to:</w:t>
      </w:r>
      <w:r w:rsidRPr="005C29F8">
        <w:rPr>
          <w:rFonts w:cs="Arial"/>
          <w:color w:val="000000" w:themeColor="text1"/>
          <w:szCs w:val="16"/>
        </w:rPr>
        <w:br/>
        <w:t>1) discipline of students with disabilities,</w:t>
      </w:r>
      <w:r w:rsidRPr="005C29F8">
        <w:rPr>
          <w:rFonts w:cs="Arial"/>
          <w:color w:val="000000" w:themeColor="text1"/>
          <w:szCs w:val="16"/>
        </w:rPr>
        <w:br/>
        <w:t>2) development and implementation of IEPs,</w:t>
      </w:r>
      <w:r w:rsidRPr="005C29F8">
        <w:rPr>
          <w:rFonts w:cs="Arial"/>
          <w:color w:val="000000" w:themeColor="text1"/>
          <w:szCs w:val="16"/>
        </w:rPr>
        <w:br/>
        <w:t>3) the use of positive behavioral interventions and supports; and</w:t>
      </w:r>
      <w:r w:rsidRPr="005C29F8">
        <w:rPr>
          <w:rFonts w:cs="Arial"/>
          <w:color w:val="000000" w:themeColor="text1"/>
          <w:szCs w:val="16"/>
        </w:rPr>
        <w:br/>
        <w:t>4) procedural safeguards.</w:t>
      </w:r>
      <w:r w:rsidRPr="005C29F8">
        <w:rPr>
          <w:rFonts w:cs="Arial"/>
          <w:color w:val="000000" w:themeColor="text1"/>
          <w:szCs w:val="16"/>
        </w:rPr>
        <w:br/>
      </w:r>
      <w:r w:rsidRPr="005C29F8">
        <w:rPr>
          <w:rFonts w:cs="Arial"/>
          <w:color w:val="000000" w:themeColor="text1"/>
          <w:szCs w:val="16"/>
        </w:rPr>
        <w:br/>
        <w:t>Staff from the MSDE and LSS utilized the discipline review document to conduct a review of policies, procedures, and practices and to ensure compliance with federal and State regulations. Additionally, the MSDE conducted a record review to review individual student records from another data period to ensure that the implementation of policies and procedures, and practices were consistent with federal and State regulatory requirements, as required by 34 CFR §300.170(b). The MSDE, DEI/SES did not identify noncompliance with this review.</w:t>
      </w:r>
      <w:r w:rsidRPr="005C29F8">
        <w:rPr>
          <w:rFonts w:cs="Arial"/>
          <w:color w:val="000000" w:themeColor="text1"/>
          <w:szCs w:val="16"/>
        </w:rPr>
        <w:br/>
      </w:r>
      <w:r w:rsidRPr="005C29F8">
        <w:rPr>
          <w:rFonts w:cs="Arial"/>
          <w:color w:val="000000" w:themeColor="text1"/>
          <w:szCs w:val="16"/>
        </w:rPr>
        <w:b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3"/>
      <w:r w:rsidRPr="005C29F8">
        <w:rPr>
          <w:color w:val="000000" w:themeColor="text1"/>
          <w:sz w:val="22"/>
        </w:rPr>
        <w:t>Education Environments (children 6-21)</w:t>
      </w:r>
      <w:bookmarkEnd w:id="20"/>
      <w:bookmarkEnd w:id="32"/>
    </w:p>
    <w:p w14:paraId="52AD89A1" w14:textId="77777777" w:rsidR="00775845" w:rsidRPr="005C29F8" w:rsidRDefault="00775845" w:rsidP="00A018D4">
      <w:pPr>
        <w:rPr>
          <w:color w:val="000000" w:themeColor="text1"/>
          <w:szCs w:val="20"/>
        </w:rPr>
      </w:pPr>
      <w:bookmarkStart w:id="33"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3"/>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68.90%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69.40%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69.90%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70.40%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70.90%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59.90%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68.86%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68.95%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69.73%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70.09%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70.20%</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12.76%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12.26%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11.76%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11.26%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10.76%</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16.86%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13.12%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12.95%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12.04%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12.04%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12.06%</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6.44%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6.19%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5.94%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5.69%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5.44%</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7.89%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6.89%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6.93%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6.86%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6.77%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6.85%</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70.90%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10.76%</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5.44%</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2B96DDD0" w14:textId="3E2ADE72" w:rsidR="002D145D" w:rsidRPr="005C29F8" w:rsidRDefault="00D60B5F" w:rsidP="002D145D">
      <w:pPr>
        <w:rPr>
          <w:rFonts w:cs="Arial"/>
          <w:color w:val="000000" w:themeColor="text1"/>
          <w:szCs w:val="16"/>
        </w:rPr>
      </w:pPr>
      <w:r w:rsidRPr="005C29F8">
        <w:rPr>
          <w:rFonts w:cs="Arial"/>
          <w:color w:val="000000" w:themeColor="text1"/>
          <w:szCs w:val="16"/>
        </w:rPr>
        <w:t xml:space="preserve">No changes to baselines are being proposed for FFY 2019. To set targets, the MSDE obtained stakeholder feedback through a survey sent to Special Education stakeholders, including Local Special Education Directors, Local Preschool Coordinators, and all members of the Special Education State Advisory Committee (SESAC). Survey results guided target setting and proposed targets are included with this APR submission. </w:t>
      </w:r>
      <w:r w:rsidRPr="005C29F8">
        <w:rPr>
          <w:rFonts w:cs="Arial"/>
          <w:color w:val="000000" w:themeColor="text1"/>
          <w:szCs w:val="16"/>
        </w:rPr>
        <w:br/>
      </w:r>
      <w:r w:rsidRPr="005C29F8">
        <w:rPr>
          <w:rFonts w:cs="Arial"/>
          <w:color w:val="000000" w:themeColor="text1"/>
          <w:szCs w:val="16"/>
        </w:rPr>
        <w:br/>
        <w:t>Throughout FFY 2019, the MSDE provided information and preliminary data on the Part B APR indicators and multiple opportunities for questions, 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preschool indicators). Those special APR presentations were made to the State Interagency Coordinating Council (SICC) on January 7, 2021 (for Part C and preschool indicators) and to the SESAC on January 28, 2021.</w:t>
      </w: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98,188</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68,963</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11,584</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6,196</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119</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246</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68,963</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98,188</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70.20%</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70.90%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70.24%</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11,584</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98,188</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12.06%</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10.76%</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11.80%</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6,561</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98,188</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6.85%</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5.44%</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6.68%</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 xml:space="preserve">The collection and reporting of data for this indicator were not impacted by the COVID-19 pandemic.  </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4"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4"/>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64.30%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64.50%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64.70%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64.90%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65.10%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63.60%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59.18%</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60.02%</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60.53%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62.72%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59.67%</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18.70%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18.50%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18.30%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18.10%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17.90%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19.60%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18.99%</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19.30%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18.64%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17.50%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20.09%</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65.10%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17.90%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0448DBC0" w14:textId="4024B20E" w:rsidR="002D145D" w:rsidRPr="005C29F8" w:rsidRDefault="002B7490" w:rsidP="002D145D">
      <w:pPr>
        <w:rPr>
          <w:rFonts w:cs="Arial"/>
          <w:color w:val="000000" w:themeColor="text1"/>
          <w:szCs w:val="16"/>
        </w:rPr>
      </w:pPr>
      <w:r w:rsidRPr="005C29F8">
        <w:rPr>
          <w:rFonts w:cs="Arial"/>
          <w:color w:val="000000" w:themeColor="text1"/>
          <w:szCs w:val="16"/>
        </w:rPr>
        <w:t xml:space="preserve">No changes to baselines are being proposed for FFY 2019. To set targets, the MSDE obtained stakeholder feedback through a survey sent to Special Education stakeholders, including Local Special Education Directors, Local Preschool Coordinators, and all members of the Special Education State Advisory Committee (SESAC). Survey results guided target setting and proposed targets are included with this APR submission. </w:t>
      </w:r>
      <w:r w:rsidRPr="005C29F8">
        <w:rPr>
          <w:rFonts w:cs="Arial"/>
          <w:color w:val="000000" w:themeColor="text1"/>
          <w:szCs w:val="16"/>
        </w:rPr>
        <w:br/>
      </w:r>
      <w:r w:rsidRPr="005C29F8">
        <w:rPr>
          <w:rFonts w:cs="Arial"/>
          <w:color w:val="000000" w:themeColor="text1"/>
          <w:szCs w:val="16"/>
        </w:rPr>
        <w:br/>
        <w:t>Throughout FFY 2019, the MSDE provided information and preliminary data on the Part B APR indicators and multiple opportunities for questions, 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preschool indicators). Those special APR presentations were made to the State Interagency Coordinating Council (SICC) on January 7, 2021 (for Part C and preschool indicators) and to the SESAC on January 28, 2021.</w:t>
      </w:r>
    </w:p>
    <w:p w14:paraId="27170CED" w14:textId="77777777" w:rsidR="00E428BD" w:rsidRPr="005C29F8" w:rsidRDefault="00E428BD" w:rsidP="004369B2">
      <w:pPr>
        <w:rPr>
          <w:color w:val="000000" w:themeColor="text1"/>
        </w:rPr>
      </w:pPr>
      <w:bookmarkStart w:id="35" w:name="_Toc382082378"/>
      <w:bookmarkStart w:id="36"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15,526</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9,564</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2,674</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280</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1</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9,564</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15,526</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59.67%</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65.10%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61.60%</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2,955</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15,526</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20.09%</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17.90%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19.03%</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 xml:space="preserve">In addition to annual Local Implementation for Results grants, the DEI/SES awarded three local school systems "Effective Evidence-Based Inclusion Policies and Practices within a Comprehensive Birth-Kindergarten System" competitive grants in FFY 2020 to help facilitate improvement in inclusive practices at the local level. </w:t>
      </w:r>
      <w:proofErr w:type="gramStart"/>
      <w:r w:rsidRPr="005C29F8">
        <w:rPr>
          <w:rFonts w:cs="Arial"/>
          <w:color w:val="000000" w:themeColor="text1"/>
          <w:szCs w:val="16"/>
        </w:rPr>
        <w:t>Additionally</w:t>
      </w:r>
      <w:proofErr w:type="gramEnd"/>
      <w:r w:rsidRPr="005C29F8">
        <w:rPr>
          <w:rFonts w:cs="Arial"/>
          <w:color w:val="000000" w:themeColor="text1"/>
          <w:szCs w:val="16"/>
        </w:rPr>
        <w:t xml:space="preserve"> the State is engaged in technical assistance with the ECTA &amp; NCPMI to implement the National Indicators of High Quality Inclusion.</w:t>
      </w:r>
      <w:r w:rsidRPr="005C29F8">
        <w:rPr>
          <w:rFonts w:cs="Arial"/>
          <w:color w:val="000000" w:themeColor="text1"/>
          <w:szCs w:val="16"/>
        </w:rPr>
        <w:br/>
      </w:r>
      <w:r w:rsidRPr="005C29F8">
        <w:rPr>
          <w:rFonts w:cs="Arial"/>
          <w:color w:val="000000" w:themeColor="text1"/>
          <w:szCs w:val="16"/>
        </w:rPr>
        <w:br/>
        <w:t xml:space="preserve">The collection and reporting of data for this indicator were not impacted by the COVID-19 pandemic.  </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5"/>
      <w:bookmarkEnd w:id="36"/>
    </w:p>
    <w:p w14:paraId="1404DCF9" w14:textId="77777777" w:rsidR="00531E54" w:rsidRPr="005C29F8" w:rsidRDefault="00531E54" w:rsidP="00A018D4">
      <w:pPr>
        <w:rPr>
          <w:color w:val="000000" w:themeColor="text1"/>
          <w:szCs w:val="20"/>
        </w:rPr>
      </w:pPr>
      <w:bookmarkStart w:id="37"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7"/>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68.70%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68.90%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68.90%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68.53%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68.78%</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68.53%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64.54%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69.70%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63.08%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68.53%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69.90%</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67.80%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52.75%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53.00%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52.75%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62.20%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62.47%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56.35%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52.75%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52.25%</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67.40%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67.60%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67.60%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72.12%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72.37%</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72.12%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62.45%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66.29%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67.10%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72.12%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72.74%</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57.10%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57.20%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57.20%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50.87%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51.12%</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50.87%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50.10%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50.01%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51.56%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50.87%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49.88%</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62.90%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63.10%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63.10%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71.40%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71.65%</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71.40%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61.13%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66.70%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71.40%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72.58%</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65.70%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65.70%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59.23%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59.48%</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59.23%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61.30%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62.81%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63.89%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59.23%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58.40%</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68.78%</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53.00%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72.37%</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51.12%</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71.65%</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59.48%</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 xml:space="preserve">No changes to baselines are being proposed for FFY 2019. To set targets, the MSDE obtained stakeholder feedback through a survey sent to Special Education stakeholders, including Local Special Education Directors, Local Preschool Coordinators, and all members of the Special Education State Advisory Committee (SESAC). Survey results guided target setting and proposed targets are included with this APR submission. </w:t>
      </w:r>
      <w:r w:rsidRPr="005C29F8">
        <w:rPr>
          <w:rFonts w:cs="Arial"/>
          <w:color w:val="000000" w:themeColor="text1"/>
          <w:szCs w:val="16"/>
        </w:rPr>
        <w:br/>
      </w:r>
      <w:r w:rsidRPr="005C29F8">
        <w:rPr>
          <w:rFonts w:cs="Arial"/>
          <w:color w:val="000000" w:themeColor="text1"/>
          <w:szCs w:val="16"/>
        </w:rPr>
        <w:br/>
        <w:t>Throughout FFY 2019, the MSDE provided information and preliminary data on the Part B APR indicators and multiple opportunities for questions, 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preschool indicators). Those special APR presentations were made to the State Interagency Coordinating Council (SICC) on January 7, 2021 (for Part C and preschool indicators) and to the SESAC on January 28, 2021.</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4,562</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60</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1.32%</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1,017</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22.29%</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1,231</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26.98%</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1,336</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29.29%</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918</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20.12%</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w:t>
            </w:r>
            <w:r w:rsidRPr="005C29F8">
              <w:rPr>
                <w:rFonts w:cs="Arial"/>
                <w:color w:val="000000" w:themeColor="text1"/>
                <w:szCs w:val="16"/>
              </w:rPr>
              <w:lastRenderedPageBreak/>
              <w:t xml:space="preserve">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2,567</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3,644</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69.90%</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68.78%</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70.44%</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2,254</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4,562</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52.25%</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53.00%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49.41%</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56</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1.23%</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996</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21.83%</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1,325</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29.04%</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1,507</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33.03%</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678</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14.86%</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2,832</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3,884</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72.74%</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72.37%</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72.91%</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2,185</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4,562</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49.88%</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51.12%</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47.90%</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75</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1.64%</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971</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21.28%</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929</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20.36%</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1,650</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36.17%</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937</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20.54%</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lastRenderedPageBreak/>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2,579</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3,625</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72.58%</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71.65%</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71.14%</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2,587</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4,562</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58.40%</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59.48%</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56.71%</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The DEI/SES continues to focus on fidelity of the Child Outcomes Summary (COS) process with a strong emphasis on authentic assessment practices along with the use of age anchoring tools and the decision tree for every COS rating. Revised B-K COS training was implemented in 2017 and this intense focus is contributing to decreases in the child outcomes data, in each of the three childhood outcomes Summary Statements #2 as data quality improves. Local preschool special education providers and leaders recognize that COS ratings have previously been elevated at entry. A new IEP COS Entry report supports data analysis at the program and provider level. For Summary Statement #2, data analysis indicates that significant less children are entering with a COS score of 6 or 7, which overall lowers the percentages across all three indicators. </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The DEI/SES continues to focus on fidelity of the Child Outcomes Summary (COS) process with a strong emphasis on authentic assessment practices along with the use of age anchoring tools and the decision tree for every COS rating. Revised B-K COS training was implemented in 2017 and this intense focus is contributing to decreases in the child outcomes data, in each of the three childhood outcomes Summary Statements #2 as data quality improves. Local preschool special education providers and leaders recognize that COS ratings have previously been elevated at entry. A new IEP COS Entry report supports data analysis at the program and provider level. For Summary Statement #2, data analysis indicates that significant less children are entering with a COS score of 6 or 7, which overall lowers the percentages across all three indicators. </w:t>
            </w:r>
          </w:p>
        </w:tc>
      </w:tr>
      <w:tr w:rsidR="005C29F8" w:rsidRPr="005C29F8" w14:paraId="52A26FBD" w14:textId="77777777" w:rsidTr="003138F9">
        <w:tc>
          <w:tcPr>
            <w:tcW w:w="375" w:type="pct"/>
            <w:vAlign w:val="center"/>
          </w:tcPr>
          <w:p w14:paraId="2ED6B5B9" w14:textId="77777777" w:rsidR="005033CE" w:rsidRPr="005C29F8" w:rsidRDefault="005033CE" w:rsidP="004369B2">
            <w:pPr>
              <w:jc w:val="center"/>
              <w:rPr>
                <w:b/>
                <w:color w:val="000000" w:themeColor="text1"/>
              </w:rPr>
            </w:pPr>
            <w:r w:rsidRPr="005C29F8">
              <w:rPr>
                <w:b/>
                <w:color w:val="000000" w:themeColor="text1"/>
              </w:rPr>
              <w:t>C1</w:t>
            </w:r>
          </w:p>
        </w:tc>
        <w:tc>
          <w:tcPr>
            <w:tcW w:w="4625" w:type="pct"/>
            <w:shd w:val="clear" w:color="auto" w:fill="auto"/>
          </w:tcPr>
          <w:p w14:paraId="7E064C1A" w14:textId="356EB505" w:rsidR="005033CE" w:rsidRPr="005C29F8" w:rsidRDefault="005033CE" w:rsidP="00E21107">
            <w:pPr>
              <w:rPr>
                <w:rFonts w:cs="Arial"/>
                <w:color w:val="000000" w:themeColor="text1"/>
                <w:szCs w:val="16"/>
              </w:rPr>
            </w:pPr>
            <w:r w:rsidRPr="005C29F8">
              <w:rPr>
                <w:rFonts w:cs="Arial"/>
                <w:color w:val="000000" w:themeColor="text1"/>
                <w:szCs w:val="16"/>
              </w:rPr>
              <w:t>The DEI/SES continues to focus on fidelity of the Child Outcomes Summary (COS) process with a strong emphasis on authentic assessment practices along with the use of age anchoring tools and the decision tree for every COS rating. Revised B-K COS training was implemented in 2017 and this intense focus is contributing to decreases in the child outcomes data, in each of the three childhood outcomes Summary Statements as data quality improves. Local preschool special education providers and leaders recognize that COS ratings have previously been elevated at entry. A new IEP COS Entry report supports data analysis at the program and provider level. For Summary Statement #1, children with high entry ratings prior to training are exiting without showing significant gains in their developmental trajectory compared to same age peers.</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The DEI/SES continues to focus on fidelity of the Child Outcomes Summary (COS) process with a strong emphasis on authentic assessment practices along with the use of age anchoring tools and the decision tree for every COS rating. Revised B-K COS training was implemented in 2017 and this intense focus is contributing to decreases in the child outcomes data, in each of the three childhood outcomes Summary Statements #2 as data quality improves. Local preschool special education providers and leaders recognize that COS ratings have previously been elevated at entry. A new IEP COS Entry report supports data analysis at the program and provider level. For Summary Statement #2, data analysis indicates that significant less children are entering with a COS score of 6 or 7, which overall lowers the percentages across all three indicators. </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8" w:name="_Toc382082381"/>
      <w:bookmarkStart w:id="39"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The State uses the Child Outcomes Summary (COS) Process which has been integrated into the preschool portion of the IEP.</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The collection and reporting of data for this indicator were not impacted by the COVID-19 pandemic.  </w:t>
      </w:r>
    </w:p>
    <w:p w14:paraId="729220FB" w14:textId="2C05A12E" w:rsidR="000A2C83" w:rsidRPr="0033429D" w:rsidRDefault="00C96236" w:rsidP="008645AD">
      <w:pPr>
        <w:pStyle w:val="Heading2"/>
      </w:pPr>
      <w:r w:rsidRPr="0033429D">
        <w:lastRenderedPageBreak/>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8"/>
      <w:bookmarkEnd w:id="39"/>
    </w:p>
    <w:p w14:paraId="66FBCA03" w14:textId="77777777" w:rsidR="00B654C1" w:rsidRPr="005C29F8" w:rsidRDefault="00B654C1" w:rsidP="00A018D4">
      <w:pPr>
        <w:rPr>
          <w:color w:val="000000" w:themeColor="text1"/>
          <w:szCs w:val="20"/>
        </w:rPr>
      </w:pPr>
      <w:bookmarkStart w:id="40"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382D466C" w14:textId="23B61DDF" w:rsidTr="00487CBD">
        <w:tc>
          <w:tcPr>
            <w:tcW w:w="8324" w:type="dxa"/>
          </w:tcPr>
          <w:p w14:paraId="3ABB22A7" w14:textId="34110540" w:rsidR="000B547A" w:rsidRPr="005C29F8" w:rsidRDefault="006603CA" w:rsidP="00286BDF">
            <w:pPr>
              <w:rPr>
                <w:rFonts w:cs="Arial"/>
                <w:color w:val="000000" w:themeColor="text1"/>
                <w:szCs w:val="16"/>
              </w:rPr>
            </w:pPr>
            <w:r w:rsidRPr="005C29F8">
              <w:rPr>
                <w:rFonts w:cs="Arial"/>
                <w:color w:val="000000" w:themeColor="text1"/>
                <w:szCs w:val="16"/>
              </w:rPr>
              <w:t>If yes, will you be providing the data for preschool children separately?</w:t>
            </w:r>
          </w:p>
        </w:tc>
        <w:tc>
          <w:tcPr>
            <w:tcW w:w="2476" w:type="dxa"/>
          </w:tcPr>
          <w:p w14:paraId="2D03EBC9" w14:textId="5CCCA5EA" w:rsidR="000B547A" w:rsidRPr="005C29F8" w:rsidRDefault="002B7490" w:rsidP="00A018D4">
            <w:pPr>
              <w:jc w:val="center"/>
              <w:rPr>
                <w:rFonts w:cs="Arial"/>
                <w:color w:val="000000" w:themeColor="text1"/>
                <w:szCs w:val="16"/>
              </w:rPr>
            </w:pPr>
            <w:r w:rsidRPr="005C29F8">
              <w:rPr>
                <w:rFonts w:cs="Arial"/>
                <w:color w:val="000000" w:themeColor="text1"/>
                <w:szCs w:val="16"/>
              </w:rPr>
              <w:t>YES</w:t>
            </w:r>
          </w:p>
        </w:tc>
      </w:tr>
    </w:tbl>
    <w:bookmarkEnd w:id="40"/>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71AF2AFF" w14:textId="77777777" w:rsidR="00487CBD" w:rsidRPr="005C29F8" w:rsidRDefault="00487CBD" w:rsidP="00487CBD">
      <w:pPr>
        <w:rPr>
          <w:rFonts w:cs="Arial"/>
          <w:color w:val="000000" w:themeColor="text1"/>
          <w:szCs w:val="16"/>
        </w:rPr>
      </w:pPr>
      <w:r w:rsidRPr="005C29F8">
        <w:rPr>
          <w:rFonts w:cs="Arial"/>
          <w:color w:val="000000" w:themeColor="text1"/>
          <w:szCs w:val="16"/>
        </w:rPr>
        <w:t xml:space="preserve">Prior to administering the surveys, a suite of resources that special education staff at each LSS/PA, and other stakeholders with access to parents of children with special needs, could use to encourage parents to complete the survey. The resources included flyers, web banners, and text that stakeholders could insert in a newsletter or other communication with parents. The Local Family Support Coordinators (LFSC) were also provided these materials and included the information in their newsletters, during trainings and workshops that included parents and other providers in the </w:t>
      </w:r>
      <w:proofErr w:type="spellStart"/>
      <w:r w:rsidRPr="005C29F8">
        <w:rPr>
          <w:rFonts w:cs="Arial"/>
          <w:color w:val="000000" w:themeColor="text1"/>
          <w:szCs w:val="16"/>
        </w:rPr>
        <w:t>the</w:t>
      </w:r>
      <w:proofErr w:type="spellEnd"/>
      <w:r w:rsidRPr="005C29F8">
        <w:rPr>
          <w:rFonts w:cs="Arial"/>
          <w:color w:val="000000" w:themeColor="text1"/>
          <w:szCs w:val="16"/>
        </w:rPr>
        <w:t xml:space="preserve"> community. The original fielding period for the surveys was February 3, </w:t>
      </w:r>
      <w:proofErr w:type="gramStart"/>
      <w:r w:rsidRPr="005C29F8">
        <w:rPr>
          <w:rFonts w:cs="Arial"/>
          <w:color w:val="000000" w:themeColor="text1"/>
          <w:szCs w:val="16"/>
        </w:rPr>
        <w:t>2020</w:t>
      </w:r>
      <w:proofErr w:type="gramEnd"/>
      <w:r w:rsidRPr="005C29F8">
        <w:rPr>
          <w:rFonts w:cs="Arial"/>
          <w:color w:val="000000" w:themeColor="text1"/>
          <w:szCs w:val="16"/>
        </w:rPr>
        <w:t xml:space="preserve"> to May 15, 2020. On March 12, 2020, the State Superintendent of schools announced that schools would be closed from March 16th through March 27, 2020, in response to the COVID-19 pandemic. Schools were eventually closed for the remainder of the year with online learning implemented across all jurisdictions. In prior years, each LSS and PA would have been contacted via phone and email to increase response rates. However, this could not be completed for this year’s survey. After discussions with the various LSS and PA coordinators, regarding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response rates could be increased by extending the survey into June by, MSDE it was decided that the survey would only be extended until May 29, 2020.</w:t>
      </w:r>
      <w:r w:rsidRPr="005C29F8">
        <w:rPr>
          <w:rFonts w:cs="Arial"/>
          <w:color w:val="000000" w:themeColor="text1"/>
          <w:szCs w:val="16"/>
        </w:rPr>
        <w:br/>
      </w:r>
      <w:r w:rsidRPr="005C29F8">
        <w:rPr>
          <w:rFonts w:cs="Arial"/>
          <w:color w:val="000000" w:themeColor="text1"/>
          <w:szCs w:val="16"/>
        </w:rPr>
        <w:br/>
        <w:t xml:space="preserve">No changes to baselines are being proposed for FFY 2019. To set targets, the MSDE obtained stakeholder feedback through a survey sent to Special Education stakeholders, including Local Special Education Directors, Local Preschool Coordinators, and all members of the Special Education State Advisory Committee (SESAC). Survey results guided target setting and proposed targets are included with this APR submission. </w:t>
      </w:r>
      <w:r w:rsidRPr="005C29F8">
        <w:rPr>
          <w:rFonts w:cs="Arial"/>
          <w:color w:val="000000" w:themeColor="text1"/>
          <w:szCs w:val="16"/>
        </w:rPr>
        <w:br/>
      </w:r>
      <w:r w:rsidRPr="005C29F8">
        <w:rPr>
          <w:rFonts w:cs="Arial"/>
          <w:color w:val="000000" w:themeColor="text1"/>
          <w:szCs w:val="16"/>
        </w:rPr>
        <w:br/>
        <w:t>Throughout FFY 2019, the MSDE provided information and preliminary data on the Part B APR indicators and multiple opportunities for questions, 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preschool indicators). Those special APR presentations were made to the State Interagency Coordinating Council (SICC) on January 7, 2021 (for Part C and preschool indicators) and to the SESAC on January 28, 2021.</w:t>
      </w:r>
    </w:p>
    <w:p w14:paraId="339F3968" w14:textId="6278D154" w:rsidR="008B600B" w:rsidRPr="005C29F8" w:rsidRDefault="008B600B" w:rsidP="004369B2">
      <w:pPr>
        <w:rPr>
          <w:rFonts w:cs="Arial"/>
          <w:color w:val="000000" w:themeColor="text1"/>
          <w:szCs w:val="16"/>
        </w:rPr>
      </w:pPr>
    </w:p>
    <w:p w14:paraId="75502588" w14:textId="77777777" w:rsidR="007E2779" w:rsidRPr="005C29F8" w:rsidRDefault="007E2779" w:rsidP="007E2779">
      <w:pPr>
        <w:pStyle w:val="Bold"/>
        <w:rPr>
          <w:color w:val="000000" w:themeColor="text1"/>
        </w:rPr>
      </w:pPr>
    </w:p>
    <w:p w14:paraId="727B6F00" w14:textId="79E68F2F" w:rsidR="008B600B" w:rsidRPr="005C29F8" w:rsidRDefault="005A338D"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8HISTDATAOPT2"/>
      </w:tblPr>
      <w:tblGrid>
        <w:gridCol w:w="1075"/>
        <w:gridCol w:w="1081"/>
        <w:gridCol w:w="809"/>
        <w:gridCol w:w="1565"/>
        <w:gridCol w:w="1565"/>
        <w:gridCol w:w="1565"/>
        <w:gridCol w:w="1565"/>
        <w:gridCol w:w="1565"/>
      </w:tblGrid>
      <w:tr w:rsidR="005C29F8" w:rsidRPr="005C29F8" w14:paraId="2D33FEF4" w14:textId="77777777" w:rsidTr="00887C29">
        <w:trPr>
          <w:trHeight w:val="350"/>
        </w:trPr>
        <w:tc>
          <w:tcPr>
            <w:tcW w:w="498" w:type="pct"/>
            <w:tcBorders>
              <w:top w:val="single" w:sz="4" w:space="0" w:color="auto"/>
              <w:left w:val="single" w:sz="4" w:space="0" w:color="auto"/>
              <w:bottom w:val="single" w:sz="4" w:space="0" w:color="auto"/>
              <w:right w:val="single" w:sz="4" w:space="0" w:color="auto"/>
            </w:tcBorders>
            <w:shd w:val="clear" w:color="auto" w:fill="auto"/>
            <w:vAlign w:val="bottom"/>
          </w:tcPr>
          <w:p w14:paraId="5EB3EEFE" w14:textId="03A7695C" w:rsidR="005A338D" w:rsidRPr="005C29F8" w:rsidRDefault="00D05754" w:rsidP="005A338D">
            <w:pPr>
              <w:spacing w:line="276" w:lineRule="auto"/>
              <w:jc w:val="center"/>
              <w:rPr>
                <w:rFonts w:cs="Arial"/>
                <w:b/>
                <w:color w:val="000000" w:themeColor="text1"/>
                <w:szCs w:val="16"/>
              </w:rPr>
            </w:pPr>
            <w:r>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7E4819B" w14:textId="655F9388" w:rsidR="005A338D" w:rsidRPr="005C29F8" w:rsidRDefault="005A338D" w:rsidP="005A338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44CF066" w14:textId="77777777" w:rsidR="005A338D" w:rsidRPr="005C29F8" w:rsidRDefault="005A338D" w:rsidP="005A338D">
            <w:pPr>
              <w:spacing w:line="276" w:lineRule="auto"/>
              <w:jc w:val="center"/>
              <w:rPr>
                <w:rFonts w:cs="Arial"/>
                <w:b/>
                <w:color w:val="000000" w:themeColor="text1"/>
                <w:szCs w:val="16"/>
              </w:rPr>
            </w:pPr>
            <w:r w:rsidRPr="005C29F8">
              <w:rPr>
                <w:rFonts w:cs="Arial"/>
                <w:b/>
                <w:color w:val="000000" w:themeColor="text1"/>
                <w:szCs w:val="16"/>
              </w:rPr>
              <w:t>FFY</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F51C6" w14:textId="7E09FE30"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0CECE" w14:textId="3FF827AD"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16A7F52" w14:textId="0BA19F87"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30F07" w14:textId="009C6F9A"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48020" w14:textId="2BFD879A"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6BDFBB6B" w14:textId="77777777" w:rsidTr="00887C29">
        <w:trPr>
          <w:trHeight w:val="70"/>
        </w:trPr>
        <w:tc>
          <w:tcPr>
            <w:tcW w:w="498" w:type="pct"/>
            <w:tcBorders>
              <w:top w:val="single" w:sz="4" w:space="0" w:color="auto"/>
              <w:left w:val="single" w:sz="4" w:space="0" w:color="auto"/>
              <w:right w:val="single" w:sz="4" w:space="0" w:color="auto"/>
            </w:tcBorders>
            <w:shd w:val="clear" w:color="auto" w:fill="auto"/>
            <w:vAlign w:val="center"/>
          </w:tcPr>
          <w:p w14:paraId="3EC89A60" w14:textId="4FA54E8E" w:rsidR="005A338D" w:rsidRPr="005C29F8" w:rsidRDefault="005A338D" w:rsidP="004369B2">
            <w:pPr>
              <w:spacing w:line="276" w:lineRule="auto"/>
              <w:jc w:val="center"/>
              <w:rPr>
                <w:rFonts w:cs="Arial"/>
                <w:color w:val="000000" w:themeColor="text1"/>
                <w:szCs w:val="16"/>
              </w:rPr>
            </w:pPr>
            <w:r w:rsidRPr="005C29F8">
              <w:rPr>
                <w:rFonts w:cs="Arial"/>
                <w:color w:val="000000" w:themeColor="text1"/>
                <w:szCs w:val="16"/>
              </w:rPr>
              <w:t>Preschool</w:t>
            </w:r>
          </w:p>
        </w:tc>
        <w:tc>
          <w:tcPr>
            <w:tcW w:w="501" w:type="pct"/>
            <w:tcBorders>
              <w:top w:val="single" w:sz="4" w:space="0" w:color="auto"/>
              <w:left w:val="single" w:sz="4" w:space="0" w:color="auto"/>
              <w:right w:val="single" w:sz="4" w:space="0" w:color="auto"/>
            </w:tcBorders>
            <w:shd w:val="clear" w:color="auto" w:fill="auto"/>
          </w:tcPr>
          <w:p w14:paraId="30D73682" w14:textId="397B1726" w:rsidR="005A338D"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2E6B4" w14:textId="1EABBC06"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Target &gt;=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6695A30" w14:textId="4F3F96D0" w:rsidR="005A338D" w:rsidRPr="005C29F8" w:rsidRDefault="002B7490" w:rsidP="00A018D4">
            <w:pPr>
              <w:jc w:val="center"/>
              <w:rPr>
                <w:rFonts w:cs="Arial"/>
                <w:color w:val="000000" w:themeColor="text1"/>
                <w:szCs w:val="16"/>
              </w:rPr>
            </w:pPr>
            <w:r w:rsidRPr="005C29F8">
              <w:rPr>
                <w:rFonts w:cs="Arial"/>
                <w:color w:val="000000" w:themeColor="text1"/>
                <w:szCs w:val="16"/>
              </w:rPr>
              <w:t>47.00%</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2B5B243" w14:textId="6107E7F9" w:rsidR="005A338D" w:rsidRPr="005C29F8" w:rsidRDefault="002B7490" w:rsidP="00A018D4">
            <w:pPr>
              <w:jc w:val="center"/>
              <w:rPr>
                <w:rFonts w:cs="Arial"/>
                <w:color w:val="000000" w:themeColor="text1"/>
                <w:szCs w:val="16"/>
              </w:rPr>
            </w:pPr>
            <w:r w:rsidRPr="005C29F8">
              <w:rPr>
                <w:rFonts w:cs="Arial"/>
                <w:color w:val="000000" w:themeColor="text1"/>
                <w:szCs w:val="16"/>
              </w:rPr>
              <w:t>48.00%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F84917A" w14:textId="5FE4F2AA" w:rsidR="005A338D" w:rsidRPr="005C29F8" w:rsidRDefault="002B7490" w:rsidP="00A018D4">
            <w:pPr>
              <w:jc w:val="center"/>
              <w:rPr>
                <w:rFonts w:cs="Arial"/>
                <w:color w:val="000000" w:themeColor="text1"/>
                <w:szCs w:val="16"/>
              </w:rPr>
            </w:pPr>
            <w:r w:rsidRPr="005C29F8">
              <w:rPr>
                <w:rFonts w:cs="Arial"/>
                <w:color w:val="000000" w:themeColor="text1"/>
                <w:szCs w:val="16"/>
              </w:rPr>
              <w:t>83.00%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BCDC6B1" w14:textId="6CC00003" w:rsidR="005A338D"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04C582E" w14:textId="20B89267" w:rsidR="005A338D" w:rsidRPr="005C29F8" w:rsidRDefault="002B7490" w:rsidP="00A018D4">
            <w:pPr>
              <w:jc w:val="center"/>
              <w:rPr>
                <w:rFonts w:cs="Arial"/>
                <w:color w:val="000000" w:themeColor="text1"/>
                <w:szCs w:val="16"/>
              </w:rPr>
            </w:pPr>
            <w:r w:rsidRPr="005C29F8">
              <w:rPr>
                <w:rFonts w:cs="Arial"/>
                <w:color w:val="000000" w:themeColor="text1"/>
                <w:szCs w:val="16"/>
              </w:rPr>
              <w:t>85.00%</w:t>
            </w:r>
          </w:p>
        </w:tc>
      </w:tr>
      <w:tr w:rsidR="005C29F8" w:rsidRPr="005C29F8" w14:paraId="5BE01A6E" w14:textId="77777777" w:rsidTr="00887C29">
        <w:trPr>
          <w:trHeight w:val="85"/>
        </w:trPr>
        <w:tc>
          <w:tcPr>
            <w:tcW w:w="498" w:type="pct"/>
            <w:tcBorders>
              <w:left w:val="single" w:sz="4" w:space="0" w:color="auto"/>
              <w:right w:val="single" w:sz="4" w:space="0" w:color="auto"/>
            </w:tcBorders>
            <w:shd w:val="clear" w:color="auto" w:fill="auto"/>
          </w:tcPr>
          <w:p w14:paraId="0125E87E" w14:textId="5AB29B88" w:rsidR="005A338D" w:rsidRPr="005C29F8" w:rsidRDefault="00230EE6" w:rsidP="004369B2">
            <w:pPr>
              <w:spacing w:line="276" w:lineRule="auto"/>
              <w:jc w:val="center"/>
              <w:rPr>
                <w:rFonts w:cs="Arial"/>
                <w:color w:val="000000" w:themeColor="text1"/>
                <w:szCs w:val="16"/>
              </w:rPr>
            </w:pPr>
            <w:r w:rsidRPr="005C29F8">
              <w:rPr>
                <w:rFonts w:cs="Arial"/>
                <w:color w:val="000000" w:themeColor="text1"/>
                <w:szCs w:val="16"/>
              </w:rPr>
              <w:t>Preschool</w:t>
            </w:r>
          </w:p>
        </w:tc>
        <w:tc>
          <w:tcPr>
            <w:tcW w:w="501" w:type="pct"/>
            <w:tcBorders>
              <w:left w:val="single" w:sz="4" w:space="0" w:color="auto"/>
              <w:right w:val="single" w:sz="4" w:space="0" w:color="auto"/>
            </w:tcBorders>
            <w:shd w:val="clear" w:color="auto" w:fill="auto"/>
          </w:tcPr>
          <w:p w14:paraId="2654DD8D" w14:textId="0A21E59E" w:rsidR="005A338D" w:rsidRPr="005C29F8" w:rsidRDefault="002B7490" w:rsidP="00A018D4">
            <w:pPr>
              <w:jc w:val="center"/>
              <w:rPr>
                <w:rFonts w:cs="Arial"/>
                <w:color w:val="000000" w:themeColor="text1"/>
                <w:szCs w:val="16"/>
              </w:rPr>
            </w:pPr>
            <w:r w:rsidRPr="005C29F8">
              <w:rPr>
                <w:rFonts w:cs="Arial"/>
                <w:color w:val="000000" w:themeColor="text1"/>
                <w:szCs w:val="16"/>
              </w:rPr>
              <w:t>82.99%</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43168" w14:textId="77777777"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1A83731" w14:textId="348F41D2" w:rsidR="005A338D" w:rsidRPr="005C29F8" w:rsidRDefault="002B7490" w:rsidP="00A018D4">
            <w:pPr>
              <w:jc w:val="center"/>
              <w:rPr>
                <w:rFonts w:cs="Arial"/>
                <w:color w:val="000000" w:themeColor="text1"/>
                <w:szCs w:val="16"/>
              </w:rPr>
            </w:pPr>
            <w:r w:rsidRPr="005C29F8">
              <w:rPr>
                <w:rFonts w:cs="Arial"/>
                <w:color w:val="000000" w:themeColor="text1"/>
                <w:szCs w:val="16"/>
              </w:rPr>
              <w:t>47.01%</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D5A0ACF" w14:textId="15CB8B48" w:rsidR="005A338D" w:rsidRPr="005C29F8" w:rsidRDefault="002B7490" w:rsidP="00A018D4">
            <w:pPr>
              <w:jc w:val="center"/>
              <w:rPr>
                <w:rFonts w:cs="Arial"/>
                <w:color w:val="000000" w:themeColor="text1"/>
                <w:szCs w:val="16"/>
              </w:rPr>
            </w:pPr>
            <w:r w:rsidRPr="005C29F8">
              <w:rPr>
                <w:rFonts w:cs="Arial"/>
                <w:color w:val="000000" w:themeColor="text1"/>
                <w:szCs w:val="16"/>
              </w:rPr>
              <w:t>50.02%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25D8BA5" w14:textId="09C400D5" w:rsidR="005A338D" w:rsidRPr="005C29F8" w:rsidRDefault="002B7490" w:rsidP="00A018D4">
            <w:pPr>
              <w:jc w:val="center"/>
              <w:rPr>
                <w:rFonts w:cs="Arial"/>
                <w:color w:val="000000" w:themeColor="text1"/>
                <w:szCs w:val="16"/>
              </w:rPr>
            </w:pPr>
            <w:r w:rsidRPr="005C29F8">
              <w:rPr>
                <w:rFonts w:cs="Arial"/>
                <w:color w:val="000000" w:themeColor="text1"/>
                <w:szCs w:val="16"/>
              </w:rPr>
              <w:t>82.99%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9C2EC0B" w14:textId="7AAF32B9" w:rsidR="005A338D" w:rsidRPr="005C29F8" w:rsidRDefault="002B7490" w:rsidP="00A018D4">
            <w:pPr>
              <w:jc w:val="center"/>
              <w:rPr>
                <w:rFonts w:cs="Arial"/>
                <w:color w:val="000000" w:themeColor="text1"/>
                <w:szCs w:val="16"/>
              </w:rPr>
            </w:pPr>
            <w:r w:rsidRPr="005C29F8">
              <w:rPr>
                <w:rFonts w:cs="Arial"/>
                <w:color w:val="000000" w:themeColor="text1"/>
                <w:szCs w:val="16"/>
              </w:rPr>
              <w:t>80.98%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5E63731" w14:textId="7F8AF13B" w:rsidR="005A338D" w:rsidRPr="005C29F8" w:rsidRDefault="002B7490" w:rsidP="00A018D4">
            <w:pPr>
              <w:jc w:val="center"/>
              <w:rPr>
                <w:rFonts w:cs="Arial"/>
                <w:color w:val="000000" w:themeColor="text1"/>
                <w:szCs w:val="16"/>
              </w:rPr>
            </w:pPr>
            <w:r w:rsidRPr="005C29F8">
              <w:rPr>
                <w:rFonts w:cs="Arial"/>
                <w:color w:val="000000" w:themeColor="text1"/>
                <w:szCs w:val="16"/>
              </w:rPr>
              <w:t>82.03%</w:t>
            </w:r>
          </w:p>
        </w:tc>
      </w:tr>
      <w:tr w:rsidR="005C29F8" w:rsidRPr="005C29F8" w14:paraId="057E693C" w14:textId="77777777" w:rsidTr="00887C29">
        <w:trPr>
          <w:trHeight w:val="357"/>
        </w:trPr>
        <w:tc>
          <w:tcPr>
            <w:tcW w:w="498" w:type="pct"/>
            <w:tcBorders>
              <w:top w:val="single" w:sz="4" w:space="0" w:color="auto"/>
              <w:left w:val="single" w:sz="4" w:space="0" w:color="auto"/>
              <w:right w:val="single" w:sz="4" w:space="0" w:color="auto"/>
            </w:tcBorders>
            <w:shd w:val="clear" w:color="auto" w:fill="auto"/>
            <w:vAlign w:val="center"/>
          </w:tcPr>
          <w:p w14:paraId="3F62E0AD" w14:textId="04C6C51F" w:rsidR="005A338D" w:rsidRPr="005C29F8" w:rsidRDefault="005A338D" w:rsidP="004369B2">
            <w:pPr>
              <w:spacing w:line="276" w:lineRule="auto"/>
              <w:jc w:val="center"/>
              <w:rPr>
                <w:rFonts w:cs="Arial"/>
                <w:color w:val="000000" w:themeColor="text1"/>
                <w:szCs w:val="16"/>
              </w:rPr>
            </w:pPr>
            <w:r w:rsidRPr="005C29F8">
              <w:rPr>
                <w:rFonts w:cs="Arial"/>
                <w:color w:val="000000" w:themeColor="text1"/>
                <w:szCs w:val="16"/>
              </w:rPr>
              <w:lastRenderedPageBreak/>
              <w:t>School age</w:t>
            </w:r>
          </w:p>
        </w:tc>
        <w:tc>
          <w:tcPr>
            <w:tcW w:w="501" w:type="pct"/>
            <w:tcBorders>
              <w:top w:val="single" w:sz="4" w:space="0" w:color="auto"/>
              <w:left w:val="single" w:sz="4" w:space="0" w:color="auto"/>
              <w:right w:val="single" w:sz="4" w:space="0" w:color="auto"/>
            </w:tcBorders>
            <w:shd w:val="clear" w:color="auto" w:fill="auto"/>
          </w:tcPr>
          <w:p w14:paraId="4F522A35" w14:textId="3619BD83" w:rsidR="005A338D"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A1989" w14:textId="68AC0ADC"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Target &gt;=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0224DEC" w14:textId="025958BD" w:rsidR="005A338D" w:rsidRPr="005C29F8" w:rsidRDefault="002B7490" w:rsidP="00A018D4">
            <w:pPr>
              <w:jc w:val="center"/>
              <w:rPr>
                <w:rFonts w:cs="Arial"/>
                <w:color w:val="000000" w:themeColor="text1"/>
                <w:szCs w:val="16"/>
              </w:rPr>
            </w:pPr>
            <w:r w:rsidRPr="005C29F8">
              <w:rPr>
                <w:rFonts w:cs="Arial"/>
                <w:color w:val="000000" w:themeColor="text1"/>
                <w:szCs w:val="16"/>
              </w:rPr>
              <w:t>39.00%</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F143691" w14:textId="7FE45612" w:rsidR="005A338D"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57E3EBA" w14:textId="5F33BE5E" w:rsidR="005A338D"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7394E8B" w14:textId="4AE64919" w:rsidR="005A338D"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C8716B2" w14:textId="0C095DB4" w:rsidR="005A338D" w:rsidRPr="005C29F8" w:rsidRDefault="002B7490" w:rsidP="00A018D4">
            <w:pPr>
              <w:jc w:val="center"/>
              <w:rPr>
                <w:rFonts w:cs="Arial"/>
                <w:color w:val="000000" w:themeColor="text1"/>
                <w:szCs w:val="16"/>
              </w:rPr>
            </w:pPr>
            <w:r w:rsidRPr="005C29F8">
              <w:rPr>
                <w:rFonts w:cs="Arial"/>
                <w:color w:val="000000" w:themeColor="text1"/>
                <w:szCs w:val="16"/>
              </w:rPr>
              <w:t>72.00%</w:t>
            </w:r>
          </w:p>
        </w:tc>
      </w:tr>
      <w:tr w:rsidR="005C29F8" w:rsidRPr="005C29F8" w14:paraId="50EE8305" w14:textId="77777777" w:rsidTr="00887C29">
        <w:trPr>
          <w:trHeight w:val="85"/>
        </w:trPr>
        <w:tc>
          <w:tcPr>
            <w:tcW w:w="498" w:type="pct"/>
            <w:tcBorders>
              <w:left w:val="single" w:sz="4" w:space="0" w:color="auto"/>
              <w:right w:val="single" w:sz="4" w:space="0" w:color="auto"/>
            </w:tcBorders>
            <w:shd w:val="clear" w:color="auto" w:fill="auto"/>
          </w:tcPr>
          <w:p w14:paraId="5D97C99C" w14:textId="4A9B199D" w:rsidR="005A338D" w:rsidRPr="005C29F8" w:rsidRDefault="00230EE6" w:rsidP="004369B2">
            <w:pPr>
              <w:spacing w:line="276" w:lineRule="auto"/>
              <w:jc w:val="center"/>
              <w:rPr>
                <w:rFonts w:cs="Arial"/>
                <w:color w:val="000000" w:themeColor="text1"/>
                <w:szCs w:val="16"/>
              </w:rPr>
            </w:pPr>
            <w:r w:rsidRPr="005C29F8">
              <w:rPr>
                <w:rFonts w:cs="Arial"/>
                <w:color w:val="000000" w:themeColor="text1"/>
                <w:szCs w:val="16"/>
              </w:rPr>
              <w:t>School age</w:t>
            </w:r>
          </w:p>
        </w:tc>
        <w:tc>
          <w:tcPr>
            <w:tcW w:w="501" w:type="pct"/>
            <w:tcBorders>
              <w:left w:val="single" w:sz="4" w:space="0" w:color="auto"/>
              <w:right w:val="single" w:sz="4" w:space="0" w:color="auto"/>
            </w:tcBorders>
            <w:shd w:val="clear" w:color="auto" w:fill="auto"/>
          </w:tcPr>
          <w:p w14:paraId="231E42F6" w14:textId="5F4BE78D" w:rsidR="005A338D"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B9050" w14:textId="77777777"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FDC28B2" w14:textId="3B16D415" w:rsidR="005A338D" w:rsidRPr="005C29F8" w:rsidRDefault="002B7490" w:rsidP="00A018D4">
            <w:pPr>
              <w:jc w:val="center"/>
              <w:rPr>
                <w:rFonts w:cs="Arial"/>
                <w:color w:val="000000" w:themeColor="text1"/>
                <w:szCs w:val="16"/>
              </w:rPr>
            </w:pPr>
            <w:r w:rsidRPr="005C29F8">
              <w:rPr>
                <w:rFonts w:cs="Arial"/>
                <w:color w:val="000000" w:themeColor="text1"/>
                <w:szCs w:val="16"/>
              </w:rPr>
              <w:t>39.00%</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C123A7D" w14:textId="3AF3E75F" w:rsidR="005A338D" w:rsidRPr="005C29F8" w:rsidRDefault="002B7490" w:rsidP="00A018D4">
            <w:pPr>
              <w:jc w:val="center"/>
              <w:rPr>
                <w:rFonts w:cs="Arial"/>
                <w:color w:val="000000" w:themeColor="text1"/>
                <w:szCs w:val="16"/>
              </w:rPr>
            </w:pPr>
            <w:r w:rsidRPr="005C29F8">
              <w:rPr>
                <w:rFonts w:cs="Arial"/>
                <w:color w:val="000000" w:themeColor="text1"/>
                <w:szCs w:val="16"/>
              </w:rPr>
              <w:t>42.07%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25A90C6" w14:textId="2AC847D2" w:rsidR="005A338D"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770BAB9" w14:textId="78D4A5BF" w:rsidR="005A338D"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AB806EE" w14:textId="1DA5CDFC" w:rsidR="005A338D" w:rsidRPr="005C29F8" w:rsidRDefault="002B7490" w:rsidP="00A018D4">
            <w:pPr>
              <w:jc w:val="center"/>
              <w:rPr>
                <w:rFonts w:cs="Arial"/>
                <w:color w:val="000000" w:themeColor="text1"/>
                <w:szCs w:val="16"/>
              </w:rPr>
            </w:pPr>
            <w:r w:rsidRPr="005C29F8">
              <w:rPr>
                <w:rFonts w:cs="Arial"/>
                <w:color w:val="000000" w:themeColor="text1"/>
                <w:szCs w:val="16"/>
              </w:rPr>
              <w:t>69.00%</w:t>
            </w:r>
          </w:p>
        </w:tc>
      </w:tr>
    </w:tbl>
    <w:p w14:paraId="63401A30" w14:textId="77777777" w:rsidR="000417B4" w:rsidRPr="005C29F8" w:rsidRDefault="000417B4" w:rsidP="004369B2">
      <w:pPr>
        <w:rPr>
          <w:color w:val="000000" w:themeColor="text1"/>
        </w:rPr>
      </w:pPr>
    </w:p>
    <w:p w14:paraId="64041579" w14:textId="06E03AE5" w:rsidR="00A80FEB" w:rsidRPr="005C29F8" w:rsidRDefault="00A80FEB" w:rsidP="004369B2">
      <w:pPr>
        <w:rPr>
          <w:color w:val="000000" w:themeColor="text1"/>
        </w:rPr>
      </w:pPr>
      <w:r w:rsidRPr="005C29F8">
        <w:rPr>
          <w:b/>
          <w:color w:val="000000" w:themeColor="text1"/>
        </w:rPr>
        <w:t>Targets</w:t>
      </w:r>
    </w:p>
    <w:tbl>
      <w:tblPr>
        <w:tblW w:w="1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2"/>
      </w:tblPr>
      <w:tblGrid>
        <w:gridCol w:w="1255"/>
        <w:gridCol w:w="2340"/>
      </w:tblGrid>
      <w:tr w:rsidR="00F54A50" w:rsidRPr="005C29F8" w14:paraId="40E7CBAD" w14:textId="2F9AD68F" w:rsidTr="00F54A50">
        <w:trPr>
          <w:trHeight w:val="350"/>
        </w:trPr>
        <w:tc>
          <w:tcPr>
            <w:tcW w:w="1745" w:type="pct"/>
            <w:tcBorders>
              <w:bottom w:val="single" w:sz="4" w:space="0" w:color="auto"/>
            </w:tcBorders>
            <w:shd w:val="clear" w:color="auto" w:fill="auto"/>
          </w:tcPr>
          <w:p w14:paraId="58C1A5E2" w14:textId="77777777" w:rsidR="00F54A50" w:rsidRPr="005C29F8" w:rsidRDefault="00F54A50" w:rsidP="004369B2">
            <w:pPr>
              <w:jc w:val="center"/>
              <w:rPr>
                <w:b/>
                <w:color w:val="000000" w:themeColor="text1"/>
              </w:rPr>
            </w:pPr>
            <w:r w:rsidRPr="005C29F8">
              <w:rPr>
                <w:b/>
                <w:color w:val="000000" w:themeColor="text1"/>
              </w:rPr>
              <w:t>FFY</w:t>
            </w:r>
          </w:p>
        </w:tc>
        <w:tc>
          <w:tcPr>
            <w:tcW w:w="3255" w:type="pct"/>
            <w:shd w:val="clear" w:color="auto" w:fill="auto"/>
            <w:vAlign w:val="center"/>
          </w:tcPr>
          <w:p w14:paraId="1805BFB9" w14:textId="40FB7546" w:rsidR="00F54A50" w:rsidRPr="005C29F8" w:rsidRDefault="00F54A50" w:rsidP="004369B2">
            <w:pPr>
              <w:jc w:val="center"/>
              <w:rPr>
                <w:b/>
                <w:color w:val="000000" w:themeColor="text1"/>
              </w:rPr>
            </w:pPr>
            <w:r w:rsidRPr="005C29F8">
              <w:rPr>
                <w:b/>
                <w:color w:val="000000" w:themeColor="text1"/>
              </w:rPr>
              <w:t>2019</w:t>
            </w:r>
          </w:p>
        </w:tc>
      </w:tr>
      <w:tr w:rsidR="00F54A50" w:rsidRPr="005C29F8" w14:paraId="63497877" w14:textId="65436460" w:rsidTr="00F54A50">
        <w:trPr>
          <w:trHeight w:val="357"/>
        </w:trPr>
        <w:tc>
          <w:tcPr>
            <w:tcW w:w="1745" w:type="pct"/>
            <w:shd w:val="clear" w:color="auto" w:fill="auto"/>
          </w:tcPr>
          <w:p w14:paraId="177D86BD" w14:textId="75CEEFE5" w:rsidR="00F54A50" w:rsidRPr="005C29F8" w:rsidRDefault="00F54A50" w:rsidP="00D57811">
            <w:pPr>
              <w:rPr>
                <w:rFonts w:cs="Arial"/>
                <w:color w:val="000000" w:themeColor="text1"/>
                <w:szCs w:val="16"/>
              </w:rPr>
            </w:pPr>
            <w:r w:rsidRPr="005C29F8">
              <w:rPr>
                <w:rFonts w:cs="Arial"/>
                <w:color w:val="000000" w:themeColor="text1"/>
                <w:szCs w:val="16"/>
              </w:rPr>
              <w:t>Target A &gt;=</w:t>
            </w:r>
          </w:p>
        </w:tc>
        <w:tc>
          <w:tcPr>
            <w:tcW w:w="3255" w:type="pct"/>
            <w:shd w:val="clear" w:color="auto" w:fill="auto"/>
            <w:vAlign w:val="center"/>
          </w:tcPr>
          <w:p w14:paraId="45A6C0CC" w14:textId="7B92BE4D" w:rsidR="00F54A50" w:rsidRPr="005C29F8" w:rsidRDefault="00F54A50" w:rsidP="00A018D4">
            <w:pPr>
              <w:jc w:val="center"/>
              <w:rPr>
                <w:rFonts w:cs="Arial"/>
                <w:color w:val="000000" w:themeColor="text1"/>
                <w:szCs w:val="16"/>
              </w:rPr>
            </w:pPr>
            <w:r w:rsidRPr="005C29F8">
              <w:rPr>
                <w:rFonts w:cs="Arial"/>
                <w:color w:val="000000" w:themeColor="text1"/>
                <w:szCs w:val="16"/>
              </w:rPr>
              <w:t>85.00%</w:t>
            </w:r>
          </w:p>
        </w:tc>
      </w:tr>
      <w:tr w:rsidR="00F54A50" w:rsidRPr="005C29F8" w14:paraId="2317B2F5" w14:textId="60A68C23" w:rsidTr="00F54A50">
        <w:trPr>
          <w:trHeight w:val="357"/>
        </w:trPr>
        <w:tc>
          <w:tcPr>
            <w:tcW w:w="1745" w:type="pct"/>
            <w:shd w:val="clear" w:color="auto" w:fill="auto"/>
          </w:tcPr>
          <w:p w14:paraId="149F53A9" w14:textId="68CCB85F" w:rsidR="00F54A50" w:rsidRPr="005C29F8" w:rsidRDefault="00F54A50" w:rsidP="00D57811">
            <w:pPr>
              <w:rPr>
                <w:rFonts w:cs="Arial"/>
                <w:color w:val="000000" w:themeColor="text1"/>
                <w:szCs w:val="16"/>
              </w:rPr>
            </w:pPr>
            <w:r w:rsidRPr="005C29F8">
              <w:rPr>
                <w:rFonts w:cs="Arial"/>
                <w:color w:val="000000" w:themeColor="text1"/>
                <w:szCs w:val="16"/>
              </w:rPr>
              <w:t>Target B &gt;=</w:t>
            </w:r>
          </w:p>
        </w:tc>
        <w:tc>
          <w:tcPr>
            <w:tcW w:w="3255" w:type="pct"/>
            <w:shd w:val="clear" w:color="auto" w:fill="auto"/>
            <w:vAlign w:val="center"/>
          </w:tcPr>
          <w:p w14:paraId="3F59397C" w14:textId="77CD5E97" w:rsidR="00F54A50" w:rsidRPr="005C29F8" w:rsidRDefault="00F54A50" w:rsidP="00A018D4">
            <w:pPr>
              <w:jc w:val="center"/>
              <w:rPr>
                <w:rFonts w:cs="Arial"/>
                <w:color w:val="000000" w:themeColor="text1"/>
                <w:szCs w:val="16"/>
              </w:rPr>
            </w:pPr>
            <w:r w:rsidRPr="005C29F8">
              <w:rPr>
                <w:rFonts w:cs="Arial"/>
                <w:color w:val="000000" w:themeColor="text1"/>
                <w:szCs w:val="16"/>
              </w:rPr>
              <w:t>72.00%</w:t>
            </w:r>
          </w:p>
        </w:tc>
      </w:tr>
    </w:tbl>
    <w:p w14:paraId="4BB32392" w14:textId="77777777" w:rsidR="00165B2C" w:rsidRPr="005C29F8" w:rsidRDefault="00165B2C" w:rsidP="004369B2">
      <w:pPr>
        <w:rPr>
          <w:color w:val="000000" w:themeColor="text1"/>
        </w:rPr>
      </w:pPr>
    </w:p>
    <w:p w14:paraId="355812DD" w14:textId="7A51ADE9" w:rsidR="00CE1CE8" w:rsidRPr="005C29F8" w:rsidRDefault="00EC46E4" w:rsidP="004369B2">
      <w:pPr>
        <w:rPr>
          <w:color w:val="000000" w:themeColor="text1"/>
        </w:rPr>
      </w:pPr>
      <w:r w:rsidRPr="005C29F8">
        <w:rPr>
          <w:b/>
          <w:color w:val="000000" w:themeColor="text1"/>
        </w:rPr>
        <w:t>FFY 2019 SPP/APR Data: Preschool Children Reported Separately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8CFFYAPRDATAOPT2"/>
      </w:tblPr>
      <w:tblGrid>
        <w:gridCol w:w="928"/>
        <w:gridCol w:w="1894"/>
        <w:gridCol w:w="1465"/>
        <w:gridCol w:w="1167"/>
        <w:gridCol w:w="1683"/>
        <w:gridCol w:w="1064"/>
        <w:gridCol w:w="1314"/>
        <w:gridCol w:w="1275"/>
      </w:tblGrid>
      <w:tr w:rsidR="005C29F8" w:rsidRPr="005C29F8" w14:paraId="0DE6D581" w14:textId="77777777" w:rsidTr="00AF550B">
        <w:trPr>
          <w:trHeight w:val="368"/>
          <w:tblHeader/>
        </w:trPr>
        <w:tc>
          <w:tcPr>
            <w:tcW w:w="302" w:type="pct"/>
            <w:shd w:val="clear" w:color="auto" w:fill="auto"/>
            <w:vAlign w:val="bottom"/>
          </w:tcPr>
          <w:p w14:paraId="6938328D" w14:textId="649774FC" w:rsidR="008546BE" w:rsidRPr="005C29F8" w:rsidRDefault="00D05754" w:rsidP="00681BA6">
            <w:pPr>
              <w:jc w:val="center"/>
              <w:rPr>
                <w:rFonts w:cs="Arial"/>
                <w:b/>
                <w:color w:val="000000" w:themeColor="text1"/>
                <w:szCs w:val="16"/>
              </w:rPr>
            </w:pPr>
            <w:r>
              <w:rPr>
                <w:rFonts w:cs="Arial"/>
                <w:b/>
                <w:color w:val="000000" w:themeColor="text1"/>
                <w:szCs w:val="16"/>
              </w:rPr>
              <w:t>Group</w:t>
            </w:r>
          </w:p>
        </w:tc>
        <w:tc>
          <w:tcPr>
            <w:tcW w:w="896" w:type="pct"/>
            <w:shd w:val="clear" w:color="auto" w:fill="auto"/>
            <w:vAlign w:val="bottom"/>
          </w:tcPr>
          <w:p w14:paraId="5FE60195" w14:textId="33373D52" w:rsidR="008546BE" w:rsidRPr="005C29F8" w:rsidRDefault="008546BE" w:rsidP="00681BA6">
            <w:pPr>
              <w:jc w:val="center"/>
              <w:rPr>
                <w:rFonts w:cs="Arial"/>
                <w:b/>
                <w:color w:val="000000" w:themeColor="text1"/>
                <w:szCs w:val="16"/>
              </w:rPr>
            </w:pPr>
            <w:r w:rsidRPr="005C29F8">
              <w:rPr>
                <w:rFonts w:cs="Arial"/>
                <w:b/>
                <w:color w:val="000000" w:themeColor="text1"/>
                <w:szCs w:val="16"/>
              </w:rPr>
              <w:t>Number of respondent parents who report schools facilitated parent involvement as a means of improving services and results for children with disabilities</w:t>
            </w:r>
          </w:p>
        </w:tc>
        <w:tc>
          <w:tcPr>
            <w:tcW w:w="697" w:type="pct"/>
            <w:shd w:val="clear" w:color="auto" w:fill="auto"/>
            <w:vAlign w:val="bottom"/>
          </w:tcPr>
          <w:p w14:paraId="15D7934A"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Total number of respondent parents of children with disabilities</w:t>
            </w:r>
          </w:p>
        </w:tc>
        <w:tc>
          <w:tcPr>
            <w:tcW w:w="559" w:type="pct"/>
            <w:shd w:val="clear" w:color="auto" w:fill="auto"/>
            <w:vAlign w:val="bottom"/>
          </w:tcPr>
          <w:p w14:paraId="0A3A2F6A" w14:textId="2A89B23E" w:rsidR="008546BE"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798" w:type="pct"/>
            <w:shd w:val="clear" w:color="auto" w:fill="auto"/>
            <w:vAlign w:val="bottom"/>
          </w:tcPr>
          <w:p w14:paraId="7539AB74" w14:textId="7F87ABE4" w:rsidR="008546BE" w:rsidRPr="005C29F8" w:rsidRDefault="008546BE" w:rsidP="00681BA6">
            <w:pPr>
              <w:jc w:val="center"/>
              <w:rPr>
                <w:rFonts w:cs="Arial"/>
                <w:b/>
                <w:color w:val="000000" w:themeColor="text1"/>
                <w:szCs w:val="16"/>
              </w:rPr>
            </w:pPr>
            <w:r w:rsidRPr="005C29F8">
              <w:rPr>
                <w:rFonts w:cs="Arial"/>
                <w:b/>
                <w:color w:val="000000" w:themeColor="text1"/>
                <w:szCs w:val="16"/>
              </w:rPr>
              <w:t>FFY 2019 Target</w:t>
            </w:r>
          </w:p>
        </w:tc>
        <w:tc>
          <w:tcPr>
            <w:tcW w:w="511" w:type="pct"/>
            <w:shd w:val="clear" w:color="auto" w:fill="auto"/>
            <w:vAlign w:val="bottom"/>
          </w:tcPr>
          <w:p w14:paraId="407378F4" w14:textId="12DA52F3" w:rsidR="008546BE" w:rsidRPr="005C29F8" w:rsidRDefault="008546BE" w:rsidP="00681BA6">
            <w:pPr>
              <w:jc w:val="center"/>
              <w:rPr>
                <w:rFonts w:cs="Arial"/>
                <w:b/>
                <w:color w:val="000000" w:themeColor="text1"/>
                <w:szCs w:val="16"/>
              </w:rPr>
            </w:pPr>
            <w:r w:rsidRPr="005C29F8">
              <w:rPr>
                <w:rFonts w:cs="Arial"/>
                <w:b/>
                <w:color w:val="000000" w:themeColor="text1"/>
                <w:szCs w:val="16"/>
              </w:rPr>
              <w:t>FFY 2019 Data</w:t>
            </w:r>
          </w:p>
        </w:tc>
        <w:tc>
          <w:tcPr>
            <w:tcW w:w="627" w:type="pct"/>
            <w:shd w:val="clear" w:color="auto" w:fill="auto"/>
            <w:vAlign w:val="bottom"/>
          </w:tcPr>
          <w:p w14:paraId="28F3ED34"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Status</w:t>
            </w:r>
          </w:p>
        </w:tc>
        <w:tc>
          <w:tcPr>
            <w:tcW w:w="609" w:type="pct"/>
            <w:shd w:val="clear" w:color="auto" w:fill="auto"/>
            <w:vAlign w:val="bottom"/>
          </w:tcPr>
          <w:p w14:paraId="30DF9F16"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7F2B6CD0" w14:textId="77777777" w:rsidTr="00AF550B">
        <w:trPr>
          <w:trHeight w:val="375"/>
        </w:trPr>
        <w:tc>
          <w:tcPr>
            <w:tcW w:w="302" w:type="pct"/>
            <w:shd w:val="clear" w:color="auto" w:fill="auto"/>
          </w:tcPr>
          <w:p w14:paraId="6D02A255" w14:textId="2B8E30CF" w:rsidR="007D6BB1" w:rsidRPr="005C29F8" w:rsidRDefault="007D6BB1" w:rsidP="007D6BB1">
            <w:pPr>
              <w:jc w:val="center"/>
              <w:rPr>
                <w:rFonts w:cs="Arial"/>
                <w:color w:val="000000" w:themeColor="text1"/>
                <w:szCs w:val="16"/>
              </w:rPr>
            </w:pPr>
            <w:r w:rsidRPr="005C29F8">
              <w:rPr>
                <w:rFonts w:cs="Arial"/>
                <w:color w:val="000000" w:themeColor="text1"/>
                <w:szCs w:val="16"/>
              </w:rPr>
              <w:t>Preschool</w:t>
            </w:r>
          </w:p>
        </w:tc>
        <w:tc>
          <w:tcPr>
            <w:tcW w:w="896" w:type="pct"/>
            <w:shd w:val="clear" w:color="auto" w:fill="auto"/>
            <w:vAlign w:val="bottom"/>
          </w:tcPr>
          <w:p w14:paraId="6B99666A" w14:textId="69D7E33D" w:rsidR="007D6BB1" w:rsidRPr="005C29F8" w:rsidRDefault="002B7490" w:rsidP="00A018D4">
            <w:pPr>
              <w:jc w:val="center"/>
              <w:rPr>
                <w:rFonts w:cs="Arial"/>
                <w:color w:val="000000" w:themeColor="text1"/>
                <w:szCs w:val="16"/>
              </w:rPr>
            </w:pPr>
            <w:r w:rsidRPr="005C29F8">
              <w:rPr>
                <w:rFonts w:cs="Arial"/>
                <w:color w:val="000000" w:themeColor="text1"/>
                <w:szCs w:val="16"/>
              </w:rPr>
              <w:t>1,356</w:t>
            </w:r>
          </w:p>
        </w:tc>
        <w:tc>
          <w:tcPr>
            <w:tcW w:w="697" w:type="pct"/>
            <w:shd w:val="clear" w:color="auto" w:fill="auto"/>
            <w:vAlign w:val="bottom"/>
          </w:tcPr>
          <w:p w14:paraId="76FAE551" w14:textId="4CC1C92C" w:rsidR="007D6BB1" w:rsidRPr="005C29F8" w:rsidRDefault="002B7490" w:rsidP="00A018D4">
            <w:pPr>
              <w:jc w:val="center"/>
              <w:rPr>
                <w:rFonts w:cs="Arial"/>
                <w:color w:val="000000" w:themeColor="text1"/>
                <w:szCs w:val="16"/>
              </w:rPr>
            </w:pPr>
            <w:r w:rsidRPr="005C29F8">
              <w:rPr>
                <w:rFonts w:cs="Arial"/>
                <w:color w:val="000000" w:themeColor="text1"/>
                <w:szCs w:val="16"/>
              </w:rPr>
              <w:t>1,654</w:t>
            </w:r>
          </w:p>
        </w:tc>
        <w:tc>
          <w:tcPr>
            <w:tcW w:w="559" w:type="pct"/>
            <w:shd w:val="clear" w:color="auto" w:fill="auto"/>
            <w:vAlign w:val="bottom"/>
          </w:tcPr>
          <w:p w14:paraId="123C5B86" w14:textId="2170EE84" w:rsidR="007D6BB1" w:rsidRPr="005C29F8" w:rsidRDefault="002B7490" w:rsidP="00A018D4">
            <w:pPr>
              <w:jc w:val="center"/>
              <w:rPr>
                <w:rFonts w:cs="Arial"/>
                <w:color w:val="000000" w:themeColor="text1"/>
                <w:szCs w:val="16"/>
              </w:rPr>
            </w:pPr>
            <w:r w:rsidRPr="005C29F8">
              <w:rPr>
                <w:rFonts w:cs="Arial"/>
                <w:color w:val="000000" w:themeColor="text1"/>
                <w:szCs w:val="16"/>
              </w:rPr>
              <w:t>82.03%</w:t>
            </w:r>
          </w:p>
        </w:tc>
        <w:tc>
          <w:tcPr>
            <w:tcW w:w="798" w:type="pct"/>
            <w:shd w:val="clear" w:color="auto" w:fill="auto"/>
            <w:vAlign w:val="bottom"/>
          </w:tcPr>
          <w:p w14:paraId="308FEA57" w14:textId="7004813A" w:rsidR="007D6BB1"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511" w:type="pct"/>
            <w:shd w:val="clear" w:color="auto" w:fill="auto"/>
            <w:vAlign w:val="bottom"/>
          </w:tcPr>
          <w:p w14:paraId="1C1DCA19" w14:textId="730526F3" w:rsidR="007D6BB1" w:rsidRPr="005C29F8" w:rsidRDefault="002B7490" w:rsidP="00A018D4">
            <w:pPr>
              <w:jc w:val="center"/>
              <w:rPr>
                <w:rFonts w:cs="Arial"/>
                <w:color w:val="000000" w:themeColor="text1"/>
                <w:szCs w:val="16"/>
              </w:rPr>
            </w:pPr>
            <w:r w:rsidRPr="005C29F8">
              <w:rPr>
                <w:rFonts w:cs="Arial"/>
                <w:color w:val="000000" w:themeColor="text1"/>
                <w:szCs w:val="16"/>
              </w:rPr>
              <w:t>81.98%</w:t>
            </w:r>
          </w:p>
        </w:tc>
        <w:tc>
          <w:tcPr>
            <w:tcW w:w="627" w:type="pct"/>
            <w:shd w:val="clear" w:color="auto" w:fill="auto"/>
            <w:vAlign w:val="bottom"/>
          </w:tcPr>
          <w:p w14:paraId="3DDEE74A" w14:textId="47BC7A4C" w:rsidR="007D6BB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09" w:type="pct"/>
            <w:shd w:val="clear" w:color="auto" w:fill="auto"/>
            <w:vAlign w:val="bottom"/>
          </w:tcPr>
          <w:p w14:paraId="2B5BE34B" w14:textId="08BABAF7" w:rsidR="007D6BB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3195A184" w14:textId="77777777" w:rsidTr="00AF550B">
        <w:trPr>
          <w:trHeight w:val="375"/>
        </w:trPr>
        <w:tc>
          <w:tcPr>
            <w:tcW w:w="302" w:type="pct"/>
            <w:shd w:val="clear" w:color="auto" w:fill="auto"/>
          </w:tcPr>
          <w:p w14:paraId="4BB698E5" w14:textId="7EA34994" w:rsidR="007D6BB1" w:rsidRPr="005C29F8" w:rsidRDefault="00DB1150" w:rsidP="007D6BB1">
            <w:pPr>
              <w:jc w:val="center"/>
              <w:rPr>
                <w:rFonts w:cs="Arial"/>
                <w:color w:val="000000" w:themeColor="text1"/>
                <w:szCs w:val="16"/>
              </w:rPr>
            </w:pPr>
            <w:r w:rsidRPr="005C29F8">
              <w:rPr>
                <w:rFonts w:cs="Arial"/>
                <w:color w:val="000000" w:themeColor="text1"/>
                <w:szCs w:val="16"/>
              </w:rPr>
              <w:t>School age</w:t>
            </w:r>
          </w:p>
        </w:tc>
        <w:tc>
          <w:tcPr>
            <w:tcW w:w="896" w:type="pct"/>
            <w:shd w:val="clear" w:color="auto" w:fill="auto"/>
            <w:vAlign w:val="bottom"/>
          </w:tcPr>
          <w:p w14:paraId="371458FE" w14:textId="394F3EE9" w:rsidR="007D6BB1" w:rsidRPr="005C29F8" w:rsidRDefault="002B7490" w:rsidP="00A018D4">
            <w:pPr>
              <w:jc w:val="center"/>
              <w:rPr>
                <w:rFonts w:cs="Arial"/>
                <w:color w:val="000000" w:themeColor="text1"/>
                <w:szCs w:val="16"/>
              </w:rPr>
            </w:pPr>
            <w:r w:rsidRPr="005C29F8">
              <w:rPr>
                <w:rFonts w:cs="Arial"/>
                <w:color w:val="000000" w:themeColor="text1"/>
                <w:szCs w:val="16"/>
              </w:rPr>
              <w:t>5,965</w:t>
            </w:r>
          </w:p>
        </w:tc>
        <w:tc>
          <w:tcPr>
            <w:tcW w:w="697" w:type="pct"/>
            <w:shd w:val="clear" w:color="auto" w:fill="auto"/>
            <w:vAlign w:val="bottom"/>
          </w:tcPr>
          <w:p w14:paraId="22A6CCE9" w14:textId="104A03FB" w:rsidR="007D6BB1" w:rsidRPr="005C29F8" w:rsidRDefault="002B7490" w:rsidP="00A018D4">
            <w:pPr>
              <w:jc w:val="center"/>
              <w:rPr>
                <w:rFonts w:cs="Arial"/>
                <w:color w:val="000000" w:themeColor="text1"/>
                <w:szCs w:val="16"/>
              </w:rPr>
            </w:pPr>
            <w:r w:rsidRPr="005C29F8">
              <w:rPr>
                <w:rFonts w:cs="Arial"/>
                <w:color w:val="000000" w:themeColor="text1"/>
                <w:szCs w:val="16"/>
              </w:rPr>
              <w:t>8,285</w:t>
            </w:r>
          </w:p>
        </w:tc>
        <w:tc>
          <w:tcPr>
            <w:tcW w:w="559" w:type="pct"/>
            <w:shd w:val="clear" w:color="auto" w:fill="auto"/>
            <w:vAlign w:val="bottom"/>
          </w:tcPr>
          <w:p w14:paraId="740FC8CE" w14:textId="67D1D68F" w:rsidR="007D6BB1"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798" w:type="pct"/>
            <w:shd w:val="clear" w:color="auto" w:fill="auto"/>
            <w:vAlign w:val="bottom"/>
          </w:tcPr>
          <w:p w14:paraId="1C976F97" w14:textId="0D0F6366" w:rsidR="007D6BB1"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511" w:type="pct"/>
            <w:shd w:val="clear" w:color="auto" w:fill="auto"/>
            <w:vAlign w:val="bottom"/>
          </w:tcPr>
          <w:p w14:paraId="78A0A4EE" w14:textId="02F22347" w:rsidR="007D6BB1"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627" w:type="pct"/>
            <w:shd w:val="clear" w:color="auto" w:fill="auto"/>
            <w:vAlign w:val="bottom"/>
          </w:tcPr>
          <w:p w14:paraId="45E43DB0" w14:textId="1B4AB4EA" w:rsidR="007D6BB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09" w:type="pct"/>
            <w:shd w:val="clear" w:color="auto" w:fill="auto"/>
            <w:vAlign w:val="bottom"/>
          </w:tcPr>
          <w:p w14:paraId="601F7342" w14:textId="758CB2A7" w:rsidR="007D6BB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CAD189F" w14:textId="1B2E88D6" w:rsidR="007E2779" w:rsidRPr="005C29F8" w:rsidRDefault="007E2779" w:rsidP="00B6413B">
      <w:pPr>
        <w:rPr>
          <w:rFonts w:cs="Arial"/>
          <w:b/>
          <w:color w:val="000000" w:themeColor="text1"/>
          <w:szCs w:val="16"/>
        </w:rPr>
      </w:pPr>
      <w:r w:rsidRPr="005C29F8">
        <w:rPr>
          <w:rFonts w:cs="Arial"/>
          <w:b/>
          <w:color w:val="000000" w:themeColor="text1"/>
          <w:szCs w:val="16"/>
        </w:rPr>
        <w:t>The number of parents to whom the surveys were distributed.</w:t>
      </w:r>
    </w:p>
    <w:p w14:paraId="20285CB8" w14:textId="5D5F568E" w:rsidR="007E2779" w:rsidRPr="005C29F8" w:rsidRDefault="007E2779" w:rsidP="00B6413B">
      <w:pPr>
        <w:rPr>
          <w:rFonts w:cs="Arial"/>
          <w:color w:val="000000" w:themeColor="text1"/>
          <w:szCs w:val="16"/>
        </w:rPr>
      </w:pPr>
      <w:r w:rsidRPr="005C29F8">
        <w:rPr>
          <w:rFonts w:cs="Arial"/>
          <w:color w:val="000000" w:themeColor="text1"/>
          <w:szCs w:val="16"/>
        </w:rPr>
        <w:t>110,383</w:t>
      </w:r>
    </w:p>
    <w:p w14:paraId="2D885C21" w14:textId="63442F04" w:rsidR="007E2779" w:rsidRPr="005C29F8" w:rsidRDefault="007E2779" w:rsidP="00B6413B">
      <w:pPr>
        <w:rPr>
          <w:rFonts w:cs="Arial"/>
          <w:b/>
          <w:color w:val="000000" w:themeColor="text1"/>
          <w:szCs w:val="16"/>
        </w:rPr>
      </w:pPr>
      <w:r w:rsidRPr="005C29F8">
        <w:rPr>
          <w:rFonts w:cs="Arial"/>
          <w:b/>
          <w:color w:val="000000" w:themeColor="text1"/>
          <w:szCs w:val="16"/>
        </w:rPr>
        <w:t>Percentage of respondent parents</w:t>
      </w:r>
    </w:p>
    <w:p w14:paraId="7B7E943C" w14:textId="1F805066" w:rsidR="007E2779" w:rsidRPr="005C29F8" w:rsidRDefault="007E2779" w:rsidP="00B6413B">
      <w:pPr>
        <w:rPr>
          <w:rFonts w:cs="Arial"/>
          <w:color w:val="000000" w:themeColor="text1"/>
          <w:szCs w:val="16"/>
        </w:rPr>
      </w:pPr>
      <w:r w:rsidRPr="005C29F8">
        <w:rPr>
          <w:rFonts w:cs="Arial"/>
          <w:color w:val="000000" w:themeColor="text1"/>
          <w:szCs w:val="16"/>
        </w:rPr>
        <w:t>9.00%</w:t>
      </w: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The MSDE, DEI/SES identified improvement strategies to increase the response rate for the targeted race/ethnic groups for both the preschool aged and the school-aged populations. The strategies to be implemented include: (1) supporting each local school system identified with non-representative groups to develop and submit an improvement plan; (2) conduct local outreach efforts to inform families of the importance to respond to the parent survey; (3) collaborate with the Local Family Support Coordinator (LFSC) in each of the LSSs/PAs to conduct outreach, training, and supports to address the areas of need gleaned from the annual survey; and (4) collaborate with parent organizations that represent underserved populations using materials that are culturally appropriate and written in the native language. For example, the Parent Survey results for FFY 2018 and the survey response questions, were shared among the LFSC representing LSS/PA and who also serve on the Special Education Citizens Advisory Council. Data was reviewed and shared along with current practices to potentially increase parent response rates thus increasing the validity of the survey results. In addition, during the Fall 2019, the results of the Parent Survey results were communicated with the Special Education State Advisory Council to initiate a discussion in how to increase parent response rates and what the members do to assist in this endeavor. The MSDE, DEI/SES staff will track the impact of these activities in collaboration with the LFSC to determine their effectiveness and to make modifications, as necessary. A bilingual help desk was maintained for the duration of the survey. Parents could call or email a member of the vendor’s team with questions about the survey.</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Pre-school:</w:t>
      </w:r>
      <w:r w:rsidRPr="005C29F8">
        <w:rPr>
          <w:rFonts w:cs="Arial"/>
          <w:color w:val="000000" w:themeColor="text1"/>
          <w:szCs w:val="16"/>
        </w:rPr>
        <w:br/>
        <w:t xml:space="preserve">Age, Race/Ethnicity: Parents were asked about the age of their child as of September 30, 2019. The parents or guardians of children 5 years of age are underrepresented in the sample (-21%), while parents or guardians of children 3 and 4 years of age are overrepresented (6% and 4%, respectively). The two racial groups that account for the largest percentage of the respondent population are parents of White (40%) and Black (24%) children. Parents of Black children are underrepresented by 7 percent, in the survey, when compared to the state population. In addition, parents of White children are overrepresented by 3 percent in the survey when compared to the state population. The differences between the sample and the population for other racial groups were equal or less than one percent. </w:t>
      </w:r>
      <w:r w:rsidRPr="005C29F8">
        <w:rPr>
          <w:rFonts w:cs="Arial"/>
          <w:color w:val="000000" w:themeColor="text1"/>
          <w:szCs w:val="16"/>
        </w:rPr>
        <w:br/>
      </w:r>
      <w:r w:rsidRPr="005C29F8">
        <w:rPr>
          <w:rFonts w:cs="Arial"/>
          <w:color w:val="000000" w:themeColor="text1"/>
          <w:szCs w:val="16"/>
        </w:rPr>
        <w:br/>
        <w:t xml:space="preserve">Primary Exceptionality/Disability: According to Statewide estimates, the most common exceptionality or disability evident in the Maryland preschool population is developmental delay which represents 57 percent of the population. Although this group did make up one of the largest portions of the sample, compared to the Statewide estimate this group was underrepresented among the respondents by 33 percent, and represented only 24 percent </w:t>
      </w:r>
      <w:r w:rsidRPr="005C29F8">
        <w:rPr>
          <w:rFonts w:cs="Arial"/>
          <w:color w:val="000000" w:themeColor="text1"/>
          <w:szCs w:val="16"/>
        </w:rPr>
        <w:lastRenderedPageBreak/>
        <w:t xml:space="preserve">of the sample. The second most common exceptionality or disability Statewide is speech or language impairment and sample estimates were </w:t>
      </w:r>
      <w:proofErr w:type="gramStart"/>
      <w:r w:rsidRPr="005C29F8">
        <w:rPr>
          <w:rFonts w:cs="Arial"/>
          <w:color w:val="000000" w:themeColor="text1"/>
          <w:szCs w:val="16"/>
        </w:rPr>
        <w:t>fairly close</w:t>
      </w:r>
      <w:proofErr w:type="gramEnd"/>
      <w:r w:rsidRPr="005C29F8">
        <w:rPr>
          <w:rFonts w:cs="Arial"/>
          <w:color w:val="000000" w:themeColor="text1"/>
          <w:szCs w:val="16"/>
        </w:rPr>
        <w:t xml:space="preserve"> to the actual population (29% of the population, 33% of the sample). Students with Autism represent 9 percent of the population but represented 17 percent of the sample; parents of children with Autism were overrepresented by 8 percent in this year’s survey, compared to 16 percent last year. Students with Multiple Disabilities were overrepresented in the sample by 14%, as they constituted 15% of the respondents.</w:t>
      </w:r>
      <w:r w:rsidRPr="005C29F8">
        <w:rPr>
          <w:rFonts w:cs="Arial"/>
          <w:color w:val="000000" w:themeColor="text1"/>
          <w:szCs w:val="16"/>
        </w:rPr>
        <w:br/>
      </w:r>
      <w:r w:rsidRPr="005C29F8">
        <w:rPr>
          <w:rFonts w:cs="Arial"/>
          <w:color w:val="000000" w:themeColor="text1"/>
          <w:szCs w:val="16"/>
        </w:rPr>
        <w:br/>
        <w:t>School Aged:</w:t>
      </w:r>
      <w:r w:rsidRPr="005C29F8">
        <w:rPr>
          <w:rFonts w:cs="Arial"/>
          <w:color w:val="000000" w:themeColor="text1"/>
          <w:szCs w:val="16"/>
        </w:rPr>
        <w:br/>
        <w:t xml:space="preserve">All grade levels (Kindergarten – Grade 12) were well represented in the respondent sample. Each grade level accounted for between 3 percent and 8 percent of the respondent sample.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respondents (84%) indicated that their child had been referred for special education services between the ages of zero and eight, and 46 percent had been referred between the ages of two and five. The population demographic data included in Section 3.1.1 and 3.1.2 were obtained from the 2019 Maryland Early Intervention and Special Education Services Census Data and Related Tables report.6 Ten percent of respondents (N=791) indicated that their child attended a non-public school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an IEP team decision for a Free Appropriate Public Education (FAPE); while 82 percent of respondents (N=6,790) indicated that their child attended a public school during the 2019-20 school year. Eight percent of respondents did not answer this question. </w:t>
      </w:r>
      <w:r w:rsidRPr="005C29F8">
        <w:rPr>
          <w:rFonts w:cs="Arial"/>
          <w:color w:val="000000" w:themeColor="text1"/>
          <w:szCs w:val="16"/>
        </w:rPr>
        <w:br/>
      </w:r>
      <w:r w:rsidRPr="005C29F8">
        <w:rPr>
          <w:rFonts w:cs="Arial"/>
          <w:color w:val="000000" w:themeColor="text1"/>
          <w:szCs w:val="16"/>
        </w:rPr>
        <w:br/>
        <w:t xml:space="preserve">Age, Race/Ethnicity: Respondents were asked about the age of their child as of September 30, 2019. Much like last year, the age distribution of children of survey respondents did not significantly differ from the age distribution of the State. The most common race/ethnic backgrounds of respondents were White (49%) or Black (26%), which is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last year’s sample. Parents of Black children were underrepresented by 15 percent and parents of White children were overrepresented by 14 percent. Hispanic or Latino children were underrepresented by 5 percentage points.</w:t>
      </w:r>
      <w:r w:rsidRPr="005C29F8">
        <w:rPr>
          <w:rFonts w:cs="Arial"/>
          <w:color w:val="000000" w:themeColor="text1"/>
          <w:szCs w:val="16"/>
        </w:rPr>
        <w:br/>
      </w:r>
      <w:r w:rsidRPr="005C29F8">
        <w:rPr>
          <w:rFonts w:cs="Arial"/>
          <w:color w:val="000000" w:themeColor="text1"/>
          <w:szCs w:val="16"/>
        </w:rPr>
        <w:br/>
        <w:t>Primary Exceptionality/Disability: Parents of children with Other Health Impairment and Specific Learning Disability were each underrepresented in the survey by 12 and 9 percent, respectively. Overrepresented in this year’s Survey were parents of children with Autism by 6 percent and Multiple Disabilities by 7 percent.</w:t>
      </w:r>
    </w:p>
    <w:p w14:paraId="1A0A4F5E" w14:textId="77777777" w:rsidR="00221EC9" w:rsidRPr="005C29F8" w:rsidRDefault="00221EC9" w:rsidP="00221EC9">
      <w:pPr>
        <w:rPr>
          <w:rFonts w:cs="Arial"/>
          <w:b/>
          <w:color w:val="000000" w:themeColor="text1"/>
          <w:szCs w:val="16"/>
        </w:rPr>
      </w:pPr>
      <w:bookmarkStart w:id="41" w:name="_Toc381956336"/>
      <w:bookmarkStart w:id="42" w:name="_Toc384383342"/>
      <w:bookmarkStart w:id="43" w:name="_Toc392159310"/>
      <w:bookmarkStart w:id="44"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The collection and reporting of data for this indicator were not impacted by the COVID-19 pandemic.  </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7757B1" w:rsidP="007757B1">
      <w:pPr>
        <w:rPr>
          <w:rFonts w:cs="Arial"/>
          <w:color w:val="000000" w:themeColor="text1"/>
          <w:szCs w:val="16"/>
        </w:rPr>
      </w:pP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1"/>
      <w:bookmarkEnd w:id="42"/>
      <w:bookmarkEnd w:id="43"/>
    </w:p>
    <w:p w14:paraId="30C4375D" w14:textId="77777777" w:rsidR="00AF5AFB" w:rsidRPr="005C29F8" w:rsidRDefault="00AF5AFB" w:rsidP="00A018D4">
      <w:pPr>
        <w:rPr>
          <w:color w:val="000000" w:themeColor="text1"/>
          <w:szCs w:val="20"/>
        </w:rPr>
      </w:pPr>
      <w:bookmarkStart w:id="45" w:name="_Toc384383343"/>
      <w:bookmarkStart w:id="46"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7" w:name="_Toc384383344"/>
      <w:bookmarkStart w:id="48" w:name="_Toc392159312"/>
      <w:bookmarkEnd w:id="45"/>
      <w:bookmarkEnd w:id="46"/>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2017</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7"/>
      <w:bookmarkEnd w:id="48"/>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25</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9" w:name="_Hlk494459610"/>
      <w:r w:rsidRPr="005C29F8">
        <w:rPr>
          <w:rFonts w:cs="Arial"/>
          <w:color w:val="000000" w:themeColor="text1"/>
          <w:szCs w:val="16"/>
        </w:rPr>
        <w:t>The MSDE's definition of Disproportionate representation is described as having students in a particular racial/ethnic group (</w:t>
      </w:r>
      <w:proofErr w:type="spellStart"/>
      <w:r w:rsidRPr="005C29F8">
        <w:rPr>
          <w:rFonts w:cs="Arial"/>
          <w:color w:val="000000" w:themeColor="text1"/>
          <w:szCs w:val="16"/>
        </w:rPr>
        <w:t>i</w:t>
      </w:r>
      <w:proofErr w:type="spellEnd"/>
      <w:r w:rsidRPr="005C29F8">
        <w:rPr>
          <w:rFonts w:cs="Arial"/>
          <w:color w:val="000000" w:themeColor="text1"/>
          <w:szCs w:val="16"/>
        </w:rPr>
        <w:t>. e., American Indian or Alaskan native, Asian, Black or African American, Native Hawaiian or Pacific Islander, White, Hispanic, or Two or More Races) being at a considerably greater risk of being identified for special education and related services than all other racial/ethnic groups enrolled either in the local school system (LSS) or in the State.</w:t>
      </w:r>
      <w:r w:rsidRPr="005C29F8">
        <w:rPr>
          <w:rFonts w:cs="Arial"/>
          <w:color w:val="000000" w:themeColor="text1"/>
          <w:szCs w:val="16"/>
        </w:rPr>
        <w:br/>
      </w:r>
      <w:r w:rsidRPr="005C29F8">
        <w:rPr>
          <w:rFonts w:cs="Arial"/>
          <w:color w:val="000000" w:themeColor="text1"/>
          <w:szCs w:val="16"/>
        </w:rPr>
        <w:br/>
        <w:t xml:space="preserve">For consistency and to lessen confusion, the MSDE has changed its Indicator 9 methodology to be similar to the methodology used for identifying Significant Disproportionality. This new methodology was adopted by the State Board of Education in May of 2018 and </w:t>
      </w:r>
      <w:proofErr w:type="gramStart"/>
      <w:r w:rsidRPr="005C29F8">
        <w:rPr>
          <w:rFonts w:cs="Arial"/>
          <w:color w:val="000000" w:themeColor="text1"/>
          <w:szCs w:val="16"/>
        </w:rPr>
        <w:t>entered into</w:t>
      </w:r>
      <w:proofErr w:type="gramEnd"/>
      <w:r w:rsidRPr="005C29F8">
        <w:rPr>
          <w:rFonts w:cs="Arial"/>
          <w:color w:val="000000" w:themeColor="text1"/>
          <w:szCs w:val="16"/>
        </w:rPr>
        <w:t xml:space="preserve"> the Code of Maryland Regulations (COMAR). In particular, the MSDE identifies disproportionate representation using a risk ratio of 2.0 or greater. Previously, a weighted risk ratio was utilized for disproportionality indicators. In addition to meeting the 2.0 or greater risk ratio, the LSS must meet the criteria for the minimum cell size and n-size, where cell size is the number of students with number of students with disabilities in an LSS who </w:t>
      </w:r>
      <w:proofErr w:type="gramStart"/>
      <w:r w:rsidRPr="005C29F8">
        <w:rPr>
          <w:rFonts w:cs="Arial"/>
          <w:color w:val="000000" w:themeColor="text1"/>
          <w:szCs w:val="16"/>
        </w:rPr>
        <w:t>are a specific race/ethnicity and the n-size</w:t>
      </w:r>
      <w:proofErr w:type="gramEnd"/>
      <w:r w:rsidRPr="005C29F8">
        <w:rPr>
          <w:rFonts w:cs="Arial"/>
          <w:color w:val="000000" w:themeColor="text1"/>
          <w:szCs w:val="16"/>
        </w:rPr>
        <w:t xml:space="preserve"> is the number of students of a specific race/ethnicity enrolled in an LSS. The MSDE utilizes a minimum cell size of 5 and a minimum “n” size of 20. Unlike the calculation for Significant Disproportionality, the MSDE does not consider reasonable progress for Indicator 9. As such, disproportionate representation is identified for any LSS with a risk ratio of 2.0 or greater who meets the minimum cell size and n-size requirements.</w:t>
      </w:r>
      <w:r w:rsidRPr="005C29F8">
        <w:rPr>
          <w:rFonts w:cs="Arial"/>
          <w:color w:val="000000" w:themeColor="text1"/>
          <w:szCs w:val="16"/>
        </w:rPr>
        <w:br/>
      </w:r>
      <w:r w:rsidRPr="005C29F8">
        <w:rPr>
          <w:rFonts w:cs="Arial"/>
          <w:color w:val="000000" w:themeColor="text1"/>
          <w:szCs w:val="16"/>
        </w:rPr>
        <w:br/>
        <w:t>MSDE's analysis of the data for the 2019-2020 performance period demonstrated that no LSSs were identified as having disproportionate representation of racial and ethnic groups in special education and related services. No LSSs were excluded from the calculation.</w:t>
      </w:r>
    </w:p>
    <w:bookmarkEnd w:id="49"/>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No LSSs were identified as having disproportionate representation for FFY 2019.  When the MSDE does identify an LSS as having disproportionate representation, the MSDE reviews the policies, procedures, practices, and IEPs of the LSS impacted. In addition, the MSDE conducts an </w:t>
      </w:r>
      <w:proofErr w:type="spellStart"/>
      <w:proofErr w:type="gramStart"/>
      <w:r w:rsidRPr="005C29F8">
        <w:rPr>
          <w:rFonts w:cs="Arial"/>
          <w:color w:val="000000" w:themeColor="text1"/>
          <w:szCs w:val="16"/>
        </w:rPr>
        <w:t>on site</w:t>
      </w:r>
      <w:proofErr w:type="spellEnd"/>
      <w:proofErr w:type="gramEnd"/>
      <w:r w:rsidRPr="005C29F8">
        <w:rPr>
          <w:rFonts w:cs="Arial"/>
          <w:color w:val="000000" w:themeColor="text1"/>
          <w:szCs w:val="16"/>
        </w:rPr>
        <w:t xml:space="preserve"> visit to review the procedures, practices, and IEPs, including student records to ensure compliance with the IDEA, as required by 34 CFR §§300.111, 300.201, and 301.311.</w:t>
      </w:r>
    </w:p>
    <w:p w14:paraId="3B71A72A" w14:textId="77777777" w:rsidR="00DF1529" w:rsidRPr="005C29F8" w:rsidRDefault="00DF1529" w:rsidP="00DF1529">
      <w:pPr>
        <w:rPr>
          <w:rFonts w:cs="Arial"/>
          <w:b/>
          <w:color w:val="000000" w:themeColor="text1"/>
          <w:szCs w:val="16"/>
        </w:rPr>
      </w:pPr>
      <w:bookmarkStart w:id="50" w:name="_Toc381956337"/>
      <w:bookmarkStart w:id="51" w:name="_Toc384383347"/>
      <w:bookmarkStart w:id="52"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 xml:space="preserve">The collection and reporting of data for this indicator were not impacted by the COVID-19 pandemic.  </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lastRenderedPageBreak/>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0"/>
      <w:bookmarkEnd w:id="51"/>
      <w:bookmarkEnd w:id="52"/>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3" w:name="_Toc384383348"/>
      <w:bookmarkStart w:id="54"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5" w:name="_Toc384383349"/>
      <w:bookmarkStart w:id="56" w:name="_Toc392159317"/>
      <w:bookmarkEnd w:id="53"/>
      <w:bookmarkEnd w:id="54"/>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2017</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5"/>
      <w:bookmarkEnd w:id="56"/>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7" w:name="_Hlk20258880"/>
      <w:r w:rsidRPr="005C29F8">
        <w:rPr>
          <w:rFonts w:cs="Arial"/>
          <w:color w:val="000000" w:themeColor="text1"/>
          <w:szCs w:val="16"/>
        </w:rPr>
        <w:t>YES</w:t>
      </w:r>
    </w:p>
    <w:bookmarkEnd w:id="57"/>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18</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25</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The MSDE's definition of Disproportionate representation is described as having students in a particular racial/ethnic group (</w:t>
      </w:r>
      <w:proofErr w:type="spellStart"/>
      <w:r w:rsidRPr="005C29F8">
        <w:rPr>
          <w:rFonts w:cs="Arial"/>
          <w:color w:val="000000" w:themeColor="text1"/>
          <w:szCs w:val="16"/>
        </w:rPr>
        <w:t>i</w:t>
      </w:r>
      <w:proofErr w:type="spellEnd"/>
      <w:r w:rsidRPr="005C29F8">
        <w:rPr>
          <w:rFonts w:cs="Arial"/>
          <w:color w:val="000000" w:themeColor="text1"/>
          <w:szCs w:val="16"/>
        </w:rPr>
        <w:t>. e., American Indian or Alaskan native, Asian, Black or African American, Native Hawaiian or Pacific Islander, White, Hispanic, or Two or More Races) being at a considerably greater risk of being identified for special education and related services than all other racial/ethnic groups enrolled either in the local school system (LSS) or in the State.</w:t>
      </w:r>
      <w:r w:rsidRPr="005C29F8">
        <w:rPr>
          <w:rFonts w:cs="Arial"/>
          <w:color w:val="000000" w:themeColor="text1"/>
          <w:szCs w:val="16"/>
        </w:rPr>
        <w:br/>
      </w:r>
      <w:r w:rsidRPr="005C29F8">
        <w:rPr>
          <w:rFonts w:cs="Arial"/>
          <w:color w:val="000000" w:themeColor="text1"/>
          <w:szCs w:val="16"/>
        </w:rPr>
        <w:br/>
        <w:t xml:space="preserve">For consistency and to lessen confusion, the MSDE has changed its Indicator 10 methodology to be similar to the methodology used for identifying Significant Disproportionality. This new methodology was adopted by the State Board of Education in May of 2018 and </w:t>
      </w:r>
      <w:proofErr w:type="gramStart"/>
      <w:r w:rsidRPr="005C29F8">
        <w:rPr>
          <w:rFonts w:cs="Arial"/>
          <w:color w:val="000000" w:themeColor="text1"/>
          <w:szCs w:val="16"/>
        </w:rPr>
        <w:t>entered into</w:t>
      </w:r>
      <w:proofErr w:type="gramEnd"/>
      <w:r w:rsidRPr="005C29F8">
        <w:rPr>
          <w:rFonts w:cs="Arial"/>
          <w:color w:val="000000" w:themeColor="text1"/>
          <w:szCs w:val="16"/>
        </w:rPr>
        <w:t xml:space="preserve"> the Code of Maryland Regulations (COMAR). In particular, the MSDE identifies disproportionate representation using a risk ratio of 2.0 or greater. Previously, a weighted risk ratio was utilized for disproportionality indicators. In addition to meeting the 2.0 or greater risk ratio, the LSS must meet the criteria for the minimum cell size and n-size, where cell size is the number of students with number of students in an LSS who </w:t>
      </w:r>
      <w:proofErr w:type="gramStart"/>
      <w:r w:rsidRPr="005C29F8">
        <w:rPr>
          <w:rFonts w:cs="Arial"/>
          <w:color w:val="000000" w:themeColor="text1"/>
          <w:szCs w:val="16"/>
        </w:rPr>
        <w:t>are a specific race/ethnicity</w:t>
      </w:r>
      <w:proofErr w:type="gramEnd"/>
      <w:r w:rsidRPr="005C29F8">
        <w:rPr>
          <w:rFonts w:cs="Arial"/>
          <w:color w:val="000000" w:themeColor="text1"/>
          <w:szCs w:val="16"/>
        </w:rPr>
        <w:t xml:space="preserve"> and identified with a specific disability category, and where the n-size is the number of students with disabilities of a specific race/ethnicity enrolled in an LSS. The MSDE utilizes a minimum cell size of 5 and a minimum “n” size of 20. Unlike the calculation for Significant Disproportionality, the MSDE does not consider reasonable progress for Indicator 10. As such, disproportionate representation is identified for any LSS with a risk ratio of 2.0 or greater who meets the minimum cell size and n-size requirements.</w:t>
      </w:r>
      <w:r w:rsidRPr="005C29F8">
        <w:rPr>
          <w:rFonts w:cs="Arial"/>
          <w:color w:val="000000" w:themeColor="text1"/>
          <w:szCs w:val="16"/>
        </w:rPr>
        <w:br/>
      </w:r>
      <w:r w:rsidRPr="005C29F8">
        <w:rPr>
          <w:rFonts w:cs="Arial"/>
          <w:color w:val="000000" w:themeColor="text1"/>
          <w:szCs w:val="16"/>
        </w:rPr>
        <w:br/>
        <w:t>MSDE's analysis of the data demonstrated that eighteen (18) LSSs were identified as having disproportionate representation of racial and ethnic groups in specific disability categories. No LSSs were excluded from the calculation.</w:t>
      </w:r>
      <w:r w:rsidRPr="005C29F8">
        <w:rPr>
          <w:rFonts w:cs="Arial"/>
          <w:color w:val="000000" w:themeColor="text1"/>
          <w:szCs w:val="16"/>
        </w:rPr>
        <w:br/>
      </w:r>
      <w:r w:rsidRPr="005C29F8">
        <w:rPr>
          <w:rFonts w:cs="Arial"/>
          <w:color w:val="000000" w:themeColor="text1"/>
          <w:szCs w:val="16"/>
        </w:rPr>
        <w:br/>
        <w:t xml:space="preserve">There were no changes made to the targets since Indicator 10 is a Compliance Indicator. </w:t>
      </w:r>
      <w:r w:rsidRPr="005C29F8">
        <w:rPr>
          <w:rFonts w:cs="Arial"/>
          <w:color w:val="000000" w:themeColor="text1"/>
          <w:szCs w:val="16"/>
        </w:rPr>
        <w:br/>
      </w:r>
      <w:r w:rsidRPr="005C29F8">
        <w:rPr>
          <w:rFonts w:cs="Arial"/>
          <w:color w:val="000000" w:themeColor="text1"/>
          <w:szCs w:val="16"/>
        </w:rPr>
        <w:br/>
        <w:t xml:space="preserve">The MSDE, using an examination document, reviewed the policies, procedures, and practices of the eighteen (18) LSSs impacted, followed by an </w:t>
      </w:r>
      <w:proofErr w:type="spellStart"/>
      <w:proofErr w:type="gramStart"/>
      <w:r w:rsidRPr="005C29F8">
        <w:rPr>
          <w:rFonts w:cs="Arial"/>
          <w:color w:val="000000" w:themeColor="text1"/>
          <w:szCs w:val="16"/>
        </w:rPr>
        <w:t>on site</w:t>
      </w:r>
      <w:proofErr w:type="spellEnd"/>
      <w:proofErr w:type="gramEnd"/>
      <w:r w:rsidRPr="005C29F8">
        <w:rPr>
          <w:rFonts w:cs="Arial"/>
          <w:color w:val="000000" w:themeColor="text1"/>
          <w:szCs w:val="16"/>
        </w:rPr>
        <w:t xml:space="preserve"> visit to review the procedures and practices, including student records to ensure compliance with the IDEA, as required by 34 CFR §§300.111, 300.201, and 301.311 for the LSSs. The MSDE did not identify noncompliance through this review.</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 xml:space="preserve">The MSDE using an examination document, reviewed the policies, procedures, and practices of the eighteen (18) LSS impacted, followed by an </w:t>
      </w:r>
      <w:proofErr w:type="spellStart"/>
      <w:proofErr w:type="gramStart"/>
      <w:r w:rsidRPr="005C29F8">
        <w:rPr>
          <w:rFonts w:cs="Arial"/>
          <w:color w:val="000000" w:themeColor="text1"/>
          <w:szCs w:val="16"/>
        </w:rPr>
        <w:t>on site</w:t>
      </w:r>
      <w:proofErr w:type="spellEnd"/>
      <w:proofErr w:type="gramEnd"/>
      <w:r w:rsidRPr="005C29F8">
        <w:rPr>
          <w:rFonts w:cs="Arial"/>
          <w:color w:val="000000" w:themeColor="text1"/>
          <w:szCs w:val="16"/>
        </w:rPr>
        <w:t xml:space="preserve"> visit to review the procedures and practices, including IEPs and student records to ensure compliance with the IDEA, as required by 34 CFR §§300.111, 300.201, and 301.311 for the LSSs. The MSDE did not identify noncompliance through this review.</w:t>
      </w:r>
    </w:p>
    <w:p w14:paraId="1FCF1BF3" w14:textId="77777777" w:rsidR="00DF1529" w:rsidRPr="005C29F8" w:rsidRDefault="00DF1529" w:rsidP="00DF1529">
      <w:pPr>
        <w:rPr>
          <w:rFonts w:cs="Arial"/>
          <w:b/>
          <w:color w:val="000000" w:themeColor="text1"/>
          <w:szCs w:val="16"/>
        </w:rPr>
      </w:pPr>
      <w:bookmarkStart w:id="58" w:name="_Toc381956338"/>
      <w:bookmarkStart w:id="59" w:name="_Toc384383352"/>
      <w:bookmarkStart w:id="60"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 xml:space="preserve">The collection and reporting of data for this indicator were not impacted by the COVID-19 pandemic.  </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lastRenderedPageBreak/>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8"/>
      <w:bookmarkEnd w:id="59"/>
      <w:bookmarkEnd w:id="60"/>
    </w:p>
    <w:p w14:paraId="4F5D642D" w14:textId="77777777" w:rsidR="00E119B0" w:rsidRPr="005C29F8" w:rsidRDefault="00E119B0" w:rsidP="00A018D4">
      <w:pPr>
        <w:rPr>
          <w:color w:val="000000" w:themeColor="text1"/>
          <w:szCs w:val="20"/>
        </w:rPr>
      </w:pPr>
      <w:bookmarkStart w:id="61" w:name="_Toc384383353"/>
      <w:bookmarkStart w:id="62"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3" w:name="_Toc384383354"/>
      <w:bookmarkStart w:id="64" w:name="_Toc392159322"/>
      <w:bookmarkEnd w:id="61"/>
      <w:bookmarkEnd w:id="62"/>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77.00%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98.14%</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97.94%</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98.00%</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98.60%</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98.64%</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14,609</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14,391</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98.64%</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98.51%</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218</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The MSDE, DSE/EIS identified 218 students with an "unacceptable reasons for delays". The unacceptable reasons for delays included:</w:t>
      </w:r>
      <w:r w:rsidRPr="006620F3">
        <w:rPr>
          <w:color w:val="000000" w:themeColor="text1"/>
        </w:rPr>
        <w:br/>
        <w:t>paperwork error;</w:t>
      </w:r>
      <w:r w:rsidRPr="006620F3">
        <w:rPr>
          <w:color w:val="000000" w:themeColor="text1"/>
        </w:rPr>
        <w:br/>
        <w:t>inconclusive testing results;</w:t>
      </w:r>
      <w:r w:rsidRPr="006620F3">
        <w:rPr>
          <w:color w:val="000000" w:themeColor="text1"/>
        </w:rPr>
        <w:br/>
        <w:t>the student was not available (not parent failure/child refusal);</w:t>
      </w:r>
      <w:r w:rsidRPr="006620F3">
        <w:rPr>
          <w:color w:val="000000" w:themeColor="text1"/>
        </w:rPr>
        <w:br/>
        <w:t>students - staffing issues; and</w:t>
      </w:r>
      <w:r w:rsidRPr="006620F3">
        <w:rPr>
          <w:color w:val="000000" w:themeColor="text1"/>
        </w:rPr>
        <w:br/>
        <w:t>students - due to other reasons.</w:t>
      </w:r>
      <w:r w:rsidRPr="006620F3">
        <w:rPr>
          <w:color w:val="000000" w:themeColor="text1"/>
        </w:rPr>
        <w:br/>
      </w:r>
      <w:r w:rsidRPr="006620F3">
        <w:rPr>
          <w:color w:val="000000" w:themeColor="text1"/>
        </w:rPr>
        <w:br/>
        <w:t xml:space="preserve">An analysis of these data identified the following range of days for all unacceptable reasons: </w:t>
      </w:r>
      <w:r w:rsidRPr="006620F3">
        <w:rPr>
          <w:color w:val="000000" w:themeColor="text1"/>
        </w:rPr>
        <w:br/>
        <w:t>The MSDE, DSE/EIS identified 218 students with an "unacceptable reasons for delays".</w:t>
      </w:r>
      <w:r w:rsidRPr="006620F3">
        <w:rPr>
          <w:color w:val="000000" w:themeColor="text1"/>
        </w:rPr>
        <w:br/>
        <w:t xml:space="preserve">76 (1 day to 15 days) = 35.10%, </w:t>
      </w:r>
      <w:r w:rsidRPr="006620F3">
        <w:rPr>
          <w:color w:val="000000" w:themeColor="text1"/>
        </w:rPr>
        <w:br/>
        <w:t>95 (16 to 45 days) = 43.43%,</w:t>
      </w:r>
      <w:r w:rsidRPr="006620F3">
        <w:rPr>
          <w:color w:val="000000" w:themeColor="text1"/>
        </w:rPr>
        <w:br/>
        <w:t>47 (beyond 45days) = 21.47%</w:t>
      </w:r>
      <w:r w:rsidRPr="006620F3">
        <w:rPr>
          <w:color w:val="000000" w:themeColor="text1"/>
        </w:rPr>
        <w:br/>
        <w:t>Totaling 218 students</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 xml:space="preserve">The State used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The MSDE uses an electronic data extract from Maryland’s SSIS data system which is an online data collection and monitoring tool that captures student and service information.</w:t>
      </w:r>
    </w:p>
    <w:p w14:paraId="4F981BFF" w14:textId="77777777" w:rsidR="00C86164" w:rsidRPr="005C29F8" w:rsidRDefault="00C86164" w:rsidP="00C86164">
      <w:pPr>
        <w:rPr>
          <w:rFonts w:cs="Arial"/>
          <w:b/>
          <w:color w:val="000000" w:themeColor="text1"/>
          <w:szCs w:val="16"/>
        </w:rPr>
      </w:pPr>
      <w:bookmarkStart w:id="65" w:name="_Toc381956339"/>
      <w:bookmarkStart w:id="66" w:name="_Toc384383357"/>
      <w:bookmarkStart w:id="67"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 xml:space="preserve">The collection and reporting of data for this indicator were not impacted by the COVID-19 pandemic.  </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15</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13</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The MSDE, DEI/SES identified fifteen (15) findings of noncompliance. Thirteen of the 15 the findings were corrected within one year of issuing the written finding of noncompliance. The other 2 findings were corrected subsequently. The MSDE, DEI/SES verified that each Local School System (LSS) or Public Agency (PA) with noncompliance identified in FFY 2018 is correctly implementing the regulatory requirements. First, correction is verified in the records of the students where the noncompliance was identified. Second, using updated data, </w:t>
      </w:r>
      <w:proofErr w:type="gramStart"/>
      <w:r w:rsidRPr="005C29F8">
        <w:rPr>
          <w:rFonts w:cs="Arial"/>
          <w:color w:val="000000" w:themeColor="text1"/>
          <w:szCs w:val="16"/>
        </w:rPr>
        <w:t>subsequent to</w:t>
      </w:r>
      <w:proofErr w:type="gramEnd"/>
      <w:r w:rsidRPr="005C29F8">
        <w:rPr>
          <w:rFonts w:cs="Arial"/>
          <w:color w:val="000000" w:themeColor="text1"/>
          <w:szCs w:val="16"/>
        </w:rPr>
        <w:t xml:space="preserve"> the issuance of the written finding, records were reviewed to determine if those records were compliant. The MSDE, DEI/SES verified that each LSS/PA achieved 100% compliance, consistent with OSEP Memo 09-02.</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The MSDE, DEI/SES reviewed the records of each individual student for which evaluations were not completed within timelines and verified that the evaluation was completed, although late, unless the student was </w:t>
      </w:r>
      <w:proofErr w:type="spellStart"/>
      <w:r w:rsidRPr="005C29F8">
        <w:rPr>
          <w:rFonts w:cs="Arial"/>
          <w:color w:val="000000" w:themeColor="text1"/>
          <w:szCs w:val="16"/>
        </w:rPr>
        <w:t>not longer</w:t>
      </w:r>
      <w:proofErr w:type="spellEnd"/>
      <w:r w:rsidRPr="005C29F8">
        <w:rPr>
          <w:rFonts w:cs="Arial"/>
          <w:color w:val="000000" w:themeColor="text1"/>
          <w:szCs w:val="16"/>
        </w:rPr>
        <w:t xml:space="preserve"> within the jurisdiction of the LSS. An updated random sample of student records from a subsequent data set was reviewed to determine if those records were also compliant. Through this review process, the MSDE verified that each individual student identified with noncompliance was corrected consistent with the regulatory requirements and OSEP Memo 09-02.</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lastRenderedPageBreak/>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5"/>
      <w:bookmarkEnd w:id="66"/>
      <w:bookmarkEnd w:id="67"/>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8" w:name="_Toc384383358"/>
      <w:bookmarkStart w:id="69"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0" w:name="_Toc384383359"/>
      <w:bookmarkStart w:id="71" w:name="_Toc392159327"/>
      <w:bookmarkEnd w:id="68"/>
      <w:bookmarkEnd w:id="69"/>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83.40%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0"/>
          <w:bookmarkEnd w:id="71"/>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99.02%</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99.69%</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99.72%</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99.89%</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3,270</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174</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1,758</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23</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1,311</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1,758</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1,762</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99.89%</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99.77%</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4</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The MSDE, DEI/SES identified 4 students with "unacceptable reasons for delays." The unacceptable reason for each student's delay was identified as paperwork/administrative error.</w:t>
      </w:r>
      <w:r w:rsidRPr="005C29F8">
        <w:rPr>
          <w:bCs/>
          <w:color w:val="000000" w:themeColor="text1"/>
        </w:rPr>
        <w:br/>
      </w:r>
      <w:r w:rsidRPr="005C29F8">
        <w:rPr>
          <w:bCs/>
          <w:color w:val="000000" w:themeColor="text1"/>
        </w:rPr>
        <w:br/>
        <w:t xml:space="preserve">The range of delays were: </w:t>
      </w:r>
      <w:r w:rsidRPr="005C29F8">
        <w:rPr>
          <w:bCs/>
          <w:color w:val="000000" w:themeColor="text1"/>
        </w:rPr>
        <w:br/>
        <w:t>1 to 15 Days = 1 student</w:t>
      </w:r>
      <w:r w:rsidRPr="005C29F8">
        <w:rPr>
          <w:bCs/>
          <w:color w:val="000000" w:themeColor="text1"/>
        </w:rPr>
        <w:br/>
        <w:t>16 to 30 Days = 1 student</w:t>
      </w:r>
      <w:r w:rsidRPr="005C29F8">
        <w:rPr>
          <w:bCs/>
          <w:color w:val="000000" w:themeColor="text1"/>
        </w:rPr>
        <w:br/>
        <w:t>31 to 45 Days = 1 student</w:t>
      </w:r>
      <w:r w:rsidRPr="005C29F8">
        <w:rPr>
          <w:bCs/>
          <w:color w:val="000000" w:themeColor="text1"/>
        </w:rPr>
        <w:br/>
        <w:t>Beyond 45 Days = 1student</w:t>
      </w:r>
      <w:r w:rsidRPr="005C29F8">
        <w:rPr>
          <w:bCs/>
          <w:color w:val="000000" w:themeColor="text1"/>
        </w:rPr>
        <w:br/>
      </w:r>
      <w:r w:rsidRPr="005C29F8">
        <w:rPr>
          <w:bCs/>
          <w:color w:val="000000" w:themeColor="text1"/>
        </w:rPr>
        <w:br/>
        <w:t>This information is used by the MSDE Monitoring Staff to assist public agencies in analyzing data and in providing technical assistance. The MSDE data management and program staff worked closely with local school systems' staff to ensure the integrity of the data reported in FFY 2019.</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2" w:name="_Hlk20318414"/>
      <w:bookmarkEnd w:id="72"/>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 MSDE uses an electronic data extract from Maryland’s SSIS data system which is an online data collection and monitoring tool that captures student and service information.</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 xml:space="preserve">The collection and reporting of data for this indicator were not impacted by the COVID-19 pandemic.  </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The MSDE, DEI/SES verified that the two (2) Local School Systems (LSS) with noncompliance identified in FFY 2018 were implementing the regulatory requirements. First, correction is verified in the records of the students where the noncompliance was identified. Second, using updated data, </w:t>
      </w:r>
      <w:proofErr w:type="gramStart"/>
      <w:r w:rsidRPr="005C29F8">
        <w:rPr>
          <w:rFonts w:cs="Arial"/>
          <w:color w:val="000000" w:themeColor="text1"/>
          <w:szCs w:val="16"/>
        </w:rPr>
        <w:t>subsequent to</w:t>
      </w:r>
      <w:proofErr w:type="gramEnd"/>
      <w:r w:rsidRPr="005C29F8">
        <w:rPr>
          <w:rFonts w:cs="Arial"/>
          <w:color w:val="000000" w:themeColor="text1"/>
          <w:szCs w:val="16"/>
        </w:rPr>
        <w:t xml:space="preserve"> the issuance of the written finding, records were reviewed to determine if those records were compliant. If the results yield 100% correction is verified consistent with OSEP Memo 09-02. The correction was made and verified greater than 1 year of the date of the issuance of the writing finding of noncompliance to the LSS/PA.</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The MSDE, DEI/SES reviewed the IEPs and records for each of the individual children identified with noncompliance in the LSS. The MSDE, DEI/SES verified that the records of the individual children demonstrated that the goals and services were provided, although late, unless the child was no longer within the jurisdiction of the local school system, or the parent had withdrawn consent, consistent with OSEP Memo 09-02.</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3" w:name="_Toc384383363"/>
      <w:bookmarkStart w:id="74"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5" w:name="_Toc384383364"/>
      <w:bookmarkStart w:id="76" w:name="_Toc392159332"/>
      <w:bookmarkEnd w:id="73"/>
      <w:bookmarkEnd w:id="74"/>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86.10%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99.66%</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98.49%</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98.86%</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97.86%</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92.62%</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18,806</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19,360</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92.62%</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97.14%</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The MSDE, DEI/SES requires that the local school systems and the public agencies to submit data for this indicator on a quarterly basis. For the local school systems that utilize the Maryland Online IEP (MOIEP) System, most of the required quarterly data uploads nightly to SSIS from the MOIEP. The local school systems that utilize the vendor-based IEP systems report quarterly data via file submission and Excel spreadsheets. The quarterly data are uploaded to the Maryland Scorecard where the local school systems and the MSDE, DEI/SES staff can track the progress and the impact of the interventions to improve student outcomes. A version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13 checklist originally used from the National Secondary Transition Technical Assistance Center (NSTTAC) was utilized. Newer version of the checklist </w:t>
      </w:r>
      <w:proofErr w:type="gramStart"/>
      <w:r w:rsidRPr="005C29F8">
        <w:rPr>
          <w:rFonts w:cs="Arial"/>
          <w:color w:val="000000" w:themeColor="text1"/>
          <w:szCs w:val="16"/>
        </w:rPr>
        <w:t>have</w:t>
      </w:r>
      <w:proofErr w:type="gramEnd"/>
      <w:r w:rsidRPr="005C29F8">
        <w:rPr>
          <w:rFonts w:cs="Arial"/>
          <w:color w:val="000000" w:themeColor="text1"/>
          <w:szCs w:val="16"/>
        </w:rPr>
        <w:t xml:space="preserve"> been created through the newly funded National Technical Assistance Center on Transition (NTACT).</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51FF0B8" w14:textId="0AE6898F" w:rsidR="00326C0B" w:rsidRPr="005C29F8" w:rsidRDefault="00AF30E8" w:rsidP="005F442C">
      <w:pPr>
        <w:rPr>
          <w:rFonts w:cs="Arial"/>
          <w:b/>
          <w:color w:val="000000" w:themeColor="text1"/>
          <w:szCs w:val="16"/>
        </w:rPr>
      </w:pPr>
      <w:r w:rsidRPr="005C29F8">
        <w:rPr>
          <w:rFonts w:cs="Arial"/>
          <w:b/>
          <w:color w:val="000000" w:themeColor="text1"/>
          <w:szCs w:val="16"/>
        </w:rPr>
        <w:t>If no, please explain</w:t>
      </w:r>
    </w:p>
    <w:p w14:paraId="2562A48D" w14:textId="1B6BD32F" w:rsidR="00326C0B" w:rsidRDefault="002B7490" w:rsidP="005F442C">
      <w:pPr>
        <w:rPr>
          <w:rFonts w:cs="Arial"/>
          <w:color w:val="000000" w:themeColor="text1"/>
          <w:szCs w:val="16"/>
        </w:rPr>
      </w:pPr>
      <w:r w:rsidRPr="005C29F8">
        <w:rPr>
          <w:rFonts w:cs="Arial"/>
          <w:color w:val="000000" w:themeColor="text1"/>
          <w:szCs w:val="16"/>
        </w:rPr>
        <w:t>The State is responding to the requirements of the IDEA as specified that requirements are met for students with IEPs at age 16.</w:t>
      </w:r>
    </w:p>
    <w:p w14:paraId="735DB55A" w14:textId="18C77FF1" w:rsidR="00644AC8" w:rsidRPr="005C29F8" w:rsidRDefault="00644AC8" w:rsidP="005F442C">
      <w:pPr>
        <w:rPr>
          <w:rFonts w:cs="Arial"/>
          <w:b/>
          <w:color w:val="000000" w:themeColor="text1"/>
          <w:szCs w:val="16"/>
        </w:rPr>
      </w:pPr>
      <w:bookmarkStart w:id="77"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 xml:space="preserve">The collection and reporting of data for this indicator were not impacted by the COVID-19 pandemic.  </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4</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4</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The MSDE, DEI/SES verified that each Local School System (LSS) or Public Agency (PA) with noncompliance identified in FFY 2018 is implementing the regulatory requirements. First, correction is verified in the records of the students where the noncompliance was identified. Second, using updated data, </w:t>
      </w:r>
      <w:proofErr w:type="gramStart"/>
      <w:r w:rsidRPr="005C29F8">
        <w:rPr>
          <w:rFonts w:cs="Arial"/>
          <w:color w:val="000000" w:themeColor="text1"/>
          <w:szCs w:val="16"/>
        </w:rPr>
        <w:t>subsequent to</w:t>
      </w:r>
      <w:proofErr w:type="gramEnd"/>
      <w:r w:rsidRPr="005C29F8">
        <w:rPr>
          <w:rFonts w:cs="Arial"/>
          <w:color w:val="000000" w:themeColor="text1"/>
          <w:szCs w:val="16"/>
        </w:rPr>
        <w:t xml:space="preserve"> the issuance of the written finding, records were reviewed to determine if those records were compliant. If the results yield 100% correction is verified consistent with OSEP Memo 09-02. The correction was made and verified within one year of the date of the issuance of the writing finding of noncompliance to the LSS/PA. For FFY 2018, the MSDE, DEI/SES identified four (4) findings of noncompliance. All four (4) findings were corrected within one year of issuing the written finding of noncompliance. </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The MSDE, DEI/SES reviewed the IEPs and records for each of the individual children identified with noncompliance in the LSS/PA. The MSDE, DEI/SES verified that the records of the individual children demonstrated that the goals and services were provided, although late, unless the child was no longer within the jurisdiction of the local school system, or the parent had withdrawn consent, consistent with OSEP Memo 09-02.</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4"/>
      <w:bookmarkEnd w:id="77"/>
    </w:p>
    <w:p w14:paraId="22761492" w14:textId="77777777" w:rsidR="005C50DB" w:rsidRPr="00D37503" w:rsidRDefault="005C50DB" w:rsidP="00A018D4">
      <w:pPr>
        <w:rPr>
          <w:szCs w:val="20"/>
        </w:rPr>
      </w:pPr>
      <w:bookmarkStart w:id="78"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8"/>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23.00%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24.00%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26.00%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27.00%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22.66%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23.90%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23.45%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22.66%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26.46%</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28.04%</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49.00%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53.00%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58.09%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49.18%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54.63%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58.09%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65.07%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60.64%</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55.08%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59.00%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72.93%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56.32%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61.47%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72.93%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76.93%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67.05%</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28.00%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60.00%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74.00%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 xml:space="preserve">No changes to baselines are being proposed for FFY 2019. To set targets, the MSDE obtained stakeholder feedback through a survey sent to Special Education stakeholders, including Local Special Education Directors, Local Preschool Coordinators, and all members of the Special Education State Advisory Committee (SESAC). Survey results guided target setting and proposed targets are included with this APR submission. </w:t>
      </w:r>
      <w:r w:rsidRPr="005C29F8">
        <w:rPr>
          <w:rFonts w:cs="Arial"/>
          <w:color w:val="000000" w:themeColor="text1"/>
          <w:szCs w:val="16"/>
        </w:rPr>
        <w:br/>
      </w:r>
      <w:r w:rsidRPr="005C29F8">
        <w:rPr>
          <w:rFonts w:cs="Arial"/>
          <w:color w:val="000000" w:themeColor="text1"/>
          <w:szCs w:val="16"/>
        </w:rPr>
        <w:br/>
        <w:t>Throughout FFY 2019, the MSDE provided information and preliminary data on the Part B APR indicators and multiple opportunities for questions, 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preschool indicators). Those special APR presentations were made to the State Interagency Coordinating Council (SICC) on January 7, 2021 (for Part C and preschool indicators) and to the SESAC on January 28, 2021.</w:t>
      </w:r>
    </w:p>
    <w:p w14:paraId="4522ADD4" w14:textId="77777777" w:rsidR="00E448E9" w:rsidRPr="005C29F8" w:rsidRDefault="00E448E9" w:rsidP="004369B2">
      <w:pPr>
        <w:rPr>
          <w:color w:val="000000" w:themeColor="text1"/>
        </w:rPr>
      </w:pPr>
      <w:bookmarkStart w:id="79"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6,703</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1,779</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2,368</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187</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1,779</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6,703</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28.04%</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28.00%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26.54%</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4,147</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6,703</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60.64%</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61.87%</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4,334</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6,703</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67.05%</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64.66%</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F4E853C" w14:textId="77777777" w:rsidTr="009E40E1">
        <w:tc>
          <w:tcPr>
            <w:tcW w:w="715" w:type="dxa"/>
            <w:vAlign w:val="center"/>
          </w:tcPr>
          <w:p w14:paraId="5F8F2AD7" w14:textId="77777777" w:rsidR="001773E7" w:rsidRPr="005C29F8" w:rsidRDefault="001773E7" w:rsidP="004369B2">
            <w:pPr>
              <w:jc w:val="center"/>
              <w:rPr>
                <w:b/>
                <w:color w:val="000000" w:themeColor="text1"/>
              </w:rPr>
            </w:pPr>
            <w:r w:rsidRPr="005C29F8">
              <w:rPr>
                <w:b/>
                <w:color w:val="000000" w:themeColor="text1"/>
              </w:rPr>
              <w:t>A</w:t>
            </w:r>
          </w:p>
        </w:tc>
        <w:tc>
          <w:tcPr>
            <w:tcW w:w="10080" w:type="dxa"/>
            <w:shd w:val="clear" w:color="auto" w:fill="auto"/>
          </w:tcPr>
          <w:p w14:paraId="126B7404" w14:textId="7F4A2633" w:rsidR="001773E7" w:rsidRPr="005C29F8" w:rsidRDefault="001773E7" w:rsidP="004369B2">
            <w:pPr>
              <w:rPr>
                <w:color w:val="000000" w:themeColor="text1"/>
              </w:rPr>
            </w:pPr>
            <w:r w:rsidRPr="005C29F8">
              <w:rPr>
                <w:rFonts w:cs="Arial"/>
                <w:color w:val="000000" w:themeColor="text1"/>
                <w:szCs w:val="16"/>
              </w:rPr>
              <w:t xml:space="preserve">The State believes that the COVID-19 pandemic is at least in part responsive for the small decrease in enrollment in higher education.  </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 xml:space="preserve">State agency outcome data was significantly impacted due to (closures of adult service providers and community organizations that provided training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COVID-19. In addition, the Developmental Disabilities Administration (DDA) extended providers' timeline to submit their Employment Outcome Data due to COVID-19 and do not have data to date. Therefore, unlike in prior years, Maryland's FFY 2019 data do not </w:t>
            </w:r>
            <w:proofErr w:type="gramStart"/>
            <w:r w:rsidRPr="005C29F8">
              <w:rPr>
                <w:rFonts w:cs="Arial"/>
                <w:color w:val="000000" w:themeColor="text1"/>
                <w:szCs w:val="16"/>
              </w:rPr>
              <w:t>include  employment</w:t>
            </w:r>
            <w:proofErr w:type="gramEnd"/>
            <w:r w:rsidRPr="005C29F8">
              <w:rPr>
                <w:rFonts w:cs="Arial"/>
                <w:color w:val="000000" w:themeColor="text1"/>
                <w:szCs w:val="16"/>
              </w:rPr>
              <w:t xml:space="preserve"> data from the DDA.</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 xml:space="preserve">Option 2: Report in alignment with the term “competitive integrated employment” and its definition, in section 7(5) of the Rehabilitation Act, as amended by Workforce Innovation and Opportunity Act (WIOA), and 34 CFR §361.5(c)(9). </w:t>
      </w:r>
      <w:proofErr w:type="gramStart"/>
      <w:r w:rsidRPr="005C29F8">
        <w:rPr>
          <w:rFonts w:cs="Arial"/>
          <w:color w:val="000000" w:themeColor="text1"/>
          <w:szCs w:val="16"/>
        </w:rPr>
        <w:t>For the purpose of</w:t>
      </w:r>
      <w:proofErr w:type="gramEnd"/>
      <w:r w:rsidRPr="005C29F8">
        <w:rPr>
          <w:rFonts w:cs="Arial"/>
          <w:color w:val="000000" w:themeColor="text1"/>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The MSDE, DEI/SES analysis of Indicator 14 data indicated that the data for all races/ethnicities were not entirely representative of the demographics of youth who were not longer in secondary school and had IEPs in effect at the time they left school. An analysis of the data demonstrated that American Indian/Alaska Native, Asian students, Hispanic students, White students, and students who have 2 or more races were underrepresented, whereas students who were African/American/Black students were overrepresented in the State's data set. Please see the information below:</w:t>
      </w:r>
      <w:r w:rsidRPr="005C29F8">
        <w:rPr>
          <w:rFonts w:cs="Arial"/>
          <w:color w:val="000000" w:themeColor="text1"/>
          <w:szCs w:val="16"/>
        </w:rPr>
        <w:br/>
      </w:r>
      <w:r w:rsidRPr="005C29F8">
        <w:rPr>
          <w:rFonts w:cs="Arial"/>
          <w:color w:val="000000" w:themeColor="text1"/>
          <w:szCs w:val="16"/>
        </w:rPr>
        <w:br/>
        <w:t>All Youth No Longer in Secondary School with IEPs when they Left</w:t>
      </w:r>
      <w:r w:rsidRPr="005C29F8">
        <w:rPr>
          <w:rFonts w:cs="Arial"/>
          <w:color w:val="000000" w:themeColor="text1"/>
          <w:szCs w:val="16"/>
        </w:rPr>
        <w:br/>
        <w:t>American Indian/Alaskan Native - 0.39%</w:t>
      </w:r>
      <w:r w:rsidRPr="005C29F8">
        <w:rPr>
          <w:rFonts w:cs="Arial"/>
          <w:color w:val="000000" w:themeColor="text1"/>
          <w:szCs w:val="16"/>
        </w:rPr>
        <w:br/>
        <w:t xml:space="preserve">Asian - 3.61% </w:t>
      </w:r>
      <w:r w:rsidRPr="005C29F8">
        <w:rPr>
          <w:rFonts w:cs="Arial"/>
          <w:color w:val="000000" w:themeColor="text1"/>
          <w:szCs w:val="16"/>
        </w:rPr>
        <w:br/>
        <w:t xml:space="preserve">African American/Black - 38.38% </w:t>
      </w:r>
      <w:r w:rsidRPr="005C29F8">
        <w:rPr>
          <w:rFonts w:cs="Arial"/>
          <w:color w:val="000000" w:themeColor="text1"/>
          <w:szCs w:val="16"/>
        </w:rPr>
        <w:br/>
        <w:t xml:space="preserve">Hispanic - 12.97% </w:t>
      </w:r>
      <w:r w:rsidRPr="005C29F8">
        <w:rPr>
          <w:rFonts w:cs="Arial"/>
          <w:color w:val="000000" w:themeColor="text1"/>
          <w:szCs w:val="16"/>
        </w:rPr>
        <w:br/>
      </w:r>
      <w:r w:rsidRPr="005C29F8">
        <w:rPr>
          <w:rFonts w:cs="Arial"/>
          <w:color w:val="000000" w:themeColor="text1"/>
          <w:szCs w:val="16"/>
        </w:rPr>
        <w:lastRenderedPageBreak/>
        <w:t xml:space="preserve">Native Hawaiian/Pacific Islander - 0.13% </w:t>
      </w:r>
      <w:r w:rsidRPr="005C29F8">
        <w:rPr>
          <w:rFonts w:cs="Arial"/>
          <w:color w:val="000000" w:themeColor="text1"/>
          <w:szCs w:val="16"/>
        </w:rPr>
        <w:br/>
        <w:t xml:space="preserve">Two or More Races - 4.73% </w:t>
      </w:r>
      <w:r w:rsidRPr="005C29F8">
        <w:rPr>
          <w:rFonts w:cs="Arial"/>
          <w:color w:val="000000" w:themeColor="text1"/>
          <w:szCs w:val="16"/>
        </w:rPr>
        <w:br/>
        <w:t>White - 39.79%</w:t>
      </w:r>
      <w:r w:rsidRPr="005C29F8">
        <w:rPr>
          <w:rFonts w:cs="Arial"/>
          <w:color w:val="000000" w:themeColor="text1"/>
          <w:szCs w:val="16"/>
        </w:rPr>
        <w:br/>
      </w:r>
      <w:r w:rsidRPr="005C29F8">
        <w:rPr>
          <w:rFonts w:cs="Arial"/>
          <w:color w:val="000000" w:themeColor="text1"/>
          <w:szCs w:val="16"/>
        </w:rPr>
        <w:br/>
        <w:t>Leaver Data for Indicator 14</w:t>
      </w:r>
      <w:r w:rsidRPr="005C29F8">
        <w:rPr>
          <w:rFonts w:cs="Arial"/>
          <w:color w:val="000000" w:themeColor="text1"/>
          <w:szCs w:val="16"/>
        </w:rPr>
        <w:br/>
        <w:t>American Indian/Alaskan Native - 0.24%</w:t>
      </w:r>
      <w:r w:rsidRPr="005C29F8">
        <w:rPr>
          <w:rFonts w:cs="Arial"/>
          <w:color w:val="000000" w:themeColor="text1"/>
          <w:szCs w:val="16"/>
        </w:rPr>
        <w:br/>
        <w:t>Asian - 2.49%</w:t>
      </w:r>
      <w:r w:rsidRPr="005C29F8">
        <w:rPr>
          <w:rFonts w:cs="Arial"/>
          <w:color w:val="000000" w:themeColor="text1"/>
          <w:szCs w:val="16"/>
        </w:rPr>
        <w:br/>
        <w:t>African American/Black - 49.04%</w:t>
      </w:r>
      <w:r w:rsidRPr="005C29F8">
        <w:rPr>
          <w:rFonts w:cs="Arial"/>
          <w:color w:val="000000" w:themeColor="text1"/>
          <w:szCs w:val="16"/>
        </w:rPr>
        <w:br/>
        <w:t>Hispanic - 12.74%</w:t>
      </w:r>
      <w:r w:rsidRPr="005C29F8">
        <w:rPr>
          <w:rFonts w:cs="Arial"/>
          <w:color w:val="000000" w:themeColor="text1"/>
          <w:szCs w:val="16"/>
        </w:rPr>
        <w:br/>
        <w:t>Native Hawaiian/Pacific Islander - 0.10%</w:t>
      </w:r>
      <w:r w:rsidRPr="005C29F8">
        <w:rPr>
          <w:rFonts w:cs="Arial"/>
          <w:color w:val="000000" w:themeColor="text1"/>
          <w:szCs w:val="16"/>
        </w:rPr>
        <w:br/>
        <w:t>Two or More Races - 2.92%</w:t>
      </w:r>
      <w:r w:rsidRPr="005C29F8">
        <w:rPr>
          <w:rFonts w:cs="Arial"/>
          <w:color w:val="000000" w:themeColor="text1"/>
          <w:szCs w:val="16"/>
        </w:rPr>
        <w:br/>
        <w:t>White - 32.47%</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0"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The MSDE, DEI/SES developed improvement strategies with collaborating agencies to improve the response rate for targeted subgroups. The strategies include: (1) training of local required transition coordinators to identify local strategies and develop a plan for implementation; (2) development of a digital transition tracker that results in a reciprocal coordination to identify post-school supports and activities (i.e., student information to employment, agency linkages, and post-secondary education and outreach from partners to students); (3) empower the exiting student to utilize a personal Secondary Transition Digital Portfolio to share documentation and transition-related experiences that promote outcomes in employment, agency linkages, and post-secondary education; (4) hold regional meetings to explain the data and identify outreach strategies; (5) development of data-sharing agreements with adult agencies that serve people with disabilities; and (6) coordinate efforts with targeted agencies to improve the response rate for targeted groups inclusive of the hard to reach populations, by gender, and disability type.</w:t>
      </w:r>
    </w:p>
    <w:p w14:paraId="62361D73" w14:textId="77777777" w:rsidR="00644AC8" w:rsidRPr="005C29F8" w:rsidRDefault="00644AC8" w:rsidP="00644AC8">
      <w:pPr>
        <w:rPr>
          <w:rFonts w:cs="Arial"/>
          <w:b/>
          <w:color w:val="000000" w:themeColor="text1"/>
          <w:szCs w:val="16"/>
        </w:rPr>
      </w:pPr>
      <w:bookmarkStart w:id="81" w:name="_Toc382082390"/>
      <w:bookmarkStart w:id="82" w:name="_Toc392159339"/>
      <w:bookmarkEnd w:id="80"/>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 xml:space="preserve">The MSDE gathers census data from various sources for this indicator. An administrative record exchange was used for data collection. This exchange provides data on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disabilities no longer in secondary school and had an IEP in effect at the time they left school (leavers) and were enrolled in higher education, or in some other postsecondary education or training program; or competitively employed or in some other employment within one year of leaving high school. The data exchange does not identify any out-of-state employment or college placements or federal employment placements. Data sharing agreements have also been developed with other State agencies (i.e., State Vocational Rehabilitation Agency, Developmental Disabilities Administration) to reflect additional efforts to match additional student’s outcomes. There is an ongoing partnership with the Maryland Longitudinal Data System Center in securing data for this indicator. MSDE continues to utilize an administrative data exchange as their sole methodology.</w:t>
      </w:r>
      <w:r w:rsidRPr="005C29F8">
        <w:rPr>
          <w:rFonts w:cs="Arial"/>
          <w:color w:val="000000" w:themeColor="text1"/>
          <w:szCs w:val="16"/>
        </w:rPr>
        <w:br/>
      </w:r>
      <w:r w:rsidRPr="005C29F8">
        <w:rPr>
          <w:rFonts w:cs="Arial"/>
          <w:color w:val="000000" w:themeColor="text1"/>
          <w:szCs w:val="16"/>
        </w:rPr>
        <w:br/>
        <w:t>The State's data were impacted by the COVID-19 pandemic. The Developmental Disabilities Administration (DDA) extended providers' timeline to submit their Employment Outcome Data due to COVID-19 and do not have data to date. Therefore, unlike in prior years, Maryland's FFY 2019 data do not include employment data from the DDA.</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9F69E7" w:rsidP="000A2C83">
      <w:pPr>
        <w:rPr>
          <w:rFonts w:cs="Arial"/>
          <w:color w:val="000000" w:themeColor="text1"/>
          <w:szCs w:val="16"/>
        </w:rPr>
      </w:pP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1"/>
      <w:bookmarkEnd w:id="82"/>
    </w:p>
    <w:p w14:paraId="7EA31497" w14:textId="77777777" w:rsidR="005B0B58" w:rsidRPr="005C29F8" w:rsidRDefault="005B0B58" w:rsidP="00A018D4">
      <w:pPr>
        <w:rPr>
          <w:color w:val="000000" w:themeColor="text1"/>
          <w:szCs w:val="20"/>
        </w:rPr>
      </w:pPr>
      <w:bookmarkStart w:id="83" w:name="_Toc381786822"/>
      <w:bookmarkStart w:id="84" w:name="_Toc382731911"/>
      <w:bookmarkStart w:id="85" w:name="_Toc382731912"/>
      <w:bookmarkStart w:id="86" w:name="_Toc392159340"/>
      <w:bookmarkEnd w:id="83"/>
      <w:bookmarkEnd w:id="84"/>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is used</w:t>
      </w:r>
    </w:p>
    <w:bookmarkEnd w:id="85"/>
    <w:bookmarkEnd w:id="86"/>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53</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31</w:t>
            </w:r>
          </w:p>
        </w:tc>
      </w:tr>
    </w:tbl>
    <w:p w14:paraId="162CEFB3" w14:textId="55A4ED3A" w:rsidR="004A33CD" w:rsidRPr="005C29F8" w:rsidRDefault="00E31E29">
      <w:pPr>
        <w:rPr>
          <w:b/>
          <w:color w:val="000000" w:themeColor="text1"/>
        </w:rPr>
      </w:pPr>
      <w:bookmarkStart w:id="87" w:name="_Toc382731913"/>
      <w:bookmarkStart w:id="88"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43B1695A" w14:textId="2970A905" w:rsidR="000A2C83" w:rsidRPr="005C29F8" w:rsidRDefault="002B7490" w:rsidP="000A2C83">
      <w:pPr>
        <w:rPr>
          <w:rFonts w:cs="Arial"/>
          <w:color w:val="000000" w:themeColor="text1"/>
          <w:szCs w:val="16"/>
        </w:rPr>
      </w:pPr>
      <w:r w:rsidRPr="005C29F8">
        <w:rPr>
          <w:rFonts w:cs="Arial"/>
          <w:color w:val="000000" w:themeColor="text1"/>
          <w:szCs w:val="16"/>
        </w:rPr>
        <w:t xml:space="preserve">No changes to baselines or targets are being proposed for FFY 2019. To set targets, the MSDE obtained stakeholder feedback through a survey sent to Special Education stakeholders, including Local Special Education Directors, Local Preschool Coordinators, and all members of the Special Education State Advisory Committee (SESAC). Survey results guided target setting and targets that are included with this APR submission. </w:t>
      </w:r>
      <w:r w:rsidRPr="005C29F8">
        <w:rPr>
          <w:rFonts w:cs="Arial"/>
          <w:color w:val="000000" w:themeColor="text1"/>
          <w:szCs w:val="16"/>
        </w:rPr>
        <w:br/>
      </w:r>
      <w:r w:rsidRPr="005C29F8">
        <w:rPr>
          <w:rFonts w:cs="Arial"/>
          <w:color w:val="000000" w:themeColor="text1"/>
          <w:szCs w:val="16"/>
        </w:rPr>
        <w:br/>
        <w:t>Throughout FFY 2019, the MSDE provided information and preliminary data on the Part B APR indicators and multiple opportunities for questions, 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preschool indicators). Those special APR presentations were made to the State Interagency Coordinating Council (SICC) on Jan 7, 2021 (for Part C and preschool indicators) and to the SESAC on January 28, 2021.</w:t>
      </w:r>
    </w:p>
    <w:bookmarkEnd w:id="87"/>
    <w:bookmarkEnd w:id="88"/>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64.00%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64.00% - 75.00%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64.00% - 75.00%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64.00% - 75.00%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64.00% - 75.00%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64.00% - 75.00%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60.56%</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54.24%</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52.27%</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58.46%</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55.21%</w:t>
            </w:r>
          </w:p>
        </w:tc>
      </w:tr>
    </w:tbl>
    <w:p w14:paraId="49D45707" w14:textId="4136C190" w:rsidR="00CE0C68" w:rsidRPr="005C29F8" w:rsidRDefault="00CE0C68">
      <w:pPr>
        <w:rPr>
          <w:color w:val="000000" w:themeColor="text1"/>
        </w:rPr>
      </w:pPr>
    </w:p>
    <w:p w14:paraId="161341C1" w14:textId="77777777" w:rsidR="00CE0C68" w:rsidRPr="005C29F8" w:rsidRDefault="00CE0C68" w:rsidP="004369B2">
      <w:pPr>
        <w:rPr>
          <w:color w:val="000000" w:themeColor="text1"/>
        </w:rPr>
      </w:pPr>
    </w:p>
    <w:p w14:paraId="3D302901" w14:textId="39ABFCEF" w:rsidR="008E31C4" w:rsidRPr="005C29F8" w:rsidRDefault="008E31C4" w:rsidP="004369B2">
      <w:pPr>
        <w:rPr>
          <w:color w:val="000000" w:themeColor="text1"/>
        </w:rPr>
      </w:pPr>
      <w:r w:rsidRPr="005C29F8">
        <w:rPr>
          <w:b/>
          <w:color w:val="000000" w:themeColor="text1"/>
        </w:rPr>
        <w:t>Targets</w:t>
      </w:r>
    </w:p>
    <w:tbl>
      <w:tblPr>
        <w:tblW w:w="1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895"/>
        <w:gridCol w:w="1507"/>
        <w:gridCol w:w="1508"/>
      </w:tblGrid>
      <w:tr w:rsidR="00441578" w:rsidRPr="005C29F8" w14:paraId="644B64CC" w14:textId="5A3F6A09" w:rsidTr="0033429D">
        <w:trPr>
          <w:trHeight w:val="350"/>
          <w:tblHeader/>
        </w:trPr>
        <w:tc>
          <w:tcPr>
            <w:tcW w:w="1145" w:type="pct"/>
            <w:tcBorders>
              <w:bottom w:val="single" w:sz="4" w:space="0" w:color="auto"/>
            </w:tcBorders>
            <w:shd w:val="clear" w:color="auto" w:fill="auto"/>
          </w:tcPr>
          <w:p w14:paraId="7BA1EAE5" w14:textId="77777777" w:rsidR="00441578" w:rsidRPr="00D1596B" w:rsidRDefault="00441578" w:rsidP="004369B2">
            <w:pPr>
              <w:jc w:val="center"/>
              <w:rPr>
                <w:b/>
                <w:color w:val="000000" w:themeColor="text1"/>
              </w:rPr>
            </w:pPr>
            <w:r w:rsidRPr="00D56EC4">
              <w:rPr>
                <w:b/>
                <w:color w:val="000000" w:themeColor="text1"/>
              </w:rPr>
              <w:lastRenderedPageBreak/>
              <w:t>FFY</w:t>
            </w:r>
          </w:p>
        </w:tc>
        <w:tc>
          <w:tcPr>
            <w:tcW w:w="1927" w:type="pct"/>
            <w:shd w:val="clear" w:color="auto" w:fill="auto"/>
            <w:vAlign w:val="center"/>
          </w:tcPr>
          <w:p w14:paraId="23DAA64E" w14:textId="191590DB" w:rsidR="00441578" w:rsidRPr="0033429D" w:rsidRDefault="00441578" w:rsidP="004369B2">
            <w:pPr>
              <w:jc w:val="center"/>
              <w:rPr>
                <w:b/>
                <w:color w:val="000000" w:themeColor="text1"/>
              </w:rPr>
            </w:pPr>
            <w:r w:rsidRPr="0033429D">
              <w:rPr>
                <w:b/>
                <w:color w:val="000000" w:themeColor="text1"/>
              </w:rPr>
              <w:t>2019 (low)</w:t>
            </w:r>
          </w:p>
        </w:tc>
        <w:tc>
          <w:tcPr>
            <w:tcW w:w="1928" w:type="pct"/>
            <w:shd w:val="clear" w:color="auto" w:fill="auto"/>
            <w:vAlign w:val="center"/>
          </w:tcPr>
          <w:p w14:paraId="0DBD43BD" w14:textId="6B62D568"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6C97BE7D" w14:textId="4FF42C88" w:rsidTr="00441578">
        <w:trPr>
          <w:trHeight w:val="357"/>
        </w:trPr>
        <w:tc>
          <w:tcPr>
            <w:tcW w:w="1145" w:type="pct"/>
            <w:shd w:val="clear" w:color="auto" w:fill="auto"/>
          </w:tcPr>
          <w:p w14:paraId="3B66E2A4" w14:textId="76B00C51" w:rsidR="00441578" w:rsidRPr="005C29F8" w:rsidRDefault="00441578" w:rsidP="00676431">
            <w:pPr>
              <w:rPr>
                <w:rFonts w:cs="Arial"/>
                <w:color w:val="000000" w:themeColor="text1"/>
                <w:szCs w:val="16"/>
              </w:rPr>
            </w:pPr>
            <w:r w:rsidRPr="005C29F8">
              <w:rPr>
                <w:rFonts w:cs="Arial"/>
                <w:color w:val="000000" w:themeColor="text1"/>
                <w:szCs w:val="16"/>
              </w:rPr>
              <w:t>Target</w:t>
            </w:r>
          </w:p>
        </w:tc>
        <w:tc>
          <w:tcPr>
            <w:tcW w:w="1927" w:type="pct"/>
            <w:shd w:val="clear" w:color="auto" w:fill="auto"/>
            <w:vAlign w:val="center"/>
          </w:tcPr>
          <w:p w14:paraId="079136BB" w14:textId="5FB572C1" w:rsidR="00441578" w:rsidRPr="005C29F8" w:rsidRDefault="00441578" w:rsidP="00A018D4">
            <w:pPr>
              <w:jc w:val="center"/>
              <w:rPr>
                <w:rFonts w:cs="Arial"/>
                <w:color w:val="000000" w:themeColor="text1"/>
                <w:szCs w:val="16"/>
              </w:rPr>
            </w:pPr>
            <w:r w:rsidRPr="005C29F8">
              <w:rPr>
                <w:rFonts w:cs="Arial"/>
                <w:color w:val="000000" w:themeColor="text1"/>
                <w:szCs w:val="16"/>
              </w:rPr>
              <w:t>64.00%</w:t>
            </w:r>
          </w:p>
        </w:tc>
        <w:tc>
          <w:tcPr>
            <w:tcW w:w="1928" w:type="pct"/>
            <w:shd w:val="clear" w:color="auto" w:fill="auto"/>
            <w:vAlign w:val="center"/>
          </w:tcPr>
          <w:p w14:paraId="75118312" w14:textId="5B296FF3" w:rsidR="00441578" w:rsidRPr="005C29F8" w:rsidRDefault="00441578" w:rsidP="00A018D4">
            <w:pPr>
              <w:jc w:val="center"/>
              <w:rPr>
                <w:rFonts w:cs="Arial"/>
                <w:color w:val="000000" w:themeColor="text1"/>
                <w:szCs w:val="16"/>
              </w:rPr>
            </w:pPr>
            <w:r w:rsidRPr="005C29F8">
              <w:rPr>
                <w:rFonts w:cs="Arial"/>
                <w:color w:val="000000" w:themeColor="text1"/>
                <w:szCs w:val="16"/>
              </w:rPr>
              <w:t>75.00%</w:t>
            </w:r>
          </w:p>
        </w:tc>
      </w:tr>
    </w:tbl>
    <w:p w14:paraId="35D1322B" w14:textId="77777777" w:rsidR="00CE0C68" w:rsidRPr="005C29F8" w:rsidRDefault="00CE0C68" w:rsidP="004369B2">
      <w:pPr>
        <w:rPr>
          <w:color w:val="000000" w:themeColor="text1"/>
        </w:rPr>
      </w:pPr>
    </w:p>
    <w:p w14:paraId="666D91C8" w14:textId="49A1EB4B" w:rsidR="008E31C4" w:rsidRPr="005C29F8" w:rsidRDefault="008E31C4">
      <w:pPr>
        <w:rPr>
          <w:b/>
          <w:color w:val="000000" w:themeColor="text1"/>
        </w:rPr>
      </w:pPr>
      <w:r w:rsidRPr="005C29F8">
        <w:rPr>
          <w:b/>
          <w:color w:val="000000" w:themeColor="text1"/>
        </w:rPr>
        <w:t>FFY 2019 SPP/APR Data</w:t>
      </w:r>
    </w:p>
    <w:p w14:paraId="0A1461A8" w14:textId="4DAA3A5B" w:rsidR="00127006" w:rsidRPr="005C29F8"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5C29F8" w14:paraId="7C632FC4" w14:textId="77777777" w:rsidTr="00877012">
        <w:trPr>
          <w:trHeight w:val="354"/>
          <w:tblHeader/>
        </w:trPr>
        <w:tc>
          <w:tcPr>
            <w:tcW w:w="641" w:type="pct"/>
            <w:shd w:val="clear" w:color="auto" w:fill="auto"/>
            <w:vAlign w:val="bottom"/>
          </w:tcPr>
          <w:p w14:paraId="147E9035"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 Number of resolutions sessions</w:t>
            </w:r>
          </w:p>
        </w:tc>
        <w:tc>
          <w:tcPr>
            <w:tcW w:w="504" w:type="pct"/>
            <w:shd w:val="clear" w:color="auto" w:fill="auto"/>
            <w:vAlign w:val="bottom"/>
          </w:tcPr>
          <w:p w14:paraId="7B5EA834" w14:textId="63CC8777"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2018 Data</w:t>
            </w:r>
          </w:p>
        </w:tc>
        <w:tc>
          <w:tcPr>
            <w:tcW w:w="746" w:type="pct"/>
            <w:shd w:val="clear" w:color="auto" w:fill="auto"/>
            <w:vAlign w:val="bottom"/>
          </w:tcPr>
          <w:p w14:paraId="01013E6D" w14:textId="3875DDA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(low)</w:t>
            </w:r>
          </w:p>
        </w:tc>
        <w:tc>
          <w:tcPr>
            <w:tcW w:w="756" w:type="pct"/>
            <w:shd w:val="clear" w:color="auto" w:fill="auto"/>
            <w:vAlign w:val="bottom"/>
          </w:tcPr>
          <w:p w14:paraId="7967CE4B" w14:textId="1CC578C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(high)</w:t>
            </w:r>
          </w:p>
        </w:tc>
        <w:tc>
          <w:tcPr>
            <w:tcW w:w="588" w:type="pct"/>
            <w:shd w:val="clear" w:color="auto" w:fill="auto"/>
            <w:vAlign w:val="bottom"/>
          </w:tcPr>
          <w:p w14:paraId="1E6219BF" w14:textId="5EB76912"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348269A9"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Status</w:t>
            </w:r>
          </w:p>
        </w:tc>
        <w:tc>
          <w:tcPr>
            <w:tcW w:w="555" w:type="pct"/>
            <w:shd w:val="clear" w:color="auto" w:fill="auto"/>
            <w:vAlign w:val="bottom"/>
          </w:tcPr>
          <w:p w14:paraId="0A1C57DB"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Slippage</w:t>
            </w:r>
          </w:p>
        </w:tc>
      </w:tr>
      <w:tr w:rsidR="005C29F8" w:rsidRPr="005C29F8" w14:paraId="01BF03A2" w14:textId="77777777" w:rsidTr="00877012">
        <w:trPr>
          <w:trHeight w:val="361"/>
        </w:trPr>
        <w:tc>
          <w:tcPr>
            <w:tcW w:w="641" w:type="pct"/>
            <w:shd w:val="clear" w:color="auto" w:fill="auto"/>
            <w:vAlign w:val="center"/>
          </w:tcPr>
          <w:p w14:paraId="042C6FC9" w14:textId="30986772" w:rsidR="008E31C4" w:rsidRPr="005C29F8" w:rsidRDefault="002B7490" w:rsidP="00A018D4">
            <w:pPr>
              <w:jc w:val="center"/>
              <w:rPr>
                <w:rFonts w:cs="Arial"/>
                <w:color w:val="000000" w:themeColor="text1"/>
                <w:szCs w:val="16"/>
              </w:rPr>
            </w:pPr>
            <w:r w:rsidRPr="005C29F8">
              <w:rPr>
                <w:rFonts w:cs="Arial"/>
                <w:color w:val="000000" w:themeColor="text1"/>
                <w:szCs w:val="16"/>
              </w:rPr>
              <w:t>31</w:t>
            </w:r>
          </w:p>
        </w:tc>
        <w:tc>
          <w:tcPr>
            <w:tcW w:w="639" w:type="pct"/>
            <w:shd w:val="clear" w:color="auto" w:fill="auto"/>
          </w:tcPr>
          <w:p w14:paraId="37C935FB" w14:textId="6AA57901" w:rsidR="008E31C4" w:rsidRPr="005C29F8" w:rsidRDefault="002B7490" w:rsidP="00A018D4">
            <w:pPr>
              <w:jc w:val="center"/>
              <w:rPr>
                <w:rFonts w:cs="Arial"/>
                <w:color w:val="000000" w:themeColor="text1"/>
                <w:szCs w:val="16"/>
              </w:rPr>
            </w:pPr>
            <w:r w:rsidRPr="005C29F8">
              <w:rPr>
                <w:rFonts w:cs="Arial"/>
                <w:color w:val="000000" w:themeColor="text1"/>
                <w:szCs w:val="16"/>
              </w:rPr>
              <w:t>53</w:t>
            </w:r>
          </w:p>
        </w:tc>
        <w:tc>
          <w:tcPr>
            <w:tcW w:w="504" w:type="pct"/>
            <w:shd w:val="clear" w:color="auto" w:fill="auto"/>
          </w:tcPr>
          <w:p w14:paraId="3D28AE5B" w14:textId="4019A491" w:rsidR="008E31C4" w:rsidRPr="005C29F8" w:rsidRDefault="002B7490" w:rsidP="00A018D4">
            <w:pPr>
              <w:jc w:val="center"/>
              <w:rPr>
                <w:rFonts w:cs="Arial"/>
                <w:color w:val="000000" w:themeColor="text1"/>
                <w:szCs w:val="16"/>
              </w:rPr>
            </w:pPr>
            <w:r w:rsidRPr="005C29F8">
              <w:rPr>
                <w:rFonts w:cs="Arial"/>
                <w:color w:val="000000" w:themeColor="text1"/>
                <w:szCs w:val="16"/>
              </w:rPr>
              <w:t>55.21%</w:t>
            </w:r>
          </w:p>
        </w:tc>
        <w:tc>
          <w:tcPr>
            <w:tcW w:w="746" w:type="pct"/>
            <w:shd w:val="clear" w:color="auto" w:fill="auto"/>
          </w:tcPr>
          <w:p w14:paraId="1CF4FBE5" w14:textId="7792CBB8" w:rsidR="008E31C4"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56" w:type="pct"/>
            <w:shd w:val="clear" w:color="auto" w:fill="auto"/>
          </w:tcPr>
          <w:p w14:paraId="5CB5C088" w14:textId="342A9F8C" w:rsidR="008E31C4"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588" w:type="pct"/>
            <w:shd w:val="clear" w:color="auto" w:fill="auto"/>
          </w:tcPr>
          <w:p w14:paraId="43A81BB0" w14:textId="762C21AF" w:rsidR="008E31C4" w:rsidRPr="005C29F8" w:rsidRDefault="002B7490" w:rsidP="00A018D4">
            <w:pPr>
              <w:jc w:val="center"/>
              <w:rPr>
                <w:rFonts w:cs="Arial"/>
                <w:color w:val="000000" w:themeColor="text1"/>
                <w:szCs w:val="16"/>
              </w:rPr>
            </w:pPr>
            <w:r w:rsidRPr="005C29F8">
              <w:rPr>
                <w:rFonts w:cs="Arial"/>
                <w:color w:val="000000" w:themeColor="text1"/>
                <w:szCs w:val="16"/>
              </w:rPr>
              <w:t>58.49%</w:t>
            </w:r>
          </w:p>
        </w:tc>
        <w:tc>
          <w:tcPr>
            <w:tcW w:w="572" w:type="pct"/>
            <w:shd w:val="clear" w:color="auto" w:fill="auto"/>
          </w:tcPr>
          <w:p w14:paraId="233B1990" w14:textId="453F94EC" w:rsidR="008E31C4"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55" w:type="pct"/>
            <w:shd w:val="clear" w:color="auto" w:fill="auto"/>
          </w:tcPr>
          <w:p w14:paraId="2D506EFF" w14:textId="5E2871C6" w:rsidR="008E31C4"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MSDE did not meet its target of 64% in this reporting period. While the resolution settlement rate increased by 3% from the previous year, Maryland continues to attribute the challenge of meeting the resolution sessions target to the changing perceptions of dispute resolution.</w:t>
      </w:r>
      <w:r w:rsidRPr="005C29F8">
        <w:rPr>
          <w:rFonts w:cs="Arial"/>
          <w:color w:val="000000" w:themeColor="text1"/>
          <w:szCs w:val="16"/>
        </w:rPr>
        <w:br/>
      </w:r>
      <w:r w:rsidRPr="005C29F8">
        <w:rPr>
          <w:rFonts w:cs="Arial"/>
          <w:color w:val="000000" w:themeColor="text1"/>
          <w:szCs w:val="16"/>
        </w:rPr>
        <w:br/>
        <w:t>We believe that the strong voice of Maryland’s parent advocacy community may contribute to higher expectations from the resolution process and result in the possibility of more difficult communications between the parties. MSDE continues to address the possible lack of understanding regarding the purpose and role of resolution sessions and what parents can expect from their local school systems in this process, particularly during the COVID pandemic.</w:t>
      </w:r>
      <w:r w:rsidRPr="005C29F8">
        <w:rPr>
          <w:rFonts w:cs="Arial"/>
          <w:color w:val="000000" w:themeColor="text1"/>
          <w:szCs w:val="16"/>
        </w:rPr>
        <w:br/>
      </w:r>
      <w:r w:rsidRPr="005C29F8">
        <w:rPr>
          <w:rFonts w:cs="Arial"/>
          <w:color w:val="000000" w:themeColor="text1"/>
          <w:szCs w:val="16"/>
        </w:rPr>
        <w:br/>
        <w:t xml:space="preserve">MSDE is continuing to respond to this issue by focusing upon parent support and parent education. We continue to be committed to providing high quality parent support </w:t>
      </w:r>
      <w:proofErr w:type="gramStart"/>
      <w:r w:rsidRPr="005C29F8">
        <w:rPr>
          <w:rFonts w:cs="Arial"/>
          <w:color w:val="000000" w:themeColor="text1"/>
          <w:szCs w:val="16"/>
        </w:rPr>
        <w:t>through the use of</w:t>
      </w:r>
      <w:proofErr w:type="gramEnd"/>
      <w:r w:rsidRPr="005C29F8">
        <w:rPr>
          <w:rFonts w:cs="Arial"/>
          <w:color w:val="000000" w:themeColor="text1"/>
          <w:szCs w:val="16"/>
        </w:rPr>
        <w:t xml:space="preserve"> MSDE Family Support Specialists, who respond to parent requests for assistance through telephone calls, email, and written correspondence. The MSDE Family Support Specialists also serve as school system liaisons in order to ensure that parents have access to school </w:t>
      </w:r>
      <w:proofErr w:type="gramStart"/>
      <w:r w:rsidRPr="005C29F8">
        <w:rPr>
          <w:rFonts w:cs="Arial"/>
          <w:color w:val="000000" w:themeColor="text1"/>
          <w:szCs w:val="16"/>
        </w:rPr>
        <w:t>system based</w:t>
      </w:r>
      <w:proofErr w:type="gramEnd"/>
      <w:r w:rsidRPr="005C29F8">
        <w:rPr>
          <w:rFonts w:cs="Arial"/>
          <w:color w:val="000000" w:themeColor="text1"/>
          <w:szCs w:val="16"/>
        </w:rPr>
        <w:t xml:space="preserve"> information and resources for support.</w:t>
      </w:r>
      <w:r w:rsidRPr="005C29F8">
        <w:rPr>
          <w:rFonts w:cs="Arial"/>
          <w:color w:val="000000" w:themeColor="text1"/>
          <w:szCs w:val="16"/>
        </w:rPr>
        <w:br/>
      </w:r>
      <w:r w:rsidRPr="005C29F8">
        <w:rPr>
          <w:rFonts w:cs="Arial"/>
          <w:color w:val="000000" w:themeColor="text1"/>
          <w:szCs w:val="16"/>
        </w:rPr>
        <w:br/>
        <w:t>MSDE also continues to strengthen the training and support provided to its Statewide Family Support Providers, this year, the focus has been upon facilitating meaningful communication between families and school system personnel during this period of school building closures at the result of the pandemic. MSDE believes that these efforts can have a positive impact on the successful outcome of resolution sessions for families and the school system.</w:t>
      </w:r>
      <w:r w:rsidRPr="005C29F8">
        <w:rPr>
          <w:rFonts w:cs="Arial"/>
          <w:color w:val="000000" w:themeColor="text1"/>
          <w:szCs w:val="16"/>
        </w:rPr>
        <w:br/>
      </w:r>
      <w:r w:rsidRPr="005C29F8">
        <w:rPr>
          <w:rFonts w:cs="Arial"/>
          <w:color w:val="000000" w:themeColor="text1"/>
          <w:szCs w:val="16"/>
        </w:rPr>
        <w:br/>
        <w:t xml:space="preserve">Neither Maryland's data collection nor reporting for Indicator 15 were impacted by the COVID-19 pandemic.  </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9" w:name="_Toc382731916"/>
      <w:bookmarkStart w:id="90"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89"/>
    <w:bookmarkEnd w:id="90"/>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152</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51</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50</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5F0F979C" w14:textId="2A86F023" w:rsidR="000A2C83" w:rsidRPr="005C29F8" w:rsidRDefault="002B7490" w:rsidP="000A2C83">
      <w:pPr>
        <w:rPr>
          <w:rFonts w:cs="Arial"/>
          <w:color w:val="000000" w:themeColor="text1"/>
          <w:szCs w:val="16"/>
        </w:rPr>
      </w:pPr>
      <w:r w:rsidRPr="005C29F8">
        <w:rPr>
          <w:rFonts w:cs="Arial"/>
          <w:color w:val="000000" w:themeColor="text1"/>
          <w:szCs w:val="16"/>
        </w:rPr>
        <w:t xml:space="preserve">No changes to baselines or targets are being proposed for FFY 2019. To set targets, the MSDE obtained stakeholder feedback through a survey sent to Special Education stakeholders, including Local Special Education Directors, Local Preschool Coordinators, and all members of the Special Education State Advisory Committee (SESAC). Survey results guided target setting and targets that are included with this APR submission. </w:t>
      </w:r>
      <w:r w:rsidRPr="005C29F8">
        <w:rPr>
          <w:rFonts w:cs="Arial"/>
          <w:color w:val="000000" w:themeColor="text1"/>
          <w:szCs w:val="16"/>
        </w:rPr>
        <w:br/>
      </w:r>
      <w:r w:rsidRPr="005C29F8">
        <w:rPr>
          <w:rFonts w:cs="Arial"/>
          <w:color w:val="000000" w:themeColor="text1"/>
          <w:szCs w:val="16"/>
        </w:rPr>
        <w:br/>
        <w:t>Throughout FFY 2019, the MSDE provided information and preliminary data on the Part B APR indicators and multiple opportunities for questions, comments, and recommendations from a broad range of stakeholders including the SESAC, Maryland Educational Advocacy Coalition (EAC), local special education directors, and local preschool coordinators. Updates on SPP/APR federal reporting requirements and State and local performance data were provided at SESAC meetings throughout the reporting period. Annually, the draft APR and data are presented to the SESAC and SICC (for preschool indicators). Those special APR presentations were made to the State Interagency Coordinating Council (SICC) on Jan 7, 2021 (for Part C and preschool indicators) and to the SESAC on January 28, 2021.</w:t>
      </w: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73.00%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75.00% - 85.00%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75.00% - 85.00%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75.00% - 85.00%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75.00% - 85.00%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75.00% - 85.00%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81.40%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75.44%</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69.33%</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65.22%</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70.48%</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lastRenderedPageBreak/>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75.00%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85.00%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51</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50</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152</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70.48%</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66.45%</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24CDA891" w14:textId="493C5E97" w:rsidR="0059249C" w:rsidRPr="005C29F8" w:rsidRDefault="00293C7E" w:rsidP="0059249C">
      <w:pPr>
        <w:rPr>
          <w:rFonts w:cs="Arial"/>
          <w:b/>
          <w:i/>
          <w:color w:val="000000" w:themeColor="text1"/>
          <w:szCs w:val="16"/>
        </w:rPr>
      </w:pPr>
      <w:r w:rsidRPr="005C29F8">
        <w:rPr>
          <w:rFonts w:cs="Arial"/>
          <w:b/>
          <w:color w:val="000000" w:themeColor="text1"/>
          <w:szCs w:val="16"/>
        </w:rPr>
        <w:t>Provide reasons for slippage, if applicable</w:t>
      </w:r>
    </w:p>
    <w:p w14:paraId="79351ACD" w14:textId="4DA6F153" w:rsidR="00293C7E" w:rsidRDefault="002B7490" w:rsidP="007D435F">
      <w:pPr>
        <w:rPr>
          <w:rFonts w:cs="Arial"/>
          <w:color w:val="000000" w:themeColor="text1"/>
          <w:szCs w:val="16"/>
        </w:rPr>
      </w:pPr>
      <w:r w:rsidRPr="005C29F8">
        <w:rPr>
          <w:rFonts w:cs="Arial"/>
          <w:color w:val="000000" w:themeColor="text1"/>
          <w:szCs w:val="16"/>
        </w:rPr>
        <w:t>MSDE did not meet its target of 75% in this reporting period. Maryland continues to attribute the challenge of meeting the resolution sessions target to the changing perceptions regarding Due Process in Maryland.</w:t>
      </w:r>
      <w:r w:rsidRPr="005C29F8">
        <w:rPr>
          <w:rFonts w:cs="Arial"/>
          <w:color w:val="000000" w:themeColor="text1"/>
          <w:szCs w:val="16"/>
        </w:rPr>
        <w:br/>
      </w:r>
      <w:r w:rsidRPr="005C29F8">
        <w:rPr>
          <w:rFonts w:cs="Arial"/>
          <w:color w:val="000000" w:themeColor="text1"/>
          <w:szCs w:val="16"/>
        </w:rPr>
        <w:br/>
        <w:t xml:space="preserve">We believe that the strong voice of Maryland’s parent advocacy </w:t>
      </w:r>
      <w:proofErr w:type="gramStart"/>
      <w:r w:rsidRPr="005C29F8">
        <w:rPr>
          <w:rFonts w:cs="Arial"/>
          <w:color w:val="000000" w:themeColor="text1"/>
          <w:szCs w:val="16"/>
        </w:rPr>
        <w:t>community  may</w:t>
      </w:r>
      <w:proofErr w:type="gramEnd"/>
      <w:r w:rsidRPr="005C29F8">
        <w:rPr>
          <w:rFonts w:cs="Arial"/>
          <w:color w:val="000000" w:themeColor="text1"/>
          <w:szCs w:val="16"/>
        </w:rPr>
        <w:t xml:space="preserve"> contribute to higher expectations from the mediation process and result in the possibility of more difficult communications between the parties. MSDE is continuing to respond to this issue by focusing upon parent support and school system responsiveness to parental concerns, with a particular emphasis on the need for strong communication during the COVID pandemic.</w:t>
      </w:r>
      <w:r w:rsidRPr="005C29F8">
        <w:rPr>
          <w:rFonts w:cs="Arial"/>
          <w:color w:val="000000" w:themeColor="text1"/>
          <w:szCs w:val="16"/>
        </w:rPr>
        <w:br/>
      </w:r>
      <w:r w:rsidRPr="005C29F8">
        <w:rPr>
          <w:rFonts w:cs="Arial"/>
          <w:color w:val="000000" w:themeColor="text1"/>
          <w:szCs w:val="16"/>
        </w:rPr>
        <w:br/>
        <w:t xml:space="preserve">Additionally, MSDE staff continues to meet regularly with leadership from the Office of Administrative Hearings, the State agency with whom MSDE contracts to serve as IDEA mediators. This collaborative relationship serves to facilitate a robust discussion around the process and protocol, both substantively and procedurally, of the mediation process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ensure the best possible outcomes for the parties who participate.</w:t>
      </w:r>
      <w:r w:rsidRPr="005C29F8">
        <w:rPr>
          <w:rFonts w:cs="Arial"/>
          <w:color w:val="000000" w:themeColor="text1"/>
          <w:szCs w:val="16"/>
        </w:rPr>
        <w:br/>
      </w:r>
      <w:r w:rsidRPr="005C29F8">
        <w:rPr>
          <w:rFonts w:cs="Arial"/>
          <w:color w:val="000000" w:themeColor="text1"/>
          <w:szCs w:val="16"/>
        </w:rPr>
        <w:br/>
        <w:t>MSDE also continues to strengthen the training and support provided to both the Administrative Law Judges (ALJs) who serve as mediators, and to our Statewide Family Support Providers who assist families. MSDE believes that these efforts will positively impact the successful outcome of mediations for families and the school system.</w:t>
      </w: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 xml:space="preserve">Neither Maryland's data collection nor reporting for Indicator 16 were impacted by the COVID-19 pandemic.  </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7C2E4B89" w:rsidR="00293C7E" w:rsidRDefault="00293C7E" w:rsidP="001F692C">
      <w:pPr>
        <w:rPr>
          <w:rFonts w:cs="Arial"/>
          <w:color w:val="000000" w:themeColor="text1"/>
          <w:szCs w:val="16"/>
        </w:rPr>
      </w:pPr>
    </w:p>
    <w:p w14:paraId="560BD628" w14:textId="77777777" w:rsidR="00C04A34" w:rsidRDefault="00C04A34">
      <w:pPr>
        <w:spacing w:before="0" w:after="200" w:line="276" w:lineRule="auto"/>
        <w:rPr>
          <w:rFonts w:eastAsiaTheme="majorEastAsia" w:cstheme="majorBidi"/>
          <w:b/>
          <w:bCs/>
          <w:sz w:val="20"/>
          <w:szCs w:val="28"/>
        </w:rPr>
      </w:pPr>
      <w:r>
        <w:br w:type="page"/>
      </w:r>
    </w:p>
    <w:p w14:paraId="1714C194" w14:textId="335E8D15" w:rsidR="00174E5E" w:rsidRDefault="00174E5E" w:rsidP="0065514E">
      <w:pPr>
        <w:pStyle w:val="Heading1"/>
      </w:pPr>
      <w:r w:rsidRPr="0045044F">
        <w:lastRenderedPageBreak/>
        <w:t>Indicator 17: State Systemic Improvement Plan</w:t>
      </w:r>
    </w:p>
    <w:p w14:paraId="4D571E18" w14:textId="00058048" w:rsidR="0030109B" w:rsidRPr="0030109B" w:rsidRDefault="00CD79D4" w:rsidP="0030109B">
      <w:r>
        <w:object w:dxaOrig="1541" w:dyaOrig="998" w14:anchorId="09DC6B88">
          <v:shape id="_x0000_i1033" type="#_x0000_t75" alt="FFY19_SSIP_Maryland_Part_B_Report (1)" style="width:77.25pt;height:50.25pt" o:ole="">
            <v:imagedata r:id="rId14" o:title=""/>
          </v:shape>
          <o:OLEObject Type="Embed" ProgID="Acrobat.Document.DC" ShapeID="_x0000_i1033" DrawAspect="Icon" ObjectID="_1689086275" r:id="rId15"/>
        </w:object>
      </w: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1"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 xml:space="preserve">Marcella </w:t>
      </w:r>
      <w:proofErr w:type="spellStart"/>
      <w:r w:rsidRPr="005C29F8">
        <w:rPr>
          <w:rFonts w:cs="Arial"/>
          <w:color w:val="000000" w:themeColor="text1"/>
          <w:szCs w:val="16"/>
        </w:rPr>
        <w:t>Franczkowski</w:t>
      </w:r>
      <w:proofErr w:type="spellEnd"/>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Assistant State Superintendent</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marcella.franczkowski@maryland.gov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4107670238</w:t>
      </w:r>
    </w:p>
    <w:bookmarkEnd w:id="91"/>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597B4194"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04/26/</w:t>
      </w:r>
      <w:proofErr w:type="gramStart"/>
      <w:r w:rsidRPr="006879FA">
        <w:rPr>
          <w:rFonts w:cs="Arial"/>
          <w:color w:val="000000" w:themeColor="text1"/>
          <w:szCs w:val="16"/>
        </w:rPr>
        <w:t>21  1:17:09</w:t>
      </w:r>
      <w:proofErr w:type="gramEnd"/>
      <w:r w:rsidRPr="006879FA">
        <w:rPr>
          <w:rFonts w:cs="Arial"/>
          <w:color w:val="000000" w:themeColor="text1"/>
          <w:szCs w:val="16"/>
        </w:rPr>
        <w:t xml:space="preserve"> PM</w:t>
      </w:r>
    </w:p>
    <w:p w14:paraId="688FBF21" w14:textId="6DA43232" w:rsidR="00174E5E" w:rsidRDefault="00174E5E" w:rsidP="000657F0">
      <w:pPr>
        <w:autoSpaceDE w:val="0"/>
        <w:autoSpaceDN w:val="0"/>
        <w:adjustRightInd w:val="0"/>
        <w:rPr>
          <w:rFonts w:cs="Arial"/>
          <w:color w:val="000000" w:themeColor="text1"/>
          <w:szCs w:val="16"/>
        </w:rPr>
      </w:pPr>
    </w:p>
    <w:p w14:paraId="34A57CAA" w14:textId="77777777" w:rsidR="00C04A34" w:rsidRDefault="00C04A34">
      <w:pPr>
        <w:spacing w:before="0" w:after="200" w:line="276" w:lineRule="auto"/>
        <w:rPr>
          <w:rFonts w:eastAsiaTheme="majorEastAsia" w:cstheme="majorBidi"/>
          <w:b/>
          <w:bCs/>
          <w:sz w:val="20"/>
          <w:szCs w:val="28"/>
        </w:rPr>
      </w:pPr>
      <w:r>
        <w:br w:type="page"/>
      </w:r>
    </w:p>
    <w:p w14:paraId="4F26A6DE" w14:textId="1F239F5D" w:rsidR="00174E5E" w:rsidRDefault="00174E5E" w:rsidP="00174E5E">
      <w:pPr>
        <w:pStyle w:val="Heading1"/>
      </w:pPr>
      <w:r>
        <w:lastRenderedPageBreak/>
        <w:t>ED Attachments</w:t>
      </w:r>
    </w:p>
    <w:p w14:paraId="76E6BFA8" w14:textId="0D53982E" w:rsidR="00174E5E" w:rsidRDefault="00174E5E" w:rsidP="00174E5E"/>
    <w:p w14:paraId="5B01D1D5" w14:textId="43ACB9E6" w:rsidR="00174E5E" w:rsidRPr="00174E5E" w:rsidRDefault="00174E5E" w:rsidP="0065514E"/>
    <w:p w14:paraId="596B3C30" w14:textId="0A0806DD" w:rsidR="00755AF7" w:rsidRPr="005C29F8" w:rsidRDefault="00B60A67" w:rsidP="00EE4B59">
      <w:pPr>
        <w:rPr>
          <w:rFonts w:cs="Arial"/>
          <w:color w:val="000000" w:themeColor="text1"/>
          <w:szCs w:val="16"/>
        </w:rPr>
      </w:pPr>
      <w:r>
        <w:rPr>
          <w:rFonts w:cs="Arial"/>
          <w:color w:val="000000" w:themeColor="text1"/>
          <w:szCs w:val="16"/>
        </w:rPr>
        <w:object w:dxaOrig="1541" w:dyaOrig="998" w14:anchorId="48B088B0">
          <v:shape id="_x0000_i1040" type="#_x0000_t75" alt="md-resultsmatrix-2021b" style="width:77.25pt;height:50.25pt" o:ole="">
            <v:imagedata r:id="rId16" o:title=""/>
          </v:shape>
          <o:OLEObject Type="Embed" ProgID="Acrobat.Document.DC" ShapeID="_x0000_i1040" DrawAspect="Icon" ObjectID="_1689086276" r:id="rId17"/>
        </w:object>
      </w:r>
      <w:r w:rsidR="00AE7145">
        <w:rPr>
          <w:rFonts w:cs="Arial"/>
          <w:color w:val="000000" w:themeColor="text1"/>
          <w:szCs w:val="16"/>
        </w:rPr>
        <w:tab/>
      </w:r>
      <w:r w:rsidR="00346A97">
        <w:rPr>
          <w:rFonts w:cs="Arial"/>
          <w:color w:val="000000" w:themeColor="text1"/>
          <w:szCs w:val="16"/>
        </w:rPr>
        <w:object w:dxaOrig="1541" w:dyaOrig="998" w14:anchorId="3FFDABF8">
          <v:shape id="_x0000_i1042" type="#_x0000_t75" alt="MD-B-Dispute-Resolution-2019-20" style="width:77.25pt;height:50.25pt" o:ole="">
            <v:imagedata r:id="rId18" o:title=""/>
          </v:shape>
          <o:OLEObject Type="Embed" ProgID="Acrobat.Document.DC" ShapeID="_x0000_i1042" DrawAspect="Icon" ObjectID="_1689086277" r:id="rId19"/>
        </w:object>
      </w:r>
      <w:r>
        <w:rPr>
          <w:rFonts w:cs="Arial"/>
          <w:color w:val="000000" w:themeColor="text1"/>
          <w:szCs w:val="16"/>
        </w:rPr>
        <w:tab/>
      </w:r>
      <w:r w:rsidR="00346A97">
        <w:rPr>
          <w:rFonts w:cs="Arial"/>
          <w:color w:val="000000" w:themeColor="text1"/>
          <w:szCs w:val="16"/>
        </w:rPr>
        <w:object w:dxaOrig="1541" w:dyaOrig="998" w14:anchorId="67D1F0D9">
          <v:shape id="_x0000_i1041" type="#_x0000_t75" alt="MD-2021DataRubricPartB" style="width:77.25pt;height:50.25pt" o:ole="">
            <v:imagedata r:id="rId20" o:title=""/>
          </v:shape>
          <o:OLEObject Type="Embed" ProgID="Excel.Sheet.12" ShapeID="_x0000_i1041" DrawAspect="Icon" ObjectID="_1689086278" r:id="rId21"/>
        </w:object>
      </w:r>
      <w:r>
        <w:rPr>
          <w:rFonts w:cs="Arial"/>
          <w:color w:val="000000" w:themeColor="text1"/>
          <w:szCs w:val="16"/>
        </w:rPr>
        <w:tab/>
      </w:r>
    </w:p>
    <w:sectPr w:rsidR="00755AF7" w:rsidRPr="005C29F8" w:rsidSect="00651E83">
      <w:footerReference w:type="default" r:id="rId22"/>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29FFD" w14:textId="77777777" w:rsidR="00B65998" w:rsidRDefault="00B65998" w:rsidP="000802F7">
      <w:pPr>
        <w:spacing w:before="0" w:after="0"/>
      </w:pPr>
      <w:r>
        <w:separator/>
      </w:r>
    </w:p>
  </w:endnote>
  <w:endnote w:type="continuationSeparator" w:id="0">
    <w:p w14:paraId="191788AD" w14:textId="77777777" w:rsidR="00B65998" w:rsidRDefault="00B65998" w:rsidP="000802F7">
      <w:pPr>
        <w:spacing w:before="0" w:after="0"/>
      </w:pPr>
      <w:r>
        <w:continuationSeparator/>
      </w:r>
    </w:p>
  </w:endnote>
  <w:endnote w:type="continuationNotice" w:id="1">
    <w:p w14:paraId="3DE2F3E9" w14:textId="77777777" w:rsidR="00B65998" w:rsidRDefault="00B6599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7F45F" w14:textId="77777777" w:rsidR="00B65998" w:rsidRDefault="00B65998" w:rsidP="000802F7">
      <w:pPr>
        <w:spacing w:before="0" w:after="0"/>
      </w:pPr>
      <w:r>
        <w:separator/>
      </w:r>
    </w:p>
  </w:footnote>
  <w:footnote w:type="continuationSeparator" w:id="0">
    <w:p w14:paraId="29B9CBE2" w14:textId="77777777" w:rsidR="00B65998" w:rsidRDefault="00B65998" w:rsidP="000802F7">
      <w:pPr>
        <w:spacing w:before="0" w:after="0"/>
      </w:pPr>
      <w:r>
        <w:continuationSeparator/>
      </w:r>
    </w:p>
  </w:footnote>
  <w:footnote w:type="continuationNotice" w:id="1">
    <w:p w14:paraId="4AF385AA" w14:textId="77777777" w:rsidR="00B65998" w:rsidRDefault="00B65998">
      <w:pPr>
        <w:spacing w:before="0" w:after="0"/>
      </w:pPr>
    </w:p>
  </w:footnote>
  <w:footnote w:id="2">
    <w:p w14:paraId="6771229A" w14:textId="0657817B" w:rsidR="008F15F8" w:rsidRDefault="008F15F8">
      <w:pPr>
        <w:pStyle w:val="FootnoteText"/>
      </w:pPr>
      <w:r>
        <w:rPr>
          <w:rStyle w:val="FootnoteReference"/>
        </w:rPr>
        <w:footnoteRef/>
      </w:r>
      <w:r>
        <w:t xml:space="preserve"> </w:t>
      </w:r>
      <w:r w:rsidRPr="008F15F8">
        <w:rPr>
          <w:sz w:val="16"/>
          <w:szCs w:val="16"/>
        </w:rPr>
        <w:t>Data suppressed due to privacy protection</w:t>
      </w:r>
    </w:p>
  </w:footnote>
  <w:footnote w:id="3">
    <w:p w14:paraId="2A22215D" w14:textId="6D079D74" w:rsidR="001E4095" w:rsidRDefault="001E4095">
      <w:pPr>
        <w:pStyle w:val="FootnoteText"/>
      </w:pPr>
      <w:r>
        <w:rPr>
          <w:rStyle w:val="FootnoteReference"/>
        </w:rPr>
        <w:footnoteRef/>
      </w:r>
      <w:r>
        <w:t xml:space="preserve"> </w:t>
      </w:r>
      <w:r w:rsidRPr="001E4095">
        <w:rPr>
          <w:sz w:val="16"/>
          <w:szCs w:val="16"/>
        </w:rPr>
        <w:t>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7"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4E5E"/>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095"/>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109B"/>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A9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0B4"/>
    <w:rsid w:val="00650385"/>
    <w:rsid w:val="00650873"/>
    <w:rsid w:val="00650E5B"/>
    <w:rsid w:val="00651E83"/>
    <w:rsid w:val="00652135"/>
    <w:rsid w:val="006536FF"/>
    <w:rsid w:val="00653B49"/>
    <w:rsid w:val="00653D42"/>
    <w:rsid w:val="0065474E"/>
    <w:rsid w:val="00654A4B"/>
    <w:rsid w:val="0065503C"/>
    <w:rsid w:val="006550C3"/>
    <w:rsid w:val="0065514E"/>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10A"/>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5A6"/>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4D13"/>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5F8"/>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2CAE"/>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145"/>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3D29"/>
    <w:rsid w:val="00B54174"/>
    <w:rsid w:val="00B54491"/>
    <w:rsid w:val="00B55C2D"/>
    <w:rsid w:val="00B56D0B"/>
    <w:rsid w:val="00B5712D"/>
    <w:rsid w:val="00B5766A"/>
    <w:rsid w:val="00B57976"/>
    <w:rsid w:val="00B60990"/>
    <w:rsid w:val="00B60A67"/>
    <w:rsid w:val="00B61941"/>
    <w:rsid w:val="00B61DC4"/>
    <w:rsid w:val="00B63617"/>
    <w:rsid w:val="00B6413B"/>
    <w:rsid w:val="00B645B3"/>
    <w:rsid w:val="00B648A2"/>
    <w:rsid w:val="00B654C1"/>
    <w:rsid w:val="00B65998"/>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4A34"/>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689"/>
    <w:rsid w:val="00CD2DF5"/>
    <w:rsid w:val="00CD44AE"/>
    <w:rsid w:val="00CD47F9"/>
    <w:rsid w:val="00CD49D9"/>
    <w:rsid w:val="00CD511E"/>
    <w:rsid w:val="00CD5C7D"/>
    <w:rsid w:val="00CD5D37"/>
    <w:rsid w:val="00CD73D9"/>
    <w:rsid w:val="00CD79D4"/>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 w:val="1D37BBEA"/>
    <w:rsid w:val="251CD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18B4B5-2771-4FED-93E3-B7B186F34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61</Pages>
  <Words>27295</Words>
  <Characters>155588</Characters>
  <Application>Microsoft Office Word</Application>
  <DocSecurity>0</DocSecurity>
  <Lines>1296</Lines>
  <Paragraphs>365</Paragraphs>
  <ScaleCrop>false</ScaleCrop>
  <Company>Microsoft</Company>
  <LinksUpToDate>false</LinksUpToDate>
  <CharactersWithSpaces>182518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16</cp:revision>
  <cp:lastPrinted>2014-08-19T16:56:00Z</cp:lastPrinted>
  <dcterms:created xsi:type="dcterms:W3CDTF">2021-07-23T19:15:00Z</dcterms:created>
  <dcterms:modified xsi:type="dcterms:W3CDTF">2021-07-29T21:45:00Z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fd0ea83b-6904-4a2e-8965-12548eb33ebc</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