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Maryland</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Maryland State Department of Education (MSDE), Division of Early Intervention/Special Education Services (DEI/SES) has the responsibility under the Individuals with Disabilities Education Act (IDEA) to have a comprehensive system of general supervision that monitors the implementation of the IDEA, State laws, and applicable Federal and State regulations. The mission of the DEI/SES is to provide leadership, support, and accountability for results to twenty-four (24) Local Education Agencies (LEAs), 24 Local Infants and Toddlers Programs (LITPs), Public Agencies (PAs), and stakeholders through the provision of a seamless, comprehensive system of coordinated services to infants, toddlers, young children, and youth with disabilities, birth through age 21, and their families. </w:t>
      </w:r>
      <w:r w:rsidRPr="00781112">
        <w:rPr>
          <w:rFonts w:cs="Arial"/>
          <w:color w:val="000000" w:themeColor="text1"/>
          <w:szCs w:val="16"/>
        </w:rPr>
        <w:br/>
      </w:r>
      <w:r w:rsidRPr="00781112">
        <w:rPr>
          <w:rFonts w:cs="Arial"/>
          <w:color w:val="000000" w:themeColor="text1"/>
          <w:szCs w:val="16"/>
        </w:rPr>
        <w:br/>
        <w:t xml:space="preserve">The Division is organized by five branches: </w:t>
      </w:r>
      <w:r w:rsidRPr="00781112">
        <w:rPr>
          <w:rFonts w:cs="Arial"/>
          <w:color w:val="000000" w:themeColor="text1"/>
          <w:szCs w:val="16"/>
        </w:rPr>
        <w:br/>
        <w:t>Policy and Accountability;</w:t>
      </w:r>
      <w:r w:rsidRPr="00781112">
        <w:rPr>
          <w:rFonts w:cs="Arial"/>
          <w:color w:val="000000" w:themeColor="text1"/>
          <w:szCs w:val="16"/>
        </w:rPr>
        <w:br/>
        <w:t>Performance Support and Technical Assistance (TA);</w:t>
      </w:r>
      <w:r w:rsidRPr="00781112">
        <w:rPr>
          <w:rFonts w:cs="Arial"/>
          <w:color w:val="000000" w:themeColor="text1"/>
          <w:szCs w:val="16"/>
        </w:rPr>
        <w:br/>
        <w:t>Family Support and Dispute Resolution;</w:t>
      </w:r>
      <w:r w:rsidRPr="00781112">
        <w:rPr>
          <w:rFonts w:cs="Arial"/>
          <w:color w:val="000000" w:themeColor="text1"/>
          <w:szCs w:val="16"/>
        </w:rPr>
        <w:br/>
        <w:t>Interagency Collaboration; and</w:t>
      </w:r>
      <w:r w:rsidRPr="00781112">
        <w:rPr>
          <w:rFonts w:cs="Arial"/>
          <w:color w:val="000000" w:themeColor="text1"/>
          <w:szCs w:val="16"/>
        </w:rPr>
        <w:br/>
        <w:t xml:space="preserve">Resource Management and Monitoring. </w:t>
      </w:r>
      <w:r w:rsidRPr="00781112">
        <w:rPr>
          <w:rFonts w:cs="Arial"/>
          <w:color w:val="000000" w:themeColor="text1"/>
          <w:szCs w:val="16"/>
        </w:rPr>
        <w:br/>
      </w:r>
      <w:r w:rsidRPr="00781112">
        <w:rPr>
          <w:rFonts w:cs="Arial"/>
          <w:color w:val="000000" w:themeColor="text1"/>
          <w:szCs w:val="16"/>
        </w:rPr>
        <w:br/>
        <w:t xml:space="preserve">The Division’s matrix organizational design facilities performance orientation within each branch, process orientation across all branches, and an operational plan inclusive of all branches. This infrastructure integrates knowledge to improve compliance and results and ensures consistent communication within the DEI/SES, throughout MSDE, and with external stakeholders and partners. </w:t>
      </w:r>
      <w:r w:rsidRPr="00781112">
        <w:rPr>
          <w:rFonts w:cs="Arial"/>
          <w:color w:val="000000" w:themeColor="text1"/>
          <w:szCs w:val="16"/>
        </w:rPr>
        <w:br/>
      </w:r>
      <w:r w:rsidRPr="00781112">
        <w:rPr>
          <w:rFonts w:cs="Arial"/>
          <w:color w:val="000000" w:themeColor="text1"/>
          <w:szCs w:val="16"/>
        </w:rPr>
        <w:br/>
        <w:t>Through the implementation of cross matrix leadership, the DEI/SES is committed to the following essential principles to improve results and functional outcomes for all children and youth with developmental delays and disabilities and their families:</w:t>
      </w:r>
      <w:r w:rsidRPr="00781112">
        <w:rPr>
          <w:rFonts w:cs="Arial"/>
          <w:color w:val="000000" w:themeColor="text1"/>
          <w:szCs w:val="16"/>
        </w:rPr>
        <w:br/>
        <w:t>Transparency: Maintaining an open door to stakeholders and regularly communicating through formal and informal outreach</w:t>
      </w:r>
      <w:r w:rsidRPr="00781112">
        <w:rPr>
          <w:rFonts w:cs="Arial"/>
          <w:color w:val="000000" w:themeColor="text1"/>
          <w:szCs w:val="16"/>
        </w:rPr>
        <w:br/>
        <w:t>Stakeholder Engagement: Engaging our stakeholders in timely and meaningful consultation on priority topics, including policies that affect children with disabilities</w:t>
      </w:r>
      <w:r w:rsidRPr="00781112">
        <w:rPr>
          <w:rFonts w:cs="Arial"/>
          <w:color w:val="000000" w:themeColor="text1"/>
          <w:szCs w:val="16"/>
        </w:rPr>
        <w:br/>
        <w:t>Effectiveness: Serving stakeholders in a timely and effective manner and ensure the availability of the best "real-time" data for decision-making and dissemination of evidence-based models throughout the State</w:t>
      </w:r>
      <w:r w:rsidRPr="00781112">
        <w:rPr>
          <w:rFonts w:cs="Arial"/>
          <w:color w:val="000000" w:themeColor="text1"/>
          <w:szCs w:val="16"/>
        </w:rPr>
        <w:br/>
        <w:t>Alignment: Arranging our priorities to be synchronous with those of MSDE and federal requirements while also including the concerns of our LEAs, LITPs, PAs, and advocates</w:t>
      </w:r>
      <w:r w:rsidRPr="00781112">
        <w:rPr>
          <w:rFonts w:cs="Arial"/>
          <w:color w:val="000000" w:themeColor="text1"/>
          <w:szCs w:val="16"/>
        </w:rPr>
        <w:br/>
        <w:t>Accountability: Striving to improve compliance and performance results for all LEA/PAs. The DEI/SES has developed a tiered system of general supervision and performance support to identify systems and agencies in need of differentiated support and TA (Differentiated Framework)</w:t>
      </w:r>
      <w:r w:rsidRPr="00781112">
        <w:rPr>
          <w:rFonts w:cs="Arial"/>
          <w:color w:val="000000" w:themeColor="text1"/>
          <w:szCs w:val="16"/>
        </w:rPr>
        <w:br/>
      </w:r>
      <w:r w:rsidRPr="00781112">
        <w:rPr>
          <w:rFonts w:cs="Arial"/>
          <w:color w:val="000000" w:themeColor="text1"/>
          <w:szCs w:val="16"/>
        </w:rPr>
        <w:br/>
        <w:t>The Differentiated Framework includes tiers of general supervision and engagement to improve birth through 21 special education/early intervention results. Essential components of the Division's comprehensive system of general supervision include (see General Supervision section for detailed information):</w:t>
      </w:r>
      <w:r w:rsidRPr="00781112">
        <w:rPr>
          <w:rFonts w:cs="Arial"/>
          <w:color w:val="000000" w:themeColor="text1"/>
          <w:szCs w:val="16"/>
        </w:rPr>
        <w:br/>
        <w:t>Effective policies and procedures</w:t>
      </w:r>
      <w:r w:rsidRPr="00781112">
        <w:rPr>
          <w:rFonts w:cs="Arial"/>
          <w:color w:val="000000" w:themeColor="text1"/>
          <w:szCs w:val="16"/>
        </w:rPr>
        <w:br/>
        <w:t>State Performance Plan (SPP) goals &amp; targets</w:t>
      </w:r>
      <w:r w:rsidRPr="00781112">
        <w:rPr>
          <w:rFonts w:cs="Arial"/>
          <w:color w:val="000000" w:themeColor="text1"/>
          <w:szCs w:val="16"/>
        </w:rPr>
        <w:br/>
        <w:t>Accountability to Improve Performance (AIP)</w:t>
      </w:r>
      <w:r w:rsidRPr="00781112">
        <w:rPr>
          <w:rFonts w:cs="Arial"/>
          <w:color w:val="000000" w:themeColor="text1"/>
          <w:szCs w:val="16"/>
        </w:rPr>
        <w:br/>
        <w:t>Fiscal management</w:t>
      </w:r>
      <w:r w:rsidRPr="00781112">
        <w:rPr>
          <w:rFonts w:cs="Arial"/>
          <w:color w:val="000000" w:themeColor="text1"/>
          <w:szCs w:val="16"/>
        </w:rPr>
        <w:br/>
        <w:t>Dispute resolution</w:t>
      </w:r>
      <w:r w:rsidRPr="00781112">
        <w:rPr>
          <w:rFonts w:cs="Arial"/>
          <w:color w:val="000000" w:themeColor="text1"/>
          <w:szCs w:val="16"/>
        </w:rPr>
        <w:br/>
        <w:t>Targeted TA &amp; support</w:t>
      </w:r>
      <w:r w:rsidRPr="00781112">
        <w:rPr>
          <w:rFonts w:cs="Arial"/>
          <w:color w:val="000000" w:themeColor="text1"/>
          <w:szCs w:val="16"/>
        </w:rPr>
        <w:br/>
      </w:r>
      <w:r w:rsidRPr="00781112">
        <w:rPr>
          <w:rFonts w:cs="Arial"/>
          <w:color w:val="000000" w:themeColor="text1"/>
          <w:szCs w:val="16"/>
        </w:rPr>
        <w:br/>
        <w:t>The DEI/SES has aligned its general supervisory responsibilities with engagement for performance support and TA to provide a tiered system of monitoring and supports to address the needs of each LEA. The Differentiated Framework illustrates the shared responsibility and shared accountability to improve results for students with disabilities. The Division is committed to maintaining compliance and providing supports to improve the quality of special education services. An LEA/LITP/PA is assigned to a tier based upon performance on federal compliance and results indicators, correction of noncompliance, analysis of data, fiscal management, and monitoring findings. The corresponding support an LEA receives is differentiated based on that agency’s assigned tier and a comprehensive analysis of the LEA/PAs’ needs.</w:t>
      </w:r>
      <w:r w:rsidRPr="00781112">
        <w:rPr>
          <w:rFonts w:cs="Arial"/>
          <w:color w:val="000000" w:themeColor="text1"/>
          <w:szCs w:val="16"/>
        </w:rPr>
        <w:br/>
      </w:r>
      <w:r w:rsidRPr="00781112">
        <w:rPr>
          <w:rFonts w:cs="Arial"/>
          <w:color w:val="000000" w:themeColor="text1"/>
          <w:szCs w:val="16"/>
        </w:rPr>
        <w:br/>
        <w:t xml:space="preserve">The Differentiated Framework involves directing the DEI/SES’ attention to LEA/PAs in need of more comprehensive engagement, TA, and support in order to enable those programs to meet indicator targets, improve results, narrow the achievement gap, correct identified noncompliance, and maintain compliance. </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A majority of</w:t>
      </w:r>
      <w:proofErr w:type="gramEnd"/>
      <w:r w:rsidRPr="00781112">
        <w:rPr>
          <w:rFonts w:cs="Arial"/>
          <w:color w:val="000000" w:themeColor="text1"/>
          <w:szCs w:val="16"/>
        </w:rPr>
        <w:t xml:space="preserve"> the LEA/LITP/PAs are currently in the Universal Tier of General Supervision. This Tier represents LEA/PAs that have met identified performance and compliance criteria, resulting in a determination status of “Meets Requirements” or is in the 1st year of “Needs Assistance.” In the Universal Tier of Engagement, the focus is on professional development/learning and follow-up coaching and support to address statewide needs based on overall State trend data (e.g., performance on SPP Indicators, child outcomes, and student achievement). This includes general information related to early intervention/special education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and practices, as well as the general work of the MSDE. Examples of statewide TA include State and regional professional development, online tools, resources through Maryland Learning Links, and Technical Assistance Bulletins (TABs). Comprehensive monitoring for the “Universal” tier occurs once every 4 years.</w:t>
      </w:r>
      <w:r w:rsidRPr="00781112">
        <w:rPr>
          <w:rFonts w:cs="Arial"/>
          <w:color w:val="000000" w:themeColor="text1"/>
          <w:szCs w:val="16"/>
        </w:rPr>
        <w:br/>
      </w:r>
      <w:r w:rsidRPr="00781112">
        <w:rPr>
          <w:rFonts w:cs="Arial"/>
          <w:color w:val="000000" w:themeColor="text1"/>
          <w:szCs w:val="16"/>
        </w:rPr>
        <w:br/>
        <w:t xml:space="preserve">An LEA/LITP/PA receiving a determination status of “Needs Assistance” for two consecutive years or one year of “Needs Intervention” is assigned to the Targeted Tier of General Supervision. An LEA/PA in this tier may have an active Corrective Action Plan(s) (CAPs) for identified noncompliance, or they may have reoccurring noncompliance despite correction within the required one-year period. The corresponding Targeted Tier of Engagement focuses on professional learning and support (training, coaching, &amp; TA) to address the needs of the LEA/LITP/PA on specific topics identified through general supervision. It is a responsive and proactive approach to prevent the LEA/LITP/PA from needing substantial support. The LEA/LITP/PA’s leadership is </w:t>
      </w:r>
      <w:r w:rsidRPr="00781112">
        <w:rPr>
          <w:rFonts w:cs="Arial"/>
          <w:color w:val="000000" w:themeColor="text1"/>
          <w:szCs w:val="16"/>
        </w:rPr>
        <w:lastRenderedPageBreak/>
        <w:t xml:space="preserve">required to engage with the DEI/SES to review State and local data and information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implement an Improvement Plan (IP) that is approved by the DEI/SES to build capacity to effectively address the identified needs. LEA/LITP/PAs in the Targeted Tier receive comprehensive monitoring every 3 years. </w:t>
      </w:r>
      <w:r w:rsidRPr="00781112">
        <w:rPr>
          <w:rFonts w:cs="Arial"/>
          <w:color w:val="000000" w:themeColor="text1"/>
          <w:szCs w:val="16"/>
        </w:rPr>
        <w:br/>
      </w:r>
      <w:r w:rsidRPr="00781112">
        <w:rPr>
          <w:rFonts w:cs="Arial"/>
          <w:color w:val="000000" w:themeColor="text1"/>
          <w:szCs w:val="16"/>
        </w:rPr>
        <w:br/>
        <w:t xml:space="preserve">An LEA/LITP/PA receiving a determination status of “Needs Assistance” for 3 consecutive years, “Needs Intervention” for 2 consecutive years, or "Needs Substantial Intervention" for 1 year is assigned to the Focused Tier. At this level, the goal of the Focused Tier of Engagement is to direct substantial support to address the continuous lack of improvement of the LEA/LITP/PA through significant systems change. A multi-faceted State and local leadership team meets regularly to develop and implement </w:t>
      </w:r>
      <w:proofErr w:type="gramStart"/>
      <w:r w:rsidRPr="00781112">
        <w:rPr>
          <w:rFonts w:cs="Arial"/>
          <w:color w:val="000000" w:themeColor="text1"/>
          <w:szCs w:val="16"/>
        </w:rPr>
        <w:t>an</w:t>
      </w:r>
      <w:proofErr w:type="gramEnd"/>
      <w:r w:rsidRPr="00781112">
        <w:rPr>
          <w:rFonts w:cs="Arial"/>
          <w:color w:val="000000" w:themeColor="text1"/>
          <w:szCs w:val="16"/>
        </w:rPr>
        <w:t xml:space="preserve"> focused collaborative action plan designed to effect systems change in policy, program, instructional practices, and professional learning at multiple systems levels. The State Superintendent and the DEI/SES Assistant State Superintendent work closely with the LEA/PA Superintendent to develop a cross-departmental, cross-divisional State and local implementation team. The MSDE provides increased oversight activities to assess progress and may direct federal funds, impose special conditions, and/or require regular submission of data. Comprehensive monitoring for LEA/PAs in the Focused Tier occurs every other year. </w:t>
      </w:r>
      <w:r w:rsidRPr="00781112">
        <w:rPr>
          <w:rFonts w:cs="Arial"/>
          <w:color w:val="000000" w:themeColor="text1"/>
          <w:szCs w:val="16"/>
        </w:rPr>
        <w:br/>
      </w:r>
      <w:r w:rsidRPr="00781112">
        <w:rPr>
          <w:rFonts w:cs="Arial"/>
          <w:color w:val="000000" w:themeColor="text1"/>
          <w:szCs w:val="16"/>
        </w:rPr>
        <w:br/>
        <w:t xml:space="preserve">At the highest tier, the Intensive Tier of General Supervision, an LEA/LITP/PA fails to progress and correct previously identified noncompliance despite receiving TA and support. The failure to comply has affected core requirements, such as the delivery of services to students with disabilities or to provide effective general supervision and oversight. The LEA/LITP/PA enters into a formal agreement with the MSDE to guide improvement and may have additional sanctions. The MSDE may direct, </w:t>
      </w:r>
      <w:proofErr w:type="gramStart"/>
      <w:r w:rsidRPr="00781112">
        <w:rPr>
          <w:rFonts w:cs="Arial"/>
          <w:color w:val="000000" w:themeColor="text1"/>
          <w:szCs w:val="16"/>
        </w:rPr>
        <w:t>recover</w:t>
      </w:r>
      <w:proofErr w:type="gramEnd"/>
      <w:r w:rsidRPr="00781112">
        <w:rPr>
          <w:rFonts w:cs="Arial"/>
          <w:color w:val="000000" w:themeColor="text1"/>
          <w:szCs w:val="16"/>
        </w:rPr>
        <w:t xml:space="preserve"> or withhold State or federal funds. Comprehensive monitoring occurs annually for LEA/LITP/PAs in the intensive tier.</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Data Collection </w:t>
      </w:r>
      <w:r w:rsidRPr="00781112">
        <w:rPr>
          <w:color w:val="000000" w:themeColor="text1"/>
        </w:rPr>
        <w:br/>
        <w:t xml:space="preserve">The first step is the collection and review of quantitative and qualitative data used for making data-informed decisions about program management and improvement. Data are derived from a variety of sources and the data collection process is continuous. First, the MSDE data system incorporates information from a variety of other MSDE offices. The DEI/SES collaborates with staff members from the Division of Assessment, Accountability, and Performance Reporting and the Division of Student Support, Academic Enrichment and Educational Policy to collect, disaggregate, analyze, report, and/or develop new data collections, as determined appropriate, to ensure data on students with disabilities required by the Elementary and Secondary Education Act (ESEA) and the IDEA are accurate, valid, and reliable. Data related to students with disabilities </w:t>
      </w:r>
      <w:proofErr w:type="gramStart"/>
      <w:r w:rsidRPr="00781112">
        <w:rPr>
          <w:color w:val="000000" w:themeColor="text1"/>
        </w:rPr>
        <w:t>are located in</w:t>
      </w:r>
      <w:proofErr w:type="gramEnd"/>
      <w:r w:rsidRPr="00781112">
        <w:rPr>
          <w:color w:val="000000" w:themeColor="text1"/>
        </w:rPr>
        <w:t xml:space="preserve"> different data collection sets. Access to newly collected disaggregated data on students with disabilities has allowed for the cross-referencing of data reports between different data sets. Relational links using the Unique Student ID (USID) numbers allow cross-referencing between all data sets. </w:t>
      </w:r>
      <w:r w:rsidRPr="00781112">
        <w:rPr>
          <w:color w:val="000000" w:themeColor="text1"/>
        </w:rPr>
        <w:br/>
      </w:r>
      <w:r w:rsidRPr="00781112">
        <w:rPr>
          <w:color w:val="000000" w:themeColor="text1"/>
        </w:rPr>
        <w:br/>
        <w:t xml:space="preserve">Special Services Information System (SSIS) 618 Data Collection </w:t>
      </w:r>
      <w:r w:rsidRPr="00781112">
        <w:rPr>
          <w:color w:val="000000" w:themeColor="text1"/>
        </w:rPr>
        <w:br/>
        <w:t xml:space="preserve">SSIS functions as a centralized data submission system for the IDEA Part B Section 618 data. Personnel data are collected annually in Excel spreadsheets. Section 618 data are submitted via a secure server file transfer of data from LEAs and PAs, which are to monitor and verify their data collection systems at the local level. Most PA special education data collection elements are collected as a part of the daily information management for all students. </w:t>
      </w:r>
      <w:r w:rsidRPr="00781112">
        <w:rPr>
          <w:color w:val="000000" w:themeColor="text1"/>
        </w:rPr>
        <w:br/>
        <w:t xml:space="preserve">The following processes and procedures are in place to ensure the reliability of the data system: </w:t>
      </w:r>
      <w:r w:rsidRPr="00781112">
        <w:rPr>
          <w:color w:val="000000" w:themeColor="text1"/>
        </w:rPr>
        <w:br/>
        <w:t>The SSIS secure server is available twenty-four (24) hours a day for file submissions. The secure server is backed up nightly and replicated off-site. Files posted are reviewed and edited daily</w:t>
      </w:r>
      <w:r w:rsidRPr="00781112">
        <w:rPr>
          <w:color w:val="000000" w:themeColor="text1"/>
        </w:rPr>
        <w:br/>
        <w:t>Files are loaded into the database which resides on a secure network and is backed up nightly using the Storage Area Network (SAN) Disk</w:t>
      </w:r>
      <w:r w:rsidRPr="00781112">
        <w:rPr>
          <w:color w:val="000000" w:themeColor="text1"/>
        </w:rPr>
        <w:br/>
        <w:t>Part B Data Managers and other MSDE staff are available to provide support when needed</w:t>
      </w:r>
      <w:r w:rsidRPr="00781112">
        <w:rPr>
          <w:color w:val="000000" w:themeColor="text1"/>
        </w:rPr>
        <w:br/>
      </w:r>
      <w:r w:rsidRPr="00781112">
        <w:rPr>
          <w:color w:val="000000" w:themeColor="text1"/>
        </w:rPr>
        <w:br/>
        <w:t xml:space="preserve">The SSIS Manual provides detailed information for LEAs/PAs to build mechanisms within their systems for data accuracy. The DEI/SES runs edit reports of the files for the LEAs and PAs to correct and resubmit their files to the DEI/SES. To ensure validity, the DEI/SES SSIS Manual provides data standardization for definitions and provides system edits </w:t>
      </w:r>
      <w:proofErr w:type="gramStart"/>
      <w:r w:rsidRPr="00781112">
        <w:rPr>
          <w:color w:val="000000" w:themeColor="text1"/>
        </w:rPr>
        <w:t>similar to</w:t>
      </w:r>
      <w:proofErr w:type="gramEnd"/>
      <w:r w:rsidRPr="00781112">
        <w:rPr>
          <w:color w:val="000000" w:themeColor="text1"/>
        </w:rPr>
        <w:t xml:space="preserve"> those suggested systems edits provided by the IDEA Data Center (IDC). Validity of the data and consistency with the Office of Special Education Programs (OSEP) data instructions are ensured throughout the data collection process by a number of practices and safeguards including edits built into the data collection system, such as data definition edits (what values are put in what fields), out-of-range edits, cross-field or relationship edits, and checks to ensure that all LEAs and PAs submit data.</w:t>
      </w:r>
      <w:r w:rsidRPr="00781112">
        <w:rPr>
          <w:color w:val="000000" w:themeColor="text1"/>
        </w:rPr>
        <w:br/>
      </w:r>
      <w:r w:rsidRPr="00781112">
        <w:rPr>
          <w:color w:val="000000" w:themeColor="text1"/>
        </w:rPr>
        <w:br/>
      </w:r>
      <w:r w:rsidRPr="00781112">
        <w:rPr>
          <w:color w:val="000000" w:themeColor="text1"/>
        </w:rPr>
        <w:br/>
        <w:t>The DEI/SES regularly revises the SSIS Manual according to State and/or Federal regulations. The Manual is distributed at Data Manager Meetings, placed on the DEI/SES website, and is also sent to each LEA/LITP/PA electronically. The DEI/SES produces the Census Publication and Related Tables from the data system which contains multiple tables and is posted on the MSDE website. An additional internal report produced is the 5% Analysis Report which highlights any LEA/LITP/PA with 5% or more population increases or decreases. The MSDE uses the EMAPS reports to flag large changes in the data. Data are disaggregated to determine which LEA/LITP/PA is involved. When disaggregated data are suspect, the DEI/SES contacts the local director of special education. Directors of special education and the DEI/SES staff work together to validate the data. The LEAs/PAs provide the DEI/SES the reasons for large changes in data and that information is analyzed at the MSDE and provided to EMAPS.</w:t>
      </w:r>
      <w:r w:rsidRPr="00781112">
        <w:rPr>
          <w:color w:val="000000" w:themeColor="text1"/>
        </w:rPr>
        <w:br/>
      </w:r>
      <w:r w:rsidRPr="00781112">
        <w:rPr>
          <w:color w:val="000000" w:themeColor="text1"/>
        </w:rPr>
        <w:br/>
        <w:t>The LEAs/PAs using the Maryland Statewide Online IEP (MOIEP) system transmit data nightly to the SSIS. Three LEAs use vendor-supported IEP systems to aggregate data for electronic file transfers quarterly to an MSDE secure server for web-based data submission of the annual child count, census data, and exit data. Personnel data continue to be collected annually in Excel spreadsheets. Quarterly, the DEI/SES collects child count, exit count, and Indicators 11, 12, and 13 data from LEA/LITP/PAs.</w:t>
      </w:r>
      <w:r w:rsidRPr="00781112">
        <w:rPr>
          <w:color w:val="000000" w:themeColor="text1"/>
        </w:rPr>
        <w:br/>
      </w:r>
      <w:r w:rsidRPr="00781112">
        <w:rPr>
          <w:color w:val="000000" w:themeColor="text1"/>
        </w:rPr>
        <w:br/>
        <w:t xml:space="preserve">The accuracy of the data is dependent upon the accuracy of the submitted school-level data. Questions and discrepancies in the data are verified by the DEI/SES staff with the respective LEA/LITP/PA. The LEA/LITP/PA SSIS Data Manager corrects errors and resubmits the entire data file to DEI/SES to ensure that corrections are made in both the database and the error file. SSIS allows two methods of data submission: </w:t>
      </w:r>
      <w:r w:rsidRPr="00781112">
        <w:rPr>
          <w:color w:val="000000" w:themeColor="text1"/>
        </w:rPr>
        <w:br/>
        <w:t xml:space="preserve">Data submitted as one large file and then corrected and resubmitted; or </w:t>
      </w:r>
      <w:r w:rsidRPr="00781112">
        <w:rPr>
          <w:color w:val="000000" w:themeColor="text1"/>
        </w:rPr>
        <w:br/>
        <w:t xml:space="preserve">Data submitted as a large file and error records are held in a suspense file until the LEA/LITP/PA corrects the errors online. </w:t>
      </w:r>
      <w:r w:rsidRPr="00781112">
        <w:rPr>
          <w:color w:val="000000" w:themeColor="text1"/>
        </w:rPr>
        <w:br/>
      </w:r>
      <w:r w:rsidRPr="00781112">
        <w:rPr>
          <w:color w:val="000000" w:themeColor="text1"/>
        </w:rPr>
        <w:br/>
        <w:t>Once corrected records are accepted, the LEA/LITP/PA can extract the corrected file and repopulate the LEA/LITP/PA system with the corrected records.</w:t>
      </w:r>
      <w:r w:rsidRPr="00781112">
        <w:rPr>
          <w:color w:val="000000" w:themeColor="text1"/>
        </w:rPr>
        <w:br/>
      </w:r>
      <w:r w:rsidRPr="00781112">
        <w:rPr>
          <w:color w:val="000000" w:themeColor="text1"/>
        </w:rPr>
        <w:br/>
        <w:t>Data collection or reporting issues related to the COVID-19 Pandemic will be discussed within individual indicators, if applicable.</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25</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lastRenderedPageBreak/>
        <w:t xml:space="preserve">IDEA Requirements </w:t>
      </w:r>
      <w:r w:rsidRPr="00781112">
        <w:rPr>
          <w:rFonts w:cs="Arial"/>
          <w:color w:val="000000" w:themeColor="text1"/>
          <w:szCs w:val="16"/>
        </w:rPr>
        <w:br/>
        <w:t>The DEI/SES conducts a comprehensive student file review to ensure LEAs/LITP/PAs are correctly implementing the regulatory requirements of the IDEA and the Code of Maryland Regulations (COMAR). The LEAs/PAs are selected for review on a cyclical basis using a representative sample based on student enrollment that includes large, medium, and small districts. Every Maryland LEA/LITP/PA will be reviewed at least once during the four-year cycle. Please see the information above about monitoring schedules based upon the Differentiated Framework.</w:t>
      </w:r>
      <w:r w:rsidRPr="00781112">
        <w:rPr>
          <w:rFonts w:cs="Arial"/>
          <w:color w:val="000000" w:themeColor="text1"/>
          <w:szCs w:val="16"/>
        </w:rPr>
        <w:br/>
      </w:r>
      <w:r w:rsidRPr="00781112">
        <w:rPr>
          <w:rFonts w:cs="Arial"/>
          <w:color w:val="000000" w:themeColor="text1"/>
          <w:szCs w:val="16"/>
        </w:rPr>
        <w:br/>
        <w:t>Effective Policies, Procedures, and Practices (PPP)</w:t>
      </w:r>
      <w:r w:rsidRPr="00781112">
        <w:rPr>
          <w:rFonts w:cs="Arial"/>
          <w:color w:val="000000" w:themeColor="text1"/>
          <w:szCs w:val="16"/>
        </w:rPr>
        <w:br/>
        <w:t xml:space="preserve">Maryland has policies and procedures aligned with IDEA. State law and COMAR support State implementation of the IDEA. Each LEA/LITP/PA is responsible for developing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and practices for effective implementation in accordance with federal and State requirements. The DEI/SES has embedded the review of LEA/LITP/PA policies, procedures, and practices within existing components of general supervision.</w:t>
      </w:r>
      <w:r w:rsidRPr="00781112">
        <w:rPr>
          <w:rFonts w:cs="Arial"/>
          <w:color w:val="000000" w:themeColor="text1"/>
          <w:szCs w:val="16"/>
        </w:rPr>
        <w:br/>
      </w:r>
      <w:r w:rsidRPr="00781112">
        <w:rPr>
          <w:rFonts w:cs="Arial"/>
          <w:color w:val="000000" w:themeColor="text1"/>
          <w:szCs w:val="16"/>
        </w:rPr>
        <w:br/>
        <w:t xml:space="preserve">Significant Disproportionality </w:t>
      </w:r>
      <w:r w:rsidRPr="00781112">
        <w:rPr>
          <w:rFonts w:cs="Arial"/>
          <w:color w:val="000000" w:themeColor="text1"/>
          <w:szCs w:val="16"/>
        </w:rPr>
        <w:br/>
        <w:t xml:space="preserve">States must collect and examine data to determine whether significant disproportionality based on race or ethnicity is occurring in the State and districts concerning the identification of children as children with disabilities, including specific disability categories; the placement of children in particular educational settings; and the incidence, duration, and type of disciplinary removal. Significant disproportionality is based on an analysis of numerical information. It is defined as a risk ratio (RR) greater than 2.0 and failure to make adequate progress from the previous year’s data (.15 for RRs between 2.0 and 4.0 and .50 for RRs = 4.0) for the same race or ethnicity </w:t>
      </w:r>
      <w:proofErr w:type="gramStart"/>
      <w:r w:rsidRPr="00781112">
        <w:rPr>
          <w:rFonts w:cs="Arial"/>
          <w:color w:val="000000" w:themeColor="text1"/>
          <w:szCs w:val="16"/>
        </w:rPr>
        <w:t>with regard to</w:t>
      </w:r>
      <w:proofErr w:type="gramEnd"/>
      <w:r w:rsidRPr="00781112">
        <w:rPr>
          <w:rFonts w:cs="Arial"/>
          <w:color w:val="000000" w:themeColor="text1"/>
          <w:szCs w:val="16"/>
        </w:rPr>
        <w:t xml:space="preserve"> a disability category, type of disciplinary action, or particular educational setting. An LEA/LITP/PA identified as having significant disproportionality must reserve 15% of its IDEA Part B Section 611 and Section 619 passthrough funds to provide Comprehensive Coordinated Early Intervening Services (CCEIS); review and, if appropriate, revise district PPPs; and publicly report on the revisions of district policies, procedures, and practices. Additionally, districts identified as having significant disproportionality are restricted from reducing Maintenance of Effort (MOE) by using the 50% reduction rule.</w:t>
      </w:r>
      <w:r w:rsidRPr="00781112">
        <w:rPr>
          <w:rFonts w:cs="Arial"/>
          <w:color w:val="000000" w:themeColor="text1"/>
          <w:szCs w:val="16"/>
        </w:rPr>
        <w:br/>
      </w:r>
      <w:r w:rsidRPr="00781112">
        <w:rPr>
          <w:rFonts w:cs="Arial"/>
          <w:color w:val="000000" w:themeColor="text1"/>
          <w:szCs w:val="16"/>
        </w:rPr>
        <w:br/>
        <w:t>State Performance Plan (SPP)</w:t>
      </w:r>
      <w:r w:rsidRPr="00781112">
        <w:rPr>
          <w:rFonts w:cs="Arial"/>
          <w:color w:val="000000" w:themeColor="text1"/>
          <w:szCs w:val="16"/>
        </w:rPr>
        <w:br/>
        <w:t xml:space="preserve">The SPP is the State’s plan to improve results and compliance indicators established by the OSEP and contains a description of the State’s efforts to implement the requirements of Part B of the IDEA, including how it will improve performance on indicators. As part of the SPP, each indicator has a target set by the OSEP or the State. All targets set by the State are facilitated through stakeholder engagement. </w:t>
      </w:r>
      <w:r w:rsidRPr="00781112">
        <w:rPr>
          <w:rFonts w:cs="Arial"/>
          <w:color w:val="000000" w:themeColor="text1"/>
          <w:szCs w:val="16"/>
        </w:rPr>
        <w:br/>
      </w:r>
      <w:r w:rsidRPr="00781112">
        <w:rPr>
          <w:rFonts w:cs="Arial"/>
          <w:color w:val="000000" w:themeColor="text1"/>
          <w:szCs w:val="16"/>
        </w:rPr>
        <w:br/>
        <w:t>Accountability to Improve Performance (AIP)</w:t>
      </w:r>
      <w:r w:rsidRPr="00781112">
        <w:rPr>
          <w:rFonts w:cs="Arial"/>
          <w:color w:val="000000" w:themeColor="text1"/>
          <w:szCs w:val="16"/>
        </w:rPr>
        <w:br/>
        <w:t>The DEI/SES now places greater emphasis on requirements related to improving educational results for children with disabilities. In addition, the DEI/SES works collaboratively with LEA/LITP/PAs to identify root causes and focus on areas in need of improvement. The AIP process verifies data, documents compliance with both IDEA and COMAR regulatory requirements, and provides TA for the timely correction of identified findings of noncompliance. Findings of noncompliance concerning the records of individual children with disabilities always result in verification of correction using a two-prong process consistent with OSEP Memo 09-02. Comprehensive monitoring occurs at least every four years in each LEA/LITP/PA to ensure the LEA/LITP/PAs are compliant with State and federal regulations, have a system of general supervision in place to monitor child progress and make data-informed decisions, and are focused on improving outcomes for children with developmental delays and disabilities, and their families.</w:t>
      </w:r>
      <w:r w:rsidRPr="00781112">
        <w:rPr>
          <w:rFonts w:cs="Arial"/>
          <w:color w:val="000000" w:themeColor="text1"/>
          <w:szCs w:val="16"/>
        </w:rPr>
        <w:br/>
      </w:r>
      <w:r w:rsidRPr="00781112">
        <w:rPr>
          <w:rFonts w:cs="Arial"/>
          <w:color w:val="000000" w:themeColor="text1"/>
          <w:szCs w:val="16"/>
        </w:rPr>
        <w:br/>
        <w:t>While some monitoring activities are universal for all, other monitoring activities are customized to examine areas of need, such as:</w:t>
      </w:r>
      <w:r w:rsidRPr="00781112">
        <w:rPr>
          <w:rFonts w:cs="Arial"/>
          <w:color w:val="000000" w:themeColor="text1"/>
          <w:szCs w:val="16"/>
        </w:rPr>
        <w:br/>
        <w:t>Indicator data verification</w:t>
      </w:r>
      <w:r w:rsidRPr="00781112">
        <w:rPr>
          <w:rFonts w:cs="Arial"/>
          <w:color w:val="000000" w:themeColor="text1"/>
          <w:szCs w:val="16"/>
        </w:rPr>
        <w:br/>
        <w:t>Other data reviews</w:t>
      </w:r>
      <w:r w:rsidRPr="00781112">
        <w:rPr>
          <w:rFonts w:cs="Arial"/>
          <w:color w:val="000000" w:themeColor="text1"/>
          <w:szCs w:val="16"/>
        </w:rPr>
        <w:br/>
        <w:t>Grant/Fiscal reviews</w:t>
      </w:r>
      <w:r w:rsidRPr="00781112">
        <w:rPr>
          <w:rFonts w:cs="Arial"/>
          <w:color w:val="000000" w:themeColor="text1"/>
          <w:szCs w:val="16"/>
        </w:rPr>
        <w:br/>
        <w:t>Medicaid monitoring</w:t>
      </w:r>
      <w:r w:rsidRPr="00781112">
        <w:rPr>
          <w:rFonts w:cs="Arial"/>
          <w:color w:val="000000" w:themeColor="text1"/>
          <w:szCs w:val="16"/>
        </w:rPr>
        <w:br/>
        <w:t>Family support data</w:t>
      </w:r>
      <w:r w:rsidRPr="00781112">
        <w:rPr>
          <w:rFonts w:cs="Arial"/>
          <w:color w:val="000000" w:themeColor="text1"/>
          <w:szCs w:val="16"/>
        </w:rPr>
        <w:br/>
        <w:t>State complaints</w:t>
      </w:r>
      <w:r w:rsidRPr="00781112">
        <w:rPr>
          <w:rFonts w:cs="Arial"/>
          <w:color w:val="000000" w:themeColor="text1"/>
          <w:szCs w:val="16"/>
        </w:rPr>
        <w:br/>
        <w:t>Advocacy organization concerns</w:t>
      </w:r>
      <w:r w:rsidRPr="00781112">
        <w:rPr>
          <w:rFonts w:cs="Arial"/>
          <w:color w:val="000000" w:themeColor="text1"/>
          <w:szCs w:val="16"/>
        </w:rPr>
        <w:br/>
      </w:r>
      <w:r w:rsidRPr="00781112">
        <w:rPr>
          <w:rFonts w:cs="Arial"/>
          <w:color w:val="000000" w:themeColor="text1"/>
          <w:szCs w:val="16"/>
        </w:rPr>
        <w:br/>
        <w:t>The DEI/SES has developed monitoring activities geared towards these efforts to ensure improved results, including:</w:t>
      </w:r>
      <w:r w:rsidRPr="00781112">
        <w:rPr>
          <w:rFonts w:cs="Arial"/>
          <w:color w:val="000000" w:themeColor="text1"/>
          <w:szCs w:val="16"/>
        </w:rPr>
        <w:br/>
        <w:t xml:space="preserve">Desk Audits - review of data, IEPs, or other sources of information used in monitoring conducted by the DEI/SES at the DEI/SES. </w:t>
      </w:r>
      <w:r w:rsidRPr="00781112">
        <w:rPr>
          <w:rFonts w:cs="Arial"/>
          <w:color w:val="000000" w:themeColor="text1"/>
          <w:szCs w:val="16"/>
        </w:rPr>
        <w:br/>
        <w:t xml:space="preserve">On-Site Monitoring - review of data, IEPs, or other sources of information used in monitoring conducted by DEI/SES staff within the LEA/LITP/PAs. On-site monitoring is specifically used to carry out those activities that are not practical to complete through a desk audit by the DEI/SES staff. </w:t>
      </w:r>
      <w:r w:rsidRPr="00781112">
        <w:rPr>
          <w:rFonts w:cs="Arial"/>
          <w:color w:val="000000" w:themeColor="text1"/>
          <w:szCs w:val="16"/>
        </w:rPr>
        <w:br/>
        <w:t>Case Study Reviews - reviews of an individual child’s early intervention record to determine whether the child is being provided with appropriate services, which is evidenced by continued growth and progress towards child and family outcomes. Case studies include observations of service delivery and interviews with families and providers.</w:t>
      </w:r>
      <w:r w:rsidRPr="00781112">
        <w:rPr>
          <w:rFonts w:cs="Arial"/>
          <w:color w:val="000000" w:themeColor="text1"/>
          <w:szCs w:val="16"/>
        </w:rPr>
        <w:br/>
        <w:t>Interviews - conducted with administrators, service providers, and parents to measure consistency and understanding of practices across the LEA/LITP/PA. DEI/SES staff are able to ascertain the knowledge of local program staff pertaining to the implementation of IEPs, utilization of evidence-based practices, and the responsibilities of staff.</w:t>
      </w:r>
      <w:r w:rsidRPr="00781112">
        <w:rPr>
          <w:rFonts w:cs="Arial"/>
          <w:color w:val="000000" w:themeColor="text1"/>
          <w:szCs w:val="16"/>
        </w:rPr>
        <w:br/>
        <w:t xml:space="preserve">Directed Onsite Visits - Onsite visits at any time based on data indicating potential concerns or a pattern of concerns over time. These concerns may come from examining data reported to the MSDE as part of the accountability system and other sources of information, such as interactions and conversations with parents, advocates, and/or district personnel. The scope of each directed onsite visit may vary. </w:t>
      </w:r>
      <w:r w:rsidRPr="00781112">
        <w:rPr>
          <w:rFonts w:cs="Arial"/>
          <w:color w:val="000000" w:themeColor="text1"/>
          <w:szCs w:val="16"/>
        </w:rPr>
        <w:br/>
      </w:r>
      <w:r w:rsidRPr="00781112">
        <w:rPr>
          <w:rFonts w:cs="Arial"/>
          <w:color w:val="000000" w:themeColor="text1"/>
          <w:szCs w:val="16"/>
        </w:rPr>
        <w:br/>
        <w:t>Fiscal Management</w:t>
      </w:r>
      <w:r w:rsidRPr="00781112">
        <w:rPr>
          <w:rFonts w:cs="Arial"/>
          <w:color w:val="000000" w:themeColor="text1"/>
          <w:szCs w:val="16"/>
        </w:rPr>
        <w:br/>
        <w:t xml:space="preserve">The primary responsibility of the Resource Management Branch is to ensure effective procurement, use, and oversight of DEI/SES resources. This branch also provides for fiscal subrecipient monitoring of all recipients of the IDEA grant funds throughout Maryland. The branch ensures fiscal accountability in accordance with IDEA and COMAR for federal and State funds administered by the MSDE for the benefit of students with disabilities. The branch assists LEA/LITP/PAs, and other subrecipients through the application, reporting, and fiscal management process associated with the grant award. </w:t>
      </w:r>
      <w:r w:rsidRPr="00781112">
        <w:rPr>
          <w:rFonts w:cs="Arial"/>
          <w:color w:val="000000" w:themeColor="text1"/>
          <w:szCs w:val="16"/>
        </w:rPr>
        <w:br/>
      </w:r>
      <w:r w:rsidRPr="00781112">
        <w:rPr>
          <w:rFonts w:cs="Arial"/>
          <w:color w:val="000000" w:themeColor="text1"/>
          <w:szCs w:val="16"/>
        </w:rPr>
        <w:br/>
        <w:t>Dispute Resolution</w:t>
      </w:r>
      <w:r w:rsidRPr="00781112">
        <w:rPr>
          <w:rFonts w:cs="Arial"/>
          <w:color w:val="000000" w:themeColor="text1"/>
          <w:szCs w:val="16"/>
        </w:rPr>
        <w:br/>
        <w:t>The IDEA provides safeguards that include formal dispute resolution requirements, such as mediation, formal complaints, resolution sessions, and due process hearings. The Family Support and Dispute Resolution Branch collects and analyzes data on an ongoing basis to ensure effective implementation of the dispute resolution system.</w:t>
      </w:r>
      <w:r w:rsidRPr="00781112">
        <w:rPr>
          <w:rFonts w:cs="Arial"/>
          <w:color w:val="000000" w:themeColor="text1"/>
          <w:szCs w:val="16"/>
        </w:rPr>
        <w:br/>
      </w:r>
      <w:r w:rsidRPr="00781112">
        <w:rPr>
          <w:rFonts w:cs="Arial"/>
          <w:color w:val="000000" w:themeColor="text1"/>
          <w:szCs w:val="16"/>
        </w:rPr>
        <w:br/>
        <w:t>Targeted TA and Support</w:t>
      </w:r>
      <w:r w:rsidRPr="00781112">
        <w:rPr>
          <w:rFonts w:cs="Arial"/>
          <w:color w:val="000000" w:themeColor="text1"/>
          <w:szCs w:val="16"/>
        </w:rPr>
        <w:br/>
        <w:t>Through the SSIP and data from the examination of the LEA/LITP/PA performance, ongoing state activities are used for program improvement and progress measurement. The DEI/SES also aligns improvement activities with existing MSDE initiatives, such as Maryland’s Every Student Succeeds Act. TA activities, designed to address the needs of each individual LEA/LITP/PA, are based on data that are collected and correction of any noncompliance, consistent with OSEP's 09-02 Memo.</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Enforcement </w:t>
      </w:r>
      <w:r w:rsidRPr="00781112">
        <w:rPr>
          <w:rFonts w:cs="Arial"/>
          <w:color w:val="000000" w:themeColor="text1"/>
          <w:szCs w:val="16"/>
        </w:rPr>
        <w:br/>
        <w:t xml:space="preserve">There is a direct relationship between determination status and enforcement. After assigning each LEA/LITP/PA a determination status, the DEI/SES applies appropriate enforcement actions. The DEI/SES mandates activities and actions that are designed to ensure that LEA/LITP/PAs meet the requirements of IDEA. Each LEA/LITP/PA is assigned to one of four tiers of general supervision. This comprehensive information is used to provide differentiated engagement that focuses on building capacity to improve results and direct State resources to those LEA/LITP/PAs that are the </w:t>
      </w:r>
      <w:proofErr w:type="gramStart"/>
      <w:r w:rsidRPr="00781112">
        <w:rPr>
          <w:rFonts w:cs="Arial"/>
          <w:color w:val="000000" w:themeColor="text1"/>
          <w:szCs w:val="16"/>
        </w:rPr>
        <w:t>lowest-performing</w:t>
      </w:r>
      <w:proofErr w:type="gramEnd"/>
      <w:r w:rsidRPr="00781112">
        <w:rPr>
          <w:rFonts w:cs="Arial"/>
          <w:color w:val="000000" w:themeColor="text1"/>
          <w:szCs w:val="16"/>
        </w:rPr>
        <w:t>.</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Through the DEI/SES’s strategic plan, Moving Maryland Forward: Sharpen the Focus for 2020, the DEI/SES focuses on building the capacity of LITPs, LEAs, PAs, and IHEs, to narrow the performance gap and enable all children to be kindergarten ready. The DEI/SES works collaboratively with other Divisions within the MSDE to improve performance on statewide accountability measures and achievement of the Maryland College and Career Ready Standards.</w:t>
      </w:r>
      <w:r w:rsidRPr="00781112">
        <w:rPr>
          <w:rFonts w:cs="Arial"/>
          <w:color w:val="000000" w:themeColor="text1"/>
          <w:szCs w:val="16"/>
        </w:rPr>
        <w:br/>
      </w:r>
      <w:r w:rsidRPr="00781112">
        <w:rPr>
          <w:rFonts w:cs="Arial"/>
          <w:color w:val="000000" w:themeColor="text1"/>
          <w:szCs w:val="16"/>
        </w:rPr>
        <w:br/>
        <w:t>Team, Analyze, Plan, Implement, Track (TAP-IT)</w:t>
      </w:r>
      <w:r w:rsidRPr="00781112">
        <w:rPr>
          <w:rFonts w:cs="Arial"/>
          <w:color w:val="000000" w:themeColor="text1"/>
          <w:szCs w:val="16"/>
        </w:rPr>
        <w:br/>
        <w:t>The TAP-IT process is the universal delivery system for improved results through the DEI/SES Differentiated Framework: Tiers of Engagement. TAP-IT ensures purposeful resource allocation and collaborative effort in support of research-based actions that narrow the achievement gap for children with disabilities and their non-disabled peers. Through TAP-IT the DEI/SES partners with LEA/LITP/PAs around five (5) levers for change based on State Education Agency (SEA) Levers for Change in Local Education Agencies and Schools, Redding, 2013:</w:t>
      </w:r>
      <w:r w:rsidRPr="00781112">
        <w:rPr>
          <w:rFonts w:cs="Arial"/>
          <w:color w:val="000000" w:themeColor="text1"/>
          <w:szCs w:val="16"/>
        </w:rPr>
        <w:br/>
        <w:t>Opportunity by braiding of resources to support innovative practices;</w:t>
      </w:r>
      <w:r w:rsidRPr="00781112">
        <w:rPr>
          <w:rFonts w:cs="Arial"/>
          <w:color w:val="000000" w:themeColor="text1"/>
          <w:szCs w:val="16"/>
        </w:rPr>
        <w:br/>
        <w:t>Incentives through Statewide recognition of child progress and gap reduction;</w:t>
      </w:r>
      <w:r w:rsidRPr="00781112">
        <w:rPr>
          <w:rFonts w:cs="Arial"/>
          <w:color w:val="000000" w:themeColor="text1"/>
          <w:szCs w:val="16"/>
        </w:rPr>
        <w:br/>
        <w:t>Systemic Capacity by providing Statewide data systems that include the Longitudinal Accountability Decision Support System (LADSS), Maryland Online IFSP, and the Maryland Online IEP (MOIEP);</w:t>
      </w:r>
      <w:r w:rsidRPr="00781112">
        <w:rPr>
          <w:rFonts w:cs="Arial"/>
          <w:color w:val="000000" w:themeColor="text1"/>
          <w:szCs w:val="16"/>
        </w:rPr>
        <w:br/>
        <w:t>Local Capacity building through expert consultation, establishing of Communities of Practice (CoP), training, coaching, and opportunities for diagnostic site reviews;</w:t>
      </w:r>
      <w:r w:rsidRPr="00781112">
        <w:rPr>
          <w:rFonts w:cs="Arial"/>
          <w:color w:val="000000" w:themeColor="text1"/>
          <w:szCs w:val="16"/>
        </w:rPr>
        <w:br/>
        <w:t>Intervention through the DEI/SES Differentiated Framework: Tiers of Engagement that include universal support for internal decision-making processes based on implementation science, and dissemination of proven practices with demonstrated results.</w:t>
      </w:r>
      <w:r w:rsidRPr="00781112">
        <w:rPr>
          <w:rFonts w:cs="Arial"/>
          <w:color w:val="000000" w:themeColor="text1"/>
          <w:szCs w:val="16"/>
        </w:rPr>
        <w:br/>
      </w:r>
      <w:r w:rsidRPr="00781112">
        <w:rPr>
          <w:rFonts w:cs="Arial"/>
          <w:color w:val="000000" w:themeColor="text1"/>
          <w:szCs w:val="16"/>
        </w:rPr>
        <w:br/>
        <w:t>The TAP-IT process begins with the formation of an implementation team comprised of LEA/LITP/PA and DEI/SES representatives who operate in a clearly defined partnership. The team collects all current, relevant data sources (e.g., SPP/APR, Maryland Report Card, Ready at Five - School Readiness Data, Maryland Online IFSP database, and Family Survey Data). An August 2017 WestEd/NCSI Spotlight highlighted this process with a focus on mathematics in Maryland: https://ncsi.wested.org/resources/state-spotlights/</w:t>
      </w:r>
      <w:r w:rsidRPr="00781112">
        <w:rPr>
          <w:rFonts w:cs="Arial"/>
          <w:color w:val="000000" w:themeColor="text1"/>
          <w:szCs w:val="16"/>
        </w:rPr>
        <w:br/>
        <w:t>Team: The LEA/LITP/PA leadership selects team members who are decision-makers (programmatic, fiscal, organizational, human capital, and general educator(s) as appropriate) and will represent the LEA/LITP/PA in partnership with the MSDE, DEI/SES team (data, fiscal, and programmatic MSDE liaisons). Collaborative team sessions are scheduled face-to-face and/or through technology applications to establish team function, roles, and operating norms. There is attention to building the capacity of the team using implementation science. A partnership is jointly formed by the LEA/LITP/PA and DEI/SES team to guide the work that includes outcomes, design, and assessment.</w:t>
      </w:r>
      <w:r w:rsidRPr="00781112">
        <w:rPr>
          <w:rFonts w:cs="Arial"/>
          <w:color w:val="000000" w:themeColor="text1"/>
          <w:szCs w:val="16"/>
        </w:rPr>
        <w:br/>
        <w:t>Analyze: The team studies the processes currently in place to analyze data at the State and LEA/LITP/PA levels. The team reviews the available data that include formative, summative, longitudinal summary reports and early warning alert systems that may be in place. The purpose of each data source is reviewed, and the strength and limitations are identified. The team describes/defines the sources and processes to analyze data and identifies opportunities for programmatic support and/or TA. The team analyzes the data using an agreed-upon protocol and reports their finding(s).</w:t>
      </w:r>
      <w:r w:rsidRPr="00781112">
        <w:rPr>
          <w:rFonts w:cs="Arial"/>
          <w:color w:val="000000" w:themeColor="text1"/>
          <w:szCs w:val="16"/>
        </w:rPr>
        <w:br/>
        <w:t xml:space="preserve">Plan: The team reviews the effectiveness of existing processes and interventions to narrow the gap between children with disabilities and their non-disabled peers. The team shares current research and research-based practices for narrowing the achievement gap. Allocation of resources is reviewed to determine their effectiveness in narrowing the gap. The team uses evidence-based questioning strategies such as Teams Intervening Early to Reach all Students (TIERS): Asking the Right Questions and implementation science tools that include the Hexagon Tool where information is gathered and organized. These provide the team with a complete picture of the targeted interventions and their use in the LEA/LITP/PA (see: https://nirn.fpg.unc.edu/resources/hexagon-exploration-tool). Based on the data analysis, plans are </w:t>
      </w:r>
      <w:proofErr w:type="gramStart"/>
      <w:r w:rsidRPr="00781112">
        <w:rPr>
          <w:rFonts w:cs="Arial"/>
          <w:color w:val="000000" w:themeColor="text1"/>
          <w:szCs w:val="16"/>
        </w:rPr>
        <w:t>created</w:t>
      </w:r>
      <w:proofErr w:type="gramEnd"/>
      <w:r w:rsidRPr="00781112">
        <w:rPr>
          <w:rFonts w:cs="Arial"/>
          <w:color w:val="000000" w:themeColor="text1"/>
          <w:szCs w:val="16"/>
        </w:rPr>
        <w:t xml:space="preserve"> and resources are aligned to narrow the achievement gap. Strategic, measurable, attainable, results-based, and time-bound (SMART) goals and ideas for sharing success and replication are included in the developed plans.</w:t>
      </w:r>
      <w:r w:rsidRPr="00781112">
        <w:rPr>
          <w:rFonts w:cs="Arial"/>
          <w:color w:val="000000" w:themeColor="text1"/>
          <w:szCs w:val="16"/>
        </w:rPr>
        <w:br/>
        <w:t xml:space="preserve">Implement: The plan is implemented with the supports and resources identified from the LEA/LITP/PA, the DEI/SES, and other external partners. Monitoring of progress, </w:t>
      </w:r>
      <w:proofErr w:type="gramStart"/>
      <w:r w:rsidRPr="00781112">
        <w:rPr>
          <w:rFonts w:cs="Arial"/>
          <w:color w:val="000000" w:themeColor="text1"/>
          <w:szCs w:val="16"/>
        </w:rPr>
        <w:t>identification</w:t>
      </w:r>
      <w:proofErr w:type="gramEnd"/>
      <w:r w:rsidRPr="00781112">
        <w:rPr>
          <w:rFonts w:cs="Arial"/>
          <w:color w:val="000000" w:themeColor="text1"/>
          <w:szCs w:val="16"/>
        </w:rPr>
        <w:t xml:space="preserve"> and removal of barriers to change, and diagnostic site reviews are conducted.</w:t>
      </w:r>
      <w:r w:rsidRPr="00781112">
        <w:rPr>
          <w:rFonts w:cs="Arial"/>
          <w:color w:val="000000" w:themeColor="text1"/>
          <w:szCs w:val="16"/>
        </w:rPr>
        <w:br/>
        <w:t>Track: Team members meet quarterly face-to-face and/or through technology applications. Assigned monitors provide updates on each data set, financial reports are discussed, and plans are modified as needed (e.g., based on intervention implementation fidelity, child performance, etc.). The team completes an annual review and report of the work through the SMART Process. Success is shared, and the work is scaled up as appropriate.</w:t>
      </w:r>
      <w:r w:rsidRPr="00781112">
        <w:rPr>
          <w:rFonts w:cs="Arial"/>
          <w:color w:val="000000" w:themeColor="text1"/>
          <w:szCs w:val="16"/>
        </w:rPr>
        <w:br/>
      </w:r>
      <w:r w:rsidRPr="00781112">
        <w:rPr>
          <w:rFonts w:cs="Arial"/>
          <w:color w:val="000000" w:themeColor="text1"/>
          <w:szCs w:val="16"/>
        </w:rPr>
        <w:br/>
        <w:t xml:space="preserve">Accessing Technical Assistance by MSDE </w:t>
      </w:r>
      <w:r w:rsidRPr="00781112">
        <w:rPr>
          <w:rFonts w:cs="Arial"/>
          <w:color w:val="000000" w:themeColor="text1"/>
          <w:szCs w:val="16"/>
        </w:rPr>
        <w:br/>
        <w:t xml:space="preserve">The OSEP, in the 2022 Part B Results-Driven Accountability Matrix, identified the MSDE, DEI/SES in need of TA to address the low performance and participation of students with disabilities on the National Assessment of Educational Progress (NAEP). The MSDE, DEI/SES partnered with the MSDE, Division of Assessment, </w:t>
      </w:r>
      <w:proofErr w:type="gramStart"/>
      <w:r w:rsidRPr="00781112">
        <w:rPr>
          <w:rFonts w:cs="Arial"/>
          <w:color w:val="000000" w:themeColor="text1"/>
          <w:szCs w:val="16"/>
        </w:rPr>
        <w:t>Accountability</w:t>
      </w:r>
      <w:proofErr w:type="gramEnd"/>
      <w:r w:rsidRPr="00781112">
        <w:rPr>
          <w:rFonts w:cs="Arial"/>
          <w:color w:val="000000" w:themeColor="text1"/>
          <w:szCs w:val="16"/>
        </w:rPr>
        <w:t xml:space="preserve"> and Information Technology, including the MSDE NAEP Coordinator, John Hopkins Center for Technology and Education, and stakeholders to provide guidance and TA to LEAs, PAs, and families. The DEI/SES has also continued to receive TA from federal Technical Assistance Centers including the IDEA Data Center (IDC), National Center for Systemic Improvement (NCSI), the National Center for Educational Outcomes (NCEO), and the Time, Instructional Effectiveness, Engagement, and State and District Support for Inclusive Practices Center (TIES). Information specific to the TIES partnership can be found here: https://www.marylandlearninglinks.org/ties-center-and-nceo-parent-resource-videos/</w:t>
      </w:r>
      <w:r w:rsidRPr="00781112">
        <w:rPr>
          <w:rFonts w:cs="Arial"/>
          <w:color w:val="000000" w:themeColor="text1"/>
          <w:szCs w:val="16"/>
        </w:rPr>
        <w:br/>
      </w:r>
      <w:r w:rsidRPr="00781112">
        <w:rPr>
          <w:rFonts w:cs="Arial"/>
          <w:color w:val="000000" w:themeColor="text1"/>
          <w:szCs w:val="16"/>
        </w:rPr>
        <w:br/>
        <w:t>As a result of these collaborations, the DEI/SES has implemented family-friendly strategies that included the dissemination of information to parents and LEAs that clarified the requirements and the importance of students with disabilities, particularly, those students in the fourth and eighth-grade assessments. In addition, the MSDE, DEI/SES staff works closely with John Hopkins University to revise the MOIEP. Past revisions to the MOIEP facilitated discussions between family members and the IEP team regarding the decisions to ensure access for students with disabilities. The MOIEP allows the IEP Team to document and track the decisions being made over time. Preliminary data results indicate that there has been a significant increase in the participation of students with disabilities on the NAEP and the Statewide assessment. The MSDE, DEI/SES staff will continue to facilitate improvement in the participation and proficiency rate of students with disabilities.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lastRenderedPageBreak/>
        <w:t xml:space="preserve">MSDE's “Stages of Professional Development for All Teachers Teaching Students with Disabilities” (“Stages”) is a roadmap that teachers can use throughout their careers, ideally beginning in the final year of a teacher-preparation program and moving all the way through to retirement. There are other matrices available to guide teacher professional development, but “Stages” is unique. It’s specifically geared to help teachers improve the performance of their students with disabilities in both the general and special education environments. While “Stages” can be a great self-assessment tool, it’s especially useful during the mentoring process. It helps mentors and mentees identify the mentee’s particular areas of strength and areas of need. In addition, it provides clear </w:t>
      </w:r>
      <w:proofErr w:type="gramStart"/>
      <w:r w:rsidRPr="00781112">
        <w:rPr>
          <w:rFonts w:cs="Arial"/>
          <w:color w:val="000000" w:themeColor="text1"/>
          <w:szCs w:val="16"/>
        </w:rPr>
        <w:t>stepping stones</w:t>
      </w:r>
      <w:proofErr w:type="gramEnd"/>
      <w:r w:rsidRPr="00781112">
        <w:rPr>
          <w:rFonts w:cs="Arial"/>
          <w:color w:val="000000" w:themeColor="text1"/>
          <w:szCs w:val="16"/>
        </w:rPr>
        <w:t xml:space="preserve"> to guide the mentee’s professional development on an ongoing, career-long basis. The online version of “Stages”, accessible through the Professional Development Online Tracker (PDot), includes links to professional development courses, videos, curricula, webinars, books, and other materials that can be invaluable during (and after) mentoring.</w:t>
      </w:r>
      <w:r w:rsidRPr="00781112">
        <w:rPr>
          <w:rFonts w:cs="Arial"/>
          <w:color w:val="000000" w:themeColor="text1"/>
          <w:szCs w:val="16"/>
        </w:rPr>
        <w:br/>
      </w:r>
      <w:r w:rsidRPr="00781112">
        <w:rPr>
          <w:rFonts w:cs="Arial"/>
          <w:color w:val="000000" w:themeColor="text1"/>
          <w:szCs w:val="16"/>
        </w:rPr>
        <w:br/>
        <w:t>In order to improve program quality and services to positively impact student results, the MSDE DEI/SES, in collaboration with numerous partners, provides resources, training, consultation, and TA to local special education directors, service providers, community partners, stakeholders, and parents through a variety of formats and forums. Dissemination of these trainings, resources, media, and tools to strengthen student outcomes and the special education services provided to students with disabilities is supported through the DEI/SES Maryland Learning Links website in collaboration with the Johns Hopkins University Center for Technology in Education (CTE).</w:t>
      </w:r>
      <w:r w:rsidRPr="00781112">
        <w:rPr>
          <w:rFonts w:cs="Arial"/>
          <w:color w:val="000000" w:themeColor="text1"/>
          <w:szCs w:val="16"/>
        </w:rPr>
        <w:br/>
      </w:r>
      <w:r w:rsidRPr="00781112">
        <w:rPr>
          <w:rFonts w:cs="Arial"/>
          <w:color w:val="000000" w:themeColor="text1"/>
          <w:szCs w:val="16"/>
        </w:rPr>
        <w:br/>
        <w:t xml:space="preserve">The MSDE provides targeted professional learning activities for local special education leaders. These include the annual DEI/SES Professional Learning Institute (with early childhood, secondary transition, and access, equity, and progress strands), quarterly face-to-face Birth through 21 Leadership professional learning, and monthly Birth through 21 Leadership teleconferences. </w:t>
      </w:r>
      <w:r w:rsidRPr="00781112">
        <w:rPr>
          <w:rFonts w:cs="Arial"/>
          <w:color w:val="000000" w:themeColor="text1"/>
          <w:szCs w:val="16"/>
        </w:rPr>
        <w:br/>
      </w:r>
      <w:r w:rsidRPr="00781112">
        <w:rPr>
          <w:rFonts w:cs="Arial"/>
          <w:color w:val="000000" w:themeColor="text1"/>
          <w:szCs w:val="16"/>
        </w:rPr>
        <w:br/>
        <w:t xml:space="preserve">As described under the Division's Technical Assistance System, the Tiers of Engagement provide differentiated program support and TA based on State and local needs related to implementing a high-quality, seamless, Birth through 21 system of services. A specific school-age performance liaison is designated for each LEA/LITP/PA and supports data-informed systematic planning, implementation, and evaluation of evidence-based professional learning to enhance the quality of recommended special education practices. The differentiated engagement model focuses on building capacity to improve results and direct State resources to those LEA/LITP/PAs that are the </w:t>
      </w:r>
      <w:proofErr w:type="gramStart"/>
      <w:r w:rsidRPr="00781112">
        <w:rPr>
          <w:rFonts w:cs="Arial"/>
          <w:color w:val="000000" w:themeColor="text1"/>
          <w:szCs w:val="16"/>
        </w:rPr>
        <w:t>lowest-performing</w:t>
      </w:r>
      <w:proofErr w:type="gramEnd"/>
      <w:r w:rsidRPr="00781112">
        <w:rPr>
          <w:rFonts w:cs="Arial"/>
          <w:color w:val="000000" w:themeColor="text1"/>
          <w:szCs w:val="16"/>
        </w:rPr>
        <w:t xml:space="preserve"> while recognizing and providing the support needed to publish and disseminate successful best practices from those LEA/LITP/PAs which are achieving success.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t>Maryland Higher Education Commission</w:t>
      </w:r>
      <w:r w:rsidRPr="00781112">
        <w:rPr>
          <w:rFonts w:cs="Arial"/>
          <w:color w:val="000000" w:themeColor="text1"/>
          <w:szCs w:val="16"/>
        </w:rPr>
        <w:br/>
        <w:t>4 LEA Representatives (administrators, service providers, etc.)</w:t>
      </w:r>
      <w:r w:rsidRPr="00781112">
        <w:rPr>
          <w:rFonts w:cs="Arial"/>
          <w:color w:val="000000" w:themeColor="text1"/>
          <w:szCs w:val="16"/>
        </w:rPr>
        <w:br/>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w:t>
      </w:r>
      <w:r w:rsidRPr="00781112">
        <w:rPr>
          <w:rFonts w:cs="Arial"/>
          <w:color w:val="000000" w:themeColor="text1"/>
          <w:szCs w:val="16"/>
        </w:rPr>
        <w:lastRenderedPageBreak/>
        <w:t xml:space="preserve">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79</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Committees/Councils, including the State Interagency Coordinating Council (SICC), Special Education State Advisory Committee (SESAC), and Education Advisory Council (EAC), support Maryland’s comprehensive birth through twenty-one (21) system of services. Parents and advisory/advocacy committees are engaged in target settings, analyzing data, developing improvement strategies, and evaluating progress in numerous ways. Parents, including representatives from the Parent Training and Information Center (PTIC) in Maryland, Parents Place of Maryland, are actively involved in the SICC, SESAC, and EAC Parents Place of Maryland employs eleven (11) parents of children and students with identified delays and disabilities. The SICC currently has five (3) parent members, all from different local jurisdictions systems, who attend regularly. Maryland’s SESAC has eighteen (18) parent members who attend regularly. Nonmember parents attend both the SICC and SESAC since the meetings are open to the public. The EAC is a diverse coalition of over 25 individuals and organizations, including individual advocates, advocacy law centers, disability societies/councils, educational consultants, and other agencies with a focus on empowering and supporting children with disabilities and their families. As mentioned before, Parents Place of Maryland, Maryland’s PTIC, is a valuable stakeholder with membership on each committee.</w:t>
      </w:r>
      <w:r w:rsidRPr="00781112">
        <w:rPr>
          <w:color w:val="000000" w:themeColor="text1"/>
          <w:szCs w:val="16"/>
        </w:rPr>
        <w:br/>
      </w:r>
      <w:r w:rsidRPr="00781112">
        <w:rPr>
          <w:color w:val="000000" w:themeColor="text1"/>
          <w:szCs w:val="16"/>
        </w:rPr>
        <w:br/>
        <w:t xml:space="preserve">Parents, parent support staff, and advocacy groups are also included in State Professional Learning Institutes (PLIs) and statewide webinars intended to provide stakeholders with up-to-date information on legislation, program strategies, evidence-based practice updates, and progress on program results and APR indicators. Thirty-one (31) of 43 Family Support providers in Maryland’s LEAs are parents of students with disabilities. </w:t>
      </w:r>
      <w:r w:rsidRPr="00781112">
        <w:rPr>
          <w:color w:val="000000" w:themeColor="text1"/>
          <w:szCs w:val="16"/>
        </w:rPr>
        <w:br/>
        <w:t>Several ongoing committees have regular participation by parents, including:</w:t>
      </w:r>
      <w:r w:rsidRPr="00781112">
        <w:rPr>
          <w:color w:val="000000" w:themeColor="text1"/>
          <w:szCs w:val="16"/>
        </w:rPr>
        <w:br/>
        <w:t>The State Implementation Teams (Part B and Part C);</w:t>
      </w:r>
      <w:r w:rsidRPr="00781112">
        <w:rPr>
          <w:color w:val="000000" w:themeColor="text1"/>
          <w:szCs w:val="16"/>
        </w:rPr>
        <w:br/>
        <w:t>These teams are responsible for moving SSIP work forward.</w:t>
      </w:r>
      <w:r w:rsidRPr="00781112">
        <w:rPr>
          <w:color w:val="000000" w:themeColor="text1"/>
          <w:szCs w:val="16"/>
        </w:rPr>
        <w:br/>
        <w:t>One (1) parent that serves on each Team.</w:t>
      </w:r>
      <w:r w:rsidRPr="00781112">
        <w:rPr>
          <w:color w:val="000000" w:themeColor="text1"/>
          <w:szCs w:val="16"/>
        </w:rPr>
        <w:br/>
        <w:t>The Inclusion State Leadership Team (Part B and Part C);</w:t>
      </w:r>
      <w:r w:rsidRPr="00781112">
        <w:rPr>
          <w:color w:val="000000" w:themeColor="text1"/>
          <w:szCs w:val="16"/>
        </w:rPr>
        <w:br/>
        <w:t>This team advances technical assistance activities which are focused on advancing effective evidence-based inclusion policies and practices within the State’s comprehensive birth through age 21 education system.</w:t>
      </w:r>
      <w:r w:rsidRPr="00781112">
        <w:rPr>
          <w:color w:val="000000" w:themeColor="text1"/>
          <w:szCs w:val="16"/>
        </w:rPr>
        <w:br/>
        <w:t>Two (2) parents that serve on this Team.</w:t>
      </w:r>
      <w:r w:rsidRPr="00781112">
        <w:rPr>
          <w:color w:val="000000" w:themeColor="text1"/>
          <w:szCs w:val="16"/>
        </w:rPr>
        <w:br/>
        <w:t>The State Inclusion Leadership Team (Part B and Part C);</w:t>
      </w:r>
      <w:r w:rsidRPr="00781112">
        <w:rPr>
          <w:color w:val="000000" w:themeColor="text1"/>
          <w:szCs w:val="16"/>
        </w:rPr>
        <w:br/>
        <w:t xml:space="preserve">This team develops state-level guidance and support for the local education agencies that were awarded the PS Inclusion grants. </w:t>
      </w:r>
      <w:r w:rsidRPr="00781112">
        <w:rPr>
          <w:color w:val="000000" w:themeColor="text1"/>
          <w:szCs w:val="16"/>
        </w:rPr>
        <w:br/>
        <w:t>Two (2) parents that serve on this Team.</w:t>
      </w:r>
      <w:r w:rsidRPr="00781112">
        <w:rPr>
          <w:color w:val="000000" w:themeColor="text1"/>
          <w:szCs w:val="16"/>
        </w:rPr>
        <w:br/>
        <w:t>The Pyramid Model Leadership Committee, which is not led by DEI/SES, but the DEI/SES serves as partners (Part C and Part B); and</w:t>
      </w:r>
      <w:r w:rsidRPr="00781112">
        <w:rPr>
          <w:color w:val="000000" w:themeColor="text1"/>
          <w:szCs w:val="16"/>
        </w:rPr>
        <w:br/>
        <w:t>This committee focuses development, evaluation, and sustainability of a statewide collaborative effort, guided by national models, that supports the local implementation of the Pyramid Model framework.</w:t>
      </w:r>
      <w:r w:rsidRPr="00781112">
        <w:rPr>
          <w:color w:val="000000" w:themeColor="text1"/>
          <w:szCs w:val="16"/>
        </w:rPr>
        <w:br/>
        <w:t>Two (2) parents that serve on this Committee.</w:t>
      </w:r>
      <w:r w:rsidRPr="00781112">
        <w:rPr>
          <w:color w:val="000000" w:themeColor="text1"/>
          <w:szCs w:val="16"/>
        </w:rPr>
        <w:br/>
        <w:t>The Maryland Certificate of Program Completion (MCoPC) Endorsement Task Force</w:t>
      </w:r>
      <w:r w:rsidRPr="00781112">
        <w:rPr>
          <w:color w:val="000000" w:themeColor="text1"/>
          <w:szCs w:val="16"/>
        </w:rPr>
        <w:br/>
        <w:t>The task force’s charge is to review the requirements for the Maryland Certificate of Program Completion requirements and develop standards for endorsements that can be added to the MCoPC that address employment, postsecondary education, and community/citizenship.</w:t>
      </w:r>
      <w:r w:rsidRPr="00781112">
        <w:rPr>
          <w:color w:val="000000" w:themeColor="text1"/>
          <w:szCs w:val="16"/>
        </w:rPr>
        <w:br/>
        <w:t>Six (6) parents serve on this Task Force.</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MSDE DEI/SES develops State leadership teams for new initiatives, including a diverse membership. Parent members fully participate in the processes, discussions, and are encouraged to take on leadership roles at times. The expectation is that State leadership teams will then be modeled at the local level for each jurisdiction participating in the initiative. The MSDE, DEI/SES provides grant funding to several family organizations, including PPMD and the Maryland Coalition of Families (MCF), to enhance parent leadership and encourage diverse parent participation at all levels of decision-making.</w:t>
      </w:r>
      <w:r w:rsidRPr="00781112">
        <w:rPr>
          <w:color w:val="000000" w:themeColor="text1"/>
          <w:szCs w:val="16"/>
        </w:rPr>
        <w:br/>
      </w:r>
      <w:r w:rsidRPr="00781112">
        <w:rPr>
          <w:color w:val="000000" w:themeColor="text1"/>
          <w:szCs w:val="16"/>
        </w:rPr>
        <w:br/>
        <w:t>The PPMD has two current grants from the DEI/SES:</w:t>
      </w:r>
      <w:r w:rsidRPr="00781112">
        <w:rPr>
          <w:color w:val="000000" w:themeColor="text1"/>
          <w:szCs w:val="16"/>
        </w:rPr>
        <w:br/>
        <w:t>Baby LEADers – goals of the grant include but are not limited to increasing parent participation in planning for IFSP, Extended IFSP, and IEP services and decision-making; increasing parent knowledge to support young children through the transition from an IFSP to an IEP; increasing parent knowledge of the Division of Early Childhood’s Recommended Practices and Family Guides supporting the State’s rollout of evidence-based practices and strategies; empowering families to use the resources they need to participate in their own family and community activities; and improving parent/provider communication and family partnerships regarding early intervention and preschool services for children to improve service delivery and substantially contribute to improving child outcomes.</w:t>
      </w:r>
      <w:r w:rsidRPr="00781112">
        <w:rPr>
          <w:color w:val="000000" w:themeColor="text1"/>
          <w:szCs w:val="16"/>
        </w:rPr>
        <w:br/>
      </w:r>
      <w:r w:rsidRPr="00781112">
        <w:rPr>
          <w:color w:val="000000" w:themeColor="text1"/>
          <w:szCs w:val="16"/>
        </w:rPr>
        <w:lastRenderedPageBreak/>
        <w:t>Guiding the Journey: A Transition Program for Parents – goals of the grant include, but are not limited to, conducting secondary transition trainings for parents of students aged 14 and older; and increasing parental involvement and expertise in the transition planning process.</w:t>
      </w:r>
      <w:r w:rsidRPr="00781112">
        <w:rPr>
          <w:color w:val="000000" w:themeColor="text1"/>
          <w:szCs w:val="16"/>
        </w:rPr>
        <w:br/>
      </w:r>
      <w:r w:rsidRPr="00781112">
        <w:rPr>
          <w:color w:val="000000" w:themeColor="text1"/>
          <w:szCs w:val="16"/>
        </w:rPr>
        <w:br/>
        <w:t>Through a DEI/SES grant, the MCF provides training programs to promote family/school partnerships and empower families to advocate for their children, as well as other children, in education and other child-serving care systems. The MCF’s annual Family Leadership Institute (FLI) provides an intensive training program to promote the development of local partnerships and community ties. Through the MCF’s Family Leadership Program, the MCF seeks to increase parent/caregiver capacity, engagement, and partnership with LITPs and LEAs. Equipping parents/caregivers who care for children with mental health disorders with knowledge, skills, and resources will promote a positive partnership with the school and positive educational outcomes for their child. The SICC facilitates an annual joint meeting with Local Interagency Coordinating Councils (LICCs) across Maryland encouraging State-level representation and engagement from parents and various stakeholders. This diverse group of parents and stakeholders advise the State’s development of activities that support children and students with special needs. In addition, the collaborative meeting has resulted in the recruitment of additional parents to the SICC.</w:t>
      </w:r>
      <w:r w:rsidRPr="00781112">
        <w:rPr>
          <w:color w:val="000000" w:themeColor="text1"/>
          <w:szCs w:val="16"/>
        </w:rPr>
        <w:br/>
      </w:r>
      <w:r w:rsidRPr="00781112">
        <w:rPr>
          <w:color w:val="000000" w:themeColor="text1"/>
          <w:szCs w:val="16"/>
        </w:rPr>
        <w:br/>
        <w:t>The DEI/SES provides the EAC an opportunity to review all TABs and parent guides before they are finalized and disseminated. Since the start of the COVID-19 Pandemic, the DEI/SES has developed over forty-five (45) guidance documents. Ultimately, these documents are published on the MSDE’s website to ensure wide dissemination to both providers and families. The DEI/SES TABs and family guides can be found here: https://www.marylandpublicschools.org/programs/Pages/Special-Education/TAB.aspx. Of note, the DEI/SES developed two (2) new parent guides to increase the capacity of parents to support their children, including A Parents’ Guide: Navigating Special Education during COVID-19 Pandemic and A Parents' Guide to Navigating Compensatory Education/Recovery Services during the COVID-19 Pandemic.</w:t>
      </w:r>
      <w:r w:rsidRPr="00781112">
        <w:rPr>
          <w:color w:val="000000" w:themeColor="text1"/>
          <w:szCs w:val="16"/>
        </w:rPr>
        <w:br/>
      </w:r>
      <w:r w:rsidRPr="00781112">
        <w:rPr>
          <w:color w:val="000000" w:themeColor="text1"/>
          <w:szCs w:val="16"/>
        </w:rPr>
        <w:br/>
        <w:t xml:space="preserve">In addition to the strategies mentioned above, the value of the Special Education State Advisory Committee (SESAC) as an integral mechanism to broaden the opportunity for stakeholder feedback on the implementation activities and targets of the SPP/APR, among other critical issues, cannot be understated. The SESAC is established to advise and assist the Maryland State Department of Education, DEI/SES in administering, promoting, planning, </w:t>
      </w:r>
      <w:proofErr w:type="gramStart"/>
      <w:r w:rsidRPr="00781112">
        <w:rPr>
          <w:color w:val="000000" w:themeColor="text1"/>
          <w:szCs w:val="16"/>
        </w:rPr>
        <w:t>coordinating</w:t>
      </w:r>
      <w:proofErr w:type="gramEnd"/>
      <w:r w:rsidRPr="00781112">
        <w:rPr>
          <w:color w:val="000000" w:themeColor="text1"/>
          <w:szCs w:val="16"/>
        </w:rPr>
        <w:t xml:space="preserve"> and improving the delivery of special education and related services to assure that all children with disabilities, three through 21 years of age, and their families have access to appropriate education and related services. SESAC membership conforms to the requirements of Federal and State regulations with over 51% of members who are parents of students, ages birth through 21, with disabilities. Membership is representative of a broad base of families, state agencies advocating for, funding, and/or administering programs for students with disabilities, private agencies responsible for addressing vocational, community, and business matters pertaining to students with disabilities, representatives from local education agencies, etc. Each year, the SESAC holds a meeting in January dedicated to review and receive input on the SPP/APR, including revisions to implementation activities and targets. DEI/SES staff present data on each indicator, review and compare current and prior years data, set State targets, and provide feedback on strategies to develop and implement policies to improve results for students with disabilities. In addition, the SESAC hosts an annual meeting with the leaders of each Special Education Citizens' Advisory Committee (SECAC). This meeting offers local SECAC family leaders the opportunity to be actively involved in State level administration of special education and to provide feedback and insight on local matters impacting SPP/APR data as well as other special education data and the policies and practices that drive those data.</w:t>
      </w:r>
      <w:r w:rsidRPr="00781112">
        <w:rPr>
          <w:color w:val="000000" w:themeColor="text1"/>
          <w:szCs w:val="16"/>
        </w:rPr>
        <w:br/>
      </w:r>
      <w:r w:rsidRPr="00781112">
        <w:rPr>
          <w:color w:val="000000" w:themeColor="text1"/>
          <w:szCs w:val="16"/>
        </w:rPr>
        <w:br/>
        <w:t>Finally, the DEI/SES Family Support Section also provides Technical Assistance to the Local Family Support Coordinators in each jurisdiction in Maryland, including the Maryland School for the Blind and Maryland School for the Deaf. Technical Assistance included discussions about:</w:t>
      </w:r>
      <w:r w:rsidRPr="00781112">
        <w:rPr>
          <w:color w:val="000000" w:themeColor="text1"/>
          <w:szCs w:val="16"/>
        </w:rPr>
        <w:br/>
        <w:t>1) Finding and interpreting local and State SPP/APR data;</w:t>
      </w:r>
      <w:r w:rsidRPr="00781112">
        <w:rPr>
          <w:color w:val="000000" w:themeColor="text1"/>
          <w:szCs w:val="16"/>
        </w:rPr>
        <w:br/>
        <w:t>2) Reviewing their SPP/APR improvement strategies;</w:t>
      </w:r>
      <w:r w:rsidRPr="00781112">
        <w:rPr>
          <w:color w:val="000000" w:themeColor="text1"/>
          <w:szCs w:val="16"/>
        </w:rPr>
        <w:br/>
        <w:t>3) Providing feedback on SPP/APR data, improvement strategies, and targets; and</w:t>
      </w:r>
      <w:r w:rsidRPr="00781112">
        <w:rPr>
          <w:color w:val="000000" w:themeColor="text1"/>
          <w:szCs w:val="16"/>
        </w:rPr>
        <w:br/>
        <w:t xml:space="preserve">4) the importance of including this in conversations with local SECACs, advisory groups and families. </w:t>
      </w:r>
      <w:r w:rsidRPr="00781112">
        <w:rPr>
          <w:color w:val="000000" w:themeColor="text1"/>
          <w:szCs w:val="16"/>
        </w:rPr>
        <w:br/>
      </w:r>
      <w:r w:rsidRPr="00781112">
        <w:rPr>
          <w:color w:val="000000" w:themeColor="text1"/>
          <w:szCs w:val="16"/>
        </w:rPr>
        <w:br/>
        <w:t>Family support coordinators encourage and support effective parent participation on a variety of committees and workgroups at all levels of decision-making.</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Throughout the year, stakeholders are made aware of data analysis, improvement strategies, and program data/progress evaluation in a variety of ways, including through Statewide meetings/webinars, SICC/SESAC/EAC meetings, and family support conferences. Statewide webinars occur frequently, but not necessarily with specific regularity as they are often dependent on hot topics or immediate concerns or initiatives. The SICC, SESAC, and EAC meetings occur frequently and regularly with the schedule set at the beginning of each fiscal year. For both types of meetings, stakeholders can provide feedback on data analysis, improvement strategies, evaluation, and target setting. In addition to Statewide meetings and regular stakeholder workgroups, the State has regular family support conferences and webinars. These meetings are regularly attended by parents and family support professionals. Below are examples of topics discussed at Family Support Conferences/webinars in FFY 2020 and FFY 2021: </w:t>
      </w:r>
      <w:r w:rsidRPr="00781112">
        <w:rPr>
          <w:color w:val="000000" w:themeColor="text1"/>
          <w:szCs w:val="16"/>
        </w:rPr>
        <w:br/>
        <w:t>Routines-Based Interview;</w:t>
      </w:r>
      <w:r w:rsidRPr="00781112">
        <w:rPr>
          <w:color w:val="000000" w:themeColor="text1"/>
          <w:szCs w:val="16"/>
        </w:rPr>
        <w:br/>
        <w:t>Authentic Assessment;</w:t>
      </w:r>
      <w:r w:rsidRPr="00781112">
        <w:rPr>
          <w:color w:val="000000" w:themeColor="text1"/>
          <w:szCs w:val="16"/>
        </w:rPr>
        <w:br/>
        <w:t>Data highlights;</w:t>
      </w:r>
      <w:r w:rsidRPr="00781112">
        <w:rPr>
          <w:color w:val="000000" w:themeColor="text1"/>
          <w:szCs w:val="16"/>
        </w:rPr>
        <w:br/>
        <w:t>Parent/Family Survey;</w:t>
      </w:r>
      <w:r w:rsidRPr="00781112">
        <w:rPr>
          <w:color w:val="000000" w:themeColor="text1"/>
          <w:szCs w:val="16"/>
        </w:rPr>
        <w:br/>
        <w:t>Improving Family Engagement;</w:t>
      </w:r>
      <w:r w:rsidRPr="00781112">
        <w:rPr>
          <w:color w:val="000000" w:themeColor="text1"/>
          <w:szCs w:val="16"/>
        </w:rPr>
        <w:br/>
        <w:t>Early Intervention Personnel Standards;</w:t>
      </w:r>
      <w:r w:rsidRPr="00781112">
        <w:rPr>
          <w:color w:val="000000" w:themeColor="text1"/>
          <w:szCs w:val="16"/>
        </w:rPr>
        <w:br/>
        <w:t>Components of IEP Goals</w:t>
      </w:r>
      <w:r w:rsidRPr="00781112">
        <w:rPr>
          <w:color w:val="000000" w:themeColor="text1"/>
          <w:szCs w:val="16"/>
        </w:rPr>
        <w:br/>
        <w:t>Tips to Support Mask-Wearing for Students with Disabilities;</w:t>
      </w:r>
      <w:r w:rsidRPr="00781112">
        <w:rPr>
          <w:color w:val="000000" w:themeColor="text1"/>
          <w:szCs w:val="16"/>
        </w:rPr>
        <w:br/>
        <w:t>Helping Prepare Parents Prepare for a Return to In-Person Instruction/Services;</w:t>
      </w:r>
      <w:r w:rsidRPr="00781112">
        <w:rPr>
          <w:color w:val="000000" w:themeColor="text1"/>
          <w:szCs w:val="16"/>
        </w:rPr>
        <w:br/>
        <w:t>Review of MSDE TABs;</w:t>
      </w:r>
      <w:r w:rsidRPr="00781112">
        <w:rPr>
          <w:color w:val="000000" w:themeColor="text1"/>
          <w:szCs w:val="16"/>
        </w:rPr>
        <w:br/>
        <w:t>Decision-Making for Students with the Most Significant Cognitive Disabilities</w:t>
      </w:r>
      <w:r w:rsidRPr="00781112">
        <w:rPr>
          <w:color w:val="000000" w:themeColor="text1"/>
          <w:szCs w:val="16"/>
        </w:rPr>
        <w:br/>
        <w:t>Improving Outcomes through Family Support;</w:t>
      </w:r>
      <w:r w:rsidRPr="00781112">
        <w:rPr>
          <w:color w:val="000000" w:themeColor="text1"/>
          <w:szCs w:val="16"/>
        </w:rPr>
        <w:br/>
        <w:t>Understanding the IFSP/IEP Process;</w:t>
      </w:r>
      <w:r w:rsidRPr="00781112">
        <w:rPr>
          <w:color w:val="000000" w:themeColor="text1"/>
          <w:szCs w:val="16"/>
        </w:rPr>
        <w:br/>
        <w:t>Helping Families Create a Vision for Their Child;</w:t>
      </w:r>
      <w:r w:rsidRPr="00781112">
        <w:rPr>
          <w:color w:val="000000" w:themeColor="text1"/>
          <w:szCs w:val="16"/>
        </w:rPr>
        <w:br/>
        <w:t>A review of Parental Rights Maryland’s Procedural Safeguards Notice Document; and</w:t>
      </w:r>
      <w:r w:rsidRPr="00781112">
        <w:rPr>
          <w:color w:val="000000" w:themeColor="text1"/>
          <w:szCs w:val="16"/>
        </w:rPr>
        <w:br/>
        <w:t xml:space="preserve"> Compensatory Education/Recovery Services Topics.</w:t>
      </w:r>
      <w:r w:rsidRPr="00781112">
        <w:rPr>
          <w:color w:val="000000" w:themeColor="text1"/>
          <w:szCs w:val="16"/>
        </w:rPr>
        <w:br/>
      </w:r>
      <w:r w:rsidRPr="00781112">
        <w:rPr>
          <w:color w:val="000000" w:themeColor="text1"/>
          <w:szCs w:val="16"/>
        </w:rPr>
        <w:br/>
        <w:t>In addition to the meetings above, the SIT meets regularly to develop, analyze, and evaluate evidence-based practices utilized in Maryland’s SSIP jurisdiction and expand the use of the State’s evidence-based practices beyond jurisdictions participating in the SSIP. The PPMD, SICC, and SESAC have representatives on the SIT, thus ensuring parent and advisory group participation.</w:t>
      </w:r>
      <w:r w:rsidRPr="00781112">
        <w:rPr>
          <w:color w:val="000000" w:themeColor="text1"/>
          <w:szCs w:val="16"/>
        </w:rPr>
        <w:br/>
      </w:r>
      <w:r w:rsidRPr="00781112">
        <w:rPr>
          <w:color w:val="000000" w:themeColor="text1"/>
          <w:szCs w:val="16"/>
        </w:rPr>
        <w:br/>
        <w:t xml:space="preserve">Below is a timeline of the mechanisms used to set targets, baselines, analyze data, develop improvement strategies and evaluate progress for the FFY </w:t>
      </w:r>
      <w:r w:rsidRPr="00781112">
        <w:rPr>
          <w:color w:val="000000" w:themeColor="text1"/>
          <w:szCs w:val="16"/>
        </w:rPr>
        <w:lastRenderedPageBreak/>
        <w:t>2020 - FFY 2025 APR Cycle, including revisions to Indicator 2 targets in FFY 2021.</w:t>
      </w:r>
      <w:r w:rsidRPr="00781112">
        <w:rPr>
          <w:color w:val="000000" w:themeColor="text1"/>
          <w:szCs w:val="16"/>
        </w:rPr>
        <w:br/>
      </w:r>
      <w:r w:rsidRPr="00781112">
        <w:rPr>
          <w:color w:val="000000" w:themeColor="text1"/>
          <w:szCs w:val="16"/>
        </w:rPr>
        <w:br/>
        <w:t xml:space="preserve">Timeline: </w:t>
      </w:r>
      <w:r w:rsidRPr="00781112">
        <w:rPr>
          <w:color w:val="000000" w:themeColor="text1"/>
          <w:szCs w:val="16"/>
        </w:rPr>
        <w:br/>
      </w:r>
      <w:r w:rsidRPr="00781112">
        <w:rPr>
          <w:color w:val="000000" w:themeColor="text1"/>
          <w:szCs w:val="16"/>
        </w:rPr>
        <w:br/>
      </w:r>
      <w:r w:rsidRPr="00781112">
        <w:rPr>
          <w:color w:val="000000" w:themeColor="text1"/>
          <w:szCs w:val="16"/>
        </w:rPr>
        <w:br/>
        <w:t>July 2021 – October 2021</w:t>
      </w:r>
      <w:r w:rsidRPr="00781112">
        <w:rPr>
          <w:color w:val="000000" w:themeColor="text1"/>
          <w:szCs w:val="16"/>
        </w:rPr>
        <w:br/>
        <w:t>Reviewed how each indicator was measured in the past cycle and what changes, if any, are required for data collection and reporting</w:t>
      </w:r>
      <w:r w:rsidRPr="00781112">
        <w:rPr>
          <w:color w:val="000000" w:themeColor="text1"/>
          <w:szCs w:val="16"/>
        </w:rPr>
        <w:br/>
        <w:t>Consulted with internal data collection teams at MSDE (inter-departmental) to ensure data availability and a plan for data analysis and reporting</w:t>
      </w:r>
      <w:r w:rsidRPr="00781112">
        <w:rPr>
          <w:color w:val="000000" w:themeColor="text1"/>
          <w:szCs w:val="16"/>
        </w:rPr>
        <w:br/>
      </w:r>
      <w:r w:rsidRPr="00781112">
        <w:rPr>
          <w:color w:val="000000" w:themeColor="text1"/>
          <w:szCs w:val="16"/>
        </w:rPr>
        <w:br/>
        <w:t>October 2021 - December 2021</w:t>
      </w:r>
      <w:r w:rsidRPr="00781112">
        <w:rPr>
          <w:color w:val="000000" w:themeColor="text1"/>
          <w:szCs w:val="16"/>
        </w:rPr>
        <w:br/>
        <w:t xml:space="preserve">Presented to stakeholders changes to how the indicator will be measured in the new cycle </w:t>
      </w:r>
      <w:r w:rsidRPr="00781112">
        <w:rPr>
          <w:color w:val="000000" w:themeColor="text1"/>
          <w:szCs w:val="16"/>
        </w:rPr>
        <w:br/>
        <w:t xml:space="preserve">Identified and developed proposed baseline year, proposed target options, and improvement strategies to meet the targets </w:t>
      </w:r>
      <w:r w:rsidRPr="00781112">
        <w:rPr>
          <w:color w:val="000000" w:themeColor="text1"/>
          <w:szCs w:val="16"/>
        </w:rPr>
        <w:br/>
        <w:t>Solicited input from stakeholders on priorities for APR indicators</w:t>
      </w:r>
      <w:r w:rsidRPr="00781112">
        <w:rPr>
          <w:color w:val="000000" w:themeColor="text1"/>
          <w:szCs w:val="16"/>
        </w:rPr>
        <w:br/>
        <w:t>Developed APR Surveys (Part B and Part C) for obtaining feedback from stakeholders</w:t>
      </w:r>
      <w:r w:rsidRPr="00781112">
        <w:rPr>
          <w:color w:val="000000" w:themeColor="text1"/>
          <w:szCs w:val="16"/>
        </w:rPr>
        <w:br/>
      </w:r>
      <w:r w:rsidRPr="00781112">
        <w:rPr>
          <w:color w:val="000000" w:themeColor="text1"/>
          <w:szCs w:val="16"/>
        </w:rPr>
        <w:br/>
        <w:t xml:space="preserve">December 2021-January 2022 </w:t>
      </w:r>
      <w:r w:rsidRPr="00781112">
        <w:rPr>
          <w:color w:val="000000" w:themeColor="text1"/>
          <w:szCs w:val="16"/>
        </w:rPr>
        <w:br/>
        <w:t>Disseminated Part C and Part B Surveys to stakeholders throughout Maryland for feedback on APR Indicators (baselines, targets, and improvement strategies)</w:t>
      </w:r>
      <w:r w:rsidRPr="00781112">
        <w:rPr>
          <w:color w:val="000000" w:themeColor="text1"/>
          <w:szCs w:val="16"/>
        </w:rPr>
        <w:br/>
        <w:t>Solicited additional input from advisory groups, councils, and committees (SESAC, SICC, EAC, etc.)</w:t>
      </w:r>
      <w:r w:rsidRPr="00781112">
        <w:rPr>
          <w:color w:val="000000" w:themeColor="text1"/>
          <w:szCs w:val="16"/>
        </w:rPr>
        <w:br/>
        <w:t>Reviewed stakeholder survey responses</w:t>
      </w:r>
      <w:r w:rsidRPr="00781112">
        <w:rPr>
          <w:color w:val="000000" w:themeColor="text1"/>
          <w:szCs w:val="16"/>
        </w:rPr>
        <w:br/>
        <w:t xml:space="preserve">Made final adjustments and finalized proposed baselines, targets, and improvement strategies </w:t>
      </w:r>
      <w:r w:rsidRPr="00781112">
        <w:rPr>
          <w:color w:val="000000" w:themeColor="text1"/>
          <w:szCs w:val="16"/>
        </w:rPr>
        <w:br/>
      </w:r>
      <w:r w:rsidRPr="00781112">
        <w:rPr>
          <w:color w:val="000000" w:themeColor="text1"/>
          <w:szCs w:val="16"/>
        </w:rPr>
        <w:br/>
        <w:t xml:space="preserve">February 1, 2022 </w:t>
      </w:r>
      <w:r w:rsidRPr="00781112">
        <w:rPr>
          <w:color w:val="000000" w:themeColor="text1"/>
          <w:szCs w:val="16"/>
        </w:rPr>
        <w:br/>
        <w:t>Submitted SPP-APR FFY2020</w:t>
      </w:r>
      <w:r w:rsidRPr="00781112">
        <w:rPr>
          <w:color w:val="000000" w:themeColor="text1"/>
          <w:szCs w:val="16"/>
        </w:rPr>
        <w:br/>
      </w:r>
      <w:r w:rsidRPr="00781112">
        <w:rPr>
          <w:color w:val="000000" w:themeColor="text1"/>
          <w:szCs w:val="16"/>
        </w:rPr>
        <w:br/>
        <w:t>April 2022</w:t>
      </w:r>
      <w:r w:rsidRPr="00781112">
        <w:rPr>
          <w:color w:val="000000" w:themeColor="text1"/>
          <w:szCs w:val="16"/>
        </w:rPr>
        <w:br/>
        <w:t>Developed a 2nd Part B Survey to obtain feedback on Indicators 3A, 3B, 3C, 3D, 5, and 6</w:t>
      </w:r>
      <w:r w:rsidRPr="00781112">
        <w:rPr>
          <w:color w:val="000000" w:themeColor="text1"/>
          <w:szCs w:val="16"/>
        </w:rPr>
        <w:br/>
        <w:t xml:space="preserve">Disseminated 2nd Part B Survey to stakeholders to solicit input </w:t>
      </w:r>
      <w:r w:rsidRPr="00781112">
        <w:rPr>
          <w:color w:val="000000" w:themeColor="text1"/>
          <w:szCs w:val="16"/>
        </w:rPr>
        <w:br/>
        <w:t>Reviewed stakeholder survey responses</w:t>
      </w:r>
      <w:r w:rsidRPr="00781112">
        <w:rPr>
          <w:color w:val="000000" w:themeColor="text1"/>
          <w:szCs w:val="16"/>
        </w:rPr>
        <w:br/>
        <w:t xml:space="preserve">Made final adjustments and finalized proposed baselines, targets, and improvement strategies </w:t>
      </w:r>
      <w:r w:rsidRPr="00781112">
        <w:rPr>
          <w:color w:val="000000" w:themeColor="text1"/>
          <w:szCs w:val="16"/>
        </w:rPr>
        <w:br/>
        <w:t>Submitted Final FFY 2020 Part B APR</w:t>
      </w:r>
      <w:r w:rsidRPr="00781112">
        <w:rPr>
          <w:color w:val="000000" w:themeColor="text1"/>
          <w:szCs w:val="16"/>
        </w:rPr>
        <w:br/>
      </w:r>
      <w:r w:rsidRPr="00781112">
        <w:rPr>
          <w:color w:val="000000" w:themeColor="text1"/>
          <w:szCs w:val="16"/>
        </w:rPr>
        <w:br/>
        <w:t>November 2022</w:t>
      </w:r>
      <w:r w:rsidRPr="00781112">
        <w:rPr>
          <w:color w:val="000000" w:themeColor="text1"/>
          <w:szCs w:val="16"/>
        </w:rPr>
        <w:br/>
        <w:t>Analyzed dropout data trends using new methodology</w:t>
      </w:r>
      <w:r w:rsidRPr="00781112">
        <w:rPr>
          <w:color w:val="000000" w:themeColor="text1"/>
          <w:szCs w:val="16"/>
        </w:rPr>
        <w:br/>
        <w:t>Developed proposed targets for dropout indicator</w:t>
      </w:r>
      <w:r w:rsidRPr="00781112">
        <w:rPr>
          <w:color w:val="000000" w:themeColor="text1"/>
          <w:szCs w:val="16"/>
        </w:rPr>
        <w:br/>
      </w:r>
      <w:r w:rsidRPr="00781112">
        <w:rPr>
          <w:color w:val="000000" w:themeColor="text1"/>
          <w:szCs w:val="16"/>
        </w:rPr>
        <w:br/>
        <w:t>December 2022/January 2023</w:t>
      </w:r>
      <w:r w:rsidRPr="00781112">
        <w:rPr>
          <w:color w:val="000000" w:themeColor="text1"/>
          <w:szCs w:val="16"/>
        </w:rPr>
        <w:br/>
        <w:t xml:space="preserve">Presented proposed baseline, targets, and improvement strategies to stakeholders </w:t>
      </w:r>
      <w:r w:rsidRPr="00781112">
        <w:rPr>
          <w:color w:val="000000" w:themeColor="text1"/>
          <w:szCs w:val="16"/>
        </w:rPr>
        <w:br/>
        <w:t xml:space="preserve">Made final adjustments and finalized proposed baselines, targets, and improvement strategies for Dropout indicator </w:t>
      </w:r>
      <w:r w:rsidRPr="00781112">
        <w:rPr>
          <w:color w:val="000000" w:themeColor="text1"/>
          <w:szCs w:val="16"/>
        </w:rPr>
        <w:br/>
      </w:r>
      <w:r w:rsidRPr="00781112">
        <w:rPr>
          <w:color w:val="000000" w:themeColor="text1"/>
          <w:szCs w:val="16"/>
        </w:rPr>
        <w:br/>
        <w:t xml:space="preserve">February 1, 2023 </w:t>
      </w:r>
      <w:r w:rsidRPr="00781112">
        <w:rPr>
          <w:color w:val="000000" w:themeColor="text1"/>
          <w:szCs w:val="16"/>
        </w:rPr>
        <w:br/>
        <w:t>Submitted SPP-APR FFY2021 with proposed Indicator 2 revised baseline and targets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To make the set targets available to the public, the State disseminated final targets included in both APRs to the stakeholders (including parents, advocacy groups, Maryland’s PTI Center, SICC, SESAC, EAC, and Program Directors/Coordinators, etc.). The FFY 2020 APR, including APR targets, Improvement Strategies, evaluation of indicator data, and local system-specific data, was posted on mdideareport.org. The FFY 2021 APR, including APR targets, Improvement Strategies, evaluation of indicator data, and local system-specific data, will be posted on mdideareport.org no later than 120 days from submission consistent with submission in previous years.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As required in the IDEA of 2004, the MSDE reported to the public on its FFY 2020 (July 1, 2020 - June 30, 2021) performance and will report to the public on the performance of LEA/LITP/PAs on Part B Indicators for FFY 2021 (July 1, 2021 - June 30, 2022). Performance data in numbers and percentages will be reported for each LEA/LITP/PA, along with the State target, State performance data, and a narrative description of the indicator. In partnership with the Johns Hopkins University CTE, the MSDE has developed an accessible, state-of-the-art SPP/APR website for local and State performance data. The website currently includes APRs from FFY 2005 to FFY 2020 and can be accessed at mdideareport.org. In addition to the complete SPP/APR, the website includes State and LEA/LITP/PA results for all applicable indicators and tools for comparing local performance in relation to the State targets. Each LEAs special education APR data (</w:t>
      </w:r>
      <w:proofErr w:type="gramStart"/>
      <w:r w:rsidRPr="00781112">
        <w:rPr>
          <w:rFonts w:cs="Arial"/>
          <w:color w:val="000000" w:themeColor="text1"/>
          <w:szCs w:val="16"/>
        </w:rPr>
        <w:t>with the exception of</w:t>
      </w:r>
      <w:proofErr w:type="gramEnd"/>
      <w:r w:rsidRPr="00781112">
        <w:rPr>
          <w:rFonts w:cs="Arial"/>
          <w:color w:val="000000" w:themeColor="text1"/>
          <w:szCs w:val="16"/>
        </w:rPr>
        <w:t xml:space="preserve"> assessment data) can be found here: http://mdideareport.org/special_main.aspx.  The public may see progress and slippage through a combination of tables and graphs populated on the website. In addition, this site also includes the OSEP’s annual State determination and the MSDE’s annual LEA/LITP/PA determinations. </w:t>
      </w:r>
      <w:r w:rsidRPr="00781112">
        <w:rPr>
          <w:rFonts w:cs="Arial"/>
          <w:color w:val="000000" w:themeColor="text1"/>
          <w:szCs w:val="16"/>
        </w:rPr>
        <w:br/>
      </w:r>
      <w:r w:rsidRPr="00781112">
        <w:rPr>
          <w:rFonts w:cs="Arial"/>
          <w:color w:val="000000" w:themeColor="text1"/>
          <w:szCs w:val="16"/>
        </w:rPr>
        <w:br/>
        <w:t>Assessment data is located on the State's Report Card page: https://reportcard.msde.maryland.gov/</w:t>
      </w:r>
      <w:r w:rsidRPr="00781112">
        <w:rPr>
          <w:rFonts w:cs="Arial"/>
          <w:color w:val="000000" w:themeColor="text1"/>
          <w:szCs w:val="16"/>
        </w:rPr>
        <w:br/>
      </w:r>
      <w:r w:rsidRPr="00781112">
        <w:rPr>
          <w:rFonts w:cs="Arial"/>
          <w:color w:val="000000" w:themeColor="text1"/>
          <w:szCs w:val="16"/>
        </w:rPr>
        <w:br/>
        <w:t>The FFY 2021 APR will be included on this website shortly after the State’s submission to the OSEP on February 1, 2023. Copies of the APR and SPP will be provided to LEA/LITP/PAs, SESAC, and other stakeholders simultaneously immediately following the submission of the report.</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lastRenderedPageBreak/>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w:t>
      </w:r>
      <w:r w:rsidRPr="00781112">
        <w:rPr>
          <w:rFonts w:cs="Arial"/>
          <w:color w:val="000000" w:themeColor="text1"/>
          <w:szCs w:val="16"/>
        </w:rPr>
        <w:br/>
      </w:r>
      <w:r w:rsidRPr="00781112">
        <w:rPr>
          <w:rFonts w:cs="Arial"/>
          <w:color w:val="000000" w:themeColor="text1"/>
          <w:szCs w:val="16"/>
        </w:rPr>
        <w:br/>
        <w:t xml:space="preserve">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0C24C2" w:rsidP="000E33D0">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2022 SPP/APR submission, due February 1, 2024,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917DA2E" w:rsidR="005E59DB" w:rsidRPr="00781112" w:rsidRDefault="005E59DB" w:rsidP="00B65C2C">
      <w:pPr>
        <w:rPr>
          <w:b/>
          <w:color w:val="000000" w:themeColor="text1"/>
        </w:rPr>
      </w:pPr>
      <w:r w:rsidRPr="00781112">
        <w:rPr>
          <w:b/>
          <w:color w:val="000000" w:themeColor="text1"/>
        </w:rPr>
        <w:t>Historical Data</w:t>
      </w:r>
      <w:r w:rsidR="0025528E">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73.35%</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65.91%</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68.14%</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70.38%</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72.62%</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73.35%</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66.86%</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67.48%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66.84%</w:t>
            </w:r>
          </w:p>
        </w:tc>
        <w:tc>
          <w:tcPr>
            <w:tcW w:w="833" w:type="pct"/>
            <w:tcBorders>
              <w:bottom w:val="single" w:sz="4" w:space="0" w:color="auto"/>
            </w:tcBorders>
            <w:shd w:val="clear" w:color="auto" w:fill="auto"/>
            <w:vAlign w:val="center"/>
          </w:tcPr>
          <w:p w14:paraId="180CBFE9" w14:textId="3C6B5BCB" w:rsidR="007F24E2" w:rsidRPr="00781112" w:rsidRDefault="002B7490" w:rsidP="00E0321D">
            <w:pPr>
              <w:jc w:val="center"/>
              <w:rPr>
                <w:rFonts w:cs="Arial"/>
                <w:color w:val="000000" w:themeColor="text1"/>
                <w:szCs w:val="16"/>
              </w:rPr>
            </w:pPr>
            <w:r w:rsidRPr="00781112">
              <w:rPr>
                <w:rFonts w:cs="Arial"/>
                <w:color w:val="000000" w:themeColor="text1"/>
                <w:szCs w:val="16"/>
              </w:rPr>
              <w:t>63.5%</w:t>
            </w:r>
            <w:r w:rsidR="00EC0EF5">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73.35%</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73.85%</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74.35%</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74.85%</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75.35%</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75.85%</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t>Maryland Higher Education Commission</w:t>
      </w:r>
      <w:r w:rsidRPr="00781112">
        <w:rPr>
          <w:rFonts w:cs="Arial"/>
          <w:color w:val="000000" w:themeColor="text1"/>
          <w:szCs w:val="16"/>
        </w:rPr>
        <w:br/>
        <w:t>4 LEA Representatives (administrators, service providers, etc.)</w:t>
      </w:r>
      <w:r w:rsidRPr="00781112">
        <w:rPr>
          <w:rFonts w:cs="Arial"/>
          <w:color w:val="000000" w:themeColor="text1"/>
          <w:szCs w:val="16"/>
        </w:rPr>
        <w:br/>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w:t>
      </w:r>
      <w:r w:rsidRPr="00781112">
        <w:rPr>
          <w:rFonts w:cs="Arial"/>
          <w:color w:val="000000" w:themeColor="text1"/>
          <w:szCs w:val="16"/>
        </w:rPr>
        <w:lastRenderedPageBreak/>
        <w:t xml:space="preserve">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APR and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w:t>
      </w:r>
      <w:r w:rsidRPr="00781112">
        <w:rPr>
          <w:rFonts w:cs="Arial"/>
          <w:color w:val="000000" w:themeColor="text1"/>
          <w:szCs w:val="16"/>
        </w:rPr>
        <w:lastRenderedPageBreak/>
        <w:t xml:space="preserve">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4,918</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781</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60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880</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4,918</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6,639</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73.35%</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73.85%</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74.08%</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618 Exit Data calculation is comprised of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divided by the number of youth with IEPs (ages 14-21) who exited special education and are submitted with the State's 618 data submission. </w:t>
      </w:r>
      <w:r w:rsidRPr="00781112">
        <w:rPr>
          <w:rFonts w:cs="Arial"/>
          <w:color w:val="000000" w:themeColor="text1"/>
          <w:szCs w:val="16"/>
        </w:rPr>
        <w:br/>
      </w:r>
      <w:r w:rsidRPr="00781112">
        <w:rPr>
          <w:rFonts w:cs="Arial"/>
          <w:color w:val="000000" w:themeColor="text1"/>
          <w:szCs w:val="16"/>
        </w:rPr>
        <w:br/>
        <w:t>Graduation Conditions</w:t>
      </w:r>
      <w:r w:rsidRPr="00781112">
        <w:rPr>
          <w:rFonts w:cs="Arial"/>
          <w:color w:val="000000" w:themeColor="text1"/>
          <w:szCs w:val="16"/>
        </w:rPr>
        <w:br/>
        <w:t>Maryland offers one diploma known as the Maryland High School Diploma. The requirements for a Maryland High School Diploma are applicable to all students, including youth with IEPs. To be awarded a diploma, students, including youth with an IEP, shall be enrolled in a Maryland public school and have earned a minimum of 21 credits that include the following:</w:t>
      </w:r>
      <w:r w:rsidRPr="00781112">
        <w:rPr>
          <w:rFonts w:cs="Arial"/>
          <w:color w:val="000000" w:themeColor="text1"/>
          <w:szCs w:val="16"/>
        </w:rPr>
        <w:br/>
      </w:r>
      <w:r w:rsidRPr="00781112">
        <w:rPr>
          <w:rFonts w:cs="Arial"/>
          <w:color w:val="000000" w:themeColor="text1"/>
          <w:szCs w:val="16"/>
        </w:rPr>
        <w:br/>
        <w:t>Subject Area Specific Credit Requirement</w:t>
      </w:r>
      <w:r w:rsidRPr="00781112">
        <w:rPr>
          <w:rFonts w:cs="Arial"/>
          <w:color w:val="000000" w:themeColor="text1"/>
          <w:szCs w:val="16"/>
        </w:rPr>
        <w:br/>
        <w:t>English - 4 credits</w:t>
      </w:r>
      <w:r w:rsidRPr="00781112">
        <w:rPr>
          <w:rFonts w:cs="Arial"/>
          <w:color w:val="000000" w:themeColor="text1"/>
          <w:szCs w:val="16"/>
        </w:rPr>
        <w:br/>
      </w:r>
      <w:r w:rsidRPr="00781112">
        <w:rPr>
          <w:rFonts w:cs="Arial"/>
          <w:color w:val="000000" w:themeColor="text1"/>
          <w:szCs w:val="16"/>
        </w:rPr>
        <w:br/>
        <w:t>Math - 3 credits</w:t>
      </w:r>
      <w:r w:rsidRPr="00781112">
        <w:rPr>
          <w:rFonts w:cs="Arial"/>
          <w:color w:val="000000" w:themeColor="text1"/>
          <w:szCs w:val="16"/>
        </w:rPr>
        <w:br/>
        <w:t>1 in Algebra/Data Analysis</w:t>
      </w:r>
      <w:r w:rsidRPr="00781112">
        <w:rPr>
          <w:rFonts w:cs="Arial"/>
          <w:color w:val="000000" w:themeColor="text1"/>
          <w:szCs w:val="16"/>
        </w:rPr>
        <w:br/>
        <w:t>1 in Geometry</w:t>
      </w:r>
      <w:r w:rsidRPr="00781112">
        <w:rPr>
          <w:rFonts w:cs="Arial"/>
          <w:color w:val="000000" w:themeColor="text1"/>
          <w:szCs w:val="16"/>
        </w:rPr>
        <w:br/>
        <w:t>1 in additional Mathematics credit</w:t>
      </w:r>
      <w:r w:rsidRPr="00781112">
        <w:rPr>
          <w:rFonts w:cs="Arial"/>
          <w:color w:val="000000" w:themeColor="text1"/>
          <w:szCs w:val="16"/>
        </w:rPr>
        <w:br/>
      </w:r>
      <w:r w:rsidRPr="00781112">
        <w:rPr>
          <w:rFonts w:cs="Arial"/>
          <w:color w:val="000000" w:themeColor="text1"/>
          <w:szCs w:val="16"/>
        </w:rPr>
        <w:br/>
        <w:t>Science - 3 credits</w:t>
      </w:r>
      <w:r w:rsidRPr="00781112">
        <w:rPr>
          <w:rFonts w:cs="Arial"/>
          <w:color w:val="000000" w:themeColor="text1"/>
          <w:szCs w:val="16"/>
        </w:rPr>
        <w:br/>
        <w:t>1 in Biology</w:t>
      </w:r>
      <w:r w:rsidRPr="00781112">
        <w:rPr>
          <w:rFonts w:cs="Arial"/>
          <w:color w:val="000000" w:themeColor="text1"/>
          <w:szCs w:val="16"/>
        </w:rPr>
        <w:br/>
        <w:t>2 that must include laboratory experience in all or any of the following areas: earth science, life science, physical science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Social Studies - 3 credits</w:t>
      </w:r>
      <w:r w:rsidRPr="00781112">
        <w:rPr>
          <w:rFonts w:cs="Arial"/>
          <w:color w:val="000000" w:themeColor="text1"/>
          <w:szCs w:val="16"/>
        </w:rPr>
        <w:br/>
        <w:t>1 in US History</w:t>
      </w:r>
      <w:r w:rsidRPr="00781112">
        <w:rPr>
          <w:rFonts w:cs="Arial"/>
          <w:color w:val="000000" w:themeColor="text1"/>
          <w:szCs w:val="16"/>
        </w:rPr>
        <w:br/>
        <w:t>1 in World History</w:t>
      </w:r>
      <w:r w:rsidRPr="00781112">
        <w:rPr>
          <w:rFonts w:cs="Arial"/>
          <w:color w:val="000000" w:themeColor="text1"/>
          <w:szCs w:val="16"/>
        </w:rPr>
        <w:br/>
        <w:t>1 in Local, State, and National Government</w:t>
      </w:r>
      <w:r w:rsidRPr="00781112">
        <w:rPr>
          <w:rFonts w:cs="Arial"/>
          <w:color w:val="000000" w:themeColor="text1"/>
          <w:szCs w:val="16"/>
        </w:rPr>
        <w:br/>
      </w:r>
      <w:r w:rsidRPr="00781112">
        <w:rPr>
          <w:rFonts w:cs="Arial"/>
          <w:color w:val="000000" w:themeColor="text1"/>
          <w:szCs w:val="16"/>
        </w:rPr>
        <w:br/>
        <w:t>Fine Arts - 1 credit</w:t>
      </w:r>
      <w:r w:rsidRPr="00781112">
        <w:rPr>
          <w:rFonts w:cs="Arial"/>
          <w:color w:val="000000" w:themeColor="text1"/>
          <w:szCs w:val="16"/>
        </w:rPr>
        <w:br/>
      </w:r>
      <w:r w:rsidRPr="00781112">
        <w:rPr>
          <w:rFonts w:cs="Arial"/>
          <w:color w:val="000000" w:themeColor="text1"/>
          <w:szCs w:val="16"/>
        </w:rPr>
        <w:br/>
        <w:t>Physical Education - ½ credit</w:t>
      </w:r>
      <w:r w:rsidRPr="00781112">
        <w:rPr>
          <w:rFonts w:cs="Arial"/>
          <w:color w:val="000000" w:themeColor="text1"/>
          <w:szCs w:val="16"/>
        </w:rPr>
        <w:br/>
      </w:r>
      <w:r w:rsidRPr="00781112">
        <w:rPr>
          <w:rFonts w:cs="Arial"/>
          <w:color w:val="000000" w:themeColor="text1"/>
          <w:szCs w:val="16"/>
        </w:rPr>
        <w:br/>
        <w:t>Health - ½ credit</w:t>
      </w:r>
      <w:r w:rsidRPr="00781112">
        <w:rPr>
          <w:rFonts w:cs="Arial"/>
          <w:color w:val="000000" w:themeColor="text1"/>
          <w:szCs w:val="16"/>
        </w:rPr>
        <w:br/>
      </w:r>
      <w:r w:rsidRPr="00781112">
        <w:rPr>
          <w:rFonts w:cs="Arial"/>
          <w:color w:val="000000" w:themeColor="text1"/>
          <w:szCs w:val="16"/>
        </w:rPr>
        <w:br/>
        <w:t>Technology Education - 1 credit</w:t>
      </w:r>
      <w:r w:rsidRPr="00781112">
        <w:rPr>
          <w:rFonts w:cs="Arial"/>
          <w:color w:val="000000" w:themeColor="text1"/>
          <w:szCs w:val="16"/>
        </w:rPr>
        <w:br/>
      </w:r>
      <w:r w:rsidRPr="00781112">
        <w:rPr>
          <w:rFonts w:cs="Arial"/>
          <w:color w:val="000000" w:themeColor="text1"/>
          <w:szCs w:val="16"/>
        </w:rPr>
        <w:br/>
        <w:t xml:space="preserve">Other </w:t>
      </w:r>
      <w:r w:rsidRPr="00781112">
        <w:rPr>
          <w:rFonts w:cs="Arial"/>
          <w:color w:val="000000" w:themeColor="text1"/>
          <w:szCs w:val="16"/>
        </w:rPr>
        <w:br/>
        <w:t>Two (2) credits of foreign language or two (2) credits of American Sign Language or two (2) credits of advanced technology education and three (3) credits in electives OR four (4) credits by successfully completing a State-approved career &amp; &amp; technology program and one (1) credit in an elective</w:t>
      </w:r>
      <w:r w:rsidRPr="00781112">
        <w:rPr>
          <w:rFonts w:cs="Arial"/>
          <w:color w:val="000000" w:themeColor="text1"/>
          <w:szCs w:val="16"/>
        </w:rPr>
        <w:br/>
      </w:r>
      <w:r w:rsidRPr="00781112">
        <w:rPr>
          <w:rFonts w:cs="Arial"/>
          <w:color w:val="000000" w:themeColor="text1"/>
          <w:szCs w:val="16"/>
        </w:rPr>
        <w:br/>
        <w:t>Students must also meet attendance, service-learning, and any local education agency requirements.</w:t>
      </w:r>
      <w:r w:rsidRPr="00781112">
        <w:rPr>
          <w:rFonts w:cs="Arial"/>
          <w:color w:val="000000" w:themeColor="text1"/>
          <w:szCs w:val="16"/>
        </w:rPr>
        <w:br/>
      </w:r>
      <w:r w:rsidRPr="00781112">
        <w:rPr>
          <w:rFonts w:cs="Arial"/>
          <w:color w:val="000000" w:themeColor="text1"/>
          <w:szCs w:val="16"/>
        </w:rPr>
        <w:br/>
        <w:t>In addition, all students, including youth with IEPs, must complete the following High School Assessments requirements for Algebra/Data Analysis, English 10, and Biology.</w:t>
      </w:r>
      <w:r w:rsidRPr="00781112">
        <w:rPr>
          <w:rFonts w:cs="Arial"/>
          <w:color w:val="000000" w:themeColor="text1"/>
          <w:szCs w:val="16"/>
        </w:rPr>
        <w:br/>
      </w:r>
      <w:r w:rsidRPr="00781112">
        <w:rPr>
          <w:rFonts w:cs="Arial"/>
          <w:color w:val="000000" w:themeColor="text1"/>
          <w:szCs w:val="16"/>
        </w:rPr>
        <w:br/>
        <w:t>Students who entered grade 9 in the fall of 2005 and later must obtain either a passing score on Algebra/Data Analysis, English 10, and Biology or obtain an overall combined score of 1208 or 1602 (see below) (COMAR 13A.03.02.09). Students who meet specific criteria may use the Bridge Plan for Academic Validation to meet the passing requirement. For more information about the Bridge Plan for Academic Validation, please see questions 20 and 21 (pages 10-11) in the High School Graduation Requirements Questions and Answers at http://hsaexam.org/img/HS_Grad_Q_A.pdf.</w:t>
      </w:r>
      <w:r w:rsidRPr="00781112">
        <w:rPr>
          <w:rFonts w:cs="Arial"/>
          <w:color w:val="000000" w:themeColor="text1"/>
          <w:szCs w:val="16"/>
        </w:rPr>
        <w:br/>
      </w:r>
      <w:r w:rsidRPr="00781112">
        <w:rPr>
          <w:rFonts w:cs="Arial"/>
          <w:color w:val="000000" w:themeColor="text1"/>
          <w:szCs w:val="16"/>
        </w:rPr>
        <w:br/>
        <w:t>Government</w:t>
      </w:r>
      <w:r w:rsidRPr="00781112">
        <w:rPr>
          <w:rFonts w:cs="Arial"/>
          <w:color w:val="000000" w:themeColor="text1"/>
          <w:szCs w:val="16"/>
        </w:rPr>
        <w:br/>
        <w:t>Students who entered 9th grade in the 2012-13 school year are not required to pass the Government High School Assessment for graduation but may use it if they pursue a combined score to satisfy the graduation requirements. Students have two options. Students may achieve either a combined score of:</w:t>
      </w:r>
      <w:r w:rsidRPr="00781112">
        <w:rPr>
          <w:rFonts w:cs="Arial"/>
          <w:color w:val="000000" w:themeColor="text1"/>
          <w:szCs w:val="16"/>
        </w:rPr>
        <w:br/>
      </w:r>
      <w:r w:rsidRPr="00781112">
        <w:rPr>
          <w:rFonts w:cs="Arial"/>
          <w:color w:val="000000" w:themeColor="text1"/>
          <w:szCs w:val="16"/>
        </w:rPr>
        <w:br/>
        <w:t>1602 for English, Algebra/Data Analysis, Biology, and Government; or</w:t>
      </w:r>
      <w:r w:rsidRPr="00781112">
        <w:rPr>
          <w:rFonts w:cs="Arial"/>
          <w:color w:val="000000" w:themeColor="text1"/>
          <w:szCs w:val="16"/>
        </w:rPr>
        <w:br/>
        <w:t>1208 for English, Algebra/Data Analysis, and Biology</w:t>
      </w:r>
      <w:r w:rsidRPr="00781112">
        <w:rPr>
          <w:rFonts w:cs="Arial"/>
          <w:color w:val="000000" w:themeColor="text1"/>
          <w:szCs w:val="16"/>
        </w:rPr>
        <w:br/>
      </w:r>
      <w:r w:rsidRPr="00781112">
        <w:rPr>
          <w:rFonts w:cs="Arial"/>
          <w:color w:val="000000" w:themeColor="text1"/>
          <w:szCs w:val="16"/>
        </w:rPr>
        <w:br/>
        <w:t>Students entering 9th grade in the 2013-2014 school year and beyond must either pass the Government High School Assessment or include the Government High School Assessment score to meet a combined score of 1602.</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The collection and reporting of data for this indicator were not impacted by the COVID-19 pandemic.  </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13.26%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3.51%</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3.03%</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2.55%</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2.55%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2.55%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3.90%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4.21%</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3.98%</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3.26%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3.06%</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13.26%</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13.00%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12.75%</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12.50%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12.25%</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t>Maryland Higher Education Commission</w:t>
      </w:r>
      <w:r w:rsidRPr="00781112">
        <w:rPr>
          <w:rFonts w:cs="Arial"/>
          <w:color w:val="000000" w:themeColor="text1"/>
          <w:szCs w:val="16"/>
        </w:rPr>
        <w:br/>
        <w:t>4 LEA Representatives (administrators, service providers, etc.)</w:t>
      </w:r>
      <w:r w:rsidRPr="00781112">
        <w:rPr>
          <w:rFonts w:cs="Arial"/>
          <w:color w:val="000000" w:themeColor="text1"/>
          <w:szCs w:val="16"/>
        </w:rPr>
        <w:br/>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w:t>
      </w:r>
      <w:r w:rsidRPr="00781112">
        <w:rPr>
          <w:rFonts w:cs="Arial"/>
          <w:color w:val="000000" w:themeColor="text1"/>
          <w:szCs w:val="16"/>
        </w:rPr>
        <w:lastRenderedPageBreak/>
        <w:t xml:space="preserve">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As a result of the required methodology change for Indicator #2, the state is proposing a new baseline and targets for FFY 2021 through FFY 2025.  </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4,918</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781</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60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880</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880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6,639</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3.06%</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13.26%</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13.26%</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5C97ADC8" w14:textId="77777777" w:rsidR="00465E59" w:rsidRDefault="00465E59" w:rsidP="00552927">
      <w:pPr>
        <w:rPr>
          <w:rFonts w:cs="Arial"/>
          <w:b/>
          <w:color w:val="000000" w:themeColor="text1"/>
          <w:szCs w:val="16"/>
        </w:rPr>
      </w:pPr>
    </w:p>
    <w:p w14:paraId="27A2EAFB" w14:textId="5FFBDE9A" w:rsidR="00A87A9D" w:rsidRPr="00781112" w:rsidRDefault="0083500D" w:rsidP="00552927">
      <w:pPr>
        <w:rPr>
          <w:rFonts w:cs="Arial"/>
          <w:b/>
          <w:color w:val="000000" w:themeColor="text1"/>
          <w:szCs w:val="16"/>
        </w:rPr>
      </w:pPr>
      <w:r w:rsidRPr="00781112">
        <w:rPr>
          <w:rFonts w:cs="Arial"/>
          <w:b/>
          <w:color w:val="000000" w:themeColor="text1"/>
          <w:szCs w:val="16"/>
        </w:rPr>
        <w:lastRenderedPageBreak/>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State's Dropout Rate is the percentage of students dropping out of school ages 14-21 in a single year. The year is defined as July through June and includes students dropping out over the summer, from evening high school, and other alternative programs. Using the MSDE 2020-2021 school year Dropout Rate data, the MSDE, DEI/SES reports an Annual Dropout Rate of 13.26%, (880/6,639 X 100). These data are consistent with data submitted for SY 2020-21 Exiting Data Groups (EDFacts file spec FS009; Data Group 85).</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collection and reporting of data for this indicator were not impacted by the COVID-19 pandemic.</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targets for FFY 2021 through FFY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94.81%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76.09%</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90.62%</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94.43%</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74.85%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89.65%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662DC1D6" w:rsidR="00480083" w:rsidRPr="00465E59" w:rsidRDefault="00480083" w:rsidP="00465E59">
      <w:pPr>
        <w:spacing w:before="0" w:after="200" w:line="276" w:lineRule="auto"/>
        <w:rPr>
          <w:b/>
          <w:color w:val="000000" w:themeColor="text1"/>
        </w:rPr>
      </w:pPr>
      <w:r w:rsidRPr="00781112">
        <w:rPr>
          <w:b/>
          <w:color w:val="000000" w:themeColor="text1"/>
        </w:rPr>
        <w:t xml:space="preserve">Targets: Description of Stakeholder Input </w:t>
      </w:r>
      <w:r w:rsidR="00465E59">
        <w:rPr>
          <w:b/>
          <w:color w:val="000000" w:themeColor="text1"/>
        </w:rPr>
        <w:br/>
      </w: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r>
      <w:r w:rsidRPr="00781112">
        <w:rPr>
          <w:rFonts w:cs="Arial"/>
          <w:color w:val="000000" w:themeColor="text1"/>
          <w:szCs w:val="16"/>
        </w:rPr>
        <w:lastRenderedPageBreak/>
        <w:t>Maryland Higher Education Commission</w:t>
      </w:r>
      <w:r w:rsidRPr="00781112">
        <w:rPr>
          <w:rFonts w:cs="Arial"/>
          <w:color w:val="000000" w:themeColor="text1"/>
          <w:szCs w:val="16"/>
        </w:rPr>
        <w:br/>
        <w:t>4 LEA Representatives (administrators, service providers, etc.)</w:t>
      </w:r>
      <w:r w:rsidRPr="00781112">
        <w:rPr>
          <w:rFonts w:cs="Arial"/>
          <w:color w:val="000000" w:themeColor="text1"/>
          <w:szCs w:val="16"/>
        </w:rPr>
        <w:br/>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lastRenderedPageBreak/>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8,120</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8,616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6,357</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1,132</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508</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490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6,241</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6,746</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4,165</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594</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834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1,098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8,120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8,617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5,601</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940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431</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2,452</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6,424</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6,746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1,577</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597</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834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1,091</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7,967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8,120</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94.81%</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98.12%</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8,088</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8,616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76.09%</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93.87%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5,753</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6,357</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90.62%</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90.50%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7,961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8,120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94.43%</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98.04%</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8,011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8,617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74.85%</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92.97%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5,120</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5,601</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89.65%</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91.41%</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lastRenderedPageBreak/>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The State's assessment results can be found at </w:t>
      </w:r>
      <w:proofErr w:type="gramStart"/>
      <w:r w:rsidRPr="00781112">
        <w:rPr>
          <w:rFonts w:cs="Arial"/>
          <w:color w:val="000000" w:themeColor="text1"/>
          <w:szCs w:val="16"/>
        </w:rPr>
        <w:t>https://reportcard.msde.maryland.gov/</w:t>
      </w:r>
      <w:proofErr w:type="gramEnd"/>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 collection and reporting of data for this indicator were not impacted by the COVID-19 pandemic.</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In the FFY 2021 SPP/APR, the State must revise its targets for FFY 2021 Grades 8 and HS Reading and Grades 8 and HS Math; FFY 2022 Grades 8 and HS Reading and Grades 8 and HS Math; FFY 2023 Grades 8 and HS Reading and Grades 8 and HS Math; and FFY 2024 Grade 8 Reading and Grade 8 Math to align with ESEA requirements, solicit stakeholder input on the State’s targets, and report the revised targets.</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 xml:space="preserve">As required, the State revised </w:t>
      </w:r>
      <w:proofErr w:type="gramStart"/>
      <w:r w:rsidRPr="00781112">
        <w:rPr>
          <w:rFonts w:cs="Arial"/>
          <w:color w:val="000000" w:themeColor="text1"/>
          <w:szCs w:val="16"/>
        </w:rPr>
        <w:t>all of</w:t>
      </w:r>
      <w:proofErr w:type="gramEnd"/>
      <w:r w:rsidRPr="00781112">
        <w:rPr>
          <w:rFonts w:cs="Arial"/>
          <w:color w:val="000000" w:themeColor="text1"/>
          <w:szCs w:val="16"/>
        </w:rPr>
        <w:t xml:space="preserve"> its participation targets to match its ESEA requirement of 95% participation on assessments. </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The State revised its targets for FFY 2021 through FFY 2024 for Grade 8 and HS for Reading and Math and OSEP accepts those targets.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who were provided accommodations (that did not result in an invalid score) </w:t>
      </w:r>
      <w:proofErr w:type="gramStart"/>
      <w:r w:rsidRPr="00781112">
        <w:rPr>
          <w:rFonts w:cs="Arial"/>
          <w:color w:val="000000" w:themeColor="text1"/>
          <w:szCs w:val="16"/>
          <w:shd w:val="clear" w:color="auto" w:fill="FFFFFF"/>
        </w:rPr>
        <w:t>in order to</w:t>
      </w:r>
      <w:proofErr w:type="gramEnd"/>
      <w:r w:rsidRPr="00781112">
        <w:rPr>
          <w:rFonts w:cs="Arial"/>
          <w:color w:val="000000" w:themeColor="text1"/>
          <w:szCs w:val="16"/>
          <w:shd w:val="clear" w:color="auto" w:fill="FFFFFF"/>
        </w:rPr>
        <w:t xml:space="preserve"> participate in those assessments at the State, district or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6.19%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6.36%</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13.84%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6.71%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7.04%</w:t>
            </w:r>
          </w:p>
        </w:tc>
      </w:tr>
    </w:tbl>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9.70%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6.90%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17.50%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21.00%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24.50%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28.00%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22.00%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2.20%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2.50%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8.50%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10.50%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15.50%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t>Maryland Higher Education Commission</w:t>
      </w:r>
      <w:r w:rsidRPr="00781112">
        <w:rPr>
          <w:rFonts w:cs="Arial"/>
          <w:color w:val="000000" w:themeColor="text1"/>
          <w:szCs w:val="16"/>
        </w:rPr>
        <w:br/>
        <w:t>4 LEA Representatives (administrators, service providers, etc.)</w:t>
      </w:r>
      <w:r w:rsidRPr="00781112">
        <w:rPr>
          <w:rFonts w:cs="Arial"/>
          <w:color w:val="000000" w:themeColor="text1"/>
          <w:szCs w:val="16"/>
        </w:rPr>
        <w:br/>
      </w:r>
      <w:r w:rsidRPr="00781112">
        <w:rPr>
          <w:rFonts w:cs="Arial"/>
          <w:color w:val="000000" w:themeColor="text1"/>
          <w:szCs w:val="16"/>
        </w:rPr>
        <w:lastRenderedPageBreak/>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465E59">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465E59">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7,373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7,254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4,655</w:t>
            </w:r>
          </w:p>
        </w:tc>
      </w:tr>
      <w:tr w:rsidR="003B0C91" w:rsidRPr="00781112" w14:paraId="4F287E15" w14:textId="77777777" w:rsidTr="00465E59">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458</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97</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103</w:t>
            </w:r>
          </w:p>
        </w:tc>
      </w:tr>
      <w:tr w:rsidR="003B0C91" w:rsidRPr="00781112" w14:paraId="41239D5E" w14:textId="77777777" w:rsidTr="00465E59">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lastRenderedPageBreak/>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529</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472</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779</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7,364</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7,177</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4,029</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333</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47</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193</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364</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205</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21</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987</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7,373</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6.19%</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9.70%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13.39%</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569</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7,254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6.36%</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6.90%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7.84%</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882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4,655</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13.84%</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14.00%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18.95%</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697</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7,364</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6.71%</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11.00%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9.46%</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252</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7,177</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1.62%</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2.20%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3.51%</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214</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4,029</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7.04%</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8.50%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5.31%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The FFY 2020 assessment, administered in the fall of 2021 and was the basis for target setting, does not demonstrate the full impact of these losses, because an abbreviated form of the assessment was used. The assessment utilized the instructionally embedded testlets rather than the summative assessment, which is typically used for assessment. This may have impacted student scores, as the tests are not comparable. Students may also have been especially impacted by ongoing interruptions to instruction caused by schedule changes and staffing shortages during the 2021-2022 school year.</w:t>
      </w:r>
    </w:p>
    <w:p w14:paraId="197C30C8" w14:textId="77777777" w:rsidR="00CF57A2" w:rsidRPr="00781112" w:rsidRDefault="00CF57A2" w:rsidP="00580134">
      <w:pPr>
        <w:rPr>
          <w:rFonts w:cs="Arial"/>
          <w:iCs/>
          <w:color w:val="000000" w:themeColor="text1"/>
          <w:szCs w:val="16"/>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The State's assessment results can be found at </w:t>
      </w:r>
      <w:proofErr w:type="gramStart"/>
      <w:r w:rsidRPr="00781112">
        <w:rPr>
          <w:rFonts w:cs="Arial"/>
          <w:color w:val="000000" w:themeColor="text1"/>
          <w:szCs w:val="16"/>
        </w:rPr>
        <w:t>https://reportcard.msde.maryland.gov/</w:t>
      </w:r>
      <w:proofErr w:type="gramEnd"/>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collection and reporting of data for this indicator were not impacted by the COVID-19 pandemic.</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15.57%</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16.55%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47.55%</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10.68%</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11.23%</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52.78%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40.00%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42.50%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45.00%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47.50%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52.50%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55.00%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57.50%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60.00%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53.00%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55.50%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58.00%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60.50%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63.00%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25.00%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27.50%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32.50%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35.00%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33.00%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35.50%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38.00%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40.50%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43.00%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53.00%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55.50%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58.00%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60.50%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63.00%</w:t>
            </w:r>
          </w:p>
        </w:tc>
      </w:tr>
    </w:tbl>
    <w:p w14:paraId="1B555812" w14:textId="77777777" w:rsidR="00465E59" w:rsidRDefault="00465E59" w:rsidP="00465E59">
      <w:pPr>
        <w:spacing w:before="0" w:after="200" w:line="276" w:lineRule="auto"/>
        <w:rPr>
          <w:b/>
          <w:color w:val="000000" w:themeColor="text1"/>
        </w:rPr>
      </w:pPr>
    </w:p>
    <w:p w14:paraId="08B1A70A" w14:textId="6E172C51" w:rsidR="002D145D" w:rsidRPr="00465E59" w:rsidRDefault="002D145D" w:rsidP="00465E59">
      <w:pPr>
        <w:rPr>
          <w:b/>
          <w:color w:val="000000" w:themeColor="text1"/>
        </w:rPr>
      </w:pPr>
      <w:r w:rsidRPr="00781112">
        <w:rPr>
          <w:b/>
          <w:color w:val="000000" w:themeColor="text1"/>
        </w:rPr>
        <w:t xml:space="preserve">Targets: Description of Stakeholder Input </w:t>
      </w:r>
      <w:r w:rsidR="002B7490"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002B7490" w:rsidRPr="00781112">
        <w:rPr>
          <w:rFonts w:cs="Arial"/>
          <w:color w:val="000000" w:themeColor="text1"/>
          <w:szCs w:val="16"/>
        </w:rPr>
        <w:br/>
      </w:r>
      <w:r w:rsidR="002B7490" w:rsidRPr="00781112">
        <w:rPr>
          <w:rFonts w:cs="Arial"/>
          <w:color w:val="000000" w:themeColor="text1"/>
          <w:szCs w:val="16"/>
        </w:rPr>
        <w:br/>
        <w:t>18 Parent Members</w:t>
      </w:r>
      <w:r w:rsidR="002B7490" w:rsidRPr="00781112">
        <w:rPr>
          <w:rFonts w:cs="Arial"/>
          <w:color w:val="000000" w:themeColor="text1"/>
          <w:szCs w:val="16"/>
        </w:rPr>
        <w:br/>
        <w:t>Juvenile Services Education</w:t>
      </w:r>
      <w:r w:rsidR="002B7490" w:rsidRPr="00781112">
        <w:rPr>
          <w:rFonts w:cs="Arial"/>
          <w:color w:val="000000" w:themeColor="text1"/>
          <w:szCs w:val="16"/>
        </w:rPr>
        <w:br/>
        <w:t>The Parents’ Place of Maryland</w:t>
      </w:r>
      <w:r w:rsidR="002B7490" w:rsidRPr="00781112">
        <w:rPr>
          <w:rFonts w:cs="Arial"/>
          <w:color w:val="000000" w:themeColor="text1"/>
          <w:szCs w:val="16"/>
        </w:rPr>
        <w:br/>
        <w:t>Maryland Higher Education Commission</w:t>
      </w:r>
      <w:r w:rsidR="002B7490" w:rsidRPr="00781112">
        <w:rPr>
          <w:rFonts w:cs="Arial"/>
          <w:color w:val="000000" w:themeColor="text1"/>
          <w:szCs w:val="16"/>
        </w:rPr>
        <w:br/>
        <w:t>4 LEA Representatives (administrators, service providers, etc.)</w:t>
      </w:r>
      <w:r w:rsidR="002B7490" w:rsidRPr="00781112">
        <w:rPr>
          <w:rFonts w:cs="Arial"/>
          <w:color w:val="000000" w:themeColor="text1"/>
          <w:szCs w:val="16"/>
        </w:rPr>
        <w:br/>
      </w:r>
      <w:r w:rsidR="002B7490" w:rsidRPr="00781112">
        <w:rPr>
          <w:rFonts w:cs="Arial"/>
          <w:color w:val="000000" w:themeColor="text1"/>
          <w:szCs w:val="16"/>
        </w:rPr>
        <w:lastRenderedPageBreak/>
        <w:t>Maryland Association of Nonpublic Special Education Facilities</w:t>
      </w:r>
      <w:r w:rsidR="002B7490" w:rsidRPr="00781112">
        <w:rPr>
          <w:rFonts w:cs="Arial"/>
          <w:color w:val="000000" w:themeColor="text1"/>
          <w:szCs w:val="16"/>
        </w:rPr>
        <w:br/>
        <w:t>Maryland Department of Labor</w:t>
      </w:r>
      <w:r w:rsidR="002B7490" w:rsidRPr="00781112">
        <w:rPr>
          <w:rFonts w:cs="Arial"/>
          <w:color w:val="000000" w:themeColor="text1"/>
          <w:szCs w:val="16"/>
        </w:rPr>
        <w:br/>
        <w:t>Maryland Department of Disabilities</w:t>
      </w:r>
      <w:r w:rsidR="002B7490" w:rsidRPr="00781112">
        <w:rPr>
          <w:rFonts w:cs="Arial"/>
          <w:color w:val="000000" w:themeColor="text1"/>
          <w:szCs w:val="16"/>
        </w:rPr>
        <w:br/>
        <w:t>Maryland Developmental Disabilities Council</w:t>
      </w:r>
      <w:r w:rsidR="002B7490" w:rsidRPr="00781112">
        <w:rPr>
          <w:rFonts w:cs="Arial"/>
          <w:color w:val="000000" w:themeColor="text1"/>
          <w:szCs w:val="16"/>
        </w:rPr>
        <w:br/>
        <w:t>Division of Rehabilitation Services/Department of Disabilities</w:t>
      </w:r>
      <w:r w:rsidR="002B7490" w:rsidRPr="00781112">
        <w:rPr>
          <w:rFonts w:cs="Arial"/>
          <w:color w:val="000000" w:themeColor="text1"/>
          <w:szCs w:val="16"/>
        </w:rPr>
        <w:br/>
        <w:t>The ARC of Maryland</w:t>
      </w:r>
      <w:r w:rsidR="002B7490" w:rsidRPr="00781112">
        <w:rPr>
          <w:rFonts w:cs="Arial"/>
          <w:color w:val="000000" w:themeColor="text1"/>
          <w:szCs w:val="16"/>
        </w:rPr>
        <w:br/>
        <w:t>Title I-Program Improvement &amp; Family Support, MSDE</w:t>
      </w:r>
      <w:r w:rsidR="002B7490" w:rsidRPr="00781112">
        <w:rPr>
          <w:rFonts w:cs="Arial"/>
          <w:color w:val="000000" w:themeColor="text1"/>
          <w:szCs w:val="16"/>
        </w:rPr>
        <w:br/>
        <w:t>Maryland State Education Association</w:t>
      </w:r>
      <w:r w:rsidR="002B7490" w:rsidRPr="00781112">
        <w:rPr>
          <w:rFonts w:cs="Arial"/>
          <w:color w:val="000000" w:themeColor="text1"/>
          <w:szCs w:val="16"/>
        </w:rPr>
        <w:br/>
        <w:t xml:space="preserve"> Maryland Department of Human Services</w:t>
      </w:r>
      <w:r w:rsidR="002B7490" w:rsidRPr="00781112">
        <w:rPr>
          <w:rFonts w:cs="Arial"/>
          <w:color w:val="000000" w:themeColor="text1"/>
          <w:szCs w:val="16"/>
        </w:rPr>
        <w:br/>
        <w:t>Division of Early Intervention/Special Education Services, MSDE</w:t>
      </w:r>
      <w:r w:rsidR="002B7490"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002B7490" w:rsidRPr="00781112">
        <w:rPr>
          <w:rFonts w:cs="Arial"/>
          <w:color w:val="000000" w:themeColor="text1"/>
          <w:szCs w:val="16"/>
        </w:rPr>
        <w:br/>
      </w:r>
      <w:r w:rsidR="002B7490" w:rsidRPr="00781112">
        <w:rPr>
          <w:rFonts w:cs="Arial"/>
          <w:color w:val="000000" w:themeColor="text1"/>
          <w:szCs w:val="16"/>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002B7490" w:rsidRPr="00781112">
        <w:rPr>
          <w:rFonts w:cs="Arial"/>
          <w:color w:val="000000" w:themeColor="text1"/>
          <w:szCs w:val="16"/>
        </w:rPr>
        <w:t>Both of these</w:t>
      </w:r>
      <w:proofErr w:type="gramEnd"/>
      <w:r w:rsidR="002B7490"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002B7490" w:rsidRPr="00781112">
        <w:rPr>
          <w:rFonts w:cs="Arial"/>
          <w:color w:val="000000" w:themeColor="text1"/>
          <w:szCs w:val="16"/>
        </w:rPr>
        <w:br/>
      </w:r>
      <w:r w:rsidR="002B7490"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002B7490" w:rsidRPr="00781112">
        <w:rPr>
          <w:rFonts w:cs="Arial"/>
          <w:color w:val="000000" w:themeColor="text1"/>
          <w:szCs w:val="16"/>
        </w:rPr>
        <w:br/>
      </w:r>
      <w:r w:rsidR="002B7490"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002B7490" w:rsidRPr="00781112">
        <w:rPr>
          <w:rFonts w:cs="Arial"/>
          <w:color w:val="000000" w:themeColor="text1"/>
          <w:szCs w:val="16"/>
        </w:rPr>
        <w:t>2022</w:t>
      </w:r>
      <w:proofErr w:type="gramEnd"/>
      <w:r w:rsidR="002B7490"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002B7490" w:rsidRPr="00781112">
        <w:rPr>
          <w:rFonts w:cs="Arial"/>
          <w:color w:val="000000" w:themeColor="text1"/>
          <w:szCs w:val="16"/>
        </w:rPr>
        <w:br/>
      </w:r>
      <w:r w:rsidR="002B7490"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002B7490" w:rsidRPr="00781112">
        <w:rPr>
          <w:rFonts w:cs="Arial"/>
          <w:color w:val="000000" w:themeColor="text1"/>
          <w:szCs w:val="16"/>
        </w:rPr>
        <w:t>example</w:t>
      </w:r>
      <w:proofErr w:type="gramEnd"/>
      <w:r w:rsidR="002B7490"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002B7490" w:rsidRPr="00781112">
        <w:rPr>
          <w:rFonts w:cs="Arial"/>
          <w:color w:val="000000" w:themeColor="text1"/>
          <w:szCs w:val="16"/>
        </w:rPr>
        <w:br/>
      </w:r>
      <w:r w:rsidR="002B7490"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002B7490" w:rsidRPr="00781112">
        <w:rPr>
          <w:rFonts w:cs="Arial"/>
          <w:color w:val="000000" w:themeColor="text1"/>
          <w:szCs w:val="16"/>
        </w:rPr>
        <w:br/>
      </w:r>
      <w:r w:rsidR="002B7490"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594</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834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1,098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38</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124</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269</w:t>
            </w:r>
          </w:p>
        </w:tc>
      </w:tr>
    </w:tbl>
    <w:p w14:paraId="5FE84F49" w14:textId="77777777" w:rsidR="00465E59" w:rsidRDefault="00465E59" w:rsidP="00286BDF">
      <w:pPr>
        <w:rPr>
          <w:rFonts w:cs="Arial"/>
          <w:b/>
          <w:color w:val="000000" w:themeColor="text1"/>
          <w:szCs w:val="16"/>
        </w:rPr>
      </w:pPr>
    </w:p>
    <w:p w14:paraId="31899BDA" w14:textId="431A3822" w:rsidR="00F41DFF" w:rsidRPr="00781112" w:rsidRDefault="00BD7229" w:rsidP="00286BDF">
      <w:pPr>
        <w:rPr>
          <w:rFonts w:cs="Arial"/>
          <w:b/>
          <w:color w:val="000000" w:themeColor="text1"/>
          <w:szCs w:val="16"/>
        </w:rPr>
      </w:pPr>
      <w:r w:rsidRPr="00781112">
        <w:rPr>
          <w:rFonts w:cs="Arial"/>
          <w:b/>
          <w:color w:val="000000" w:themeColor="text1"/>
          <w:szCs w:val="16"/>
        </w:rPr>
        <w:lastRenderedPageBreak/>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597</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834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1,091</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120</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57</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254</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38</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594</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15.57%</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40.00%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6.40%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124</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834</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16.55%</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50.00%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14.87%</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269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1,098</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47.55%</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53.00%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24.50%</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Students with the most significant cognitive disabilities were most impacted by learning loss during the pandemic, as many require supports that are difficult or impossible to deliver in virtual instruction. The FFY 2020 assessment, administered in the fall of 2021 and was the basis for target setting, does not demonstrate the full impact of these losses, because an abbreviated form of the assessment was used. The assessment utilized the instructionally embedded testlets rather than the summative assessment, which is typically used for assessment. This may have impacted student scores, as the tests are not comparable. These students may also have been especially impacted by ongoing interruptions to instruction caused by schedule changes, staffing shortages, and other challenges.</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Students with the most significant cognitive disabilities were most impacted by learning loss during the pandemic, as many require supports that are difficult or impossible to deliver in virtual instruction. The FFY 2020 assessment, administered in the fall of 2021 and was the basis for target setting, does not demonstrate the full impact of these losses, because an abbreviated form of the assessment was used. The assessment utilized the instructionally embedded testlets rather than the summative assessment, which is typically used for assessment. This may have impacted student scores, as the tests are not comparable. These students may also have been especially impacted by ongoing interruptions to instruction caused by schedule changes, staffing shortages, and other challenges.</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Students with the most significant cognitive disabilities were most impacted by learning loss during the pandemic, as many require supports that are difficult or impossible to deliver in virtual instruction. The FFY 2020 assessment, administered in the fall of 2021 and was the basis for target setting, does not demonstrate the full impact of these losses, because an abbreviated form of the assessment was used. The assessment utilized the instructionally embedded testlets rather than the summative assessment, which is typically used for assessment. This may have impacted student scores, as the tests are not comparable. These students may also have been especially impacted by ongoing interruptions to instruction caused by schedule changes, staffing shortages, and other challenges.</w:t>
      </w:r>
    </w:p>
    <w:p w14:paraId="493A373E" w14:textId="77777777" w:rsidR="00445640" w:rsidRPr="00781112" w:rsidRDefault="00445640" w:rsidP="000C3A20">
      <w:pPr>
        <w:rPr>
          <w:color w:val="000000" w:themeColor="text1"/>
        </w:rPr>
      </w:pPr>
    </w:p>
    <w:p w14:paraId="3C401AEA" w14:textId="77777777" w:rsidR="00465E59" w:rsidRDefault="00465E59">
      <w:pPr>
        <w:spacing w:before="0" w:after="200" w:line="276" w:lineRule="auto"/>
        <w:rPr>
          <w:b/>
          <w:color w:val="000000" w:themeColor="text1"/>
        </w:rPr>
      </w:pPr>
      <w:r>
        <w:rPr>
          <w:b/>
          <w:color w:val="000000" w:themeColor="text1"/>
        </w:rPr>
        <w:br w:type="page"/>
      </w:r>
    </w:p>
    <w:p w14:paraId="73E73F7F" w14:textId="6E3682AD"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120</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597</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10.68%</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25.00%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20.10%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57</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834</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11.23%</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33.00%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6.83%</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254</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1,091</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52.78%</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53.00%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23.28%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Students with the most significant cognitive disabilities were most impacted by learning loss during the pandemic, as many require supports that are difficult or impossible to deliver in virtual instruction. The FFY 2020 assessment, administered in the fall of 2021 and was the basis for target setting, does not demonstrate the full impact of these losses, because an abbreviated form of the assessment was used. The assessment utilized the instructionally embedded testlets rather than the summative assessment, which is typically used for assessment. This may have impacted student scores, as the tests are not comparable. These students may also have been especially impacted by ongoing interruptions to instruction caused by schedule changes, staffing shortages, and other challenges.</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Students with the most significant cognitive disabilities were most impacted by learning loss during the pandemic, as many require supports that are difficult or impossible to deliver in virtual instruction. The FFY 2020 assessment, administered in the fall of 2021 and was the basis for target setting, does not demonstrate the full impact of these losses, because an abbreviated form of the assessment was used. The assessment utilized the instructionally embedded testlets rather than the summative assessment, which is typically used for assessment. This may have impacted student scores, as the tests are not comparable. These students may also have been especially impacted by ongoing interruptions to instruction caused by schedule changes, staffing shortages, and other challenges.</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The State's assessment results can be found at </w:t>
      </w:r>
      <w:proofErr w:type="gramStart"/>
      <w:r w:rsidRPr="00781112">
        <w:rPr>
          <w:rFonts w:cs="Arial"/>
          <w:color w:val="000000" w:themeColor="text1"/>
          <w:szCs w:val="16"/>
          <w:shd w:val="clear" w:color="auto" w:fill="FFFFFF"/>
        </w:rPr>
        <w:t>https://reportcard.msde.maryland.gov/</w:t>
      </w:r>
      <w:proofErr w:type="gramEnd"/>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collection and reporting of data for this indicator were not impacted by the COVID-19 pandemic.</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17.41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24.74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48.51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14.01</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6.41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35.00</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16.50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16.00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15.50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23.50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22.50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22.00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48.00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47.50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47.00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46.50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46.00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14.00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13.50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13.00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12.50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12.00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6.31</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6.21</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6.11</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6.01</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5.91</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34.50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34.00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33.50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33.00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32.50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t>Maryland Higher Education Commission</w:t>
      </w:r>
      <w:r w:rsidRPr="00781112">
        <w:rPr>
          <w:rFonts w:cs="Arial"/>
          <w:color w:val="000000" w:themeColor="text1"/>
          <w:szCs w:val="16"/>
        </w:rPr>
        <w:br/>
        <w:t>4 LEA Representatives (administrators, service providers, etc.)</w:t>
      </w:r>
      <w:r w:rsidRPr="00781112">
        <w:rPr>
          <w:rFonts w:cs="Arial"/>
          <w:color w:val="000000" w:themeColor="text1"/>
          <w:szCs w:val="16"/>
        </w:rPr>
        <w:br/>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63,270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66,503</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52,254</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lastRenderedPageBreak/>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7,373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7,254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4,655</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26,128</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25,799</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27,146</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3,068</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2,503</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3,278</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458</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97</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103</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529</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472</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779</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63,733</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66,698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47,305</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7,364</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7,177</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4,029</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16,008</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10,290</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16,141</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1,948</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1,113</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58</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333</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47</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193</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364</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205</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21</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13.39%</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46.15%</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17.41</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17.00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32.76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7.84%</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42.56%</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24.74</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24.00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34.71</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18.95%</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58.22%</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48.51</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48.00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39.28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 xml:space="preserve">Special Education students showed gains in all areas except high school math, while general education students showed gains in all areas except high school reading and math. As such, the gap was </w:t>
      </w:r>
      <w:proofErr w:type="gramStart"/>
      <w:r w:rsidRPr="00781112">
        <w:rPr>
          <w:rFonts w:cs="Arial"/>
          <w:color w:val="000000" w:themeColor="text1"/>
          <w:szCs w:val="16"/>
        </w:rPr>
        <w:t>narrowed</w:t>
      </w:r>
      <w:proofErr w:type="gramEnd"/>
      <w:r w:rsidRPr="00781112">
        <w:rPr>
          <w:rFonts w:cs="Arial"/>
          <w:color w:val="000000" w:themeColor="text1"/>
          <w:szCs w:val="16"/>
        </w:rPr>
        <w:t xml:space="preserve"> and the State met its targets for high school reading and math. </w:t>
      </w:r>
      <w:r w:rsidRPr="00781112">
        <w:rPr>
          <w:rFonts w:cs="Arial"/>
          <w:color w:val="000000" w:themeColor="text1"/>
          <w:szCs w:val="16"/>
        </w:rPr>
        <w:br/>
      </w:r>
      <w:r w:rsidRPr="00781112">
        <w:rPr>
          <w:rFonts w:cs="Arial"/>
          <w:color w:val="000000" w:themeColor="text1"/>
          <w:szCs w:val="16"/>
        </w:rPr>
        <w:br/>
        <w:t xml:space="preserve">Despite the gains in 4th and 8th grade, the magnitude of the gains (in terms of percentage increase) for general education students were greater in 4th and 8th grade, than it was for special education students. The State believes that younger special education students may have been especially </w:t>
      </w:r>
      <w:r w:rsidRPr="00781112">
        <w:rPr>
          <w:rFonts w:cs="Arial"/>
          <w:color w:val="000000" w:themeColor="text1"/>
          <w:szCs w:val="16"/>
        </w:rPr>
        <w:lastRenderedPageBreak/>
        <w:t>impacted by ongoing interruptions to instruction caused by schedule changes, staffing shortages, and other challenges present during the return to in-person instruction during the in the 2021-2022 school year.</w:t>
      </w:r>
    </w:p>
    <w:p w14:paraId="0A4129E5"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00F0F343" w14:textId="031489F6" w:rsidR="00DD5B7A" w:rsidRPr="00781112" w:rsidRDefault="00DD5B7A" w:rsidP="00DD5B7A">
      <w:pPr>
        <w:rPr>
          <w:rFonts w:cs="Arial"/>
          <w:color w:val="000000" w:themeColor="text1"/>
          <w:szCs w:val="16"/>
        </w:rPr>
      </w:pPr>
      <w:r w:rsidRPr="00781112">
        <w:rPr>
          <w:rFonts w:cs="Arial"/>
          <w:color w:val="000000" w:themeColor="text1"/>
          <w:szCs w:val="16"/>
        </w:rPr>
        <w:t xml:space="preserve">Special Education students showed gains in all areas except high school math, while general education students showed gains in all areas except high school reading and math. As such, the gap was </w:t>
      </w:r>
      <w:proofErr w:type="gramStart"/>
      <w:r w:rsidRPr="00781112">
        <w:rPr>
          <w:rFonts w:cs="Arial"/>
          <w:color w:val="000000" w:themeColor="text1"/>
          <w:szCs w:val="16"/>
        </w:rPr>
        <w:t>narrowed</w:t>
      </w:r>
      <w:proofErr w:type="gramEnd"/>
      <w:r w:rsidRPr="00781112">
        <w:rPr>
          <w:rFonts w:cs="Arial"/>
          <w:color w:val="000000" w:themeColor="text1"/>
          <w:szCs w:val="16"/>
        </w:rPr>
        <w:t xml:space="preserve"> and the State met its targets for high school reading and math. </w:t>
      </w:r>
      <w:r w:rsidRPr="00781112">
        <w:rPr>
          <w:rFonts w:cs="Arial"/>
          <w:color w:val="000000" w:themeColor="text1"/>
          <w:szCs w:val="16"/>
        </w:rPr>
        <w:br/>
      </w:r>
      <w:r w:rsidRPr="00781112">
        <w:rPr>
          <w:rFonts w:cs="Arial"/>
          <w:color w:val="000000" w:themeColor="text1"/>
          <w:szCs w:val="16"/>
        </w:rPr>
        <w:br/>
        <w:t>Despite the gains in 4th and 8th grade, the magnitude of the gains (in terms of percentage increase) for general education students were greater in 4th and 8th grade, than it was for special education students. The State believes that younger special education students may have been especially impacted by ongoing interruptions to instruction caused by schedule changes, staffing shortages, and other challenges present during the return to in-person instruction during the in the 2021-2022 school year.</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9.46%</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28.17%</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14.01</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14.00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18.71</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3.51%</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17.10%</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6.41</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6.31</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13.59</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5.31%</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34.24%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35.00</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34.50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28.93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Special Education students showed gains in all areas except high school math, while general education students showed gains in all areas except high school reading and math. As such, the gap was </w:t>
      </w:r>
      <w:proofErr w:type="gramStart"/>
      <w:r w:rsidRPr="00781112">
        <w:rPr>
          <w:rFonts w:cs="Arial"/>
          <w:color w:val="000000" w:themeColor="text1"/>
          <w:szCs w:val="16"/>
        </w:rPr>
        <w:t>narrowed</w:t>
      </w:r>
      <w:proofErr w:type="gramEnd"/>
      <w:r w:rsidRPr="00781112">
        <w:rPr>
          <w:rFonts w:cs="Arial"/>
          <w:color w:val="000000" w:themeColor="text1"/>
          <w:szCs w:val="16"/>
        </w:rPr>
        <w:t xml:space="preserve"> and the State met its targets for high school reading and math. </w:t>
      </w:r>
      <w:r w:rsidRPr="00781112">
        <w:rPr>
          <w:rFonts w:cs="Arial"/>
          <w:color w:val="000000" w:themeColor="text1"/>
          <w:szCs w:val="16"/>
        </w:rPr>
        <w:br/>
      </w:r>
      <w:r w:rsidRPr="00781112">
        <w:rPr>
          <w:rFonts w:cs="Arial"/>
          <w:color w:val="000000" w:themeColor="text1"/>
          <w:szCs w:val="16"/>
        </w:rPr>
        <w:br/>
        <w:t>Despite the gains in 4th and 8th grade, the magnitude of the gains (in terms of percentage increase) for general education students were greater in 4th and 8th grade, than it was for special education students. The State believes that younger special education students may have been especially impacted by ongoing interruptions to instruction caused by schedule changes, staffing shortages, and other challenges present during the return to in-person instruction during the in the 2021-2022 school year.</w:t>
      </w: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 xml:space="preserve">Special Education students showed gains in all areas except high school math, while general education students showed gains in all areas except high school reading and math. As such, the gap was </w:t>
      </w:r>
      <w:proofErr w:type="gramStart"/>
      <w:r w:rsidRPr="00781112">
        <w:rPr>
          <w:rFonts w:cs="Arial"/>
          <w:color w:val="000000" w:themeColor="text1"/>
          <w:szCs w:val="16"/>
        </w:rPr>
        <w:t>narrowed</w:t>
      </w:r>
      <w:proofErr w:type="gramEnd"/>
      <w:r w:rsidRPr="00781112">
        <w:rPr>
          <w:rFonts w:cs="Arial"/>
          <w:color w:val="000000" w:themeColor="text1"/>
          <w:szCs w:val="16"/>
        </w:rPr>
        <w:t xml:space="preserve"> and the State met its targets for high school reading and math. </w:t>
      </w:r>
      <w:r w:rsidRPr="00781112">
        <w:rPr>
          <w:rFonts w:cs="Arial"/>
          <w:color w:val="000000" w:themeColor="text1"/>
          <w:szCs w:val="16"/>
        </w:rPr>
        <w:br/>
      </w:r>
      <w:r w:rsidRPr="00781112">
        <w:rPr>
          <w:rFonts w:cs="Arial"/>
          <w:color w:val="000000" w:themeColor="text1"/>
          <w:szCs w:val="16"/>
        </w:rPr>
        <w:br/>
        <w:t>Despite the gains in 4th and 8th grade, the magnitude of the gains (in terms of percentage increase) for general education students were greater in 4th and 8th grade, than it was for special education students. The State believes that younger special education students may have been especially impacted by ongoing interruptions to instruction caused by schedule changes, staffing shortages, and other challenges present during the return to in-person instruction during the in the 2021-2022 school year.</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The collection and reporting of data for this indicator were not impacted by the COVID-19 pandemic.</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2017</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71.43%</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66.43%</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61.43%</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61.43%</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50.00%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40.00%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35.00%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30.00%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25.00%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t>Maryland Higher Education Commission</w:t>
      </w:r>
      <w:r w:rsidRPr="00781112">
        <w:rPr>
          <w:rFonts w:cs="Arial"/>
          <w:color w:val="000000" w:themeColor="text1"/>
          <w:szCs w:val="16"/>
        </w:rPr>
        <w:br/>
        <w:t>4 LEA Representatives (administrators, service providers, etc.)</w:t>
      </w:r>
      <w:r w:rsidRPr="00781112">
        <w:rPr>
          <w:rFonts w:cs="Arial"/>
          <w:color w:val="000000" w:themeColor="text1"/>
          <w:szCs w:val="16"/>
        </w:rPr>
        <w:br/>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bookmarkEnd w:id="23"/>
    <w:bookmarkEnd w:id="24"/>
    <w:p w14:paraId="1C2EACAB" w14:textId="77777777" w:rsidR="00465E59" w:rsidRDefault="00465E59">
      <w:pPr>
        <w:spacing w:before="0" w:after="200" w:line="276" w:lineRule="auto"/>
        <w:rPr>
          <w:b/>
          <w:color w:val="000000" w:themeColor="text1"/>
        </w:rPr>
      </w:pPr>
      <w:r>
        <w:rPr>
          <w:b/>
          <w:color w:val="000000" w:themeColor="text1"/>
        </w:rPr>
        <w:br w:type="page"/>
      </w:r>
    </w:p>
    <w:p w14:paraId="2E616696" w14:textId="0255446D" w:rsidR="00D03701" w:rsidRPr="00781112" w:rsidRDefault="0047313F">
      <w:pPr>
        <w:rPr>
          <w:b/>
          <w:color w:val="000000" w:themeColor="text1"/>
        </w:rPr>
      </w:pPr>
      <w:r>
        <w:rPr>
          <w:b/>
          <w:color w:val="000000" w:themeColor="text1"/>
        </w:rPr>
        <w:lastRenderedPageBreak/>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25</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MSDE, DEI/SES's definition of a significant discrepancy is having a Rate Ratio of 2.0 or greater when comparing the rate of suspension of students with disabilities for greater than ten days to the rate of suspension of nondisabled students for greater than ten days. Calculation of the Rate Ratio is the local education agency's (LEA's) suspension/expulsion rate for children with disabilities divided by the local education agency suspension/expulsion rate for children without disabilities. The Rate Ratio is modeled after a Risk Ratio which is the ratio between two rates of outcomes. If the ratio is greater than 2.0, the local education agency </w:t>
      </w:r>
      <w:proofErr w:type="gramStart"/>
      <w:r w:rsidRPr="00781112">
        <w:rPr>
          <w:rFonts w:cs="Arial"/>
          <w:color w:val="000000" w:themeColor="text1"/>
          <w:szCs w:val="16"/>
        </w:rPr>
        <w:t>is considered to be</w:t>
      </w:r>
      <w:proofErr w:type="gramEnd"/>
      <w:r w:rsidRPr="00781112">
        <w:rPr>
          <w:rFonts w:cs="Arial"/>
          <w:color w:val="000000" w:themeColor="text1"/>
          <w:szCs w:val="16"/>
        </w:rPr>
        <w:t xml:space="preserve"> significantly discrepant. In addition to meeting the Rate Ratio of 2.0 or above, an LEA must meet the criteria for the minimum cell size (numerator) and n-size (denominator). The minimum cell size for all LEAs is 5 students with disabilities suspended or expelled for greater than 10 school days in a school year. The minimum n-size set by the State is 20 students with disabilities in the LEA.</w:t>
      </w:r>
      <w:r w:rsidRPr="00781112">
        <w:rPr>
          <w:rFonts w:cs="Arial"/>
          <w:color w:val="000000" w:themeColor="text1"/>
          <w:szCs w:val="16"/>
        </w:rPr>
        <w:br/>
      </w:r>
      <w:r w:rsidRPr="00781112">
        <w:rPr>
          <w:rFonts w:cs="Arial"/>
          <w:color w:val="000000" w:themeColor="text1"/>
          <w:szCs w:val="16"/>
        </w:rPr>
        <w:br/>
        <w:t xml:space="preserve">The MSDE, DEI/SES's analysis of the data demonstrated that zero (0) LEAs met the minimum cell size of 5 students in from 2020-2021. No LEAs were excluded due to not meeting an n-size of at least 20. Twenty-one (21) of twenty-five (25) LEAs had zero (0) students suspended greater than 10 days. Only seven (7) students with disabilities statewide were suspended greater than 10 days and no LEA suspended more than two (2) students with disabilities for greater than 10 days in 2020-2021. Only thirteen (13) students without disabilities statewide were suspended greater than 10 days in 2020-2021. </w:t>
      </w:r>
      <w:r w:rsidRPr="00781112">
        <w:rPr>
          <w:rFonts w:cs="Arial"/>
          <w:color w:val="000000" w:themeColor="text1"/>
          <w:szCs w:val="16"/>
        </w:rPr>
        <w:br/>
      </w:r>
      <w:r w:rsidRPr="00781112">
        <w:rPr>
          <w:rFonts w:cs="Arial"/>
          <w:color w:val="000000" w:themeColor="text1"/>
          <w:szCs w:val="16"/>
        </w:rPr>
        <w:br/>
        <w:t>In comparison, for the 2019-2020 school year, 642 students with disabilities and 2,033 students without disabilities were suspended greater than 10 days (an average of about 26 students with disabilities and 81 students without disabilities per LEA</w:t>
      </w:r>
      <w:proofErr w:type="gramStart"/>
      <w:r w:rsidRPr="00781112">
        <w:rPr>
          <w:rFonts w:cs="Arial"/>
          <w:color w:val="000000" w:themeColor="text1"/>
          <w:szCs w:val="16"/>
        </w:rPr>
        <w:t>) .</w:t>
      </w:r>
      <w:proofErr w:type="gramEnd"/>
      <w:r w:rsidRPr="00781112">
        <w:rPr>
          <w:rFonts w:cs="Arial"/>
          <w:color w:val="000000" w:themeColor="text1"/>
          <w:szCs w:val="16"/>
        </w:rPr>
        <w:t xml:space="preserve"> The low incidence of suspension in 2020-2021, both for students with disabilities and for students without disabilities, is a result of instruction being held virtually throughout the school year. The State believes that its methodology is reasonably designed to identify discrepancies if they exist as evidenced by previous years' data. </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The collection and reporting of data for this indicator were not impacted by the COVID-19 pandemic. </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No LEAs were identified with a significant discrepancy in the rates of suspension identified in FFY 2021 using FFY 2020 (2020 - 2021) data. </w:t>
      </w:r>
      <w:r w:rsidRPr="00781112">
        <w:rPr>
          <w:rFonts w:cs="Arial"/>
          <w:color w:val="000000" w:themeColor="text1"/>
          <w:szCs w:val="16"/>
        </w:rPr>
        <w:br/>
      </w:r>
      <w:r w:rsidRPr="00781112">
        <w:rPr>
          <w:rFonts w:cs="Arial"/>
          <w:color w:val="000000" w:themeColor="text1"/>
          <w:szCs w:val="16"/>
        </w:rPr>
        <w:br/>
        <w:t>In past years, when LEAs were identified, the MSDE, DEI/SES staff, using a discipline review document, conducted a review of the suspension policies and procedures related to:</w:t>
      </w:r>
      <w:r w:rsidRPr="00781112">
        <w:rPr>
          <w:rFonts w:cs="Arial"/>
          <w:color w:val="000000" w:themeColor="text1"/>
          <w:szCs w:val="16"/>
        </w:rPr>
        <w:br/>
        <w:t>1) discipline of students with disabilities,</w:t>
      </w:r>
      <w:r w:rsidRPr="00781112">
        <w:rPr>
          <w:rFonts w:cs="Arial"/>
          <w:color w:val="000000" w:themeColor="text1"/>
          <w:szCs w:val="16"/>
        </w:rPr>
        <w:br/>
        <w:t>2) development and implementation of IEPs,</w:t>
      </w:r>
      <w:r w:rsidRPr="00781112">
        <w:rPr>
          <w:rFonts w:cs="Arial"/>
          <w:color w:val="000000" w:themeColor="text1"/>
          <w:szCs w:val="16"/>
        </w:rPr>
        <w:br/>
        <w:t>3) the use of positive behavioral interventions and supports; and</w:t>
      </w:r>
      <w:r w:rsidRPr="00781112">
        <w:rPr>
          <w:rFonts w:cs="Arial"/>
          <w:color w:val="000000" w:themeColor="text1"/>
          <w:szCs w:val="16"/>
        </w:rPr>
        <w:br/>
        <w:t>4) procedural safeguards.</w:t>
      </w:r>
      <w:r w:rsidRPr="00781112">
        <w:rPr>
          <w:rFonts w:cs="Arial"/>
          <w:color w:val="000000" w:themeColor="text1"/>
          <w:szCs w:val="16"/>
        </w:rPr>
        <w:br/>
      </w:r>
      <w:r w:rsidRPr="00781112">
        <w:rPr>
          <w:rFonts w:cs="Arial"/>
          <w:color w:val="000000" w:themeColor="text1"/>
          <w:szCs w:val="16"/>
        </w:rPr>
        <w:br/>
        <w:t xml:space="preserve">Staff from the MSDE and the LEA utilized the discipline review document to conduct a review of policies, procedures, and practices and to ensure compliance with federal and State regulations. Additionally, the MSDE conducted individual student record reviews from an additional data period to ensure that the implementation of policies and procedures, and practices were consistent with federal and State regulatory requirements, as required by 34 CFR §300.170(b).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20E88BE" w14:textId="77777777" w:rsidR="00465E59" w:rsidRDefault="00465E59" w:rsidP="004369B2">
      <w:pPr>
        <w:rPr>
          <w:b/>
          <w:color w:val="000000" w:themeColor="text1"/>
        </w:rPr>
      </w:pPr>
    </w:p>
    <w:p w14:paraId="77480ED4" w14:textId="77777777" w:rsidR="00465E59" w:rsidRDefault="00465E59">
      <w:pPr>
        <w:spacing w:before="0" w:after="200" w:line="276" w:lineRule="auto"/>
        <w:rPr>
          <w:b/>
          <w:color w:val="000000" w:themeColor="text1"/>
        </w:rPr>
      </w:pPr>
      <w:r>
        <w:rPr>
          <w:b/>
          <w:color w:val="000000" w:themeColor="text1"/>
        </w:rPr>
        <w:br w:type="page"/>
      </w:r>
    </w:p>
    <w:p w14:paraId="6809AF49" w14:textId="52A0A0DD" w:rsidR="00B9048A"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did not provide valid and reliable data for FFY 2020. The State must provide valid and reliable data for FFY 2021 in the FFY 2021 SPP/APR.</w:t>
      </w:r>
    </w:p>
    <w:p w14:paraId="54E863CC" w14:textId="77777777" w:rsidR="009B02BC" w:rsidRPr="00781112" w:rsidRDefault="009B02BC" w:rsidP="004E2151">
      <w:pPr>
        <w:rPr>
          <w:rFonts w:cs="Arial"/>
          <w:color w:val="000000" w:themeColor="text1"/>
          <w:szCs w:val="16"/>
        </w:rPr>
      </w:pPr>
    </w:p>
    <w:p w14:paraId="0FF6D321" w14:textId="46481A67" w:rsidR="004E2151" w:rsidRPr="00781112" w:rsidRDefault="007639D7" w:rsidP="004369B2">
      <w:pPr>
        <w:rPr>
          <w:b/>
          <w:color w:val="000000" w:themeColor="text1"/>
        </w:rPr>
      </w:pPr>
      <w:r>
        <w:rPr>
          <w:b/>
          <w:color w:val="000000" w:themeColor="text1"/>
        </w:rPr>
        <w:t>Response to actions required in FFY 2020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In FFY 2020, the State reported on data from the 2020-2021 school year. However, this Indicator requires submission of lag data so the State's data submission for FFY 2020 was not considered valid or reliable. For FFY 2021, the State has submitted data from the 2020-2021 school year (lag data) as required by the Indicator. As such, the State is submitting valid and reliable data for FFY 2021.</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the State included none of the State’s LEAs in its analysis of rates of suspension and expulsion of greater than 10 days in a school year for children with IEPs.  OSEP recognizes the State reported, "The low incidence of suspension in 2020-2021, both for students with disabilities and for students without disabilities, is a result of instruction being held virtually throughout the school year."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6D03D3B4" w14:textId="77777777" w:rsidR="00465E59" w:rsidRPr="00781112" w:rsidRDefault="00465E59"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39D8D2BD" w14:textId="77777777" w:rsidR="00465E59" w:rsidRPr="00781112" w:rsidRDefault="00465E59"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25</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Maryland State Department of Education, Division of Early Intervention/Special Education Services (DEI/SES) utilized a Rate Ratio to compare the district-level suspension/expulsion rates for children with disabilities from each racial/ethnic group to the suspension/expulsion rate for children without disabilities in that same district. </w:t>
      </w:r>
      <w:r w:rsidRPr="00781112">
        <w:rPr>
          <w:rFonts w:cs="Arial"/>
          <w:color w:val="000000" w:themeColor="text1"/>
          <w:szCs w:val="16"/>
        </w:rPr>
        <w:br/>
      </w:r>
      <w:r w:rsidRPr="00781112">
        <w:rPr>
          <w:rFonts w:cs="Arial"/>
          <w:color w:val="000000" w:themeColor="text1"/>
          <w:szCs w:val="16"/>
        </w:rPr>
        <w:br/>
        <w:t xml:space="preserve">If the Rate Ratio is greater than 2.0, the local education agency (LEA) </w:t>
      </w:r>
      <w:proofErr w:type="gramStart"/>
      <w:r w:rsidRPr="00781112">
        <w:rPr>
          <w:rFonts w:cs="Arial"/>
          <w:color w:val="000000" w:themeColor="text1"/>
          <w:szCs w:val="16"/>
        </w:rPr>
        <w:t>is considered to be</w:t>
      </w:r>
      <w:proofErr w:type="gramEnd"/>
      <w:r w:rsidRPr="00781112">
        <w:rPr>
          <w:rFonts w:cs="Arial"/>
          <w:color w:val="000000" w:themeColor="text1"/>
          <w:szCs w:val="16"/>
        </w:rPr>
        <w:t xml:space="preserve"> significantly discrepant. In addition to meeting the Rate Ratio of 2.0 or above, the LEA must meet the criteria for the minimum n-size. Beginning in FFY 2017, the minimum n-size has changed to five (5) instead of thirty (30). This change was made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stakeholder concerns about the previous n-size. Significant discrepancy calculations were made for LEA that had at least five (5) children with disabilities in a particular race/ethnic group suspended for greater than 10 days.</w:t>
      </w:r>
      <w:r w:rsidRPr="00781112">
        <w:rPr>
          <w:rFonts w:cs="Arial"/>
          <w:color w:val="000000" w:themeColor="text1"/>
          <w:szCs w:val="16"/>
        </w:rPr>
        <w:br/>
      </w:r>
      <w:r w:rsidRPr="00781112">
        <w:rPr>
          <w:rFonts w:cs="Arial"/>
          <w:color w:val="000000" w:themeColor="text1"/>
          <w:szCs w:val="16"/>
        </w:rPr>
        <w:br/>
        <w:t xml:space="preserve">The MSDE, DEI/SES's analysis of the data demonstrated that zero (0) LEAs met the minimum cell size of 5 students in from 2020-2021. No LEAs were excluded due to not meeting an n-size of at least 20. Twenty-one (21) of twenty-five (25) LEAs had zero (0) students suspended greater than 10 days. Only seven (7) students with disabilities statewide were suspended greater than 10 days and no LEA suspended more than two (2) students with disabilities for greater than 10 days in 2020-2021. Only thirteen (13) students without disabilities statewide were suspended greater than 10 days in 2020-2021. </w:t>
      </w:r>
      <w:r w:rsidRPr="00781112">
        <w:rPr>
          <w:rFonts w:cs="Arial"/>
          <w:color w:val="000000" w:themeColor="text1"/>
          <w:szCs w:val="16"/>
        </w:rPr>
        <w:br/>
      </w:r>
      <w:r w:rsidRPr="00781112">
        <w:rPr>
          <w:rFonts w:cs="Arial"/>
          <w:color w:val="000000" w:themeColor="text1"/>
          <w:szCs w:val="16"/>
        </w:rPr>
        <w:br/>
        <w:t>In comparison, for the 2019-2020 school year, 642 students with disabilities and 2,033 students without disabilities were suspended greater than 10 days (an average of about 26 students with disabilities and 81 students without disabilities per LEA</w:t>
      </w:r>
      <w:proofErr w:type="gramStart"/>
      <w:r w:rsidRPr="00781112">
        <w:rPr>
          <w:rFonts w:cs="Arial"/>
          <w:color w:val="000000" w:themeColor="text1"/>
          <w:szCs w:val="16"/>
        </w:rPr>
        <w:t>) .</w:t>
      </w:r>
      <w:proofErr w:type="gramEnd"/>
      <w:r w:rsidRPr="00781112">
        <w:rPr>
          <w:rFonts w:cs="Arial"/>
          <w:color w:val="000000" w:themeColor="text1"/>
          <w:szCs w:val="16"/>
        </w:rPr>
        <w:t xml:space="preserve"> The low incidence of suspension in 2020-2021, both for students with disabilities and for students without disabilities, is a result of instruction being held virtually throughout the school year. The State believes that its methodology is reasonably designed to identify discrepancies if they exist as evidenced by previous years' data.</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The collection and reporting of data for this indicator were not impacted by the COVID-19 pandemic. </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lastRenderedPageBreak/>
        <w:t xml:space="preserve">No LEAs were identified with a significant discrepancy in the rates of suspension by race/ethnicity identified in FFY 2021 using FFY 2020 (2020 - 2021) data. </w:t>
      </w:r>
      <w:r w:rsidRPr="00781112">
        <w:rPr>
          <w:rFonts w:cs="Arial"/>
          <w:color w:val="000000" w:themeColor="text1"/>
          <w:szCs w:val="16"/>
        </w:rPr>
        <w:br/>
      </w:r>
      <w:r w:rsidRPr="00781112">
        <w:rPr>
          <w:rFonts w:cs="Arial"/>
          <w:color w:val="000000" w:themeColor="text1"/>
          <w:szCs w:val="16"/>
        </w:rPr>
        <w:br/>
        <w:t>In previous years, when discrepancies were identified, the MSDE, DEI/SES staff, using a discipline review document, conducted a review of the suspension policies and procedures related to:</w:t>
      </w:r>
      <w:r w:rsidRPr="00781112">
        <w:rPr>
          <w:rFonts w:cs="Arial"/>
          <w:color w:val="000000" w:themeColor="text1"/>
          <w:szCs w:val="16"/>
        </w:rPr>
        <w:br/>
        <w:t>1) discipline of students with disabilities,</w:t>
      </w:r>
      <w:r w:rsidRPr="00781112">
        <w:rPr>
          <w:rFonts w:cs="Arial"/>
          <w:color w:val="000000" w:themeColor="text1"/>
          <w:szCs w:val="16"/>
        </w:rPr>
        <w:br/>
        <w:t>2) development and implementation of IEPs,</w:t>
      </w:r>
      <w:r w:rsidRPr="00781112">
        <w:rPr>
          <w:rFonts w:cs="Arial"/>
          <w:color w:val="000000" w:themeColor="text1"/>
          <w:szCs w:val="16"/>
        </w:rPr>
        <w:br/>
        <w:t>3) the use of positive behavioral interventions and supports; and</w:t>
      </w:r>
      <w:r w:rsidRPr="00781112">
        <w:rPr>
          <w:rFonts w:cs="Arial"/>
          <w:color w:val="000000" w:themeColor="text1"/>
          <w:szCs w:val="16"/>
        </w:rPr>
        <w:br/>
        <w:t>4) procedural safeguards.</w:t>
      </w:r>
      <w:r w:rsidRPr="00781112">
        <w:rPr>
          <w:rFonts w:cs="Arial"/>
          <w:color w:val="000000" w:themeColor="text1"/>
          <w:szCs w:val="16"/>
        </w:rPr>
        <w:br/>
      </w:r>
      <w:r w:rsidRPr="00781112">
        <w:rPr>
          <w:rFonts w:cs="Arial"/>
          <w:color w:val="000000" w:themeColor="text1"/>
          <w:szCs w:val="16"/>
        </w:rPr>
        <w:br/>
        <w:t>Staff from the MSDE and the LEA utilized the discipline review document to conduct a review of policies, procedures, and practices and to ensure compliance with federal and State regulations. Additionally, the MSDE conducted individual student record reviews from an additional data period to ensure that the implementation of policies and procedures, and practices were consistent with federal and State regulatory requirements, as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The State did not provide valid and reliable data for FFY 2020. The State must provide valid and reliable data for FFY 2021 in the FFY 2021 SPP/APR.</w:t>
      </w:r>
    </w:p>
    <w:p w14:paraId="739A1EFB" w14:textId="4730C597" w:rsidR="004E2151" w:rsidRPr="00781112" w:rsidRDefault="007639D7" w:rsidP="004369B2">
      <w:pPr>
        <w:rPr>
          <w:b/>
          <w:color w:val="000000" w:themeColor="text1"/>
        </w:rPr>
      </w:pPr>
      <w:r>
        <w:rPr>
          <w:b/>
          <w:color w:val="000000" w:themeColor="text1"/>
        </w:rPr>
        <w:t>Response to actions required in FFY 2020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In FFY 2020, the State reported on data from the 2020-2021 school year. However, this Indicator requires submission of lag data so the State's data submission for FFY 2020 was not considered valid or reliable. For FFY 2021, the State has submitted data from the 2020-2021 school year (lag data) as required by the Indicator. As such, the State is submitting valid and reliable data for FFY 2021.</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included none of the State’s LEAs in its analysis of rates of suspension and expulsion of greater than 10 days in a school year for children with IEPs.  OSEP recognizes the State reported, "The low incidence of suspension in 2020-2021, both for students with disabilities and for students without disabilities, is a result of instruction being held virtually throughout the school year."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proofErr w:type="gramStart"/>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w:t>
      </w:r>
      <w:proofErr w:type="gramEnd"/>
      <w:r w:rsidR="001F6A28" w:rsidRPr="00781112">
        <w:rPr>
          <w:rFonts w:cs="Arial"/>
          <w:color w:val="000000" w:themeColor="text1"/>
          <w:szCs w:val="16"/>
          <w:shd w:val="clear" w:color="auto" w:fill="FFFFFF"/>
        </w:rPr>
        <w:t xml:space="preserve">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are enrolled in kindergarten in this indicator. Five-year-old children with disabilities who are enrolled in preschool programs are included in Indicator </w:t>
      </w:r>
      <w:proofErr w:type="gramStart"/>
      <w:r w:rsidRPr="00781112">
        <w:rPr>
          <w:rFonts w:cs="Arial"/>
          <w:szCs w:val="16"/>
        </w:rPr>
        <w:t>6.</w:t>
      </w:r>
      <w:r w:rsidR="001F6A28" w:rsidRPr="00781112">
        <w:rPr>
          <w:rFonts w:cs="Arial"/>
          <w:color w:val="000000" w:themeColor="text1"/>
          <w:szCs w:val="16"/>
        </w:rPr>
        <w:t>Describe</w:t>
      </w:r>
      <w:proofErr w:type="gramEnd"/>
      <w:r w:rsidR="001F6A28" w:rsidRPr="00781112">
        <w:rPr>
          <w:rFonts w:cs="Arial"/>
          <w:color w:val="000000" w:themeColor="text1"/>
          <w:szCs w:val="16"/>
        </w:rPr>
        <w:t xml:space="preserv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69.90%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70.40%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70.90%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70.90%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70.71%</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70.71%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69.73%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70.09%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70.24%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70.71%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11.76%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11.26%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10.76%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10.76%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12.00%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12.04%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12.04%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12.06%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12.00%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5.94%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5.69%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5.44%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5.44%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6.41%</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6.41%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6.86%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6.77%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6.85%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6.68%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6.41%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71.00%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71.25%</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71.50%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71.75%</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72.00%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11.75%</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11.50%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11.25%</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11.00%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10.75%</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6.25%</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6.00%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5.75%</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5.50%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5.25%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t>Maryland Higher Education Commission</w:t>
      </w:r>
      <w:r w:rsidRPr="00781112">
        <w:rPr>
          <w:rFonts w:cs="Arial"/>
          <w:color w:val="000000" w:themeColor="text1"/>
          <w:szCs w:val="16"/>
        </w:rPr>
        <w:br/>
        <w:t>4 LEA Representatives (administrators, service providers, etc.)</w:t>
      </w:r>
      <w:r w:rsidRPr="00781112">
        <w:rPr>
          <w:rFonts w:cs="Arial"/>
          <w:color w:val="000000" w:themeColor="text1"/>
          <w:szCs w:val="16"/>
        </w:rPr>
        <w:br/>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r>
      <w:r w:rsidRPr="00781112">
        <w:rPr>
          <w:rFonts w:cs="Arial"/>
          <w:color w:val="000000" w:themeColor="text1"/>
          <w:szCs w:val="16"/>
        </w:rPr>
        <w:lastRenderedPageBreak/>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100,413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72,045</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11,546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5,910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95</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261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72,045</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100,413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70.71%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71.75%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11,546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100,413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11.75%</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11.50%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6,266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100,413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6.41%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6.25%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6.24%</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Data collection and analysis were not impacted by the COVID-19 pandemic.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64.70%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64.90%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65.10%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65.10%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60.87%</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60.53%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62.72%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59.67%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61.60%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60.87%</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18.30%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18.10%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17.90%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17.90%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20.92%</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18.64%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17.50%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20.09%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19.03%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20.92%</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t>Maryland Higher Education Commission</w:t>
      </w:r>
      <w:r w:rsidRPr="00781112">
        <w:rPr>
          <w:rFonts w:cs="Arial"/>
          <w:color w:val="000000" w:themeColor="text1"/>
          <w:szCs w:val="16"/>
        </w:rPr>
        <w:br/>
        <w:t>4 LEA Representatives (administrators, service providers, etc.)</w:t>
      </w:r>
      <w:r w:rsidRPr="00781112">
        <w:rPr>
          <w:rFonts w:cs="Arial"/>
          <w:color w:val="000000" w:themeColor="text1"/>
          <w:szCs w:val="16"/>
        </w:rPr>
        <w:br/>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r>
      <w:r w:rsidRPr="00781112">
        <w:rPr>
          <w:rFonts w:cs="Arial"/>
          <w:color w:val="000000" w:themeColor="text1"/>
          <w:szCs w:val="16"/>
        </w:rPr>
        <w:lastRenderedPageBreak/>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5C7F1365" w14:textId="4E196BC9" w:rsidR="0073461B" w:rsidRPr="00465E59" w:rsidRDefault="00794672" w:rsidP="00465E59">
      <w:pPr>
        <w:rPr>
          <w:rFonts w:cs="Arial"/>
          <w:color w:val="000000" w:themeColor="text1"/>
          <w:szCs w:val="16"/>
        </w:rPr>
      </w:pPr>
      <w:r w:rsidRPr="00781112">
        <w:rPr>
          <w:rFonts w:cs="Arial"/>
          <w:color w:val="000000" w:themeColor="text1"/>
          <w:szCs w:val="16"/>
        </w:rPr>
        <w:t>Target Range not used</w:t>
      </w: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69.87%</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20.92%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0.33%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62.00%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63.00%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64.00%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67.00%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70.00%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20.00%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19.00%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18.00%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14.00%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10.00%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0.33%</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0.32%</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0.32%</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0.31%</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3,515</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4,396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1,250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9,161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2,259</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2,479</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741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5,479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734</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921</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196</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1,851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27</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49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24</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100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26</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7</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44</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5,479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9,161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60.87%</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59.81%</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1,953</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9,161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20.92%</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21.32%</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44</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9,161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0.33%</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0.33%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0.48%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Slippage</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 xml:space="preserve">The state examined the slippage for Indicator 6a from FFY 2020 to FFY 2021 and noted that there has been a statewide decrease in the number of preschool age children receiving preschool special education services resulting in a decrease in the number of children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services in a regular early childhood program. From FFY 2020 to FFY 2021, a decrease of 922 (9% decrease) preschool age students receiving special education and 659 fewer students (11% decrease)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services in a regular early childhood program. </w:t>
      </w:r>
      <w:r w:rsidRPr="00781112">
        <w:rPr>
          <w:rFonts w:cs="Arial"/>
          <w:color w:val="000000" w:themeColor="text1"/>
          <w:szCs w:val="16"/>
        </w:rPr>
        <w:br/>
      </w:r>
      <w:r w:rsidRPr="00781112">
        <w:rPr>
          <w:rFonts w:cs="Arial"/>
          <w:color w:val="000000" w:themeColor="text1"/>
          <w:szCs w:val="16"/>
        </w:rPr>
        <w:br/>
        <w:t xml:space="preserve">In addition, Local Education Agencies (LEAs) have cited a slight increase in preferences of parents/guardians/IEP Teams to have their medically fragile children receive services at home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concerns related to the COVID-19 pandemic. </w:t>
      </w:r>
      <w:r w:rsidRPr="00781112">
        <w:rPr>
          <w:rFonts w:cs="Arial"/>
          <w:color w:val="000000" w:themeColor="text1"/>
          <w:szCs w:val="16"/>
        </w:rPr>
        <w:br/>
      </w:r>
      <w:r w:rsidRPr="00781112">
        <w:rPr>
          <w:rFonts w:cs="Arial"/>
          <w:color w:val="000000" w:themeColor="text1"/>
          <w:szCs w:val="16"/>
        </w:rPr>
        <w:br/>
        <w:t>Through the MSDE, DSE/EIS grant opportunities there are now 7 LEAs who are targeting the increase of inclusive opportunities with grant funding. In addition, the state is supporting an IHE to implement inclusive early childhood education within Head Start programs in three jurisdictions.</w:t>
      </w:r>
    </w:p>
    <w:p w14:paraId="763CB8C1" w14:textId="360436FE" w:rsidR="006B39BD" w:rsidRPr="00781112" w:rsidRDefault="006B39BD" w:rsidP="006B39BD">
      <w:pPr>
        <w:rPr>
          <w:b/>
          <w:color w:val="000000" w:themeColor="text1"/>
        </w:rPr>
      </w:pPr>
      <w:r w:rsidRPr="00781112">
        <w:rPr>
          <w:b/>
          <w:color w:val="000000" w:themeColor="text1"/>
        </w:rPr>
        <w:t>Provide reasons for slippage for Group C aged 3 through 5, if applicable</w:t>
      </w:r>
    </w:p>
    <w:p w14:paraId="1288C8E4" w14:textId="2FBA7D1F" w:rsidR="006B39BD" w:rsidRPr="00781112" w:rsidRDefault="006B39BD" w:rsidP="006B39BD">
      <w:pPr>
        <w:rPr>
          <w:rFonts w:cs="Arial"/>
          <w:color w:val="000000" w:themeColor="text1"/>
          <w:szCs w:val="16"/>
        </w:rPr>
      </w:pPr>
      <w:r w:rsidRPr="00781112">
        <w:rPr>
          <w:rFonts w:cs="Arial"/>
          <w:color w:val="000000" w:themeColor="text1"/>
          <w:szCs w:val="16"/>
        </w:rPr>
        <w:lastRenderedPageBreak/>
        <w:t xml:space="preserve">Local Education Agencies (LEAs) have cited a slight increase in preferences of parents/guardians/IEP Teams to have their medically fragile children receive services at home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concerns related to the COVID-19 pandemic.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Data collection and analysis were not impacted by the COVID-19 pandemic.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68.90%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68.53%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68.78%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68.78%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68.78%</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68.53%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63.08%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68.53%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69.90%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70.44%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72.57%</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52.75%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53.00%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52.75%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56.35%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52.75%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52.25%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49.41%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46.41%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67.60%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72.12%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72.37%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72.37%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72.37%</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72.12%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67.10%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72.12%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72.74%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72.91%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75.89%</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57.20%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50.87%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51.12%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51.12%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51.12%</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50.87%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51.56%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50.87%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49.88%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47.90%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45.55%</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71.65%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71.65%</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71.40%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72.58%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71.14%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72.84%</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59.23%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59.48%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59.48%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59.48%</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59.23%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63.89%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59.23%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58.40%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56.71%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54.26%</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70.50%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71.00%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71.50%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72.00%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72.50%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53.50%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54.00%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54.50%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55.00%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55.50%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73.00%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73.50%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74.00%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74.50%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75.00%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51.50%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52.00%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52.50%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53.00%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53.50%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72.00%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72.50%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73.00%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73.50%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74.00%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60.00%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60.50%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61.00%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61.50%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62.00%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t>Maryland Higher Education Commission</w:t>
      </w:r>
      <w:r w:rsidRPr="00781112">
        <w:rPr>
          <w:rFonts w:cs="Arial"/>
          <w:color w:val="000000" w:themeColor="text1"/>
          <w:szCs w:val="16"/>
        </w:rPr>
        <w:br/>
        <w:t>4 LEA Representatives (administrators, service providers, etc.)</w:t>
      </w:r>
      <w:r w:rsidRPr="00781112">
        <w:rPr>
          <w:rFonts w:cs="Arial"/>
          <w:color w:val="000000" w:themeColor="text1"/>
          <w:szCs w:val="16"/>
        </w:rPr>
        <w:br/>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w:t>
      </w:r>
      <w:r w:rsidRPr="00781112">
        <w:rPr>
          <w:rFonts w:cs="Arial"/>
          <w:color w:val="000000" w:themeColor="text1"/>
          <w:szCs w:val="16"/>
        </w:rPr>
        <w:lastRenderedPageBreak/>
        <w:t xml:space="preserve">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3,726</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52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1.40%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816</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21.90%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1,202</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32.26%</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1,037</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27.83%</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619</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16.61%</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2,239</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3,107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72.57%</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70.50%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72.06%</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1,656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3,726</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46.41%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53.50%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44.44%</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lastRenderedPageBreak/>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1.26%</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770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20.67%</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1,261</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33.84%</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1,206</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32.37%</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442</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11.86%</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2,467</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3,284</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75.89%</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75.12%</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1,648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3,726</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45.55%</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51.50%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44.23%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54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1.45%</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881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23.64%</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865</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23.22%</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1,245</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33.41%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681</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18.28%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2,110</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3,045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72.84%</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69.29%</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w:t>
            </w:r>
            <w:r w:rsidRPr="00781112">
              <w:rPr>
                <w:rFonts w:cs="Arial"/>
                <w:color w:val="000000" w:themeColor="text1"/>
                <w:szCs w:val="16"/>
              </w:rPr>
              <w:lastRenderedPageBreak/>
              <w:t xml:space="preserve">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lastRenderedPageBreak/>
              <w:t>1,926</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3,726</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54.26%</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51.69%</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The DEI/SES continues to focus on fidelity of the Child Outcomes Summary (COS) process with a strong emphasis on authentic assessment practices along with the use of age anchoring tools and the decision tree for every COS rating. Revised B-K COS training was implemented in 2017 and this intense focus is contributing to decreases in the child outcomes data, in each of the three childhood outcomes Summary Statements #2 as data quality improves. Local preschool special education providers and leaders recognize that COS ratings have previously been elevated at entry. A new IEP COS Entry report supports data analysis at the program and provider level. For Summary Statement #2, data analysis indicates that significant less children are entering with a COS score of 6 or 7, which overall lowers the percentages across all three indicators. This pattern has continued over the past several years. </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The DEI/SES continues to focus on fidelity of the Child Outcomes Summary (COS) process with a strong emphasis on authentic assessment practices along with the use of age anchoring tools and the decision tree for every COS rating. Revised B-K COS training was implemented in 2017 and this intense focus is contributing to decreases in the child outcomes data, in each of the three childhood outcomes Summary Statements #2 as data quality improves. Local preschool special education providers and leaders recognize that COS ratings have previously been elevated at entry. A new IEP COS Entry report supports data analysis at the program and provider level. For Summary Statement #2, data analysis indicates that significant less children are entering with a COS score of 6 or 7, which overall lowers the percentages across all three indicators. This pattern has continued over the past several years. </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 xml:space="preserve">The DEI/SES continues to focus on fidelity of the Child Outcomes Summary (COS) process with a strong emphasis on authentic assessment practices along with the use of age anchoring tools and the decision tree for every COS rating. Revised B-K COS training was implemented in 2017 and this intense focus is contributing to decreases in the child outcomes data, in each of the three childhood outcomes Summary Statements #2 as data quality improves. Local preschool special education providers and leaders recognize that COS ratings have previously been elevated at entry. A new IEP COS Entry report supports data analysis at the program and provider level. For Summary Statement #2, data analysis indicates that significant less children are entering with a COS score of 6 or 7, which overall lowers the percentages across all three </w:t>
            </w:r>
            <w:proofErr w:type="gramStart"/>
            <w:r w:rsidRPr="00781112">
              <w:rPr>
                <w:rFonts w:cs="Arial"/>
                <w:color w:val="000000" w:themeColor="text1"/>
                <w:szCs w:val="16"/>
              </w:rPr>
              <w:t>indicators.This</w:t>
            </w:r>
            <w:proofErr w:type="gramEnd"/>
            <w:r w:rsidRPr="00781112">
              <w:rPr>
                <w:rFonts w:cs="Arial"/>
                <w:color w:val="000000" w:themeColor="text1"/>
                <w:szCs w:val="16"/>
              </w:rPr>
              <w:t xml:space="preserve"> pattern has continued over the past several years. </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The DEI/SES continues to focus on fidelity of the Child Outcomes Summary (COS) process with a strong emphasis on authentic assessment practices along with the use of age anchoring tools and the decision tree for every COS rating. Revised B-K COS training was implemented in 2017 and this intense focus is contributing to decreases in the child outcomes data, in each of the three childhood outcomes Summary Statements #2 as data quality improves. Local preschool special education providers and leaders recognize that COS ratings have previously been elevated at entry. A new IEP COS Entry report supports data analysis at the program and provider level. For Summary Statement #2, data analysis indicates that significant less children are entering with a COS score of 6 or 7, which overall lowers the percentages across all three </w:t>
            </w:r>
            <w:proofErr w:type="gramStart"/>
            <w:r w:rsidRPr="00781112">
              <w:rPr>
                <w:rFonts w:cs="Arial"/>
                <w:color w:val="000000" w:themeColor="text1"/>
                <w:szCs w:val="16"/>
              </w:rPr>
              <w:t>indicators.This</w:t>
            </w:r>
            <w:proofErr w:type="gramEnd"/>
            <w:r w:rsidRPr="00781112">
              <w:rPr>
                <w:rFonts w:cs="Arial"/>
                <w:color w:val="000000" w:themeColor="text1"/>
                <w:szCs w:val="16"/>
              </w:rPr>
              <w:t xml:space="preserve"> pattern has continued over the past several years.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State uses the Child Outcomes Summary (COS) Process which has been integrated into the preschool portion of the IEP.</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The collection and reporting of data for this indicator were not impacted by the COVID-19 pandemic.</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t>Maryland Higher Education Commission</w:t>
      </w:r>
      <w:r w:rsidRPr="00781112">
        <w:rPr>
          <w:rFonts w:cs="Arial"/>
          <w:color w:val="000000" w:themeColor="text1"/>
          <w:szCs w:val="16"/>
        </w:rPr>
        <w:br/>
        <w:t>4 LEA Representatives (administrators, service providers, etc.)</w:t>
      </w:r>
      <w:r w:rsidRPr="00781112">
        <w:rPr>
          <w:rFonts w:cs="Arial"/>
          <w:color w:val="000000" w:themeColor="text1"/>
          <w:szCs w:val="16"/>
        </w:rPr>
        <w:br/>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w:t>
      </w:r>
      <w:r w:rsidRPr="00781112">
        <w:rPr>
          <w:rFonts w:cs="Arial"/>
          <w:color w:val="000000" w:themeColor="text1"/>
          <w:szCs w:val="16"/>
        </w:rPr>
        <w:lastRenderedPageBreak/>
        <w:t xml:space="preserve">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APR and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lastRenderedPageBreak/>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82.99%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82.99%</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80.98%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82.03%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81.98%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82.01%</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72.00%</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72.00%</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tblGrid>
      <w:tr w:rsidR="00B14519" w:rsidRPr="00781112" w14:paraId="40E7CBAD" w14:textId="2F3423DB" w:rsidTr="00451D7E">
        <w:trPr>
          <w:trHeight w:val="350"/>
        </w:trPr>
        <w:tc>
          <w:tcPr>
            <w:tcW w:w="485" w:type="pct"/>
            <w:tcBorders>
              <w:bottom w:val="single" w:sz="4" w:space="0" w:color="auto"/>
            </w:tcBorders>
            <w:shd w:val="clear" w:color="auto" w:fill="auto"/>
          </w:tcPr>
          <w:p w14:paraId="58C1A5E2" w14:textId="77777777" w:rsidR="00B14519" w:rsidRPr="00781112" w:rsidRDefault="00B14519" w:rsidP="000F0FCB">
            <w:pPr>
              <w:jc w:val="center"/>
              <w:rPr>
                <w:b/>
                <w:color w:val="000000" w:themeColor="text1"/>
              </w:rPr>
            </w:pPr>
            <w:r w:rsidRPr="00781112">
              <w:rPr>
                <w:b/>
                <w:color w:val="000000" w:themeColor="text1"/>
              </w:rPr>
              <w:t>FFY</w:t>
            </w:r>
          </w:p>
        </w:tc>
        <w:tc>
          <w:tcPr>
            <w:tcW w:w="903" w:type="pct"/>
            <w:shd w:val="clear" w:color="auto" w:fill="auto"/>
            <w:vAlign w:val="center"/>
          </w:tcPr>
          <w:p w14:paraId="1805BFB9" w14:textId="40FB7546" w:rsidR="00B14519" w:rsidRPr="00781112" w:rsidRDefault="00B14519" w:rsidP="000F0FCB">
            <w:pPr>
              <w:jc w:val="center"/>
              <w:rPr>
                <w:b/>
                <w:color w:val="000000" w:themeColor="text1"/>
              </w:rPr>
            </w:pPr>
            <w:r w:rsidRPr="00781112">
              <w:rPr>
                <w:b/>
                <w:color w:val="000000" w:themeColor="text1"/>
              </w:rPr>
              <w:t>2021</w:t>
            </w:r>
          </w:p>
        </w:tc>
        <w:tc>
          <w:tcPr>
            <w:tcW w:w="903" w:type="pct"/>
          </w:tcPr>
          <w:p w14:paraId="6A0DC1ED" w14:textId="1017ADE4" w:rsidR="00B14519" w:rsidRPr="00781112" w:rsidRDefault="00B14519" w:rsidP="000F0FCB">
            <w:pPr>
              <w:jc w:val="center"/>
              <w:rPr>
                <w:b/>
                <w:color w:val="000000" w:themeColor="text1"/>
              </w:rPr>
            </w:pPr>
            <w:r w:rsidRPr="00781112">
              <w:rPr>
                <w:rFonts w:cs="Arial"/>
                <w:b/>
                <w:color w:val="000000" w:themeColor="text1"/>
                <w:szCs w:val="16"/>
              </w:rPr>
              <w:t>2022</w:t>
            </w:r>
          </w:p>
        </w:tc>
        <w:tc>
          <w:tcPr>
            <w:tcW w:w="903" w:type="pct"/>
          </w:tcPr>
          <w:p w14:paraId="2CD59A68" w14:textId="7776BA99" w:rsidR="00B14519" w:rsidRPr="00781112" w:rsidRDefault="00B14519" w:rsidP="000F0FCB">
            <w:pPr>
              <w:jc w:val="center"/>
              <w:rPr>
                <w:b/>
                <w:color w:val="000000" w:themeColor="text1"/>
              </w:rPr>
            </w:pPr>
            <w:r w:rsidRPr="00781112">
              <w:rPr>
                <w:rFonts w:cs="Arial"/>
                <w:b/>
                <w:color w:val="000000" w:themeColor="text1"/>
                <w:szCs w:val="16"/>
              </w:rPr>
              <w:t>2023</w:t>
            </w:r>
          </w:p>
        </w:tc>
        <w:tc>
          <w:tcPr>
            <w:tcW w:w="903" w:type="pct"/>
          </w:tcPr>
          <w:p w14:paraId="21CE2271" w14:textId="20E17752" w:rsidR="00B14519" w:rsidRPr="00781112" w:rsidRDefault="00B14519" w:rsidP="000F0FCB">
            <w:pPr>
              <w:jc w:val="center"/>
              <w:rPr>
                <w:b/>
                <w:color w:val="000000" w:themeColor="text1"/>
              </w:rPr>
            </w:pPr>
            <w:r w:rsidRPr="00781112">
              <w:rPr>
                <w:rFonts w:cs="Arial"/>
                <w:b/>
                <w:color w:val="000000" w:themeColor="text1"/>
                <w:szCs w:val="16"/>
              </w:rPr>
              <w:t>2024</w:t>
            </w:r>
          </w:p>
        </w:tc>
        <w:tc>
          <w:tcPr>
            <w:tcW w:w="903" w:type="pct"/>
          </w:tcPr>
          <w:p w14:paraId="7C0C1B18" w14:textId="04AB4276" w:rsidR="00B14519" w:rsidRPr="00781112" w:rsidRDefault="00B14519" w:rsidP="000F0FCB">
            <w:pPr>
              <w:jc w:val="center"/>
              <w:rPr>
                <w:b/>
                <w:color w:val="000000" w:themeColor="text1"/>
              </w:rPr>
            </w:pPr>
            <w:r w:rsidRPr="00781112">
              <w:rPr>
                <w:rFonts w:cs="Arial"/>
                <w:b/>
                <w:color w:val="000000" w:themeColor="text1"/>
                <w:szCs w:val="16"/>
              </w:rPr>
              <w:t>2025</w:t>
            </w:r>
          </w:p>
        </w:tc>
      </w:tr>
      <w:tr w:rsidR="00B14519" w:rsidRPr="00781112" w14:paraId="63497877" w14:textId="6C8B3858" w:rsidTr="00451D7E">
        <w:trPr>
          <w:trHeight w:val="357"/>
        </w:trPr>
        <w:tc>
          <w:tcPr>
            <w:tcW w:w="485" w:type="pct"/>
            <w:shd w:val="clear" w:color="auto" w:fill="auto"/>
          </w:tcPr>
          <w:p w14:paraId="177D86BD" w14:textId="75CEEFE5" w:rsidR="00B14519" w:rsidRPr="00781112" w:rsidRDefault="00B14519" w:rsidP="000F0FCB">
            <w:pPr>
              <w:rPr>
                <w:rFonts w:cs="Arial"/>
                <w:color w:val="000000" w:themeColor="text1"/>
                <w:szCs w:val="16"/>
              </w:rPr>
            </w:pPr>
            <w:r w:rsidRPr="00781112">
              <w:rPr>
                <w:rFonts w:cs="Arial"/>
                <w:color w:val="000000" w:themeColor="text1"/>
                <w:szCs w:val="16"/>
              </w:rPr>
              <w:t>Target A &gt;=</w:t>
            </w:r>
          </w:p>
        </w:tc>
        <w:tc>
          <w:tcPr>
            <w:tcW w:w="903" w:type="pct"/>
            <w:shd w:val="clear" w:color="auto" w:fill="auto"/>
            <w:vAlign w:val="center"/>
          </w:tcPr>
          <w:p w14:paraId="45A6C0CC" w14:textId="7B92BE4D" w:rsidR="00B14519" w:rsidRPr="00781112" w:rsidRDefault="00B14519" w:rsidP="000F0FCB">
            <w:pPr>
              <w:jc w:val="center"/>
              <w:rPr>
                <w:rFonts w:cs="Arial"/>
                <w:color w:val="000000" w:themeColor="text1"/>
                <w:szCs w:val="16"/>
              </w:rPr>
            </w:pPr>
            <w:r w:rsidRPr="00781112">
              <w:rPr>
                <w:rFonts w:cs="Arial"/>
                <w:color w:val="000000" w:themeColor="text1"/>
                <w:szCs w:val="16"/>
              </w:rPr>
              <w:t>85.25%</w:t>
            </w:r>
          </w:p>
        </w:tc>
        <w:tc>
          <w:tcPr>
            <w:tcW w:w="903" w:type="pct"/>
            <w:vAlign w:val="center"/>
          </w:tcPr>
          <w:p w14:paraId="79CAFD63" w14:textId="032B919D" w:rsidR="00B14519" w:rsidRPr="00781112" w:rsidRDefault="00B14519" w:rsidP="000F0FCB">
            <w:pPr>
              <w:jc w:val="center"/>
              <w:rPr>
                <w:rFonts w:cs="Arial"/>
                <w:color w:val="000000" w:themeColor="text1"/>
                <w:szCs w:val="16"/>
              </w:rPr>
            </w:pPr>
            <w:r w:rsidRPr="00781112">
              <w:rPr>
                <w:rFonts w:cs="Arial"/>
                <w:color w:val="000000" w:themeColor="text1"/>
                <w:szCs w:val="16"/>
              </w:rPr>
              <w:t>85.50%</w:t>
            </w:r>
          </w:p>
        </w:tc>
        <w:tc>
          <w:tcPr>
            <w:tcW w:w="903" w:type="pct"/>
            <w:vAlign w:val="center"/>
          </w:tcPr>
          <w:p w14:paraId="7B67B772" w14:textId="397DF5D3" w:rsidR="00B14519" w:rsidRPr="00781112" w:rsidRDefault="00B14519" w:rsidP="000F0FCB">
            <w:pPr>
              <w:jc w:val="center"/>
              <w:rPr>
                <w:rFonts w:cs="Arial"/>
                <w:color w:val="000000" w:themeColor="text1"/>
                <w:szCs w:val="16"/>
              </w:rPr>
            </w:pPr>
            <w:r w:rsidRPr="00781112">
              <w:rPr>
                <w:rFonts w:cs="Arial"/>
                <w:color w:val="000000" w:themeColor="text1"/>
                <w:szCs w:val="16"/>
              </w:rPr>
              <w:t>86.00%</w:t>
            </w:r>
          </w:p>
        </w:tc>
        <w:tc>
          <w:tcPr>
            <w:tcW w:w="903" w:type="pct"/>
            <w:vAlign w:val="center"/>
          </w:tcPr>
          <w:p w14:paraId="609F4169" w14:textId="304C6590" w:rsidR="00B14519" w:rsidRPr="00781112" w:rsidRDefault="00B14519" w:rsidP="000F0FCB">
            <w:pPr>
              <w:jc w:val="center"/>
              <w:rPr>
                <w:rFonts w:cs="Arial"/>
                <w:color w:val="000000" w:themeColor="text1"/>
                <w:szCs w:val="16"/>
              </w:rPr>
            </w:pPr>
            <w:r w:rsidRPr="00781112">
              <w:rPr>
                <w:rFonts w:cs="Arial"/>
                <w:color w:val="000000" w:themeColor="text1"/>
                <w:szCs w:val="16"/>
              </w:rPr>
              <w:t>86.50%</w:t>
            </w:r>
          </w:p>
        </w:tc>
        <w:tc>
          <w:tcPr>
            <w:tcW w:w="903" w:type="pct"/>
            <w:vAlign w:val="center"/>
          </w:tcPr>
          <w:p w14:paraId="589D34C8" w14:textId="3F29FDA9" w:rsidR="00B14519" w:rsidRPr="00781112" w:rsidRDefault="00B14519" w:rsidP="000F0FCB">
            <w:pPr>
              <w:jc w:val="center"/>
              <w:rPr>
                <w:rFonts w:cs="Arial"/>
                <w:color w:val="000000" w:themeColor="text1"/>
                <w:szCs w:val="16"/>
              </w:rPr>
            </w:pPr>
            <w:r w:rsidRPr="00781112">
              <w:rPr>
                <w:rFonts w:cs="Arial"/>
                <w:color w:val="000000" w:themeColor="text1"/>
                <w:szCs w:val="16"/>
              </w:rPr>
              <w:t>87.00%</w:t>
            </w:r>
          </w:p>
        </w:tc>
      </w:tr>
      <w:tr w:rsidR="00B14519" w:rsidRPr="00781112" w14:paraId="2317B2F5" w14:textId="205DD1BC" w:rsidTr="00451D7E">
        <w:trPr>
          <w:trHeight w:val="357"/>
        </w:trPr>
        <w:tc>
          <w:tcPr>
            <w:tcW w:w="485" w:type="pct"/>
            <w:shd w:val="clear" w:color="auto" w:fill="auto"/>
          </w:tcPr>
          <w:p w14:paraId="149F53A9" w14:textId="68CCB85F" w:rsidR="00B14519" w:rsidRPr="00781112" w:rsidRDefault="00B14519" w:rsidP="000F0FCB">
            <w:pPr>
              <w:rPr>
                <w:rFonts w:cs="Arial"/>
                <w:color w:val="000000" w:themeColor="text1"/>
                <w:szCs w:val="16"/>
              </w:rPr>
            </w:pPr>
            <w:r w:rsidRPr="00781112">
              <w:rPr>
                <w:rFonts w:cs="Arial"/>
                <w:color w:val="000000" w:themeColor="text1"/>
                <w:szCs w:val="16"/>
              </w:rPr>
              <w:t>Target B &gt;=</w:t>
            </w:r>
          </w:p>
        </w:tc>
        <w:tc>
          <w:tcPr>
            <w:tcW w:w="903" w:type="pct"/>
            <w:shd w:val="clear" w:color="auto" w:fill="auto"/>
            <w:vAlign w:val="center"/>
          </w:tcPr>
          <w:p w14:paraId="3F59397C" w14:textId="77CD5E97" w:rsidR="00B14519" w:rsidRPr="00781112" w:rsidRDefault="00B14519" w:rsidP="000F0FCB">
            <w:pPr>
              <w:jc w:val="center"/>
              <w:rPr>
                <w:rFonts w:cs="Arial"/>
                <w:color w:val="000000" w:themeColor="text1"/>
                <w:szCs w:val="16"/>
              </w:rPr>
            </w:pPr>
            <w:r w:rsidRPr="00781112">
              <w:rPr>
                <w:rFonts w:cs="Arial"/>
                <w:color w:val="000000" w:themeColor="text1"/>
                <w:szCs w:val="16"/>
              </w:rPr>
              <w:t>72.50%</w:t>
            </w:r>
          </w:p>
        </w:tc>
        <w:tc>
          <w:tcPr>
            <w:tcW w:w="903" w:type="pct"/>
            <w:vAlign w:val="center"/>
          </w:tcPr>
          <w:p w14:paraId="6C2CC9F8" w14:textId="02227927" w:rsidR="00B14519" w:rsidRPr="00781112" w:rsidRDefault="00B14519" w:rsidP="000F0FCB">
            <w:pPr>
              <w:jc w:val="center"/>
              <w:rPr>
                <w:rFonts w:cs="Arial"/>
                <w:color w:val="000000" w:themeColor="text1"/>
                <w:szCs w:val="16"/>
              </w:rPr>
            </w:pPr>
            <w:r w:rsidRPr="00781112">
              <w:rPr>
                <w:rFonts w:cs="Arial"/>
                <w:color w:val="000000" w:themeColor="text1"/>
                <w:szCs w:val="16"/>
              </w:rPr>
              <w:t>73.00%</w:t>
            </w:r>
          </w:p>
        </w:tc>
        <w:tc>
          <w:tcPr>
            <w:tcW w:w="903" w:type="pct"/>
            <w:vAlign w:val="center"/>
          </w:tcPr>
          <w:p w14:paraId="0D4D2A6E" w14:textId="7F8E7759" w:rsidR="00B14519" w:rsidRPr="00781112" w:rsidRDefault="00B14519" w:rsidP="000F0FCB">
            <w:pPr>
              <w:jc w:val="center"/>
              <w:rPr>
                <w:rFonts w:cs="Arial"/>
                <w:color w:val="000000" w:themeColor="text1"/>
                <w:szCs w:val="16"/>
              </w:rPr>
            </w:pPr>
            <w:r w:rsidRPr="00781112">
              <w:rPr>
                <w:rFonts w:cs="Arial"/>
                <w:color w:val="000000" w:themeColor="text1"/>
                <w:szCs w:val="16"/>
              </w:rPr>
              <w:t>73.50%</w:t>
            </w:r>
          </w:p>
        </w:tc>
        <w:tc>
          <w:tcPr>
            <w:tcW w:w="903" w:type="pct"/>
            <w:vAlign w:val="center"/>
          </w:tcPr>
          <w:p w14:paraId="44838E1C" w14:textId="17859BA8" w:rsidR="00B14519" w:rsidRPr="00781112" w:rsidRDefault="00B14519" w:rsidP="000F0FCB">
            <w:pPr>
              <w:jc w:val="center"/>
              <w:rPr>
                <w:rFonts w:cs="Arial"/>
                <w:color w:val="000000" w:themeColor="text1"/>
                <w:szCs w:val="16"/>
              </w:rPr>
            </w:pPr>
            <w:r w:rsidRPr="00781112">
              <w:rPr>
                <w:rFonts w:cs="Arial"/>
                <w:color w:val="000000" w:themeColor="text1"/>
                <w:szCs w:val="16"/>
              </w:rPr>
              <w:t>74.00%</w:t>
            </w:r>
          </w:p>
        </w:tc>
        <w:tc>
          <w:tcPr>
            <w:tcW w:w="903" w:type="pct"/>
            <w:vAlign w:val="center"/>
          </w:tcPr>
          <w:p w14:paraId="05EF9F64" w14:textId="7F821506" w:rsidR="00B14519" w:rsidRPr="00781112" w:rsidRDefault="00B14519" w:rsidP="000F0FCB">
            <w:pPr>
              <w:jc w:val="center"/>
              <w:rPr>
                <w:rFonts w:cs="Arial"/>
                <w:color w:val="000000" w:themeColor="text1"/>
                <w:szCs w:val="16"/>
              </w:rPr>
            </w:pPr>
            <w:r w:rsidRPr="00781112">
              <w:rPr>
                <w:rFonts w:cs="Arial"/>
                <w:color w:val="000000" w:themeColor="text1"/>
                <w:szCs w:val="16"/>
              </w:rPr>
              <w:t>74.50%</w:t>
            </w:r>
          </w:p>
        </w:tc>
      </w:tr>
    </w:tbl>
    <w:p w14:paraId="4BB32392" w14:textId="77777777" w:rsidR="00165B2C" w:rsidRPr="00781112" w:rsidRDefault="00165B2C" w:rsidP="004369B2">
      <w:pPr>
        <w:rPr>
          <w:color w:val="000000" w:themeColor="text1"/>
        </w:rPr>
      </w:pPr>
    </w:p>
    <w:p w14:paraId="355812DD" w14:textId="1B8D6996" w:rsidR="00CE1CE8" w:rsidRPr="00781112" w:rsidRDefault="0047313F" w:rsidP="004369B2">
      <w:pPr>
        <w:rPr>
          <w:color w:val="000000" w:themeColor="text1"/>
        </w:rPr>
      </w:pPr>
      <w:r>
        <w:rPr>
          <w:b/>
          <w:color w:val="000000" w:themeColor="text1"/>
        </w:rPr>
        <w:t>FFY 2021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206A65" w:rsidRPr="00781112" w14:paraId="0DE6D581" w14:textId="77777777" w:rsidTr="00AF550B">
        <w:trPr>
          <w:trHeight w:val="368"/>
          <w:tblHeader/>
        </w:trPr>
        <w:tc>
          <w:tcPr>
            <w:tcW w:w="302" w:type="pct"/>
            <w:shd w:val="clear" w:color="auto" w:fill="auto"/>
            <w:vAlign w:val="bottom"/>
          </w:tcPr>
          <w:p w14:paraId="6938328D" w14:textId="649774FC" w:rsidR="00206A65" w:rsidRPr="00781112" w:rsidRDefault="00206A65" w:rsidP="00206A65">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206A65" w:rsidRPr="00781112" w:rsidRDefault="00206A65" w:rsidP="00206A65">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1B1862C8" w:rsidR="00206A65" w:rsidRPr="00CC1061" w:rsidRDefault="00206A65" w:rsidP="00206A65">
            <w:pPr>
              <w:jc w:val="center"/>
              <w:rPr>
                <w:rFonts w:cs="Arial"/>
                <w:b/>
                <w:bCs/>
                <w:color w:val="000000" w:themeColor="text1"/>
                <w:szCs w:val="16"/>
              </w:rPr>
            </w:pPr>
            <w:r w:rsidRPr="00CC1061">
              <w:rPr>
                <w:b/>
                <w:bCs/>
              </w:rPr>
              <w:t>FFY 2020 Data</w:t>
            </w:r>
          </w:p>
        </w:tc>
        <w:tc>
          <w:tcPr>
            <w:tcW w:w="798" w:type="pct"/>
            <w:shd w:val="clear" w:color="auto" w:fill="auto"/>
            <w:vAlign w:val="bottom"/>
          </w:tcPr>
          <w:p w14:paraId="7539AB74" w14:textId="11924A7B" w:rsidR="00206A65" w:rsidRPr="00CC1061" w:rsidRDefault="00206A65" w:rsidP="00206A65">
            <w:pPr>
              <w:jc w:val="center"/>
              <w:rPr>
                <w:rFonts w:cs="Arial"/>
                <w:b/>
                <w:bCs/>
                <w:color w:val="000000" w:themeColor="text1"/>
                <w:szCs w:val="16"/>
              </w:rPr>
            </w:pPr>
            <w:r w:rsidRPr="00CC1061">
              <w:rPr>
                <w:b/>
                <w:bCs/>
              </w:rPr>
              <w:t>FFY 2021 Target</w:t>
            </w:r>
          </w:p>
        </w:tc>
        <w:tc>
          <w:tcPr>
            <w:tcW w:w="511" w:type="pct"/>
            <w:shd w:val="clear" w:color="auto" w:fill="auto"/>
            <w:vAlign w:val="bottom"/>
          </w:tcPr>
          <w:p w14:paraId="407378F4" w14:textId="34401086" w:rsidR="00206A65" w:rsidRPr="00CC1061" w:rsidRDefault="00206A65" w:rsidP="00206A65">
            <w:pPr>
              <w:jc w:val="center"/>
              <w:rPr>
                <w:rFonts w:cs="Arial"/>
                <w:b/>
                <w:bCs/>
                <w:color w:val="000000" w:themeColor="text1"/>
                <w:szCs w:val="16"/>
              </w:rPr>
            </w:pPr>
            <w:r w:rsidRPr="00CC1061">
              <w:rPr>
                <w:b/>
                <w:bCs/>
              </w:rPr>
              <w:t>FFY 2021 Data</w:t>
            </w:r>
          </w:p>
        </w:tc>
        <w:tc>
          <w:tcPr>
            <w:tcW w:w="627" w:type="pct"/>
            <w:shd w:val="clear" w:color="auto" w:fill="auto"/>
            <w:vAlign w:val="bottom"/>
          </w:tcPr>
          <w:p w14:paraId="28F3ED34"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1,186</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1,513</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82.01%</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85.25%</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78.39%</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6,284</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69.05%</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EAF5470" w14:textId="0F69B707" w:rsidR="007D6BB1" w:rsidRPr="00781112" w:rsidRDefault="009B37A2" w:rsidP="007D6BB1">
      <w:pPr>
        <w:rPr>
          <w:rFonts w:cs="Arial"/>
          <w:b/>
          <w:i/>
          <w:color w:val="000000" w:themeColor="text1"/>
          <w:szCs w:val="16"/>
        </w:rPr>
      </w:pPr>
      <w:r w:rsidRPr="00781112">
        <w:rPr>
          <w:rFonts w:cs="Arial"/>
          <w:b/>
          <w:color w:val="000000" w:themeColor="text1"/>
          <w:szCs w:val="16"/>
        </w:rPr>
        <w:t>Provide reasons for Preschool slippage, if applicable</w:t>
      </w:r>
    </w:p>
    <w:p w14:paraId="25FB9E7A" w14:textId="191F844A" w:rsidR="00632372" w:rsidRPr="001E2749" w:rsidRDefault="002B7490" w:rsidP="00B6413B">
      <w:pPr>
        <w:rPr>
          <w:rFonts w:cs="Arial"/>
          <w:color w:val="000000" w:themeColor="text1"/>
          <w:szCs w:val="16"/>
        </w:rPr>
      </w:pPr>
      <w:proofErr w:type="gramStart"/>
      <w:r w:rsidRPr="00781112">
        <w:rPr>
          <w:rFonts w:cs="Arial"/>
          <w:color w:val="000000" w:themeColor="text1"/>
          <w:szCs w:val="16"/>
        </w:rPr>
        <w:t>Similar to</w:t>
      </w:r>
      <w:proofErr w:type="gramEnd"/>
      <w:r w:rsidRPr="00781112">
        <w:rPr>
          <w:rFonts w:cs="Arial"/>
          <w:color w:val="000000" w:themeColor="text1"/>
          <w:szCs w:val="16"/>
        </w:rPr>
        <w:t xml:space="preserve"> previous years, parents responding to both surveys provided low responses to issues of training or support. In addition, parents of students in preschool responded less favorably to receiving information about community services and supports. Parents of school-age students responded less favorably to the school providing them information on agencies that can assist their child in transition from school, providing information about organizations that support parents of students with disabilities, and explaining what options parents have if they disagree with the decision made by a school.</w:t>
      </w:r>
      <w:r w:rsidRPr="00781112">
        <w:rPr>
          <w:rFonts w:cs="Arial"/>
          <w:color w:val="000000" w:themeColor="text1"/>
          <w:szCs w:val="16"/>
        </w:rPr>
        <w:br/>
      </w:r>
      <w:r w:rsidRPr="00781112">
        <w:rPr>
          <w:rFonts w:cs="Arial"/>
          <w:color w:val="000000" w:themeColor="text1"/>
          <w:szCs w:val="16"/>
        </w:rPr>
        <w:br/>
        <w:t xml:space="preserve">In general, parents felt that LEAs were facilitating parent involvement less during the COVID-19 Pandemic than prior to the Pandemic.  </w:t>
      </w:r>
    </w:p>
    <w:p w14:paraId="10724603" w14:textId="77777777" w:rsidR="004E1F08" w:rsidRPr="004E1F08" w:rsidRDefault="004E1F08" w:rsidP="004E1F08">
      <w:pPr>
        <w:rPr>
          <w:rFonts w:cs="Arial"/>
          <w:b/>
          <w:bCs/>
          <w:color w:val="000000" w:themeColor="text1"/>
          <w:szCs w:val="16"/>
        </w:rPr>
      </w:pPr>
      <w:r>
        <w:rPr>
          <w:rFonts w:cs="Arial"/>
          <w:b/>
          <w:bCs/>
          <w:color w:val="000000" w:themeColor="text1"/>
          <w:szCs w:val="16"/>
        </w:rPr>
        <w:t>Provide reasons for School Age slippage, if applicable</w:t>
      </w:r>
    </w:p>
    <w:p w14:paraId="4BF4D7F9" w14:textId="465D2539" w:rsidR="004E1F08" w:rsidRDefault="004E1F08" w:rsidP="004E1F08">
      <w:pPr>
        <w:rPr>
          <w:rFonts w:cs="Arial"/>
          <w:color w:val="000000" w:themeColor="text1"/>
          <w:szCs w:val="16"/>
        </w:rPr>
      </w:pPr>
      <w:proofErr w:type="gramStart"/>
      <w:r w:rsidRPr="00781112">
        <w:rPr>
          <w:rFonts w:cs="Arial"/>
          <w:color w:val="000000" w:themeColor="text1"/>
          <w:szCs w:val="16"/>
        </w:rPr>
        <w:t>Similar to</w:t>
      </w:r>
      <w:proofErr w:type="gramEnd"/>
      <w:r w:rsidRPr="00781112">
        <w:rPr>
          <w:rFonts w:cs="Arial"/>
          <w:color w:val="000000" w:themeColor="text1"/>
          <w:szCs w:val="16"/>
        </w:rPr>
        <w:t xml:space="preserve"> previous years, parents responding to both surveys provided low responses to issues of training or support. In addition, parents of students in preschool responded less favorably to receiving information about community services and supports. Parents of school-age students responded less favorably to the school providing them information on agencies that can assist their child in transition from school, providing information about organizations that support parents of students with disabilities, and explaining what options parents have if they disagree with the decision made by a school.</w:t>
      </w:r>
      <w:r w:rsidRPr="00781112">
        <w:rPr>
          <w:rFonts w:cs="Arial"/>
          <w:color w:val="000000" w:themeColor="text1"/>
          <w:szCs w:val="16"/>
        </w:rPr>
        <w:br/>
      </w:r>
      <w:r w:rsidRPr="00781112">
        <w:rPr>
          <w:rFonts w:cs="Arial"/>
          <w:color w:val="000000" w:themeColor="text1"/>
          <w:szCs w:val="16"/>
        </w:rPr>
        <w:br/>
        <w:t xml:space="preserve">In general, parents felt that LEAs were facilitating parent involvement less during the COVID-19 Pandemic than prior to the Pandemic.  </w:t>
      </w: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107,152</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lastRenderedPageBreak/>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9.90%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11.50%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9.90%</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MSDE, DEI/SES identified improvement strategies to increase the response rate of targeted race/ethnic groups for both the preschool aged and the school-aged populations. The strategies to be implemented included: (1) conduct local outreach efforts to inform families of the importance to respond to the parent survey; (2) collaborate with the Local Family Support Coordinator (LFSC) in each of the LEAs/PAs to conduct outreach, training, and supports to address the areas of need gleaned from the annual survey; and (3) collaborate with parent organizations that represent underserved populations using materials that are culturally appropriate and written in the native language.  In addition, the State will begin requiring Improvement Plans for LEAs with low response rates.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Analysis of Response Rate/Nonresponse Bias (significant differences indicate p &lt; .05 on a chi square test of independence)</w:t>
      </w:r>
      <w:r>
        <w:rPr>
          <w:rFonts w:cs="Arial"/>
          <w:szCs w:val="16"/>
        </w:rPr>
        <w:br/>
        <w:t>Pre-school:</w:t>
      </w:r>
      <w:r>
        <w:rPr>
          <w:rFonts w:cs="Arial"/>
          <w:szCs w:val="16"/>
        </w:rPr>
        <w:br/>
        <w:t xml:space="preserve">On average, 78% of respondent parents reported that schools facilitated parent involvement as a means of improving services and results for children with disabilities, as measured by indicator 8, on the preschool survey. </w:t>
      </w:r>
      <w:r>
        <w:rPr>
          <w:rFonts w:cs="Arial"/>
          <w:szCs w:val="16"/>
        </w:rPr>
        <w:br/>
      </w:r>
      <w:r>
        <w:rPr>
          <w:rFonts w:cs="Arial"/>
          <w:szCs w:val="16"/>
        </w:rPr>
        <w:br/>
        <w:t xml:space="preserve">The representation of parents of 3-year-olds was not significantly different than their percentage of Maryland’s preschool population. Parents of 4-year-olds made up 40% of preschool survey respondents, significantly lower than are represented in Maryland’s preschool special education student population (54%). Parents of 5-year-olds comprised 22% of survey respondents, significantly higher than are represented in Maryland’s preschool special education student population (16%). </w:t>
      </w:r>
      <w:r>
        <w:rPr>
          <w:rFonts w:cs="Arial"/>
          <w:szCs w:val="16"/>
        </w:rPr>
        <w:br/>
      </w:r>
      <w:r>
        <w:rPr>
          <w:rFonts w:cs="Arial"/>
          <w:szCs w:val="16"/>
        </w:rPr>
        <w:br/>
        <w:t>In looking at level of agreement by age-level for Indicator 8, a series of chi square tests were conducted. The State found that agreement (agreed, strongly agreed, or very strongly agreed) for indicator 8 was 82% for parents of 4-year-olds, which was significantly higher than that of parents of children from other age groups, and 72% for parents of 5-year-olds, which was significantly lower than that of other age groups. These results indicated the presence of response bias.</w:t>
      </w:r>
      <w:r>
        <w:rPr>
          <w:rFonts w:cs="Arial"/>
          <w:szCs w:val="16"/>
        </w:rPr>
        <w:br/>
      </w:r>
      <w:r>
        <w:rPr>
          <w:rFonts w:cs="Arial"/>
          <w:szCs w:val="16"/>
        </w:rPr>
        <w:br/>
        <w:t>Almost all racial subgroups were proportionately represented in the survey. However, parents of Black students made up 24% of survey respondents, significantly lower than are represented in Maryland’s preschool special education student population (34%). Again, a chi square test was used to compare of the level of agreement of parents of Black students (77%) to that of other racial subgroups, revealing no significant difference on indicator 8. These results suggest that response bias was not present across race/ethnicity.</w:t>
      </w:r>
      <w:r>
        <w:rPr>
          <w:rFonts w:cs="Arial"/>
          <w:szCs w:val="16"/>
        </w:rPr>
        <w:br/>
      </w:r>
      <w:r>
        <w:rPr>
          <w:rFonts w:cs="Arial"/>
          <w:szCs w:val="16"/>
        </w:rPr>
        <w:br/>
        <w:t>The State also examined response rates of parents of students with specific disability categories and found that parents of students with Autism made up 23% of survey respondents, significantly higher than are represented in Maryland’s preschool special education student population (10%). Similarly, parents of students with speech/language impairments made up 31% of survey respondents, significantly higher than are represented in Maryland’s preschool special education student population (25%). Parents of students with multiple disabilities comprised 6% of survey respondents, significantly higher than are represented in Maryland’s preschool special education student population (1%). Parents of students with developmental delays made up 27% of survey respondents, significantly lower than are represented in Maryland’s preschool special education student population (61%). When these groups’ level of agreement on indicator 8 was compared to that of other disability subgroups using chi square tests, parents of children with Autism and multiple disabilities were found to have significantly lower level of agreement than other subgroups, 68% and 76% respectively, and parents of children with speech/language impairments and developmental delays were found to have significantly higher levels of agreement of 84%.</w:t>
      </w:r>
      <w:r>
        <w:rPr>
          <w:rFonts w:cs="Arial"/>
          <w:szCs w:val="16"/>
        </w:rPr>
        <w:br/>
      </w:r>
      <w:r>
        <w:rPr>
          <w:rFonts w:cs="Arial"/>
          <w:szCs w:val="16"/>
        </w:rPr>
        <w:br/>
        <w:t>School-Age:</w:t>
      </w:r>
      <w:r>
        <w:rPr>
          <w:rFonts w:cs="Arial"/>
          <w:szCs w:val="16"/>
        </w:rPr>
        <w:br/>
        <w:t>On average, 69% of respondent parents reported that schools facilitated parent involvement as a means of improving services and results for children with disabilities, as measured by indicator 8, on the school-age survey.</w:t>
      </w:r>
      <w:r>
        <w:rPr>
          <w:rFonts w:cs="Arial"/>
          <w:szCs w:val="16"/>
        </w:rPr>
        <w:br/>
      </w:r>
      <w:r>
        <w:rPr>
          <w:rFonts w:cs="Arial"/>
          <w:szCs w:val="16"/>
        </w:rPr>
        <w:br/>
        <w:t xml:space="preserve">The State analyzed the school-age survey responses by age and found that only surveys for 6-, 8-, and under 6-year old students were disproportionately represented. Parents of students under 6 years old comprised 3% of survey respondents, significantly higher than are represented in Maryland’s school-age special education population (&lt;1%). Parents of 6-year-olds made up 8% of survey respondents, significantly lower than are represented in Maryland’s school-age special education population (10%). Parents of 8-year-olds comprised 9% of survey respondents, significantly higher than are represented in Maryland’s school-age special education population (7%). </w:t>
      </w:r>
      <w:r>
        <w:rPr>
          <w:rFonts w:cs="Arial"/>
          <w:szCs w:val="16"/>
        </w:rPr>
        <w:br/>
      </w:r>
      <w:r>
        <w:rPr>
          <w:rFonts w:cs="Arial"/>
          <w:szCs w:val="16"/>
        </w:rPr>
        <w:br/>
        <w:t xml:space="preserve">Agreement on indicator 8 was 77% for parents of children under 6, 75% for parents of 6-year-olds, and 71% for parents of 8-year-olds. A series of chi square tests were conducted to compare agreement levels of these subgroups with respondents of other age groups and found significant differences for parents of children under 6 and parents of 6-year-olds, but no significant difference for parents of 8-year-olds. </w:t>
      </w:r>
      <w:r>
        <w:rPr>
          <w:rFonts w:cs="Arial"/>
          <w:szCs w:val="16"/>
        </w:rPr>
        <w:br/>
      </w:r>
      <w:r>
        <w:rPr>
          <w:rFonts w:cs="Arial"/>
          <w:szCs w:val="16"/>
        </w:rPr>
        <w:br/>
        <w:t xml:space="preserve">An analysis of survey responses by race was then completed. Parents of White students made up 47% of survey respondents, significantly higher than are represented in Maryland’s school-age special education population (34%). Similarly, parents of Asian, Native Hawaiian, or other Pacific Islander students comprised 5% of survey respondents, significantly higher than are represented in Maryland’s school-age special education population (3%). Parents of multi-racial students were also overrepresented as they made up 7% of survey respondents, but only 5% of Maryland’s school-age special education population are multi-racial. The parents of Black/African American and Hispanic/Latino students, on the other hand, were underrepresented. Parents of Black/African American students comprised 25% of survey respondents, significantly lower than are represented in Maryland’s school-age special education population (40%). Parents of Hispanic/Latino students comprised 12% of survey respondents, significantly lower than are represented in Maryland’s school-age special education population (18%). </w:t>
      </w:r>
      <w:r>
        <w:rPr>
          <w:rFonts w:cs="Arial"/>
          <w:szCs w:val="16"/>
        </w:rPr>
        <w:br/>
      </w:r>
      <w:r>
        <w:rPr>
          <w:rFonts w:cs="Arial"/>
          <w:szCs w:val="16"/>
        </w:rPr>
        <w:br/>
        <w:t xml:space="preserve">A series of chi square tests were conducted to compare these racial subgroups’ level of agreement on indicator 8 to detect any response bias present in this survey administration. Parents’ level of agreement ranged from 59% (American Indian or Alaskan Native) to 76% (Asian) with an average level of agreement of 69% across all racial subgroups. A series of chi-square tests were conducted to measure any non-response bias and found no significant </w:t>
      </w:r>
      <w:r>
        <w:rPr>
          <w:rFonts w:cs="Arial"/>
          <w:szCs w:val="16"/>
        </w:rPr>
        <w:lastRenderedPageBreak/>
        <w:t xml:space="preserve">difference for parents of Native Hawaiian/Other Pacific Islander and multiracial </w:t>
      </w:r>
      <w:proofErr w:type="gramStart"/>
      <w:r>
        <w:rPr>
          <w:rFonts w:cs="Arial"/>
          <w:szCs w:val="16"/>
        </w:rPr>
        <w:t>students, but</w:t>
      </w:r>
      <w:proofErr w:type="gramEnd"/>
      <w:r>
        <w:rPr>
          <w:rFonts w:cs="Arial"/>
          <w:szCs w:val="16"/>
        </w:rPr>
        <w:t xml:space="preserve"> did identify significant differences for parents of Asian and White students. </w:t>
      </w:r>
      <w:r>
        <w:rPr>
          <w:rFonts w:cs="Arial"/>
          <w:szCs w:val="16"/>
        </w:rPr>
        <w:br/>
      </w:r>
      <w:r>
        <w:rPr>
          <w:rFonts w:cs="Arial"/>
          <w:szCs w:val="16"/>
        </w:rPr>
        <w:br/>
        <w:t>In terms of primary exceptionalities/disabilities, parents of students with Autism made up 21% of survey respondents, significantly higher than are represented in Maryland’s special education population (13%). Parents of students with multiple disabilities were also overrepresented as they comprised 12% of survey respondents, but only 7% of Maryland’s special education population. On average, 65% of parents of students with autism and 66% of parents of students with multiple disabilities demonstrated agreement on indicator 8 which was not significantly different than the level of agreement of the remaining survey respondents, so the statistical analysis did not suggest the presence of response bias in terms of primary disability/exceptionality.</w:t>
      </w:r>
      <w:r>
        <w:rPr>
          <w:rFonts w:cs="Arial"/>
          <w:szCs w:val="16"/>
        </w:rPr>
        <w:br/>
      </w:r>
      <w:r>
        <w:rPr>
          <w:rFonts w:cs="Arial"/>
          <w:szCs w:val="16"/>
        </w:rPr>
        <w:br/>
      </w:r>
      <w:r>
        <w:rPr>
          <w:rFonts w:cs="Arial"/>
          <w:szCs w:val="16"/>
        </w:rPr>
        <w:br/>
      </w:r>
      <w:r>
        <w:rPr>
          <w:rFonts w:cs="Arial"/>
          <w:szCs w:val="16"/>
        </w:rPr>
        <w:br/>
        <w:t>***please see the "additional information section" below for a description of the Steps to Reduce Bias as the character limit prevented its inclusion in this section.***</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Pre-school:</w:t>
      </w:r>
      <w:r w:rsidRPr="000A2B9F">
        <w:rPr>
          <w:bCs/>
          <w:color w:val="000000" w:themeColor="text1"/>
        </w:rPr>
        <w:br/>
        <w:t>Age, Race/Ethnicity: Parents were asked about the age of their child as of September 30, 2021. A majority (91%) of respondents stated that their child was between 3 and 5 years of age. The parents or guardians of children 5 years of age are overrepresented in the sample (6%), while parents or guardians of children 4 years of age are underrepresented in the sample (14%).</w:t>
      </w:r>
      <w:r w:rsidRPr="000A2B9F">
        <w:rPr>
          <w:bCs/>
          <w:color w:val="000000" w:themeColor="text1"/>
        </w:rPr>
        <w:br/>
        <w:t>The two racial groups that account for the largest percentage of the respondent population are parents of White (40%) and Black (24%) children. Parents of Black children are underrepresented in the survey (10%) when compared to the State population. In addition, parents of White children are overrepresented by 4 percent, while parents of multiracial students are overrepresented by 3 percent in the survey when compared to the State population.</w:t>
      </w:r>
      <w:r w:rsidRPr="000A2B9F">
        <w:rPr>
          <w:bCs/>
          <w:color w:val="000000" w:themeColor="text1"/>
        </w:rPr>
        <w:br/>
      </w:r>
      <w:r w:rsidRPr="000A2B9F">
        <w:rPr>
          <w:bCs/>
          <w:color w:val="000000" w:themeColor="text1"/>
        </w:rPr>
        <w:br/>
        <w:t xml:space="preserve">Primary Exceptionality/Disability: According to Statewide estimates, the most common exceptionality or disability evident in the Maryland preschool population is developmental delay which represents 61 percent of the population. Although this group did make up one of the largest portions of the sample, compared to the Statewide estimate this group was underrepresented among the respondents by 34 percent, and represented 27 percent of the sample. The second most common exceptionality or disability Statewide is speech or language impairment, and sample estimates were overrepresented compared to the actual population (25% of the population, 31% of the sample). Students with Autism represent 10 percent of the population but represented 23 percent of the sample; parents of children with Autism were overrepresented by 13 percent in this year’s survey, </w:t>
      </w:r>
      <w:proofErr w:type="gramStart"/>
      <w:r w:rsidRPr="000A2B9F">
        <w:rPr>
          <w:bCs/>
          <w:color w:val="000000" w:themeColor="text1"/>
        </w:rPr>
        <w:t>similar to</w:t>
      </w:r>
      <w:proofErr w:type="gramEnd"/>
      <w:r w:rsidRPr="000A2B9F">
        <w:rPr>
          <w:bCs/>
          <w:color w:val="000000" w:themeColor="text1"/>
        </w:rPr>
        <w:t xml:space="preserve"> last year. Students with Multiple Disabilities were overrepresented in the sample by 5%, as they constituted 6% of the respondents.</w:t>
      </w:r>
      <w:r w:rsidRPr="000A2B9F">
        <w:rPr>
          <w:bCs/>
          <w:color w:val="000000" w:themeColor="text1"/>
        </w:rPr>
        <w:br/>
      </w:r>
      <w:r w:rsidRPr="000A2B9F">
        <w:rPr>
          <w:bCs/>
          <w:color w:val="000000" w:themeColor="text1"/>
        </w:rPr>
        <w:br/>
        <w:t>School Aged:</w:t>
      </w:r>
      <w:r w:rsidRPr="000A2B9F">
        <w:rPr>
          <w:bCs/>
          <w:color w:val="000000" w:themeColor="text1"/>
        </w:rPr>
        <w:br/>
        <w:t xml:space="preserve">All grade levels (Kindergarten – Grade 12) were well represented in the respondent sample. </w:t>
      </w:r>
      <w:proofErr w:type="gramStart"/>
      <w:r w:rsidRPr="000A2B9F">
        <w:rPr>
          <w:bCs/>
          <w:color w:val="000000" w:themeColor="text1"/>
        </w:rPr>
        <w:t>The majority of</w:t>
      </w:r>
      <w:proofErr w:type="gramEnd"/>
      <w:r w:rsidRPr="000A2B9F">
        <w:rPr>
          <w:bCs/>
          <w:color w:val="000000" w:themeColor="text1"/>
        </w:rPr>
        <w:t xml:space="preserve"> respondents (84%) indicated that their child had been referred for special education services between the ages of zero and eight, and 48 percent had been referred between the ages of two and five. Five percent of respondents (N=496) indicated that their child attended a non-public school </w:t>
      </w:r>
      <w:proofErr w:type="gramStart"/>
      <w:r w:rsidRPr="000A2B9F">
        <w:rPr>
          <w:bCs/>
          <w:color w:val="000000" w:themeColor="text1"/>
        </w:rPr>
        <w:t>as a result of</w:t>
      </w:r>
      <w:proofErr w:type="gramEnd"/>
      <w:r w:rsidRPr="000A2B9F">
        <w:rPr>
          <w:bCs/>
          <w:color w:val="000000" w:themeColor="text1"/>
        </w:rPr>
        <w:t xml:space="preserve"> an IEP team decision for a Free Appropriate Public Education (FAPE); while 85 percent of respondents (N=7,721) indicated that their child attended a public school during the 2021-22 school year. Ten percent of respondents did not answer this question.</w:t>
      </w:r>
      <w:r w:rsidRPr="000A2B9F">
        <w:rPr>
          <w:bCs/>
          <w:color w:val="000000" w:themeColor="text1"/>
        </w:rPr>
        <w:br/>
      </w:r>
      <w:r w:rsidRPr="000A2B9F">
        <w:rPr>
          <w:bCs/>
          <w:color w:val="000000" w:themeColor="text1"/>
        </w:rPr>
        <w:br/>
        <w:t xml:space="preserve">Age, Race/Ethnicity: Respondents were asked about the age of their child as of September 30, 2021. Much like last year, the age distribution of children of survey respondents did not significantly differ from the age distribution of the State. The most common race/ethnic backgrounds of respondents were White (47%) or Black (25%), which is </w:t>
      </w:r>
      <w:proofErr w:type="gramStart"/>
      <w:r w:rsidRPr="000A2B9F">
        <w:rPr>
          <w:bCs/>
          <w:color w:val="000000" w:themeColor="text1"/>
        </w:rPr>
        <w:t>similar to</w:t>
      </w:r>
      <w:proofErr w:type="gramEnd"/>
      <w:r w:rsidRPr="000A2B9F">
        <w:rPr>
          <w:bCs/>
          <w:color w:val="000000" w:themeColor="text1"/>
        </w:rPr>
        <w:t xml:space="preserve"> last year’s sample. Parents of Black children were underrepresented by 15 percent and parents of White children were overrepresented by 13 percent. Hispanic or Latino children were underrepresented by 6 percentage points.</w:t>
      </w:r>
      <w:r w:rsidRPr="000A2B9F">
        <w:rPr>
          <w:bCs/>
          <w:color w:val="000000" w:themeColor="text1"/>
        </w:rPr>
        <w:br/>
      </w:r>
      <w:r w:rsidRPr="000A2B9F">
        <w:rPr>
          <w:bCs/>
          <w:color w:val="000000" w:themeColor="text1"/>
        </w:rPr>
        <w:br/>
        <w:t>Primary Exceptionality/Disability: Parents of children with Other Health Impairment and Specific Learning Disability were each underrepresented in the survey by 11 and 7 percent, respectively. Overrepresented in this year’s Survey were parents of children with Autism by 7 percent and Multiple Disabilities by 5 percent.</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State will begin increased focus on achieving representativeness through improvement plans for LEAs with lower response rates. In addition, survey information, strategies to increase parent response rates, and State assistance is provided through State and Regional Meetings with Local Family Support Coordinators and Special Education Directors, Supervisors, and Compliance personnel.</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A demographic group is classified as being overrepresented in the respondent sample if the percentage of that group in the sample is greater than its percentage in the Statewide estimate by three (3) percentage points or more. Similarly, a demographic group is classified as being underrepresented in the sample if the difference between the percentages of that group in the sample is less than its percentage in the Statewide estimates by three (3) percentage points or more. If the difference between the sample and the Statewide estimate is less than three (3) percentage points in either direction, the respondent sample is not significantly different from the Statewide population.</w:t>
      </w:r>
      <w:r w:rsidRPr="000A2B9F">
        <w:rPr>
          <w:b w:val="0"/>
          <w:bCs/>
        </w:rPr>
        <w:br/>
      </w:r>
      <w:r w:rsidRPr="000A2B9F">
        <w:rPr>
          <w:b w:val="0"/>
          <w:bCs/>
        </w:rPr>
        <w:br/>
        <w:t xml:space="preserve">The demographic categories of survey respondents were generally </w:t>
      </w:r>
      <w:proofErr w:type="gramStart"/>
      <w:r w:rsidRPr="000A2B9F">
        <w:rPr>
          <w:b w:val="0"/>
          <w:bCs/>
        </w:rPr>
        <w:t>similar to</w:t>
      </w:r>
      <w:proofErr w:type="gramEnd"/>
      <w:r w:rsidRPr="000A2B9F">
        <w:rPr>
          <w:b w:val="0"/>
          <w:bCs/>
        </w:rPr>
        <w:t xml:space="preserve"> those in the State Census. Pre-school aged demographic groups that experienced overrepresentation include 5-year-olds (6%) and White children (4%), in addition to children identified as having Autism (13%), speech or language impairments (6%), and multiple disabilities (5%). Pre-school aged demographic groups that experienced underrepresentation include 4-year-olds (14%, Black children (10%), and children identified as having developmental delays (34%).</w:t>
      </w:r>
      <w:r w:rsidRPr="000A2B9F">
        <w:rPr>
          <w:b w:val="0"/>
          <w:bCs/>
        </w:rPr>
        <w:br/>
      </w:r>
      <w:r w:rsidRPr="000A2B9F">
        <w:rPr>
          <w:b w:val="0"/>
          <w:bCs/>
        </w:rPr>
        <w:br/>
        <w:t xml:space="preserve">School-aged demographic groups that experienced overrepresentation include White students (13%) and students identified as having Autism (7%) and multiple disabilities (5%). School-aged demographic groups that experience underrepresentation include Black/African American students (15%), </w:t>
      </w:r>
      <w:r w:rsidRPr="000A2B9F">
        <w:rPr>
          <w:b w:val="0"/>
          <w:bCs/>
        </w:rPr>
        <w:lastRenderedPageBreak/>
        <w:t>Hispanic/Latino students (6%), in addition to students identified as having other health impairments (11%) and specific learning disabilities (7%). No age demographic groups were over- or under-represented.</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The collection and reporting of data for this indicator were not impacted by the COVID-19 pandemic.</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Steps to Reduce Bias</w:t>
      </w:r>
      <w:r w:rsidRPr="00781112">
        <w:rPr>
          <w:rFonts w:cs="Arial"/>
          <w:color w:val="000000" w:themeColor="text1"/>
          <w:szCs w:val="16"/>
        </w:rPr>
        <w:br/>
        <w:t xml:space="preserve">The survey is open for 15 weeks, response rates are tracked on a biweekly basis, and multiple notifications and reminders are sent to promote enhancement of the response rate. Staff at Maryland’s LEAS have assisted in promoting the survey by emphasizing its importance and engaging participants to complete the survey and facilitating their access. For FFY 2021, this response rate was 21% for the Preschool Survey and 9% for School-Age Survey, which is a 7-percentage point increase for Preschool and the same response rate for School Age, compared to the previous year. </w:t>
      </w:r>
      <w:r w:rsidRPr="00781112">
        <w:rPr>
          <w:rFonts w:cs="Arial"/>
          <w:color w:val="000000" w:themeColor="text1"/>
          <w:szCs w:val="16"/>
        </w:rPr>
        <w:br/>
      </w:r>
      <w:r w:rsidRPr="00781112">
        <w:rPr>
          <w:rFonts w:cs="Arial"/>
          <w:color w:val="000000" w:themeColor="text1"/>
          <w:szCs w:val="16"/>
        </w:rPr>
        <w:br/>
        <w:t>The Parent Survey results for FFY 2021 and the survey response questions were shared among the LFSCs representing LEA/PAs and who serve on the Special Education Citizens Advisory Council. Data were reviewed, shared, and discussed to increase parent response rates thus increasing the validity of the survey results. In addition, during Fall 2021, the Parent Survey results were shared with the Special Education State Advisory Council to initiate a discussion on how members can assist with increasing parent response rates. The MSDE, DEI/SES staff will continue to track these activities in collaboration with the LFSC to determine their effectiveness and to make modifications, as necessary. School building closures presented a challenge, but virtual meetings and webinars presented an opportunity to meet with parents without the need for them to leave their homes. A bilingual help desk was maintained for the duration of the survey to address parent’s questions about the survey through phone calls or email.</w:t>
      </w:r>
      <w:r w:rsidRPr="00781112">
        <w:rPr>
          <w:rFonts w:cs="Arial"/>
          <w:color w:val="000000" w:themeColor="text1"/>
          <w:szCs w:val="16"/>
        </w:rPr>
        <w:br/>
        <w:t xml:space="preserve"> </w:t>
      </w:r>
      <w:r w:rsidRPr="00781112">
        <w:rPr>
          <w:rFonts w:cs="Arial"/>
          <w:color w:val="000000" w:themeColor="text1"/>
          <w:szCs w:val="16"/>
        </w:rPr>
        <w:br/>
        <w:t xml:space="preserve">MSDE identified improvement strategies to increase the response rate for the targeted demographic subgroups for both the preschool aged and the school-aged populations. The strategies included: </w:t>
      </w:r>
      <w:r w:rsidRPr="00781112">
        <w:rPr>
          <w:rFonts w:cs="Arial"/>
          <w:color w:val="000000" w:themeColor="text1"/>
          <w:szCs w:val="16"/>
        </w:rPr>
        <w:br/>
        <w:t>1) conducting local outreach efforts to inform families of the importance to respond to the parent survey</w:t>
      </w:r>
      <w:r w:rsidRPr="00781112">
        <w:rPr>
          <w:rFonts w:cs="Arial"/>
          <w:color w:val="000000" w:themeColor="text1"/>
          <w:szCs w:val="16"/>
        </w:rPr>
        <w:br/>
        <w:t>2) Collaborating with Local Family Support Coordinator (LFSC) in each of the LEA/PA to conduct outreach, training, and supports to address the areas of need gleaned from the annual survey</w:t>
      </w:r>
      <w:r w:rsidRPr="00781112">
        <w:rPr>
          <w:rFonts w:cs="Arial"/>
          <w:color w:val="000000" w:themeColor="text1"/>
          <w:szCs w:val="16"/>
        </w:rPr>
        <w:br/>
        <w:t>3)</w:t>
      </w:r>
      <w:r w:rsidRPr="00781112">
        <w:rPr>
          <w:rFonts w:cs="Arial"/>
          <w:color w:val="000000" w:themeColor="text1"/>
          <w:szCs w:val="16"/>
        </w:rPr>
        <w:tab/>
        <w:t xml:space="preserve">Collaborating with parent organizations that represent underserved populations using materials that are culturally appropriate and written in the native language. </w:t>
      </w:r>
      <w:r w:rsidRPr="00781112">
        <w:rPr>
          <w:rFonts w:cs="Arial"/>
          <w:color w:val="000000" w:themeColor="text1"/>
          <w:szCs w:val="16"/>
        </w:rPr>
        <w:br/>
      </w:r>
      <w:r w:rsidRPr="00781112">
        <w:rPr>
          <w:rFonts w:cs="Arial"/>
          <w:color w:val="000000" w:themeColor="text1"/>
          <w:szCs w:val="16"/>
        </w:rPr>
        <w:br/>
        <w:t xml:space="preserve">For example, the Parent Survey </w:t>
      </w:r>
      <w:proofErr w:type="gramStart"/>
      <w:r w:rsidRPr="00781112">
        <w:rPr>
          <w:rFonts w:cs="Arial"/>
          <w:color w:val="000000" w:themeColor="text1"/>
          <w:szCs w:val="16"/>
        </w:rPr>
        <w:t>results</w:t>
      </w:r>
      <w:proofErr w:type="gramEnd"/>
      <w:r w:rsidRPr="00781112">
        <w:rPr>
          <w:rFonts w:cs="Arial"/>
          <w:color w:val="000000" w:themeColor="text1"/>
          <w:szCs w:val="16"/>
        </w:rPr>
        <w:t xml:space="preserve"> and the survey response questions were shared among the LFSC representing LEA/PA and who also serve on the Special Education Citizens Advisory Council. Data were reviewed, shared, and discussed to potentially increase parent response rates thus increasing the validity of the survey results. MSDE staff will track the impact of these activities in collaboration with the LFSC to determine their effectiveness and to make modifications, as necessary. </w:t>
      </w:r>
      <w:r w:rsidRPr="00781112">
        <w:rPr>
          <w:rFonts w:cs="Arial"/>
          <w:color w:val="000000" w:themeColor="text1"/>
          <w:szCs w:val="16"/>
        </w:rPr>
        <w:br/>
      </w:r>
      <w:r w:rsidRPr="00781112">
        <w:rPr>
          <w:rFonts w:cs="Arial"/>
          <w:color w:val="000000" w:themeColor="text1"/>
          <w:szCs w:val="16"/>
        </w:rPr>
        <w:br/>
        <w:t>MSDE has also implemented additional measures to increase response rates and to encourage parents and guardians to complete surveys through paper or online formats, in English and in Spanish. Some specific improvements have been the addition of a QR Code to facilitate responding and the tracking of undeliverable surveys. By tracking undeliverable surveys, MSDE can inform counties and special schools about families who are not receiving the survey due to address issues, which gives them an opportunity to update contact lists, ensuring parents of students with disabilities receive and can answer the survey.</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In FFY 2021, the State reported on the representativeness of the demographics as required.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10D494C6" w14:textId="77777777" w:rsidR="00465E59" w:rsidRDefault="00465E59">
      <w:pPr>
        <w:rPr>
          <w:b/>
          <w:color w:val="000000" w:themeColor="text1"/>
        </w:rPr>
      </w:pPr>
    </w:p>
    <w:p w14:paraId="5A7EBF28" w14:textId="77777777" w:rsidR="00465E59" w:rsidRDefault="00465E59">
      <w:pPr>
        <w:rPr>
          <w:b/>
          <w:color w:val="000000" w:themeColor="text1"/>
        </w:rPr>
      </w:pPr>
    </w:p>
    <w:p w14:paraId="77101B89" w14:textId="465C358A"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25</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The MSDE's definition of Disproportionate representation is described as having students in a particular racial/ethnic group (i. e., American Indian or Alaskan Native, Asian, Black or African American, Native Hawaiian or Pacific Islander, White, Hispanic, or Two or More Races) being at a considerably greater risk of being identified for special education and related services than all other racial/ethnic groups enrolled either in the local education agency (LEA) or in the State.</w:t>
      </w:r>
      <w:r w:rsidRPr="00781112">
        <w:rPr>
          <w:rFonts w:cs="Arial"/>
          <w:color w:val="000000" w:themeColor="text1"/>
          <w:szCs w:val="16"/>
        </w:rPr>
        <w:br/>
      </w:r>
      <w:r w:rsidRPr="00781112">
        <w:rPr>
          <w:rFonts w:cs="Arial"/>
          <w:color w:val="000000" w:themeColor="text1"/>
          <w:szCs w:val="16"/>
        </w:rPr>
        <w:br/>
        <w:t xml:space="preserve">For consistency and to lessen confusion, the MSDE has changed its Indicator 9 methodology to be similar to the methodology used for identifying Significant Disproportionality. This new methodology was adopted by the State Board of Education in May of 2018 and </w:t>
      </w:r>
      <w:proofErr w:type="gramStart"/>
      <w:r w:rsidRPr="00781112">
        <w:rPr>
          <w:rFonts w:cs="Arial"/>
          <w:color w:val="000000" w:themeColor="text1"/>
          <w:szCs w:val="16"/>
        </w:rPr>
        <w:t>entered into</w:t>
      </w:r>
      <w:proofErr w:type="gramEnd"/>
      <w:r w:rsidRPr="00781112">
        <w:rPr>
          <w:rFonts w:cs="Arial"/>
          <w:color w:val="000000" w:themeColor="text1"/>
          <w:szCs w:val="16"/>
        </w:rPr>
        <w:t xml:space="preserve"> the Code of Maryland Regulations (COMAR). In particular, the MSDE identifies disproportionate representation using a risk ratio of 2.0 or greater. Previously, a weighted risk ratio was utilized for disproportionality indicators. In addition to meeting the 2.0 or greater risk ratio, the LEA must meet the criteria for the minimum cell size and n-size, where cell size is the number of students with disabilities in an LEA who are a specific race/ethnicity and the n-size is the number of students of a specific race/ethnicity enrolled in an LEA. The MSDE utilizes a minimum cell size of five (5) and a minimum “n” size of twenty (20). Unlike the calculation for Significant Disproportionality, the MSDE does not consider reasonable progress for Indicator 9. As such, disproportionate representation is identified for any LEA with a risk ratio of 2.0 or greater who meets the minimum cell size and n-size requirements.</w:t>
      </w:r>
      <w:r w:rsidRPr="00781112">
        <w:rPr>
          <w:rFonts w:cs="Arial"/>
          <w:color w:val="000000" w:themeColor="text1"/>
          <w:szCs w:val="16"/>
        </w:rPr>
        <w:br/>
      </w:r>
      <w:r w:rsidRPr="00781112">
        <w:rPr>
          <w:rFonts w:cs="Arial"/>
          <w:color w:val="000000" w:themeColor="text1"/>
          <w:szCs w:val="16"/>
        </w:rPr>
        <w:br/>
        <w:t>MSDE's analysis of the data for the 2021-2022 performance period demonstrated that two (2) LEAs were identified as having a disproportionate representation of racial and ethnic groups (1 LEA for Black/African American and 1 LEA for American Indian/Alaskan Native) in special education and related services. No LEAs were excluded from the calculation.</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The MSDE, using an examination document, reviewed the policies, procedures, practices, and IEPs (student records) of the two (2) LEAs impacted, followed by an on site visit to review the procedures, practices, and IEPs, including student records to ensure compliance with the IDEA, as required by 34 CFR §§300.111, 300.201, and 300.311 for the two (2) LEAs. The MSDE did not identify noncompliance through these reviews.</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The collection and reporting of data for this indicator were not impacted by the COVID-19 pandemic.  </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5E7EFDB3" w14:textId="77777777" w:rsidR="00465E59" w:rsidRPr="00781112" w:rsidRDefault="00465E59"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Pr="00781112" w:rsidRDefault="00BA687C" w:rsidP="004369B2">
      <w:pPr>
        <w:rPr>
          <w:color w:val="000000" w:themeColor="text1"/>
        </w:rPr>
      </w:pPr>
    </w:p>
    <w:p w14:paraId="5F3DA454" w14:textId="77777777" w:rsidR="00465E59" w:rsidRDefault="00465E59" w:rsidP="004369B2">
      <w:pPr>
        <w:rPr>
          <w:b/>
          <w:color w:val="000000" w:themeColor="text1"/>
        </w:rPr>
      </w:pPr>
    </w:p>
    <w:p w14:paraId="618FFFDA" w14:textId="063CA2C9"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MSDE's definition of disproportionate representation is described as having students in a particular racial/ethnic group (i. e., American Indian or Alaskan Native, Asian, Black or African American, Native Hawaiian or Pacific Islander, White, Hispanic, or Two or More Races) being at a considerably greater risk of being identified for special education and related services than all other racial/ethnic groups enrolled either in the local education agency (LEA) or in the State.</w:t>
      </w:r>
      <w:r w:rsidRPr="00781112">
        <w:rPr>
          <w:rFonts w:cs="Arial"/>
          <w:color w:val="000000" w:themeColor="text1"/>
          <w:szCs w:val="16"/>
        </w:rPr>
        <w:br/>
      </w:r>
      <w:r w:rsidRPr="00781112">
        <w:rPr>
          <w:rFonts w:cs="Arial"/>
          <w:color w:val="000000" w:themeColor="text1"/>
          <w:szCs w:val="16"/>
        </w:rPr>
        <w:br/>
        <w:t xml:space="preserve">For consistency and to lessen confusion, the MSDE has changed its Indicator 10 methodology to be similar to the methodology used for identifying Significant Disproportionality. This new methodology was adopted by the State Board of Education in May of 2018 and </w:t>
      </w:r>
      <w:proofErr w:type="gramStart"/>
      <w:r w:rsidRPr="00781112">
        <w:rPr>
          <w:rFonts w:cs="Arial"/>
          <w:color w:val="000000" w:themeColor="text1"/>
          <w:szCs w:val="16"/>
        </w:rPr>
        <w:t>entered into</w:t>
      </w:r>
      <w:proofErr w:type="gramEnd"/>
      <w:r w:rsidRPr="00781112">
        <w:rPr>
          <w:rFonts w:cs="Arial"/>
          <w:color w:val="000000" w:themeColor="text1"/>
          <w:szCs w:val="16"/>
        </w:rPr>
        <w:t xml:space="preserve"> the Code of Maryland Regulations (COMAR). In particular, the MSDE identifies disproportionate representation using a risk ratio of 2.0 or greater. Previously, a weighted risk ratio was utilized for disproportionality indicators. In addition to meeting the 2.0 or greater risk ratio, the LEA must meet the criteria for the minimum cell size and n-size, where cell size is the number of students in an LEA who are a specific race/ethnicity and identified with a specific disability category, and where the n-size is the number of students with disabilities of a specific race/ethnicity enrolled in an LEA. The MSDE utilizes a minimum cell size of five (5) and a minimum “n” size of twenty (20). Unlike the calculation for Significant Disproportionality, the MSDE does not consider reasonable progress for Indicator 10. As such, disproportionate representation is identified for any LEA with a risk ratio of 2.0 or greater who meets the minimum cell size and n-size requirements.</w:t>
      </w:r>
      <w:r w:rsidRPr="00781112">
        <w:rPr>
          <w:rFonts w:cs="Arial"/>
          <w:color w:val="000000" w:themeColor="text1"/>
          <w:szCs w:val="16"/>
        </w:rPr>
        <w:br/>
      </w:r>
      <w:r w:rsidRPr="00781112">
        <w:rPr>
          <w:rFonts w:cs="Arial"/>
          <w:color w:val="000000" w:themeColor="text1"/>
          <w:szCs w:val="16"/>
        </w:rPr>
        <w:br/>
        <w:t>MSDE's analysis of the data demonstrated that eighteen (18) LEAs were identified as having disproportionate representation of racial and ethnic groups in specific disability categories. No LEAs were excluded from the calculation.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The MSDE, using an examination document, reviewed the policies, procedures, and practices of the eighteen (18) LEAs impacted, followed by an on site visit to review the procedures and practices, including IEPs and student records to ensure compliance with the IDEA, as required by 34 CFR §§300.111, 300.201, and 300.311 for the LEAs. The MSDE did not identify noncompliance through this review.</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The collection and reporting of data for this indicator were not impacted by the COVID-19 pandemic.</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5F60A981" w14:textId="77777777" w:rsidR="00465E59" w:rsidRDefault="00465E59" w:rsidP="004369B2">
      <w:pPr>
        <w:rPr>
          <w:b/>
          <w:color w:val="000000" w:themeColor="text1"/>
        </w:rPr>
      </w:pPr>
    </w:p>
    <w:p w14:paraId="16F9882A" w14:textId="77777777" w:rsidR="00465E59" w:rsidRDefault="00465E59">
      <w:pPr>
        <w:spacing w:before="0" w:after="200" w:line="276" w:lineRule="auto"/>
        <w:rPr>
          <w:b/>
          <w:color w:val="000000" w:themeColor="text1"/>
        </w:rPr>
      </w:pPr>
      <w:r>
        <w:rPr>
          <w:b/>
          <w:color w:val="000000" w:themeColor="text1"/>
        </w:rPr>
        <w:br w:type="page"/>
      </w:r>
    </w:p>
    <w:p w14:paraId="60BB42FC" w14:textId="1A53ABFB"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77.00%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98.60%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98.64%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98.51%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97.46%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7F253FCF" w14:textId="77777777" w:rsidR="00465E59" w:rsidRDefault="00465E59">
      <w:pPr>
        <w:spacing w:before="0" w:after="200" w:line="276" w:lineRule="auto"/>
        <w:rPr>
          <w:b/>
          <w:color w:val="000000" w:themeColor="text1"/>
        </w:rPr>
      </w:pPr>
      <w:r>
        <w:rPr>
          <w:b/>
          <w:color w:val="000000" w:themeColor="text1"/>
        </w:rPr>
        <w:br w:type="page"/>
      </w:r>
    </w:p>
    <w:p w14:paraId="3FAEB3AB" w14:textId="7DE96DC6"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21,642</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20,985</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97.46%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96.96%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657</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MSDE, DSE/EIS identified 657 students with "unacceptable reasons for delays", an increase of 309 students from FFY 2020 (FFY 2020 = 348 students). </w:t>
      </w:r>
      <w:r w:rsidRPr="00781112">
        <w:rPr>
          <w:color w:val="000000" w:themeColor="text1"/>
        </w:rPr>
        <w:br/>
      </w:r>
      <w:r w:rsidRPr="00781112">
        <w:rPr>
          <w:color w:val="000000" w:themeColor="text1"/>
        </w:rPr>
        <w:br/>
        <w:t>The unacceptable reasons for delays included provider illnesses, paperwork error, inconclusive testing results, the student was not available (not parent failure/child refusal), staffing issues; and students - due to other reasons.</w:t>
      </w:r>
      <w:r w:rsidRPr="00781112">
        <w:rPr>
          <w:color w:val="000000" w:themeColor="text1"/>
        </w:rPr>
        <w:br/>
        <w:t xml:space="preserve">An analysis of these data identified the following range of days for all unacceptable reasons: </w:t>
      </w:r>
      <w:r w:rsidRPr="00781112">
        <w:rPr>
          <w:color w:val="000000" w:themeColor="text1"/>
        </w:rPr>
        <w:br/>
        <w:t>302 (1 day to 15 days) = 45.91%</w:t>
      </w:r>
      <w:r w:rsidRPr="00781112">
        <w:rPr>
          <w:color w:val="000000" w:themeColor="text1"/>
        </w:rPr>
        <w:br/>
        <w:t>218 (16 to 45 days) = 33.17%</w:t>
      </w:r>
      <w:r w:rsidRPr="00781112">
        <w:rPr>
          <w:color w:val="000000" w:themeColor="text1"/>
        </w:rPr>
        <w:br/>
        <w:t>137 (beyond 45 days) =20.92%</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MSDE uses an electronic data extract from Maryland’s SSIS data system which is an online data collection and monitoring tool that captures student and service information from MD online IEP and other sources.</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Data collection and analysis were not impacted by the COVID-19 Pandemic.  </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MSDE, DEI/SES identified fifteen (15) findings of noncompliance in FFY 2020. All fifteen (15) findings were corrected within one year of issuing the written finding of noncompliance. The MSDE, DEI/SES verified that each Local Education Agency (LEA) or Public Agency (PA) with noncompliance identified in FFY 2020 is correctly implementing the regulatory requirements. First, correction is verified in the records of the students where the noncompliance was identified. Second, using updated data, after the issuance of the written finding, records were reviewed to determine if those records were compliant. The MSDE, DEI/SES verified that each LEA/PA achieved 100% compliance, consistent with OSEP Memo 09-02.</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MSDE, DEI/SES reviewed the records of each individual student for which evaluations were not completed within timelines and verified that the evaluation was completed, although late, unless the student was no longer within the jurisdiction of the LAE. An updated random sample of student records from a subsequent data set was reviewed to determine if those records were also compliant. Through this review process, the MSDE verified that each individual student identified with noncompliance was corrected consistent with regulatory requirements and OSEP Memo 09-02.</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0</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56F89068" w14:textId="77777777" w:rsidR="00465E59" w:rsidRDefault="00465E59" w:rsidP="009A221D">
      <w:pPr>
        <w:rPr>
          <w:rFonts w:cs="Arial"/>
          <w:b/>
          <w:bCs/>
          <w:color w:val="000000" w:themeColor="text1"/>
          <w:szCs w:val="16"/>
        </w:rPr>
      </w:pPr>
    </w:p>
    <w:p w14:paraId="697D1C25" w14:textId="77777777" w:rsidR="00465E59" w:rsidRDefault="00465E59" w:rsidP="009A221D">
      <w:pPr>
        <w:rPr>
          <w:rFonts w:cs="Arial"/>
          <w:b/>
          <w:bCs/>
          <w:color w:val="000000" w:themeColor="text1"/>
          <w:szCs w:val="16"/>
        </w:rPr>
      </w:pPr>
    </w:p>
    <w:p w14:paraId="6B3560D7" w14:textId="18C8C6BE" w:rsidR="009A221D" w:rsidRPr="00781112" w:rsidRDefault="009A221D" w:rsidP="009A221D">
      <w:pPr>
        <w:rPr>
          <w:rFonts w:cs="Arial"/>
          <w:b/>
          <w:bCs/>
          <w:color w:val="000000" w:themeColor="text1"/>
          <w:szCs w:val="16"/>
        </w:rPr>
      </w:pPr>
      <w:r w:rsidRPr="00781112">
        <w:rPr>
          <w:rFonts w:cs="Arial"/>
          <w:b/>
          <w:bCs/>
          <w:color w:val="000000" w:themeColor="text1"/>
          <w:szCs w:val="16"/>
        </w:rPr>
        <w:lastRenderedPageBreak/>
        <w:t>FFY 2019</w:t>
      </w:r>
    </w:p>
    <w:p w14:paraId="43B616FA" w14:textId="0C7625B0" w:rsidR="009A755E" w:rsidRPr="00781112" w:rsidRDefault="009A755E" w:rsidP="004369B2">
      <w:pPr>
        <w:rPr>
          <w:color w:val="000000" w:themeColor="text1"/>
        </w:rPr>
      </w:pPr>
      <w:r w:rsidRPr="00781112">
        <w:rPr>
          <w:b/>
          <w:color w:val="000000" w:themeColor="text1"/>
        </w:rPr>
        <w:t>Findings of Noncompliance Not Yet Verified as Corrected</w:t>
      </w:r>
    </w:p>
    <w:p w14:paraId="3B9C4153"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5EA4492" w14:textId="2B907B59" w:rsidR="00326C0B" w:rsidRPr="00781112" w:rsidRDefault="002B7490" w:rsidP="009A755E">
      <w:pPr>
        <w:rPr>
          <w:rFonts w:cs="Arial"/>
          <w:color w:val="000000" w:themeColor="text1"/>
          <w:szCs w:val="16"/>
        </w:rPr>
      </w:pPr>
      <w:r w:rsidRPr="00781112">
        <w:rPr>
          <w:rFonts w:cs="Arial"/>
          <w:color w:val="000000" w:themeColor="text1"/>
          <w:szCs w:val="16"/>
        </w:rPr>
        <w:t xml:space="preserve">The MSDE, DEI/SES is working with the LEA where compliance has not been corrected. Technical assistance is being provided to new staff who work with schools regarding timeline noncompliance and the identification of appropriate reasons for the delay of assessments. Data review meetings are conducted weekly. The LEA is monitoring IEP team data to ensure policies and procedures are implemented with fidelity. Uncorrected noncompliance will negatively impact the LEAs FFY 2021 Determination. </w:t>
      </w:r>
      <w:r w:rsidRPr="00781112">
        <w:rPr>
          <w:rFonts w:cs="Arial"/>
          <w:color w:val="000000" w:themeColor="text1"/>
          <w:szCs w:val="16"/>
        </w:rPr>
        <w:br/>
      </w:r>
      <w:r w:rsidRPr="00781112">
        <w:rPr>
          <w:rFonts w:cs="Arial"/>
          <w:color w:val="000000" w:themeColor="text1"/>
          <w:szCs w:val="16"/>
        </w:rPr>
        <w:br/>
        <w:t>It should be noted that the LEA with uncorrected noncompliance is the State's largest LEA representing about 20% of the State's students. Despite not achieving full compliance, the LEA continues to achieve a high level of compliance. For FFY 2021, the LEA achieved approximately 97% compliance.</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LEA with findings of noncompliance identified in FFY 2020 and each LEA with remaining noncompliance identified in FFY 2019 (and add other years, as needed)]: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one remaining uncorrected finding of noncompliance identified in FFY 2019 was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2021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83.40%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99.72%</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99.89%</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99.77%</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98.81%</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6,733</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141</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1,815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68</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4,686</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1,815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1,838</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98.81%</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98.75%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are not included in b, c, d, e, or </w:t>
      </w:r>
      <w:proofErr w:type="gramStart"/>
      <w:r w:rsidRPr="00781112">
        <w:rPr>
          <w:rFonts w:cs="Arial"/>
          <w:b/>
          <w:color w:val="000000" w:themeColor="text1"/>
          <w:szCs w:val="16"/>
        </w:rPr>
        <w:t>f</w:t>
      </w:r>
      <w:proofErr w:type="gramEnd"/>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23</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 MSDE, DEI/SES identified twenty-three (23) students with "unacceptable reasons for delays." The unacceptable reason for each student's delay was identified as paperwork errors, administrative errors, and staffing.</w:t>
      </w:r>
      <w:r w:rsidRPr="00781112">
        <w:rPr>
          <w:bCs/>
          <w:color w:val="000000" w:themeColor="text1"/>
        </w:rPr>
        <w:br/>
      </w:r>
      <w:r w:rsidRPr="00781112">
        <w:rPr>
          <w:bCs/>
          <w:color w:val="000000" w:themeColor="text1"/>
        </w:rPr>
        <w:br/>
        <w:t xml:space="preserve">The range of delays were: </w:t>
      </w:r>
      <w:r w:rsidRPr="00781112">
        <w:rPr>
          <w:bCs/>
          <w:color w:val="000000" w:themeColor="text1"/>
        </w:rPr>
        <w:br/>
        <w:t>1 to 15 Days = 4 students</w:t>
      </w:r>
      <w:r w:rsidRPr="00781112">
        <w:rPr>
          <w:bCs/>
          <w:color w:val="000000" w:themeColor="text1"/>
        </w:rPr>
        <w:br/>
        <w:t>16 to 30 Days = 3 students</w:t>
      </w:r>
      <w:r w:rsidRPr="00781112">
        <w:rPr>
          <w:bCs/>
          <w:color w:val="000000" w:themeColor="text1"/>
        </w:rPr>
        <w:br/>
        <w:t>31 to 45 Days = 5 students</w:t>
      </w:r>
      <w:r w:rsidRPr="00781112">
        <w:rPr>
          <w:bCs/>
          <w:color w:val="000000" w:themeColor="text1"/>
        </w:rPr>
        <w:br/>
        <w:t>Beyond 45 Days = 11 students</w:t>
      </w:r>
      <w:r w:rsidRPr="00781112">
        <w:rPr>
          <w:bCs/>
          <w:color w:val="000000" w:themeColor="text1"/>
        </w:rPr>
        <w:br/>
      </w:r>
      <w:r w:rsidRPr="00781112">
        <w:rPr>
          <w:bCs/>
          <w:color w:val="000000" w:themeColor="text1"/>
        </w:rPr>
        <w:br/>
        <w:t>This information is used by the MSDE Monitoring Staff to assist local education agencies and public agencies in analyzing data and in providing technical assistance. The MSDE data management and program staff worked closely with local education agencies' staff to ensure the integrity of the data reported in FFY 2021.</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MSDE uses an electronic data extract from Maryland’s SSIS data system which is an online data collection and monitoring tool that captures student and service information.</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The collection and reporting of data for this indicator were not impacted by the COVID-19 pandemic.</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The MSDE, DEI/SES identified three (3) findings of noncompliance. All three (3) findings were corrected within one year of issuing the written finding of noncompliance. The MSDE, DEI/SES verified that each Local Education Agency (LEA) or Public Agency (PA) with noncompliance identified in FFY 2020 is correctly implementing the regulatory requirements. First, correction is verified in the records of the students where the noncompliance was identified. Second, using updated data, </w:t>
      </w:r>
      <w:proofErr w:type="gramStart"/>
      <w:r w:rsidRPr="00781112">
        <w:rPr>
          <w:rFonts w:cs="Arial"/>
          <w:color w:val="000000" w:themeColor="text1"/>
          <w:szCs w:val="16"/>
        </w:rPr>
        <w:t>subsequent to</w:t>
      </w:r>
      <w:proofErr w:type="gramEnd"/>
      <w:r w:rsidRPr="00781112">
        <w:rPr>
          <w:rFonts w:cs="Arial"/>
          <w:color w:val="000000" w:themeColor="text1"/>
          <w:szCs w:val="16"/>
        </w:rPr>
        <w:t xml:space="preserve"> the issuance of the written finding, records were reviewed to determine if those records were compliant. The MSDE, DEI/SES verified that each LEA/PA achieved 100% compliance, consistent with OSEP Memo 09-02.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MSEE, DEI/SES reviewed the IEPs and records for each of individual child with findings of noncompliance in the LEA/PA where the findings of noncompliance were made, The DEI/SES verified that, although late, an IEP was developed and implemented for all those students unless the child was no longer within the local education agency or pubic agency, or the parent had withdrawn consent. An updated random sample of student records from a subsequent data set was reviewed to determine if those records were also compliant. Through this review process, the MSDE verified that each individual student identified with noncompliance was corrected consistent with the regulatory requirements and OSEP Memo 09-02.</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86.10%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98.86%</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97.86%</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92.62%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97.14%</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99.65%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19,322</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19,327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99.65%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99.97%</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The MSDE, DEI/SES requires that the local education agencies (LEAs) and the public agencies to submit data for this indicator on a quarterly basis. For the LEAs that utilize the Maryland Online IEP (MOIEP) System, most of the required quarterly data uploads nightly to SSIS from the MOIEP. The LEAs that utilize the vendor-based IEP systems report quarterly data via file submission and Excel spreadsheets. The quarterly data are uploaded to the Maryland Scorecard where the LEAs and the MSDE, DEI/SES staff can track the progress and the impact of the interventions to improve student outcomes. The current version of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13 checklist from the National Secondary Transition Technical Assistance Center (NSTTAC) that was updated in 2012 by the National Technical Assistance Center on Transition (NTACT) was utilized.</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The State is responding to the requirements of the IDEA as specified that requirements are met for students with IEPs at age 16.</w:t>
      </w:r>
    </w:p>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The collection and reporting of data for this indicator were not impacted by the COVID-19 pandemic.  </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The MSDE, DEI/SES verified that each Local Education Agency (LEA) or Public Agency (PA) with noncompliance identified in FFY 2020 is correctly implementing the regulatory requirements of 34 CFR 300.320(b) and 300.321(b). </w:t>
      </w:r>
      <w:r w:rsidRPr="00781112">
        <w:rPr>
          <w:rFonts w:cs="Arial"/>
          <w:color w:val="000000" w:themeColor="text1"/>
          <w:szCs w:val="16"/>
        </w:rPr>
        <w:br/>
      </w:r>
      <w:r w:rsidRPr="00781112">
        <w:rPr>
          <w:rFonts w:cs="Arial"/>
          <w:color w:val="000000" w:themeColor="text1"/>
          <w:szCs w:val="16"/>
        </w:rPr>
        <w:br/>
        <w:t xml:space="preserve">First, in each LEA/PA where noncompliance was identified, correction was verified in each individual student record where the noncompliance was identified. </w:t>
      </w:r>
      <w:r w:rsidRPr="00781112">
        <w:rPr>
          <w:rFonts w:cs="Arial"/>
          <w:color w:val="000000" w:themeColor="text1"/>
          <w:szCs w:val="16"/>
        </w:rPr>
        <w:br/>
      </w:r>
      <w:r w:rsidRPr="00781112">
        <w:rPr>
          <w:rFonts w:cs="Arial"/>
          <w:color w:val="000000" w:themeColor="text1"/>
          <w:szCs w:val="16"/>
        </w:rPr>
        <w:br/>
        <w:t xml:space="preserve">Second, using updated data, </w:t>
      </w:r>
      <w:proofErr w:type="gramStart"/>
      <w:r w:rsidRPr="00781112">
        <w:rPr>
          <w:rFonts w:cs="Arial"/>
          <w:color w:val="000000" w:themeColor="text1"/>
          <w:szCs w:val="16"/>
        </w:rPr>
        <w:t>subsequent to</w:t>
      </w:r>
      <w:proofErr w:type="gramEnd"/>
      <w:r w:rsidRPr="00781112">
        <w:rPr>
          <w:rFonts w:cs="Arial"/>
          <w:color w:val="000000" w:themeColor="text1"/>
          <w:szCs w:val="16"/>
        </w:rPr>
        <w:t xml:space="preserve"> the issuance of the written finding, records were reviewed to determine if those records were compliant. </w:t>
      </w:r>
      <w:r w:rsidRPr="00781112">
        <w:rPr>
          <w:rFonts w:cs="Arial"/>
          <w:color w:val="000000" w:themeColor="text1"/>
          <w:szCs w:val="16"/>
        </w:rPr>
        <w:br/>
      </w:r>
      <w:r w:rsidRPr="00781112">
        <w:rPr>
          <w:rFonts w:cs="Arial"/>
          <w:color w:val="000000" w:themeColor="text1"/>
          <w:szCs w:val="16"/>
        </w:rPr>
        <w:br/>
        <w:t xml:space="preserve">When each individual instance of noncompliance is corrected and subsequent data yield 100% compliance, correction is verified consistent with OSEP Memo 09-02. Both prongs of correction must occur within one year of the date of the issuance of the written finding of noncompliance to the LEA/PA. </w:t>
      </w:r>
      <w:r w:rsidRPr="00781112">
        <w:rPr>
          <w:rFonts w:cs="Arial"/>
          <w:color w:val="000000" w:themeColor="text1"/>
          <w:szCs w:val="16"/>
        </w:rPr>
        <w:br/>
      </w:r>
      <w:r w:rsidRPr="00781112">
        <w:rPr>
          <w:rFonts w:cs="Arial"/>
          <w:color w:val="000000" w:themeColor="text1"/>
          <w:szCs w:val="16"/>
        </w:rPr>
        <w:br/>
        <w:t>For FFY 2020, the MSDE, DEI/SES identified three (3) findings of noncompliance and all three (3) findings were fully corrected within one year of issuing the written finding of noncompliance.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MSDE, DEI/SES reviewed the IEPs and records for each of the individual children identified with noncompliance in each LEA/PA where noncompliance occurred. The MSDE, DEI/SES verified that the records of each individual child contained the required components for secondary transition as defined by 34 CFR 300.320(b) and 300.321(b), unless the child was no longer within the jurisdiction of the LEA/PA, consistent with OSEP Memo 09-02.</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lastRenderedPageBreak/>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28.00%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24.87%</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24.87%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22.66%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26.46%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28.04%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26.54%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24.87%</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56.32%</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56.32%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58.09%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65.07%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60.64%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61.87%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56.32%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56.63%</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56.63%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72.93%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76.93%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67.05%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64.66%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56.63%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25.00%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25.50%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26.50%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27.50%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28.50%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57.00%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58.00%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59.00%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60.00%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61.00%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58.00%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58.00%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60.00%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61.00%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62.00%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t>Maryland Higher Education Commission</w:t>
      </w:r>
      <w:r w:rsidRPr="00781112">
        <w:rPr>
          <w:rFonts w:cs="Arial"/>
          <w:color w:val="000000" w:themeColor="text1"/>
          <w:szCs w:val="16"/>
        </w:rPr>
        <w:br/>
      </w:r>
      <w:r w:rsidRPr="00781112">
        <w:rPr>
          <w:rFonts w:cs="Arial"/>
          <w:color w:val="000000" w:themeColor="text1"/>
          <w:szCs w:val="16"/>
        </w:rPr>
        <w:lastRenderedPageBreak/>
        <w:t>4 LEA Representatives (administrators, service providers, etc.)</w:t>
      </w:r>
      <w:r w:rsidRPr="00781112">
        <w:rPr>
          <w:rFonts w:cs="Arial"/>
          <w:color w:val="000000" w:themeColor="text1"/>
          <w:szCs w:val="16"/>
        </w:rPr>
        <w:br/>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6,656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6,656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1,782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2,453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99</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1,782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6,656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24.87%</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26.77%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4,235</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6,656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56.32%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63.63%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4,334</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6,656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56.63%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65.11%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99.84%</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In Maryland, Indicator 14 is calculated using an administrative records exchange with the Maryland Longitudinal Data System Center (MLDSC) and two additional state agencies that provide post-secondary education and training to individuals with disabilities that do not supply data to the MLDSC (rather than through an attempt to survey the students, their families, or teachers). Therefore, there is no true "response rate" as there would be for a survey. Instead, the state reports on Census data. All students with disabilities who have Maryland Public School attendance files are intended to be included in MLDS. In practice, however, some students may not be included in the MLDSC due to data entry error or a failure at the LEA level to submit an attendance file for a student. Still, through this process, 100% of Leavers were found to be contained within the MLDSC and as such, their associated postsecondary and workforce data is included in the analysis. </w:t>
      </w:r>
      <w:r w:rsidRPr="00B551F2">
        <w:br/>
      </w:r>
      <w:r w:rsidRPr="00B551F2">
        <w:br/>
        <w:t xml:space="preserve">After identification of students in the MLDSC, the State then collects training and education information about students from the Department of Rehabilitative Services (DORS) and Developmental Disabilities Administration (DDA) and adds it to MLDSC information (although DDA has been unable to provide information since the start of the COVID 19 Pandemic). </w:t>
      </w:r>
      <w:r w:rsidRPr="00B551F2">
        <w:br/>
      </w:r>
      <w:r w:rsidRPr="00B551F2">
        <w:br/>
        <w:t>The State's goal is to identify post-secondary information for all Leavers (full representativeness) to satisfy its Indicator 14 reporting requirement. . This exchange provides data on the number of youth with disabilities no longer in secondary school and who had an IEP in effect at the time they left school (Leavers), and were enrolled in higher education, or in some other postsecondary education or training program, or competitively employed or in some other employment within one year of leaving high school. At this time, the data contained in MLDSC does not contain any out-of-state employment or college placements, or federal employment placements. However, data sharing agreements are continuing to be developed between MLDSC and other agencies (i.e., State Vocational Rehabilitation Agency, Developmental Disabilities Administration) to reflect additional efforts to match additional students’ post-school outcomes. The State reports on census data, so a response rate (like would be calculated from a survey) is not entirely applicable. Through its partnerships, the State was able to locate information on all 6,656 (100%) Leavers in the MLDSC.</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lastRenderedPageBreak/>
        <w:t xml:space="preserve">The State does not use a survey methodology and thus, nonresponse bias is not entirely applicable. As mentioned above, the State makes efforts to obtain information on every Leaver through its partnerships with outside agencies and as a result the State continues to be able to report on a high percentage of leavers. In FFY 2020, eleven (11) Leavers were unable to </w:t>
      </w:r>
      <w:proofErr w:type="gramStart"/>
      <w:r w:rsidRPr="00B551F2">
        <w:t>be located in</w:t>
      </w:r>
      <w:proofErr w:type="gramEnd"/>
      <w:r w:rsidRPr="00B551F2">
        <w:t xml:space="preserve"> either the MLDS and/or DORS databases; in FFY 2021, all Leavers were able to be located. The State will continue to work with the DDA </w:t>
      </w:r>
      <w:proofErr w:type="gramStart"/>
      <w:r w:rsidRPr="00B551F2">
        <w:t>in an effort to</w:t>
      </w:r>
      <w:proofErr w:type="gramEnd"/>
      <w:r w:rsidRPr="00B551F2">
        <w:t xml:space="preserve"> obtain complete postsecondary data from the agency moving forward.</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The State's data include all Leavers (youth who are no longer in secondary school and had IEPs in effect at the time they left school), so no groups of students who were underrepresented or overrepresented.</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proofErr w:type="gramStart"/>
      <w:r w:rsidRPr="008D51F2">
        <w:rPr>
          <w:b w:val="0"/>
        </w:rPr>
        <w:t>For the purpose of</w:t>
      </w:r>
      <w:proofErr w:type="gramEnd"/>
      <w:r w:rsidRPr="008D51F2">
        <w:rPr>
          <w:b w:val="0"/>
        </w:rPr>
        <w:t xml:space="preserve"> determining representativeness, a demographic group is classified as being overrepresented in the MLDSC data set if the percentage of that group is greater than its percentage in the Leaver group by at least 3 percentage points. Similarly, a demographic group is classified as being underrepresented in the MLDSC data set if the difference between the percentage of that group in the MLDSC data set is less than its percentage in the population by 3 percentage points or more. Differences of 3 percentage points or more indicate areas in which the characteristics of Leavers differed from the state's MLDSC data set. If the difference between the MLDSC data set and the Leavers is less than 3 percentage points in either direction, the respondent sample (MLDSC data set) is not significantly different from the Leaver population. </w:t>
      </w:r>
      <w:r w:rsidRPr="008D51F2">
        <w:rPr>
          <w:b w:val="0"/>
        </w:rPr>
        <w:br/>
      </w:r>
      <w:r w:rsidRPr="008D51F2">
        <w:rPr>
          <w:b w:val="0"/>
        </w:rPr>
        <w:br/>
        <w:t>Because 100% of Leavers were found to be contained within the MLDSC and as such, their associated postsecondary and workforce data is included in the analysis, representativeness was achieved.</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State's data were not impacted by the COVID-19 pandemic.</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 xml:space="preserve">Target Range is </w:t>
      </w:r>
      <w:proofErr w:type="gramStart"/>
      <w:r w:rsidRPr="00781112">
        <w:rPr>
          <w:rFonts w:cs="Arial"/>
          <w:color w:val="000000" w:themeColor="text1"/>
          <w:szCs w:val="16"/>
        </w:rPr>
        <w:t>used</w:t>
      </w:r>
      <w:proofErr w:type="gramEnd"/>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52</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24</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t>Maryland Higher Education Commission</w:t>
      </w:r>
      <w:r w:rsidRPr="00781112">
        <w:rPr>
          <w:rFonts w:cs="Arial"/>
          <w:color w:val="000000" w:themeColor="text1"/>
          <w:szCs w:val="16"/>
        </w:rPr>
        <w:br/>
        <w:t>4 LEA Representatives (administrators, service providers, etc.)</w:t>
      </w:r>
      <w:r w:rsidRPr="00781112">
        <w:rPr>
          <w:rFonts w:cs="Arial"/>
          <w:color w:val="000000" w:themeColor="text1"/>
          <w:szCs w:val="16"/>
        </w:rPr>
        <w:br/>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2020-2025 SPP/APR cycle, the MSDE also had discussions about new baselines and targets for APR </w:t>
      </w:r>
      <w:r w:rsidRPr="00781112">
        <w:rPr>
          <w:rFonts w:cs="Arial"/>
          <w:color w:val="000000" w:themeColor="text1"/>
          <w:szCs w:val="16"/>
        </w:rPr>
        <w:lastRenderedPageBreak/>
        <w:t xml:space="preserve">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APR and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w:t>
      </w:r>
      <w:r w:rsidRPr="00781112">
        <w:rPr>
          <w:rFonts w:cs="Arial"/>
          <w:color w:val="000000" w:themeColor="text1"/>
          <w:szCs w:val="16"/>
        </w:rPr>
        <w:lastRenderedPageBreak/>
        <w:t xml:space="preserve">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64.00%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64.00% - 75.00%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64.00% - 75.00%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64.00% - 75.00%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64.00%-75.00%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64.00%-75.00%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52.27%</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58.46%</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55.21%</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58.49%</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28.26%</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64.00%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64.00%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64.00%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64.00%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64.00%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52</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28.26%</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46.15%</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State's data collection and reporting for this indicator was not impacted by the COVID-19 Pandemic.</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is </w:t>
      </w:r>
      <w:proofErr w:type="gramStart"/>
      <w:r w:rsidRPr="00781112">
        <w:rPr>
          <w:rFonts w:cs="Arial"/>
          <w:color w:val="000000" w:themeColor="text1"/>
          <w:szCs w:val="16"/>
        </w:rPr>
        <w:t>used</w:t>
      </w:r>
      <w:proofErr w:type="gramEnd"/>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151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38</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45</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18 Parent Members</w:t>
      </w:r>
      <w:r w:rsidRPr="00781112">
        <w:rPr>
          <w:rFonts w:cs="Arial"/>
          <w:color w:val="000000" w:themeColor="text1"/>
          <w:szCs w:val="16"/>
        </w:rPr>
        <w:br/>
        <w:t>Juvenile Services Education</w:t>
      </w:r>
      <w:r w:rsidRPr="00781112">
        <w:rPr>
          <w:rFonts w:cs="Arial"/>
          <w:color w:val="000000" w:themeColor="text1"/>
          <w:szCs w:val="16"/>
        </w:rPr>
        <w:br/>
        <w:t>The Parents’ Place of Maryland</w:t>
      </w:r>
      <w:r w:rsidRPr="00781112">
        <w:rPr>
          <w:rFonts w:cs="Arial"/>
          <w:color w:val="000000" w:themeColor="text1"/>
          <w:szCs w:val="16"/>
        </w:rPr>
        <w:br/>
        <w:t>Maryland Higher Education Commission</w:t>
      </w:r>
      <w:r w:rsidRPr="00781112">
        <w:rPr>
          <w:rFonts w:cs="Arial"/>
          <w:color w:val="000000" w:themeColor="text1"/>
          <w:szCs w:val="16"/>
        </w:rPr>
        <w:br/>
        <w:t>4 LEA Representatives (administrators, service providers, etc.)</w:t>
      </w:r>
      <w:r w:rsidRPr="00781112">
        <w:rPr>
          <w:rFonts w:cs="Arial"/>
          <w:color w:val="000000" w:themeColor="text1"/>
          <w:szCs w:val="16"/>
        </w:rPr>
        <w:br/>
        <w:t>Maryland Association of Nonpublic Special Education Facilities</w:t>
      </w:r>
      <w:r w:rsidRPr="00781112">
        <w:rPr>
          <w:rFonts w:cs="Arial"/>
          <w:color w:val="000000" w:themeColor="text1"/>
          <w:szCs w:val="16"/>
        </w:rPr>
        <w:br/>
        <w:t>Maryland Department of Labor</w:t>
      </w:r>
      <w:r w:rsidRPr="00781112">
        <w:rPr>
          <w:rFonts w:cs="Arial"/>
          <w:color w:val="000000" w:themeColor="text1"/>
          <w:szCs w:val="16"/>
        </w:rPr>
        <w:br/>
        <w:t>Maryland Department of Disabilities</w:t>
      </w:r>
      <w:r w:rsidRPr="00781112">
        <w:rPr>
          <w:rFonts w:cs="Arial"/>
          <w:color w:val="000000" w:themeColor="text1"/>
          <w:szCs w:val="16"/>
        </w:rPr>
        <w:br/>
        <w:t>Maryland Developmental Disabilities Council</w:t>
      </w:r>
      <w:r w:rsidRPr="00781112">
        <w:rPr>
          <w:rFonts w:cs="Arial"/>
          <w:color w:val="000000" w:themeColor="text1"/>
          <w:szCs w:val="16"/>
        </w:rPr>
        <w:br/>
        <w:t>Division of Rehabilitation Services/Department of Disabilities</w:t>
      </w:r>
      <w:r w:rsidRPr="00781112">
        <w:rPr>
          <w:rFonts w:cs="Arial"/>
          <w:color w:val="000000" w:themeColor="text1"/>
          <w:szCs w:val="16"/>
        </w:rPr>
        <w:br/>
        <w:t>The ARC of Maryland</w:t>
      </w:r>
      <w:r w:rsidRPr="00781112">
        <w:rPr>
          <w:rFonts w:cs="Arial"/>
          <w:color w:val="000000" w:themeColor="text1"/>
          <w:szCs w:val="16"/>
        </w:rPr>
        <w:br/>
        <w:t>Title I-Program Improvement &amp; Family Support, MSDE</w:t>
      </w:r>
      <w:r w:rsidRPr="00781112">
        <w:rPr>
          <w:rFonts w:cs="Arial"/>
          <w:color w:val="000000" w:themeColor="text1"/>
          <w:szCs w:val="16"/>
        </w:rPr>
        <w:br/>
        <w:t>Maryland State Education Association</w:t>
      </w:r>
      <w:r w:rsidRPr="00781112">
        <w:rPr>
          <w:rFonts w:cs="Arial"/>
          <w:color w:val="000000" w:themeColor="text1"/>
          <w:szCs w:val="16"/>
        </w:rPr>
        <w:br/>
        <w:t xml:space="preserve"> Maryland Department of Human Services</w:t>
      </w:r>
      <w:r w:rsidRPr="00781112">
        <w:rPr>
          <w:rFonts w:cs="Arial"/>
          <w:color w:val="000000" w:themeColor="text1"/>
          <w:szCs w:val="16"/>
        </w:rPr>
        <w:br/>
        <w:t>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lastRenderedPageBreak/>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rFonts w:cs="Arial"/>
          <w:color w:val="000000" w:themeColor="text1"/>
          <w:szCs w:val="16"/>
        </w:rPr>
        <w:br/>
      </w:r>
      <w:r w:rsidRPr="00781112">
        <w:rPr>
          <w:rFonts w:cs="Arial"/>
          <w:color w:val="000000" w:themeColor="text1"/>
          <w:szCs w:val="16"/>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rFonts w:cs="Arial"/>
          <w:color w:val="000000" w:themeColor="text1"/>
          <w:szCs w:val="16"/>
        </w:rPr>
        <w:t>example</w:t>
      </w:r>
      <w:proofErr w:type="gramEnd"/>
      <w:r w:rsidRPr="00781112">
        <w:rPr>
          <w:rFonts w:cs="Arial"/>
          <w:color w:val="000000" w:themeColor="text1"/>
          <w:szCs w:val="16"/>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rFonts w:cs="Arial"/>
          <w:color w:val="000000" w:themeColor="text1"/>
          <w:szCs w:val="16"/>
        </w:rPr>
        <w:br/>
      </w:r>
      <w:r w:rsidRPr="00781112">
        <w:rPr>
          <w:rFonts w:cs="Arial"/>
          <w:color w:val="000000" w:themeColor="text1"/>
          <w:szCs w:val="16"/>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rFonts w:cs="Arial"/>
          <w:color w:val="000000" w:themeColor="text1"/>
          <w:szCs w:val="16"/>
        </w:rPr>
        <w:br/>
      </w:r>
      <w:r w:rsidRPr="00781112">
        <w:rPr>
          <w:rFonts w:cs="Arial"/>
          <w:color w:val="000000" w:themeColor="text1"/>
          <w:szCs w:val="16"/>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r>
      <w:r w:rsidRPr="00781112">
        <w:rPr>
          <w:rFonts w:cs="Arial"/>
          <w:color w:val="000000" w:themeColor="text1"/>
          <w:szCs w:val="16"/>
        </w:rPr>
        <w:br/>
        <w:t xml:space="preserve">The Assistant State Superintendent of DEI/SES met with the SESAC during all five meetings during FFY 2021. SESAC members were informed of the Divisions’ priorities, including but not limited to the State’s APR and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73.00%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69.33%</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65.22%</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70.48%</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66.45%</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46.96%</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45</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151</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46.96%</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54.97%</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State's data collection and reporting for this indicator was not impacted by the COVID-19 Pandemic.</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In grades 3, 4, and 5 mathematics proficiency of students with disabilities will increase and the performance gap will narrow. </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Four Maryland counties (Cecil, Charles, Queen Anne’s, and Worcester) participated in the SSIP during this reporting cycle. Students from grades 3 to 5 in these four counties are included in these analyses. All elementary schools in each district are used for data collection. Moving forward the State will add two local education agencies (Baltimore and Howard Counties) to the SSIP with a continued focus on grades 3 to 5 mathematics performance and gap reduction.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The State’s Theory of Action was refined to align and extend the Maryland ESSA State Plan with a focus on capacity need (evidence-based specially designed math instruction), an improvement model inclusive of professional learning and coaching within a data-informed continuous improvement cycle, and a school organizational structure aimed at effective ITSS structures with collaborative planning time. The SiMR does not change but the participant local educational agencies have changed. Updates to the Theory of Action include the following enhancements:</w:t>
      </w:r>
      <w:r w:rsidRPr="00781112">
        <w:br/>
        <w:t>• Creation of an active University-State-Local Education Agency partnership committed to the collaborative design of EBP.</w:t>
      </w:r>
      <w:r w:rsidRPr="00781112">
        <w:br/>
        <w:t>• Development of systems change processes focused on a proven framework directed at organizational structures, professional learning, and specially designed math instruction.</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http://mdideareport.org/SupportingDocuments/MDTheoryofActionFFY2021.pdf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2016</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10.40%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13.00%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14.00%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14.00%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15.00%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15.00%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xml:space="preserve">Third- through fifth-grade public school students with IEPs in the four MD SSIP counties who meet or exceed </w:t>
            </w:r>
            <w:r w:rsidRPr="00781112">
              <w:rPr>
                <w:b/>
                <w:bCs/>
                <w:color w:val="000000" w:themeColor="text1"/>
                <w:szCs w:val="16"/>
              </w:rPr>
              <w:lastRenderedPageBreak/>
              <w:t>mathematics grade-level expectations on the annual State assessment (the Maryland Comprehensive Assessment Program [MCAP]).</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lastRenderedPageBreak/>
              <w:t xml:space="preserve">Third- through fifth-grade public school students with IEPS in the four MD SSIP </w:t>
            </w:r>
            <w:r w:rsidRPr="00781112">
              <w:rPr>
                <w:b/>
                <w:bCs/>
                <w:color w:val="000000" w:themeColor="text1"/>
                <w:szCs w:val="16"/>
              </w:rPr>
              <w:lastRenderedPageBreak/>
              <w:t>counties who take the annual State assessment in mathematics.</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lastRenderedPageBreak/>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7</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101</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2.71%</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13.00%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6.93%</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Maryland Comprehensive Assessment Program (MCAP) serves as the data source.</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776F50F8" w:rsidR="00AE1972" w:rsidRPr="00781112" w:rsidRDefault="00AE1972" w:rsidP="00AE1972">
      <w:pPr>
        <w:rPr>
          <w:color w:val="000000" w:themeColor="text1"/>
        </w:rPr>
      </w:pPr>
      <w:r w:rsidRPr="00781112">
        <w:rPr>
          <w:color w:val="000000" w:themeColor="text1"/>
        </w:rPr>
        <w:t>SiMR data come from grade-level results on the Maryland Comprehensive Assessment Program (MCAP) exam in mathematics. MCAP results are publicly available data. The data are aggregated by district and school and analyzed by district by grade and reviewed for school and grade level. The data are disaggregated for students who have an IEP compared to data for all students. The SSIP target is the percentage of students who are proficient (level 4 and 5) in meeting or exceeding grade-level expectations in mathematics. No data are available for FFY 20 (no assessment due to Covid) and for FFY 21 (due to a shortened assessment administered in fall 2021 instead of spring 2021). FFY 22 data is reported here for newly participating schools.</w:t>
      </w:r>
      <w:r w:rsidRPr="00781112">
        <w:rPr>
          <w:color w:val="000000" w:themeColor="text1"/>
        </w:rPr>
        <w:br/>
      </w:r>
      <w:r w:rsidRPr="00781112">
        <w:rPr>
          <w:color w:val="000000" w:themeColor="text1"/>
        </w:rPr>
        <w:br/>
        <w:t>MCAP Spring 2022 - Mathematics – Baseline</w:t>
      </w:r>
      <w:r w:rsidRPr="00781112">
        <w:rPr>
          <w:color w:val="000000" w:themeColor="text1"/>
        </w:rPr>
        <w:br/>
        <w:t xml:space="preserve">• Baltimore County Public Schools: Grade Level: 3, 4, &amp; 5. </w:t>
      </w:r>
      <w:r w:rsidR="009F3EBE">
        <w:rPr>
          <w:color w:val="000000" w:themeColor="text1"/>
        </w:rPr>
        <w:t>X</w:t>
      </w:r>
      <w:r w:rsidRPr="00781112">
        <w:rPr>
          <w:color w:val="000000" w:themeColor="text1"/>
        </w:rPr>
        <w:t xml:space="preserve"> of 44 students with disabilities tested scored proficient with a </w:t>
      </w:r>
      <w:r w:rsidR="002A2FF3">
        <w:rPr>
          <w:color w:val="000000" w:themeColor="text1"/>
        </w:rPr>
        <w:t>x</w:t>
      </w:r>
      <w:r w:rsidRPr="00781112">
        <w:rPr>
          <w:color w:val="000000" w:themeColor="text1"/>
        </w:rPr>
        <w:t>% proficiency rate.</w:t>
      </w:r>
      <w:r w:rsidRPr="00781112">
        <w:rPr>
          <w:color w:val="000000" w:themeColor="text1"/>
        </w:rPr>
        <w:br/>
        <w:t>• Howard County Public Schools:  Grade Level: 3, 4, &amp; 5. 6 of 58 students with disabilities tested scored proficient with 10.3% proficiency rate.</w:t>
      </w:r>
      <w:r w:rsidRPr="00781112">
        <w:rPr>
          <w:color w:val="000000" w:themeColor="text1"/>
        </w:rPr>
        <w:br/>
        <w:t xml:space="preserve">Preliminary data suggests that the Mathematics Proficiency Rate for students with disabilities across the participating schools in both LEAs is highest in Grade 3 (17.1%) with a significant decline in Grades 4 (0%) and 5 (6.6%). </w:t>
      </w:r>
      <w:r w:rsidRPr="00781112">
        <w:rPr>
          <w:color w:val="000000" w:themeColor="text1"/>
        </w:rPr>
        <w:br/>
      </w:r>
      <w:r w:rsidRPr="00781112">
        <w:rPr>
          <w:color w:val="000000" w:themeColor="text1"/>
        </w:rPr>
        <w:br/>
        <w:t>Demographic Profile of Participating Schools</w:t>
      </w:r>
      <w:r w:rsidRPr="00781112">
        <w:rPr>
          <w:color w:val="000000" w:themeColor="text1"/>
        </w:rPr>
        <w:br/>
        <w:t>Baltimore County</w:t>
      </w:r>
      <w:r w:rsidRPr="00781112">
        <w:rPr>
          <w:color w:val="000000" w:themeColor="text1"/>
        </w:rPr>
        <w:br/>
        <w:t>• MEES: Total student population 350 learners with 17% identified as receiving Special Education Services and 74% participating in Free and Reduced Meals. 58% of the student population identify as African American, 15% identify as White, 17% identify as Hispanic, 8% Multi-racial and 3% identify as Asian.</w:t>
      </w:r>
      <w:r w:rsidRPr="00781112">
        <w:rPr>
          <w:color w:val="000000" w:themeColor="text1"/>
        </w:rPr>
        <w:br/>
        <w:t>• SBES:  Total student population 520 learners with 10.9% identified as receiving Special Education Services and 71.5% participating in Free and Reduced Meals. 88.9% of the student population identify as African American, 2.35% identify as White, and 7.9% identify as Hispanic.</w:t>
      </w:r>
      <w:r w:rsidRPr="00781112">
        <w:rPr>
          <w:color w:val="000000" w:themeColor="text1"/>
        </w:rPr>
        <w:br/>
        <w:t xml:space="preserve">Howard County </w:t>
      </w:r>
      <w:r w:rsidRPr="00781112">
        <w:rPr>
          <w:color w:val="000000" w:themeColor="text1"/>
        </w:rPr>
        <w:br/>
        <w:t>• HHES: Total student population 823 learners with 13.6% identified as receiving Special Education Services and 36.2% participating in Free and Reduced Meals. 41% of the student population identify as African American, 11.42% identify as White, 15.6% identify as Hispanic, 6.4% Multi-racial and 24.6% identify as Asian.</w:t>
      </w:r>
      <w:r w:rsidRPr="00781112">
        <w:rPr>
          <w:color w:val="000000" w:themeColor="text1"/>
        </w:rPr>
        <w:br/>
        <w:t>• JHES: Total student population 410 learners with 10.2% identified as receiving Special Education Services and 32.7% participating in Free and Reduced Meals. 42.4% of the student population identify as African American, 18.8% identify as White, 23.2% identify as Hispanic, 5.8% Multi-racial and 22.4% identify as Asian.</w:t>
      </w:r>
      <w:r w:rsidRPr="00781112">
        <w:rPr>
          <w:color w:val="000000" w:themeColor="text1"/>
        </w:rPr>
        <w:br/>
      </w:r>
      <w:r w:rsidRPr="00781112">
        <w:rPr>
          <w:color w:val="000000" w:themeColor="text1"/>
        </w:rPr>
        <w:br/>
        <w:t xml:space="preserve">The State will hire an external evaluator to gather, organize and analyze outcomes related to student performance and achievement as related to the implementation of EBPs with fidelity reflected in individual student data analysis as well as the aggregate school-wide date. Formative evaluation data will be used to drive improvement actions across implementation by providing real-time information necessary to adjust and fine-tune improvement actions. Summative evaluation data will provide evidence of the unique contribution of the plan implementation actions reflected in the existing evaluation activities. </w:t>
      </w:r>
      <w:r w:rsidRPr="00781112">
        <w:rPr>
          <w:color w:val="000000" w:themeColor="text1"/>
        </w:rPr>
        <w:br/>
        <w:t>•</w:t>
      </w:r>
      <w:r w:rsidRPr="00781112">
        <w:rPr>
          <w:color w:val="000000" w:themeColor="text1"/>
        </w:rPr>
        <w:tab/>
        <w:t xml:space="preserve">The primary measure is the MCAP with a need to supplement this measure with a valid and consistent assessment that can be used over time to inform instruction and evaluate impact. </w:t>
      </w:r>
      <w:r w:rsidRPr="00781112">
        <w:rPr>
          <w:color w:val="000000" w:themeColor="text1"/>
        </w:rPr>
        <w:br/>
        <w:t>• The implementation of consistent local measures of student performance to inform specially designed math instruction aligned with State standard and can be used across LEAs for the analysis of student growth over time.</w:t>
      </w:r>
      <w:r w:rsidRPr="00781112">
        <w:rPr>
          <w:color w:val="000000" w:themeColor="text1"/>
        </w:rPr>
        <w:br/>
        <w:t>•</w:t>
      </w:r>
      <w:r w:rsidRPr="00781112">
        <w:rPr>
          <w:color w:val="000000" w:themeColor="text1"/>
        </w:rPr>
        <w:tab/>
        <w:t xml:space="preserve">A replicable, well-defined approach for the selection and/or design of math intervention tailored to the unique needs of learners with disabilities. </w:t>
      </w:r>
      <w:r w:rsidRPr="00781112">
        <w:rPr>
          <w:color w:val="000000" w:themeColor="text1"/>
        </w:rPr>
        <w:br/>
        <w:t>•</w:t>
      </w:r>
      <w:r w:rsidRPr="00781112">
        <w:rPr>
          <w:color w:val="000000" w:themeColor="text1"/>
        </w:rPr>
        <w:tab/>
        <w:t xml:space="preserve">Establish protocols and practices for the evaluation of professional learning with coaching to demonstrate how changes in adult behavior/professional practice impacts student outcomes.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 xml:space="preserve">The State identified two data quality issues specific to the SiMR data for the final evaluation of SSIP implementation across the 4 LEAs (Charles, Cecil, Queen Anne’s, and Worcester). </w:t>
      </w:r>
      <w:r w:rsidRPr="00781112">
        <w:rPr>
          <w:color w:val="000000" w:themeColor="text1"/>
        </w:rPr>
        <w:br/>
      </w:r>
      <w:r w:rsidRPr="00781112">
        <w:rPr>
          <w:color w:val="000000" w:themeColor="text1"/>
        </w:rPr>
        <w:br/>
        <w:t>• Comparability of local assessments. MSDE collects low-stakes assessment data from the LEAs, and the LEAs participating in the SSIP each use different low-stakes assessments to measure mathematics performance throughout the school year. Each of these assessments have its own cut score for meeting grade-level standards and the threshold may not be comparable. While this may inform instruction within the schools or districts, it is less useful for evaluation purposes across districts. More valid conclusions can be reached when individual student data is collected and when MCAP test scores are available, since these allow for direct comparisons across the State.</w:t>
      </w:r>
      <w:r w:rsidRPr="00781112">
        <w:rPr>
          <w:color w:val="000000" w:themeColor="text1"/>
        </w:rPr>
        <w:br/>
      </w:r>
      <w:r w:rsidRPr="00781112">
        <w:rPr>
          <w:color w:val="000000" w:themeColor="text1"/>
        </w:rPr>
        <w:br/>
        <w:t xml:space="preserve">• Reporting on professional development/professional learning.  The LEAs began to take ownership and provide most of the professional learning in mathematics instruction and adaptations. LEAs received discretionary grant funding to supplement the provision of coaching to educators in their </w:t>
      </w:r>
      <w:r w:rsidRPr="00781112">
        <w:rPr>
          <w:color w:val="000000" w:themeColor="text1"/>
        </w:rPr>
        <w:lastRenderedPageBreak/>
        <w:t>schools, beginning with a few target schools and expanding across their districts. There was considerable variability in the extent to which the LEAs utilized the survey tool to provide evaluation data. As a result, data about PL participation and feedback may not be representative of all PL participants, depending on the response rate of each LEA.</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Data for FFY 20 was not collected because the assessment was not administered. An abbreviated assessment in fall of 2021 is not being publicly reported due to the nature of the assessment, altered in quality and timeline.</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http://mdideareport.org/SupportingDocuments/EvaluationPlanDraftFFY23.pdf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Changes to the evaluation are defined in the updates to the evaluation plan with an emphasis on greater specificity related </w:t>
      </w:r>
      <w:proofErr w:type="gramStart"/>
      <w:r w:rsidRPr="00781112">
        <w:rPr>
          <w:color w:val="000000" w:themeColor="text1"/>
        </w:rPr>
        <w:t>to :</w:t>
      </w:r>
      <w:proofErr w:type="gramEnd"/>
      <w:r w:rsidRPr="00781112">
        <w:rPr>
          <w:color w:val="000000" w:themeColor="text1"/>
        </w:rPr>
        <w:br/>
        <w:t>A formative evaluation will use data gathered during project implementation to help improve progress toward achieving SSIP goals. These will include qualitative input from implementers (University faculty, MSDE staff, school administrators, and implementing teachers), as well as ratings of products designed to guide the work of the SPDG/SSIP (e.g., EBP definitions, fidelity tools, products produced) related to quality, usefulness, and relevance, as well as alignment with research evidence, by an independent review panel of experts qualified to review the substantive content of product</w:t>
      </w:r>
      <w:r w:rsidRPr="00781112">
        <w:rPr>
          <w:color w:val="000000" w:themeColor="text1"/>
        </w:rPr>
        <w:br/>
        <w:t>A summative evaluation will focus on assessment of outcomes: the extent to which the SPDG/SSIP achieved its goals and objectives; the extent to which change in University coursework, State technical assistance, and Local professional learning activities has occurred; the extent to which participants implement EBPs with fidelity; as well as the extent to which there is an impact on student performance. Measures will include surveys (for Stakeholders, independent review panel, targeted participants), ratings based on criteria for content of products delivered (by Stakeholders and Independent review panel), fidelity of implementation, percent of completed components of local products delivered, percent of knowledge acquired through professional learning, and differential data of student achievement on State and local assessments.</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With the focus of the SSIP shifted to newly identified LEAs committed to the use of strengthened strategies in support of the implementation of refined evidence-based practices (EBP), the evaluation plan also shifted to measure both implementation and results. This shift occurred with funding from OSEP for a State Personnel Development Plan (SPDG) that maintained the SiMR but improved the methods for implementation. An additional focus on social-emotional learning as an EBP to support mathematics learning was added.</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w:t>
      </w:r>
      <w:r w:rsidRPr="00781112">
        <w:rPr>
          <w:color w:val="000000" w:themeColor="text1"/>
        </w:rPr>
        <w:tab/>
        <w:t xml:space="preserve">Governance: The State re-established LEA leadership teams which met a minimum of twice a year (virtually) to expand understanding of math instructional best/evidence-based practices, increase support across the State and develop coherent messaging from MSDE.  Documentation of challenges, successes, barriers, and solutions. </w:t>
      </w:r>
      <w:r w:rsidRPr="00781112">
        <w:rPr>
          <w:color w:val="000000" w:themeColor="text1"/>
        </w:rPr>
        <w:br/>
      </w:r>
      <w:r w:rsidRPr="00781112">
        <w:rPr>
          <w:color w:val="000000" w:themeColor="text1"/>
        </w:rPr>
        <w:br/>
        <w:t>• Professional Learning/Technical Assistance: The State continued to address capacity building across the SSIP districts and within the State implementation team. The original participant LEAs utilized State discretionary grant funding to support locally driven professional learning, instructional coaching, and continuous improvement.</w:t>
      </w:r>
      <w:r w:rsidRPr="00781112">
        <w:rPr>
          <w:color w:val="000000" w:themeColor="text1"/>
        </w:rPr>
        <w:br/>
      </w:r>
      <w:r w:rsidRPr="00781112">
        <w:rPr>
          <w:color w:val="000000" w:themeColor="text1"/>
        </w:rPr>
        <w:br/>
        <w:t>•</w:t>
      </w:r>
      <w:r w:rsidRPr="00781112">
        <w:rPr>
          <w:color w:val="000000" w:themeColor="text1"/>
        </w:rPr>
        <w:tab/>
        <w:t xml:space="preserve">Data: The State continued to support continuous improvement of learner outcomes in mathematics across the SSIP districts using EBP aligned to implementation fidelity specific to instructional coaching practices.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Governance:</w:t>
      </w:r>
      <w:r w:rsidRPr="00781112">
        <w:rPr>
          <w:color w:val="000000" w:themeColor="text1"/>
        </w:rPr>
        <w:br/>
        <w:t>•</w:t>
      </w:r>
      <w:r w:rsidRPr="00781112">
        <w:rPr>
          <w:color w:val="000000" w:themeColor="text1"/>
        </w:rPr>
        <w:tab/>
        <w:t xml:space="preserve">Peer systems coaching by DEI/SES staff members with LEA partners (engagement in monthly local implementation team meetings, initially onsite and then remotely) - technical assistance </w:t>
      </w:r>
      <w:r w:rsidRPr="00781112">
        <w:rPr>
          <w:color w:val="000000" w:themeColor="text1"/>
        </w:rPr>
        <w:br/>
        <w:t>• Increase the knowledge of stakeholders and acquire stakeholder input into SSIP strategies through regular participation in the SESAC quarterly meetings – accountability</w:t>
      </w:r>
      <w:r w:rsidRPr="00781112">
        <w:rPr>
          <w:color w:val="000000" w:themeColor="text1"/>
        </w:rPr>
        <w:br/>
        <w:t>•</w:t>
      </w:r>
      <w:r w:rsidRPr="00781112">
        <w:rPr>
          <w:color w:val="000000" w:themeColor="text1"/>
        </w:rPr>
        <w:tab/>
        <w:t xml:space="preserve">Increased quality and consistency in coaching through coaching conversations across SSIP districts to support fidelity (16% of teachers responding to survey indicate that the frequency of teacher-coach interactions occurred at least daily with an additional 16% of teachers indicating weekly contact.) </w:t>
      </w:r>
      <w:r w:rsidRPr="00781112">
        <w:rPr>
          <w:color w:val="000000" w:themeColor="text1"/>
        </w:rPr>
        <w:br/>
      </w:r>
      <w:r w:rsidRPr="00781112">
        <w:rPr>
          <w:color w:val="000000" w:themeColor="text1"/>
        </w:rPr>
        <w:br/>
        <w:t>Support / challenge to system change:</w:t>
      </w:r>
      <w:r w:rsidRPr="00781112">
        <w:rPr>
          <w:color w:val="000000" w:themeColor="text1"/>
        </w:rPr>
        <w:br/>
        <w:t>• Specific coaching protocols are necessary to support implementation. Variable practices across the 4 districts lead to inconsistencies in the evaluation of effectiveness. This is especially evident in the self-reported use of an “Established Fidelity Tool” at 25%.  It is critical that fidelity is clearly defined with observable criteria. Ongoing coaching through a protocol applied across schools and districts is a key component of the implementation plan moving forward. (The coaches’ assessment of their understanding of the EBP mathematics practices was indicative of a need for coaching aligned to EBP in mathematics. 20% of respondents indicated expertise in the math practice. 69% of respondents indicated a solid understanding of the math practice.)  Implementation with fidelity impacts local district and State sustainability of the EBP necessary to achieve the SiMR.</w:t>
      </w:r>
      <w:r w:rsidRPr="00781112">
        <w:rPr>
          <w:color w:val="000000" w:themeColor="text1"/>
        </w:rPr>
        <w:br/>
        <w:t>• Regular participation in the SESAC quarterly meetings failed to impact system change across the 4 districts or the State. Collaboration with partners is key to maximizing effectiveness. Plan implementation has been refined to address this infrastructure improvement strategy (see next steps summary).</w:t>
      </w:r>
      <w:r w:rsidRPr="00781112">
        <w:rPr>
          <w:color w:val="000000" w:themeColor="text1"/>
        </w:rPr>
        <w:br/>
        <w:t>Professional Learning/Technical Assistance:</w:t>
      </w:r>
      <w:r w:rsidRPr="00781112">
        <w:rPr>
          <w:color w:val="000000" w:themeColor="text1"/>
        </w:rPr>
        <w:br/>
      </w:r>
      <w:r w:rsidRPr="00781112">
        <w:rPr>
          <w:color w:val="000000" w:themeColor="text1"/>
        </w:rPr>
        <w:lastRenderedPageBreak/>
        <w:t>• State discretionary funding continued to support locally driven professional learning, instructional coaching, and continuous improvement.</w:t>
      </w:r>
      <w:r w:rsidRPr="00781112">
        <w:rPr>
          <w:color w:val="000000" w:themeColor="text1"/>
        </w:rPr>
        <w:br/>
        <w:t>•</w:t>
      </w:r>
      <w:r w:rsidRPr="00781112">
        <w:rPr>
          <w:color w:val="000000" w:themeColor="text1"/>
        </w:rPr>
        <w:tab/>
        <w:t xml:space="preserve">MSDE programmatic liaisons supported local actions with updates provided within the context of the “Conversations for Solutions” professional learning events. </w:t>
      </w:r>
      <w:r w:rsidRPr="00781112">
        <w:rPr>
          <w:color w:val="000000" w:themeColor="text1"/>
        </w:rPr>
        <w:br/>
        <w:t>Support / challenge to system change:</w:t>
      </w:r>
      <w:r w:rsidRPr="00781112">
        <w:rPr>
          <w:color w:val="000000" w:themeColor="text1"/>
        </w:rPr>
        <w:br/>
        <w:t>• After teachers, coaches, and administrators participated in a professional learning opportunity offered by the district or the State, they completed a survey in which they were asked about their level of knowledge before and after participating in the training event. Based on participant self-reporting, 76% of professional learning participants indicated that their knowledge increased “extensively”. Although participants reported increased knowledge and skills there was no mechanism to determine the impact of training on instructional practice, student outcomes, SiMR. Sustainability is achieved when the professional learning is implemented with fidelity overtime thus becoming a standard of practice. The professional learning and technical assistance implementation plan have been refined to address this infrastructure improvement strategy (see next steps summary).</w:t>
      </w:r>
      <w:r w:rsidRPr="00781112">
        <w:rPr>
          <w:color w:val="000000" w:themeColor="text1"/>
        </w:rPr>
        <w:br/>
        <w:t>Data:</w:t>
      </w:r>
      <w:r w:rsidRPr="00781112">
        <w:rPr>
          <w:color w:val="000000" w:themeColor="text1"/>
        </w:rPr>
        <w:br/>
        <w:t>Support / challenge to system change:</w:t>
      </w:r>
      <w:r w:rsidRPr="00781112">
        <w:rPr>
          <w:color w:val="000000" w:themeColor="text1"/>
        </w:rPr>
        <w:br/>
        <w:t>• Without a valid and usable data system, and without the talent and skill to use data reports for instructional decisions and to evaluate the impact of the EBP, local school systems will not be able to decide if they are being effective and will not be able to attribute any change in student performance to actual change in teacher instruction. Data use for decisions is critical to both achieving the SiMR and for sustaining use of EBPs over time.</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Next steps include the following:</w:t>
      </w:r>
      <w:r w:rsidRPr="00781112">
        <w:rPr>
          <w:color w:val="000000" w:themeColor="text1"/>
        </w:rPr>
        <w:br/>
        <w:t>•</w:t>
      </w:r>
      <w:r w:rsidRPr="00781112">
        <w:rPr>
          <w:color w:val="000000" w:themeColor="text1"/>
        </w:rPr>
        <w:tab/>
        <w:t xml:space="preserve">Governance: </w:t>
      </w:r>
      <w:r w:rsidRPr="00781112">
        <w:rPr>
          <w:color w:val="000000" w:themeColor="text1"/>
        </w:rPr>
        <w:br/>
        <w:t>o The State has implemented a Stakeholder Advisory Group which meets quarterly to:</w:t>
      </w:r>
      <w:r w:rsidRPr="00781112">
        <w:rPr>
          <w:color w:val="000000" w:themeColor="text1"/>
        </w:rPr>
        <w:br/>
        <w:t>? Develop a shared understanding of EBP</w:t>
      </w:r>
      <w:r w:rsidRPr="00781112">
        <w:rPr>
          <w:color w:val="000000" w:themeColor="text1"/>
        </w:rPr>
        <w:br/>
        <w:t>? Advise the design of EBP</w:t>
      </w:r>
      <w:r w:rsidRPr="00781112">
        <w:rPr>
          <w:color w:val="000000" w:themeColor="text1"/>
        </w:rPr>
        <w:br/>
        <w:t>? Advise on family and community engagement</w:t>
      </w:r>
      <w:r w:rsidRPr="00781112">
        <w:rPr>
          <w:color w:val="000000" w:themeColor="text1"/>
        </w:rPr>
        <w:br/>
        <w:t>? Review data and plan of the Design Team</w:t>
      </w:r>
      <w:r w:rsidRPr="00781112">
        <w:rPr>
          <w:color w:val="000000" w:themeColor="text1"/>
        </w:rPr>
        <w:br/>
        <w:t>? Contribute to the evaluation process</w:t>
      </w:r>
      <w:r w:rsidRPr="00781112">
        <w:rPr>
          <w:color w:val="000000" w:themeColor="text1"/>
        </w:rPr>
        <w:br/>
        <w:t>o The State recognizes that diversity of representation, knowledge and skills, and expertise are essential to systems change and shared ownership of improvement outcomes. This includes a Design Team and Focus Groups composed of:</w:t>
      </w:r>
      <w:r w:rsidRPr="00781112">
        <w:rPr>
          <w:color w:val="000000" w:themeColor="text1"/>
        </w:rPr>
        <w:br/>
        <w:t>? University partners</w:t>
      </w:r>
      <w:r w:rsidRPr="00781112">
        <w:rPr>
          <w:color w:val="000000" w:themeColor="text1"/>
        </w:rPr>
        <w:br/>
        <w:t>? National experts</w:t>
      </w:r>
      <w:r w:rsidRPr="00781112">
        <w:rPr>
          <w:color w:val="000000" w:themeColor="text1"/>
        </w:rPr>
        <w:br/>
        <w:t>?</w:t>
      </w:r>
      <w:r w:rsidRPr="00781112">
        <w:rPr>
          <w:color w:val="000000" w:themeColor="text1"/>
        </w:rPr>
        <w:tab/>
        <w:t xml:space="preserve">State and Local leadership </w:t>
      </w:r>
      <w:r w:rsidRPr="00781112">
        <w:rPr>
          <w:color w:val="000000" w:themeColor="text1"/>
        </w:rPr>
        <w:br/>
        <w:t>? Diverse school communities across LEAs</w:t>
      </w:r>
      <w:r w:rsidRPr="00781112">
        <w:rPr>
          <w:color w:val="000000" w:themeColor="text1"/>
        </w:rPr>
        <w:br/>
        <w:t>o</w:t>
      </w:r>
      <w:r w:rsidRPr="00781112">
        <w:rPr>
          <w:color w:val="000000" w:themeColor="text1"/>
        </w:rPr>
        <w:tab/>
        <w:t xml:space="preserve">The State has identified key personnel to contribute to the oversight, management, and day to day operations of the implementation plan as defined in the SPDG  </w:t>
      </w:r>
      <w:r w:rsidRPr="00781112">
        <w:rPr>
          <w:color w:val="000000" w:themeColor="text1"/>
        </w:rPr>
        <w:br/>
        <w:t>Outcomes:</w:t>
      </w:r>
      <w:r w:rsidRPr="00781112">
        <w:rPr>
          <w:color w:val="000000" w:themeColor="text1"/>
        </w:rPr>
        <w:br/>
        <w:t>o Conduct Stakeholders Advisory Group and establish Focus Groups</w:t>
      </w:r>
      <w:r w:rsidRPr="00781112">
        <w:rPr>
          <w:color w:val="000000" w:themeColor="text1"/>
        </w:rPr>
        <w:br/>
        <w:t>o</w:t>
      </w:r>
      <w:r w:rsidRPr="00781112">
        <w:rPr>
          <w:color w:val="000000" w:themeColor="text1"/>
        </w:rPr>
        <w:tab/>
        <w:t xml:space="preserve">Establish practice profiles to operationalize Professional Learning, Math, SDI and SEL EBP </w:t>
      </w:r>
      <w:r w:rsidRPr="00781112">
        <w:rPr>
          <w:color w:val="000000" w:themeColor="text1"/>
        </w:rPr>
        <w:br/>
        <w:t>o</w:t>
      </w:r>
      <w:r w:rsidRPr="00781112">
        <w:rPr>
          <w:color w:val="000000" w:themeColor="text1"/>
        </w:rPr>
        <w:tab/>
        <w:t xml:space="preserve">Implement Math SDI and SEL within an integrated, tiered system of supports </w:t>
      </w:r>
      <w:r w:rsidRPr="00781112">
        <w:rPr>
          <w:color w:val="000000" w:themeColor="text1"/>
        </w:rPr>
        <w:br/>
        <w:t>o Embed EBP Math in SDI and SEL university level coursework</w:t>
      </w:r>
      <w:r w:rsidRPr="00781112">
        <w:rPr>
          <w:color w:val="000000" w:themeColor="text1"/>
        </w:rPr>
        <w:br/>
        <w:t>• Professional Learning/Technical Assistance: The State has established a refined framework for professional learning and coaching using guidance from NIRN for operationalizing the essential functions of core professional learning and coaching activities</w:t>
      </w:r>
      <w:r w:rsidRPr="00781112">
        <w:rPr>
          <w:color w:val="000000" w:themeColor="text1"/>
        </w:rPr>
        <w:br/>
        <w:t>o Application of framework across university, State, and local learning environments inclusive of</w:t>
      </w:r>
      <w:r w:rsidRPr="00781112">
        <w:rPr>
          <w:color w:val="000000" w:themeColor="text1"/>
        </w:rPr>
        <w:br/>
        <w:t>? Content focus</w:t>
      </w:r>
      <w:r w:rsidRPr="00781112">
        <w:rPr>
          <w:color w:val="000000" w:themeColor="text1"/>
        </w:rPr>
        <w:br/>
        <w:t>? Active learning</w:t>
      </w:r>
      <w:r w:rsidRPr="00781112">
        <w:rPr>
          <w:color w:val="000000" w:themeColor="text1"/>
        </w:rPr>
        <w:br/>
        <w:t>? Sustained connections within a professional learning community</w:t>
      </w:r>
      <w:r w:rsidRPr="00781112">
        <w:rPr>
          <w:color w:val="000000" w:themeColor="text1"/>
        </w:rPr>
        <w:br/>
        <w:t>? Collective participation</w:t>
      </w:r>
      <w:r w:rsidRPr="00781112">
        <w:rPr>
          <w:color w:val="000000" w:themeColor="text1"/>
        </w:rPr>
        <w:br/>
        <w:t>?</w:t>
      </w:r>
      <w:r w:rsidRPr="00781112">
        <w:rPr>
          <w:color w:val="000000" w:themeColor="text1"/>
        </w:rPr>
        <w:tab/>
        <w:t xml:space="preserve">Coherence including the use of data analytics from real student data </w:t>
      </w:r>
      <w:r w:rsidRPr="00781112">
        <w:rPr>
          <w:color w:val="000000" w:themeColor="text1"/>
        </w:rPr>
        <w:br/>
        <w:t>o</w:t>
      </w:r>
      <w:r w:rsidRPr="00781112">
        <w:rPr>
          <w:color w:val="000000" w:themeColor="text1"/>
        </w:rPr>
        <w:tab/>
        <w:t xml:space="preserve">Emphasis on broad stakeholder ownership as the foundation for systemic change </w:t>
      </w:r>
      <w:r w:rsidRPr="00781112">
        <w:rPr>
          <w:color w:val="000000" w:themeColor="text1"/>
        </w:rPr>
        <w:br/>
        <w:t>o</w:t>
      </w:r>
      <w:r w:rsidRPr="00781112">
        <w:rPr>
          <w:color w:val="000000" w:themeColor="text1"/>
        </w:rPr>
        <w:tab/>
        <w:t xml:space="preserve">Professional learning integrated with school improvement </w:t>
      </w:r>
      <w:r w:rsidRPr="00781112">
        <w:rPr>
          <w:color w:val="000000" w:themeColor="text1"/>
        </w:rPr>
        <w:br/>
        <w:t>Outcomes:</w:t>
      </w:r>
      <w:r w:rsidRPr="00781112">
        <w:rPr>
          <w:color w:val="000000" w:themeColor="text1"/>
        </w:rPr>
        <w:br/>
        <w:t>o Model and implement professional learning and coaching practices for State and local personnel implementing improvement planning</w:t>
      </w:r>
      <w:r w:rsidRPr="00781112">
        <w:rPr>
          <w:color w:val="000000" w:themeColor="text1"/>
        </w:rPr>
        <w:br/>
        <w:t>o Embed EBP in Math, SDI, and SEL practices in special education teacher preparation coursework</w:t>
      </w:r>
      <w:r w:rsidRPr="00781112">
        <w:rPr>
          <w:color w:val="000000" w:themeColor="text1"/>
        </w:rPr>
        <w:br/>
        <w:t>o</w:t>
      </w:r>
      <w:r w:rsidRPr="00781112">
        <w:rPr>
          <w:color w:val="000000" w:themeColor="text1"/>
        </w:rPr>
        <w:tab/>
        <w:t xml:space="preserve">Implement PL EBP with fidelity </w:t>
      </w:r>
      <w:r w:rsidRPr="00781112">
        <w:rPr>
          <w:color w:val="000000" w:themeColor="text1"/>
        </w:rPr>
        <w:br/>
        <w:t>o Embed EBP Math in SDI and SEL university level coursework</w:t>
      </w:r>
      <w:r w:rsidRPr="00781112">
        <w:rPr>
          <w:color w:val="000000" w:themeColor="text1"/>
        </w:rPr>
        <w:br/>
        <w:t>o</w:t>
      </w:r>
      <w:r w:rsidRPr="00781112">
        <w:rPr>
          <w:color w:val="000000" w:themeColor="text1"/>
        </w:rPr>
        <w:tab/>
        <w:t xml:space="preserve">Conduct a “retreat” with the Design Team, Implementation Team, and external evaluator to determine plan modifications </w:t>
      </w:r>
      <w:r w:rsidRPr="00781112">
        <w:rPr>
          <w:color w:val="000000" w:themeColor="text1"/>
        </w:rPr>
        <w:br/>
        <w:t>• Data: The State will demonstrate continuous improvement of learner outcomes in mathematics across the SSIP districts as evidenced in</w:t>
      </w:r>
      <w:r w:rsidRPr="00781112">
        <w:rPr>
          <w:color w:val="000000" w:themeColor="text1"/>
        </w:rPr>
        <w:br/>
        <w:t>the SiMR data.</w:t>
      </w:r>
      <w:r w:rsidRPr="00781112">
        <w:rPr>
          <w:color w:val="000000" w:themeColor="text1"/>
        </w:rPr>
        <w:br/>
        <w:t>o Increased achievement in mathematics for children with disabilities over 3 years (MCAP data)</w:t>
      </w:r>
      <w:r w:rsidRPr="00781112">
        <w:rPr>
          <w:color w:val="000000" w:themeColor="text1"/>
        </w:rPr>
        <w:br/>
        <w:t>o School-wide decrease in achievement gap in mathematics (Universal Screener)</w:t>
      </w:r>
      <w:r w:rsidRPr="00781112">
        <w:rPr>
          <w:color w:val="000000" w:themeColor="text1"/>
        </w:rPr>
        <w:br/>
        <w:t>o Increased social emotional competence (SEL assessment tool)</w:t>
      </w:r>
      <w:r w:rsidRPr="00781112">
        <w:rPr>
          <w:color w:val="000000" w:themeColor="text1"/>
        </w:rPr>
        <w:br/>
        <w:t>o Improved implementation of professional learning (QUR &amp; E)</w:t>
      </w:r>
      <w:r w:rsidRPr="00781112">
        <w:rPr>
          <w:color w:val="000000" w:themeColor="text1"/>
        </w:rPr>
        <w:br/>
        <w:t>Outcomes:</w:t>
      </w:r>
      <w:r w:rsidRPr="00781112">
        <w:rPr>
          <w:color w:val="000000" w:themeColor="text1"/>
        </w:rPr>
        <w:br/>
        <w:t>o Gather and report student baseline data in mathematics achievement and SEL- competence</w:t>
      </w:r>
      <w:r w:rsidRPr="00781112">
        <w:rPr>
          <w:color w:val="000000" w:themeColor="text1"/>
        </w:rPr>
        <w:br/>
        <w:t>o Create district and school profiles of instructional, curricular, intervention, and PL practices</w:t>
      </w:r>
      <w:r w:rsidRPr="00781112">
        <w:rPr>
          <w:color w:val="000000" w:themeColor="text1"/>
        </w:rPr>
        <w:br/>
        <w:t>o Create and implement EBP Math, SDI, and SEL fidelity measures</w:t>
      </w:r>
      <w:r w:rsidRPr="00781112">
        <w:rPr>
          <w:color w:val="000000" w:themeColor="text1"/>
        </w:rPr>
        <w:br/>
        <w:t>o Collect PL and coaching fidelity data in University courses</w:t>
      </w:r>
      <w:r w:rsidRPr="00781112">
        <w:rPr>
          <w:color w:val="000000" w:themeColor="text1"/>
        </w:rPr>
        <w:br/>
        <w:t>o</w:t>
      </w:r>
      <w:r w:rsidRPr="00781112">
        <w:rPr>
          <w:color w:val="000000" w:themeColor="text1"/>
        </w:rPr>
        <w:tab/>
        <w:t xml:space="preserve">Analyze and summarize student performance data by grade, school, and district to target improvement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The EBPs implemented by the 4 LEAs (Charles, Cecil, Queen Anne’s, and Worcester) critical to achieving the SiMR for this reporting period were identified by each LEA. Implementation continued to promote mathematics proficiency for students with disabilities in targeted elementary schools:</w:t>
      </w:r>
      <w:r w:rsidRPr="00781112">
        <w:rPr>
          <w:color w:val="000000" w:themeColor="text1"/>
        </w:rPr>
        <w:br/>
        <w:t>• Cecil County: “Targeted Mathematics Instruction” designed through a practice profile and fidelity tool.</w:t>
      </w:r>
      <w:r w:rsidRPr="00781112">
        <w:rPr>
          <w:color w:val="000000" w:themeColor="text1"/>
        </w:rPr>
        <w:br/>
        <w:t xml:space="preserve">• Charles County: Team Based Cycle of Instruction (TBCI) and Structured Cooperative Learning (SCL) with embedded culturally responsive practices </w:t>
      </w:r>
      <w:r w:rsidRPr="00781112">
        <w:rPr>
          <w:color w:val="000000" w:themeColor="text1"/>
        </w:rPr>
        <w:lastRenderedPageBreak/>
        <w:t>within math instruction.</w:t>
      </w:r>
      <w:r w:rsidRPr="00781112">
        <w:rPr>
          <w:color w:val="000000" w:themeColor="text1"/>
        </w:rPr>
        <w:br/>
        <w:t>•</w:t>
      </w:r>
      <w:r w:rsidRPr="00781112">
        <w:rPr>
          <w:color w:val="000000" w:themeColor="text1"/>
        </w:rPr>
        <w:tab/>
        <w:t xml:space="preserve">Queen Anne’s County: “Do The Math” Intervention scaled up across all elementary schools (https://www.hmhco.com/products/do-the-math/) </w:t>
      </w:r>
      <w:r w:rsidRPr="00781112">
        <w:rPr>
          <w:color w:val="000000" w:themeColor="text1"/>
        </w:rPr>
        <w:br/>
        <w:t>• Worcester County: Main Lesson, Menu Lesson Instructional Framework based on John Tapper’s instructional strategies and Concrete, Representational, Abstract (CRA) assessments.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TARGETED MATH INSTRUCTION</w:t>
      </w:r>
      <w:r w:rsidRPr="00781112">
        <w:rPr>
          <w:color w:val="000000" w:themeColor="text1"/>
        </w:rPr>
        <w:br/>
        <w:t>Core Components:</w:t>
      </w:r>
      <w:r w:rsidRPr="00781112">
        <w:rPr>
          <w:color w:val="000000" w:themeColor="text1"/>
        </w:rPr>
        <w:br/>
        <w:t>1.      Formative Assessment</w:t>
      </w:r>
      <w:r w:rsidRPr="00781112">
        <w:rPr>
          <w:color w:val="000000" w:themeColor="text1"/>
        </w:rPr>
        <w:br/>
        <w:t>2.      Math Content and Pedagogy</w:t>
      </w:r>
      <w:r w:rsidRPr="00781112">
        <w:rPr>
          <w:color w:val="000000" w:themeColor="text1"/>
        </w:rPr>
        <w:br/>
        <w:t>3.      Intervention Design</w:t>
      </w:r>
      <w:r w:rsidRPr="00781112">
        <w:rPr>
          <w:color w:val="000000" w:themeColor="text1"/>
        </w:rPr>
        <w:br/>
        <w:t>Formative Assessment:</w:t>
      </w:r>
      <w:r w:rsidRPr="00781112">
        <w:rPr>
          <w:color w:val="000000" w:themeColor="text1"/>
        </w:rPr>
        <w:br/>
        <w:t xml:space="preserve">High Leverage Assessments: are a progress monitoring tool that assess student understanding related to High Leverage Concepts at each grade level. </w:t>
      </w:r>
      <w:r w:rsidRPr="00781112">
        <w:rPr>
          <w:color w:val="000000" w:themeColor="text1"/>
        </w:rPr>
        <w:br/>
        <w:t>• Administer 3 times per school year</w:t>
      </w:r>
      <w:r w:rsidRPr="00781112">
        <w:rPr>
          <w:color w:val="000000" w:themeColor="text1"/>
        </w:rPr>
        <w:br/>
        <w:t>• Analyze student responses using the OGAP Learning Progressions</w:t>
      </w:r>
      <w:r w:rsidRPr="00781112">
        <w:rPr>
          <w:color w:val="000000" w:themeColor="text1"/>
        </w:rPr>
        <w:br/>
        <w:t>• Identify students in need of targeted instruction</w:t>
      </w:r>
      <w:r w:rsidRPr="00781112">
        <w:rPr>
          <w:color w:val="000000" w:themeColor="text1"/>
        </w:rPr>
        <w:br/>
        <w:t>Formative Probes: are a formative assessment administered during instruction to assess progress toward the High Leverage Concepts</w:t>
      </w:r>
      <w:r w:rsidRPr="00781112">
        <w:rPr>
          <w:color w:val="000000" w:themeColor="text1"/>
        </w:rPr>
        <w:br/>
        <w:t>• Administer as part of the instructional process</w:t>
      </w:r>
      <w:r w:rsidRPr="00781112">
        <w:rPr>
          <w:color w:val="000000" w:themeColor="text1"/>
        </w:rPr>
        <w:br/>
        <w:t>• Analyze student responses using the OGAP Learning Progressions</w:t>
      </w:r>
      <w:r w:rsidRPr="00781112">
        <w:rPr>
          <w:color w:val="000000" w:themeColor="text1"/>
        </w:rPr>
        <w:br/>
        <w:t>• Analyze to determine the areas of need for targeted instruction</w:t>
      </w:r>
      <w:r w:rsidRPr="00781112">
        <w:rPr>
          <w:color w:val="000000" w:themeColor="text1"/>
        </w:rPr>
        <w:br/>
        <w:t>Analysis of Student Work: involves teachers and teacher teams analyzing student work and strategies used in alignment with the OGAP Learning Progressions to inform instruction</w:t>
      </w:r>
      <w:r w:rsidRPr="00781112">
        <w:rPr>
          <w:color w:val="000000" w:themeColor="text1"/>
        </w:rPr>
        <w:br/>
        <w:t>• Analyze and sort student work to determine the applied student strategies and possible misconceptions</w:t>
      </w:r>
      <w:r w:rsidRPr="00781112">
        <w:rPr>
          <w:color w:val="000000" w:themeColor="text1"/>
        </w:rPr>
        <w:br/>
        <w:t>• Determine the next step for targeted instruction using the OGAP Learning Progressions</w:t>
      </w:r>
      <w:r w:rsidRPr="00781112">
        <w:rPr>
          <w:color w:val="000000" w:themeColor="text1"/>
        </w:rPr>
        <w:br/>
        <w:t>Results of Formative Assessment Analysis: are used to inform targeted instruction to narrow the gap between where students are on the OGAP Learning Progression and the current learning goal.</w:t>
      </w:r>
      <w:r w:rsidRPr="00781112">
        <w:rPr>
          <w:color w:val="000000" w:themeColor="text1"/>
        </w:rPr>
        <w:br/>
        <w:t>• Identify current levels and student strengths based on formative assessment</w:t>
      </w:r>
      <w:r w:rsidRPr="00781112">
        <w:rPr>
          <w:color w:val="000000" w:themeColor="text1"/>
        </w:rPr>
        <w:br/>
        <w:t>• Utilize the results of the formative assessment and identify the student’s placement on the OGAP Learning Progression.</w:t>
      </w:r>
      <w:r w:rsidRPr="00781112">
        <w:rPr>
          <w:color w:val="000000" w:themeColor="text1"/>
        </w:rPr>
        <w:br/>
        <w:t>• Identify the appropriate instructional pathway along the OGAP Learning Progression</w:t>
      </w:r>
      <w:r w:rsidRPr="00781112">
        <w:rPr>
          <w:color w:val="000000" w:themeColor="text1"/>
        </w:rPr>
        <w:br/>
        <w:t>Unique Student Needs: must be considered when planning targeted instruction. Universal Design for Learning, accommodations, modifications, and/or supplementary aids and services are critical instructional design considerations.</w:t>
      </w:r>
      <w:r w:rsidRPr="00781112">
        <w:rPr>
          <w:color w:val="000000" w:themeColor="text1"/>
        </w:rPr>
        <w:br/>
        <w:t>• Identify the learning characteristics and unique needs of students and utilize them in planning instruction</w:t>
      </w:r>
      <w:r w:rsidRPr="00781112">
        <w:rPr>
          <w:color w:val="000000" w:themeColor="text1"/>
        </w:rPr>
        <w:br/>
        <w:t>• Adhere to accommodations, modifications, and/or supplementary aids and services that are identified within the IEP</w:t>
      </w:r>
      <w:r w:rsidRPr="00781112">
        <w:rPr>
          <w:color w:val="000000" w:themeColor="text1"/>
        </w:rPr>
        <w:br/>
        <w:t>Standards-Based IEP Goals: in mathematics are identified and written based upon assessments that determine student understanding of high leverage concepts and readiness for major grade level content clusters.</w:t>
      </w:r>
      <w:r w:rsidRPr="00781112">
        <w:rPr>
          <w:color w:val="000000" w:themeColor="text1"/>
        </w:rPr>
        <w:br/>
        <w:t>• Identify instruction level mathematics goals addressing high level concepts in which students demonstrated difficulty</w:t>
      </w:r>
      <w:r w:rsidRPr="00781112">
        <w:rPr>
          <w:color w:val="000000" w:themeColor="text1"/>
        </w:rPr>
        <w:br/>
        <w:t>• Identify grade level mathematics goals addressing major grade level content clusters when necessary</w:t>
      </w:r>
      <w:r w:rsidRPr="00781112">
        <w:rPr>
          <w:color w:val="000000" w:themeColor="text1"/>
        </w:rPr>
        <w:br/>
        <w:t>• Main Lesson-Menu Lesson Plan</w:t>
      </w:r>
      <w:r w:rsidRPr="00781112">
        <w:rPr>
          <w:color w:val="000000" w:themeColor="text1"/>
        </w:rPr>
        <w:br/>
        <w:t>DO THE MATH ADAPTATIONS</w:t>
      </w:r>
      <w:r w:rsidRPr="00781112">
        <w:rPr>
          <w:color w:val="000000" w:themeColor="text1"/>
        </w:rPr>
        <w:br/>
        <w:t>Materials and Time</w:t>
      </w:r>
      <w:r w:rsidRPr="00781112">
        <w:rPr>
          <w:color w:val="000000" w:themeColor="text1"/>
        </w:rPr>
        <w:br/>
        <w:t>• Teacher and student materials ready</w:t>
      </w:r>
      <w:r w:rsidRPr="00781112">
        <w:rPr>
          <w:color w:val="000000" w:themeColor="text1"/>
        </w:rPr>
        <w:br/>
        <w:t>• Teacher organized and familiar with lesson</w:t>
      </w:r>
      <w:r w:rsidRPr="00781112">
        <w:rPr>
          <w:color w:val="000000" w:themeColor="text1"/>
        </w:rPr>
        <w:br/>
        <w:t>Instructional Routines</w:t>
      </w:r>
      <w:r w:rsidRPr="00781112">
        <w:rPr>
          <w:color w:val="000000" w:themeColor="text1"/>
        </w:rPr>
        <w:br/>
        <w:t>• The gradual release model is used to teach explicitly</w:t>
      </w:r>
      <w:r w:rsidRPr="00781112">
        <w:rPr>
          <w:color w:val="000000" w:themeColor="text1"/>
        </w:rPr>
        <w:br/>
        <w:t>• Concrete manipulatives are used to demonstrate concepts</w:t>
      </w:r>
      <w:r w:rsidRPr="00781112">
        <w:rPr>
          <w:color w:val="000000" w:themeColor="text1"/>
        </w:rPr>
        <w:br/>
        <w:t>• Mathematical representations are modeled and recorded on the board</w:t>
      </w:r>
      <w:r w:rsidRPr="00781112">
        <w:rPr>
          <w:color w:val="000000" w:themeColor="text1"/>
        </w:rPr>
        <w:br/>
        <w:t>• Accurate math vocabulary is modeled and consistently used during instruction</w:t>
      </w:r>
      <w:r w:rsidRPr="00781112">
        <w:rPr>
          <w:color w:val="000000" w:themeColor="text1"/>
        </w:rPr>
        <w:br/>
        <w:t>Student Engagement</w:t>
      </w:r>
      <w:r w:rsidRPr="00781112">
        <w:rPr>
          <w:color w:val="000000" w:themeColor="text1"/>
        </w:rPr>
        <w:br/>
        <w:t>• Students are focused and participate throughout all steps of the gradual release model</w:t>
      </w:r>
      <w:r w:rsidRPr="00781112">
        <w:rPr>
          <w:color w:val="000000" w:themeColor="text1"/>
        </w:rPr>
        <w:br/>
        <w:t>• Students work cooperatively with partners as directed for assigned instruction, games, Think-Pair-Share, etc.</w:t>
      </w:r>
      <w:r w:rsidRPr="00781112">
        <w:rPr>
          <w:color w:val="000000" w:themeColor="text1"/>
        </w:rPr>
        <w:br/>
        <w:t>• Manipulatives are utilized appropriately during instruction and partner work</w:t>
      </w:r>
      <w:r w:rsidRPr="00781112">
        <w:rPr>
          <w:color w:val="000000" w:themeColor="text1"/>
        </w:rPr>
        <w:br/>
        <w:t>Ongoing Evaluation/Check for Understanding</w:t>
      </w:r>
      <w:r w:rsidRPr="00781112">
        <w:rPr>
          <w:color w:val="000000" w:themeColor="text1"/>
        </w:rPr>
        <w:br/>
        <w:t>• The math content is modeled, and students are asked clarifying questions to demonstrate understanding before being released to work in pairs</w:t>
      </w:r>
      <w:r w:rsidRPr="00781112">
        <w:rPr>
          <w:color w:val="000000" w:themeColor="text1"/>
        </w:rPr>
        <w:br/>
        <w:t>• Student responses are acknowledged with appropriate feedback provided during direct instruction</w:t>
      </w:r>
      <w:r w:rsidRPr="00781112">
        <w:rPr>
          <w:color w:val="000000" w:themeColor="text1"/>
        </w:rPr>
        <w:br/>
        <w:t>• Students are monitored for understanding during partner work to assess readiness for release to independent work</w:t>
      </w:r>
      <w:r w:rsidRPr="00781112">
        <w:rPr>
          <w:color w:val="000000" w:themeColor="text1"/>
        </w:rPr>
        <w:br/>
        <w:t>• Students demonstrate the ability to apply concepts taught from the first lesson to other lessons throughout the week.</w:t>
      </w:r>
      <w:r w:rsidRPr="00781112">
        <w:rPr>
          <w:color w:val="000000" w:themeColor="text1"/>
        </w:rPr>
        <w:br/>
        <w:t>General Observations of the Group</w:t>
      </w:r>
      <w:r w:rsidRPr="00781112">
        <w:rPr>
          <w:color w:val="000000" w:themeColor="text1"/>
        </w:rPr>
        <w:br/>
        <w:t>• Student success rate is high</w:t>
      </w:r>
      <w:r w:rsidRPr="00781112">
        <w:rPr>
          <w:color w:val="000000" w:themeColor="text1"/>
        </w:rPr>
        <w:br/>
        <w:t>• Transitions between activities are smooth</w:t>
      </w:r>
      <w:r w:rsidRPr="00781112">
        <w:rPr>
          <w:color w:val="000000" w:themeColor="text1"/>
        </w:rPr>
        <w:br/>
        <w:t>• Teacher uses evidence from student work as a means to evaluate student understanding</w:t>
      </w:r>
      <w:r w:rsidRPr="00781112">
        <w:rPr>
          <w:color w:val="000000" w:themeColor="text1"/>
        </w:rPr>
        <w:br/>
        <w:t>• Teaching goals adjusted for each child as needed</w:t>
      </w:r>
      <w:r w:rsidRPr="00781112">
        <w:rPr>
          <w:color w:val="000000" w:themeColor="text1"/>
        </w:rPr>
        <w:br/>
      </w:r>
      <w:r w:rsidRPr="00781112">
        <w:rPr>
          <w:color w:val="000000" w:themeColor="text1"/>
        </w:rPr>
        <w:br/>
        <w:t xml:space="preserve">MAIN LESSON-MENU LESSON </w:t>
      </w:r>
      <w:r w:rsidRPr="00781112">
        <w:rPr>
          <w:color w:val="000000" w:themeColor="text1"/>
        </w:rPr>
        <w:br/>
        <w:t xml:space="preserve">Launch (5-10 minutes):                                                  </w:t>
      </w:r>
      <w:r w:rsidRPr="00781112">
        <w:rPr>
          <w:color w:val="000000" w:themeColor="text1"/>
        </w:rPr>
        <w:br/>
        <w:t>• Introduces main lesson, activates prior knowledge, and engages all learners (one step word problem or number talk)</w:t>
      </w:r>
      <w:r w:rsidRPr="00781112">
        <w:rPr>
          <w:color w:val="000000" w:themeColor="text1"/>
        </w:rPr>
        <w:br/>
        <w:t>o Teacher activates prior knowledge by engaging students with prior skills or understanding</w:t>
      </w:r>
      <w:r w:rsidRPr="00781112">
        <w:rPr>
          <w:color w:val="000000" w:themeColor="text1"/>
        </w:rPr>
        <w:br/>
        <w:t>o Teacher uses Launch to introduce Main Lesson (key concepts/strategies in Launch appear in Main Lesson)</w:t>
      </w:r>
      <w:r w:rsidRPr="00781112">
        <w:rPr>
          <w:color w:val="000000" w:themeColor="text1"/>
        </w:rPr>
        <w:br/>
        <w:t>o Teacher uses Launch to engage all students</w:t>
      </w:r>
      <w:r w:rsidRPr="00781112">
        <w:rPr>
          <w:color w:val="000000" w:themeColor="text1"/>
        </w:rPr>
        <w:br/>
        <w:t>Main Lesson (20-30 minutes):</w:t>
      </w:r>
      <w:r w:rsidRPr="00781112">
        <w:rPr>
          <w:color w:val="000000" w:themeColor="text1"/>
        </w:rPr>
        <w:br/>
        <w:t>• Lessons and learning targets usually come from a school or district mathematics program. Main lessons include a problem or task focused on a key math concept, makes strong use of student discourse, and uses heterogeneous grouping for the purpose of inclusion.</w:t>
      </w:r>
      <w:r w:rsidRPr="00781112">
        <w:rPr>
          <w:color w:val="000000" w:themeColor="text1"/>
        </w:rPr>
        <w:br/>
        <w:t>o Teacher provides problem solving experiences in heterogeneous groups</w:t>
      </w:r>
      <w:r w:rsidRPr="00781112">
        <w:rPr>
          <w:color w:val="000000" w:themeColor="text1"/>
        </w:rPr>
        <w:br/>
        <w:t>o Teacher provides multiple opportunities for student-to-student discourse</w:t>
      </w:r>
      <w:r w:rsidRPr="00781112">
        <w:rPr>
          <w:color w:val="000000" w:themeColor="text1"/>
        </w:rPr>
        <w:br/>
        <w:t>o Teacher communicates learning target(s) through verbal and visual strategies</w:t>
      </w:r>
      <w:r w:rsidRPr="00781112">
        <w:rPr>
          <w:color w:val="000000" w:themeColor="text1"/>
        </w:rPr>
        <w:br/>
        <w:t>o Teacher checks for student understanding of learning target(s)</w:t>
      </w:r>
      <w:r w:rsidRPr="00781112">
        <w:rPr>
          <w:color w:val="000000" w:themeColor="text1"/>
        </w:rPr>
        <w:br/>
        <w:t>o Teacher refers to learning target throughout lesson</w:t>
      </w:r>
      <w:r w:rsidRPr="00781112">
        <w:rPr>
          <w:color w:val="000000" w:themeColor="text1"/>
        </w:rPr>
        <w:br/>
      </w:r>
      <w:r w:rsidRPr="00781112">
        <w:rPr>
          <w:color w:val="000000" w:themeColor="text1"/>
        </w:rPr>
        <w:lastRenderedPageBreak/>
        <w:br/>
        <w:t>Menu (30-35 minutes):</w:t>
      </w:r>
      <w:r w:rsidRPr="00781112">
        <w:rPr>
          <w:color w:val="000000" w:themeColor="text1"/>
        </w:rPr>
        <w:br/>
        <w:t>• This part of the lesson plan is dedicated to differentiating instruction to meet the specific individual learning needs of students in the class.</w:t>
      </w:r>
      <w:r w:rsidRPr="00781112">
        <w:rPr>
          <w:color w:val="000000" w:themeColor="text1"/>
        </w:rPr>
        <w:br/>
        <w:t>o Teacher works with small groups or individual students while the rest of the class is engaged in a variety of learning activities.</w:t>
      </w:r>
      <w:r w:rsidRPr="00781112">
        <w:rPr>
          <w:color w:val="000000" w:themeColor="text1"/>
        </w:rPr>
        <w:br/>
        <w:t>o Students self-select from a variety of activities from a “menu.”</w:t>
      </w:r>
      <w:r w:rsidRPr="00781112">
        <w:rPr>
          <w:color w:val="000000" w:themeColor="text1"/>
        </w:rPr>
        <w:br/>
        <w:t>• Must Do’s/Can Do’s (Structural)</w:t>
      </w:r>
      <w:r w:rsidRPr="00781112">
        <w:rPr>
          <w:color w:val="000000" w:themeColor="text1"/>
        </w:rPr>
        <w:br/>
        <w:t>o An observable system for assigning required and optional activities</w:t>
      </w:r>
      <w:r w:rsidRPr="00781112">
        <w:rPr>
          <w:color w:val="000000" w:themeColor="text1"/>
        </w:rPr>
        <w:br/>
        <w:t>o Teacher provides choice of activities for students to take ownership of their learning</w:t>
      </w:r>
      <w:r w:rsidRPr="00781112">
        <w:rPr>
          <w:color w:val="000000" w:themeColor="text1"/>
        </w:rPr>
        <w:br/>
        <w:t>• Targeted Instruction (Content)</w:t>
      </w:r>
      <w:r w:rsidRPr="00781112">
        <w:rPr>
          <w:color w:val="000000" w:themeColor="text1"/>
        </w:rPr>
        <w:br/>
        <w:t>o Teacher uses formative assessments to modify instruction</w:t>
      </w:r>
      <w:r w:rsidRPr="00781112">
        <w:rPr>
          <w:color w:val="000000" w:themeColor="text1"/>
        </w:rPr>
        <w:br/>
        <w:t>• Math Games (Content)</w:t>
      </w:r>
      <w:r w:rsidRPr="00781112">
        <w:rPr>
          <w:color w:val="000000" w:themeColor="text1"/>
        </w:rPr>
        <w:br/>
        <w:t>o Teacher selects math games that serve an instructional purpose</w:t>
      </w:r>
      <w:r w:rsidRPr="00781112">
        <w:rPr>
          <w:color w:val="000000" w:themeColor="text1"/>
        </w:rPr>
        <w:br/>
        <w:t>o Teacher/Paraprofessional uses games as review of mastered skills or an exploration of new learning</w:t>
      </w:r>
      <w:r w:rsidRPr="00781112">
        <w:rPr>
          <w:color w:val="000000" w:themeColor="text1"/>
        </w:rPr>
        <w:br/>
        <w:t>• Journal Prompt (Content)</w:t>
      </w:r>
      <w:r w:rsidRPr="00781112">
        <w:rPr>
          <w:color w:val="000000" w:themeColor="text1"/>
        </w:rPr>
        <w:br/>
        <w:t>o Teacher provides a journal prompt that emphasizes student reflection on key math concepts</w:t>
      </w:r>
      <w:r w:rsidRPr="00781112">
        <w:rPr>
          <w:color w:val="000000" w:themeColor="text1"/>
        </w:rPr>
        <w:br/>
        <w:t>o Teacher provides written feedback to students on a rotating basis</w:t>
      </w:r>
      <w:r w:rsidRPr="00781112">
        <w:rPr>
          <w:color w:val="000000" w:themeColor="text1"/>
        </w:rPr>
        <w:br/>
        <w:t>o Teacher provides a journal for each student to write their reflections in</w:t>
      </w:r>
      <w:r w:rsidRPr="00781112">
        <w:rPr>
          <w:color w:val="000000" w:themeColor="text1"/>
        </w:rPr>
        <w:br/>
      </w:r>
      <w:r w:rsidRPr="00781112">
        <w:rPr>
          <w:color w:val="000000" w:themeColor="text1"/>
        </w:rPr>
        <w:br/>
        <w:t>Closure (5-10 minutes):</w:t>
      </w:r>
      <w:r w:rsidRPr="00781112">
        <w:rPr>
          <w:color w:val="000000" w:themeColor="text1"/>
        </w:rPr>
        <w:br/>
        <w:t>• Questions or problems are posed that are related to the learning goal to focus attention and discussion on the work completed during main lesson and/or menu.  These can sometimes take the form of exit slips or probes.</w:t>
      </w:r>
      <w:r w:rsidRPr="00781112">
        <w:rPr>
          <w:color w:val="000000" w:themeColor="text1"/>
        </w:rPr>
        <w:br/>
        <w:t>o Teacher poses question or problem to guide student to student discussion related to the learning goal</w:t>
      </w:r>
      <w:r w:rsidRPr="00781112">
        <w:rPr>
          <w:color w:val="000000" w:themeColor="text1"/>
        </w:rPr>
        <w:br/>
        <w:t>o Teacher asks students to reflect on the question or problem in small groups or partners</w:t>
      </w:r>
      <w:r w:rsidRPr="00781112">
        <w:rPr>
          <w:color w:val="000000" w:themeColor="text1"/>
        </w:rPr>
        <w:br/>
        <w:t>o Teacher asks groups or partners to share their thinking on question or problem</w:t>
      </w:r>
      <w:r w:rsidRPr="00781112">
        <w:rPr>
          <w:color w:val="000000" w:themeColor="text1"/>
        </w:rPr>
        <w:br/>
        <w:t>• Instruction and Assessment Strategies in Math Menu (throughout the lesson)</w:t>
      </w:r>
      <w:r w:rsidRPr="00781112">
        <w:rPr>
          <w:color w:val="000000" w:themeColor="text1"/>
        </w:rPr>
        <w:br/>
        <w:t>o</w:t>
      </w:r>
      <w:r w:rsidRPr="00781112">
        <w:rPr>
          <w:color w:val="000000" w:themeColor="text1"/>
        </w:rPr>
        <w:tab/>
        <w:t xml:space="preserve">Teacher asks questions to probe and deepen student understanding or uncover misconceptions. </w:t>
      </w:r>
      <w:r w:rsidRPr="00781112">
        <w:rPr>
          <w:color w:val="000000" w:themeColor="text1"/>
        </w:rPr>
        <w:br/>
        <w:t>o Teacher assists students in clarifying and assessing their thinking with one another.</w:t>
      </w:r>
      <w:r w:rsidRPr="00781112">
        <w:rPr>
          <w:color w:val="000000" w:themeColor="text1"/>
        </w:rPr>
        <w:br/>
        <w:t>• Student work is used to inform the planning of future menus</w:t>
      </w:r>
      <w:r w:rsidRPr="00781112">
        <w:rPr>
          <w:color w:val="000000" w:themeColor="text1"/>
        </w:rPr>
        <w:br/>
        <w:t>• Activities are offered at different levels of complexity</w:t>
      </w:r>
      <w:r w:rsidRPr="00781112">
        <w:rPr>
          <w:color w:val="000000" w:themeColor="text1"/>
        </w:rPr>
        <w:br/>
        <w:t>Formative assessment is used to Identify and support struggling learners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The mathematics EBPs were designed by teams following intensive year-long training. Implementation science strategies (e.g., using a practice profile and fidelity check) were used to define the EBP and train implementers to initial fidelity. The theory of action was employed to Identify if medium term objectives (teacher implementation) were achieved, as a path to achieving the long-term objective of the SiMR. Rates of fidelity were collected; initial ratings ranged from qualitative summaries to a checklist to a rubric; inconsistency in measures made it difficult to evaluate. This will change with the new SPDG work in which a State-level design team will create the definitions for the EBP and create the methods for measuring fidelity of implementation.</w:t>
      </w:r>
      <w:r w:rsidRPr="00781112">
        <w:rPr>
          <w:color w:val="000000" w:themeColor="text1"/>
        </w:rPr>
        <w:br/>
      </w:r>
      <w:r w:rsidRPr="00781112">
        <w:rPr>
          <w:color w:val="000000" w:themeColor="text1"/>
        </w:rPr>
        <w:br/>
        <w:t>Through consistent descriptors of an EBP, it is expected that teacher instruction will be consistent and measurable, allowing the SSIP leaders to evaluate the impact of the EBP on student performance.</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State’s external evaluator created an online tool that all SSIP stakeholders used to input data. This tool was a branching survey, such that participants indicate their role and the activity on which they are reporting. The tool then opened to the questions specific to that activity and role. The external evaluator partnered with MSDE to ensure the LEAs were using the online tool throughout the school year to track implementation of SSIP activities. MSDE and the external evaluator tracked response rates by LEA and respondent role.</w:t>
      </w:r>
      <w:r w:rsidRPr="00781112">
        <w:rPr>
          <w:color w:val="000000" w:themeColor="text1"/>
        </w:rPr>
        <w:br/>
      </w:r>
      <w:r w:rsidRPr="00781112">
        <w:rPr>
          <w:color w:val="000000" w:themeColor="text1"/>
        </w:rPr>
        <w:br/>
        <w:t>Coaches reported the percentage of their teachers who are implementing evidence-based practices (EBPs) and what percentage are implementing EBPs to fidelity. In addition to teachers’ use of the EBPs, coaches report the extent to which they understand their district’s mathematics EBP</w:t>
      </w:r>
      <w:r w:rsidRPr="00781112">
        <w:rPr>
          <w:color w:val="000000" w:themeColor="text1"/>
        </w:rPr>
        <w:br/>
        <w:t>Variable practices across the 4 districts led to inconsistencies in the evaluation of effectiveness. This was especially evident in the self-reported use of an “Established Fidelity Tool” at 25%.  It is critical that fidelity is clearly defined with observable criteria. Ongoing coaching through a protocol applied across schools and districts is a key component of the implementation plan moving forward. (The coaches’ assessment of their understanding of the EBP mathematics practices was indicative of a need for coaching aligned to EBP in mathematics. 20% of respondents indicated expertise in the math practice. 69% of respondents indicated a solid understanding of the math practice.)  Implementation with fidelity impacts local district and State sustainability of the EBP necessary to achieve the SiMR. After teachers, coaches, and administrators participated in a professional learning opportunity offered by the district or the State, they completed a survey in which they were asked about their level of knowledge before and after participating in the training event. Based on participant self-reporting, 76% of professional learning participants indicated that their knowledge increased “extensively”. Although participants reported increased knowledge and skills there was no mechanism to determine the impact of training on instructional practice, student outcomes, SiMR. Sustainability is achieved when the professional learning is implemented with fidelity overtime thus becoming a standard of practice.</w:t>
      </w:r>
      <w:r w:rsidRPr="00781112">
        <w:rPr>
          <w:color w:val="000000" w:themeColor="text1"/>
        </w:rPr>
        <w:br/>
      </w:r>
      <w:r w:rsidRPr="00781112">
        <w:rPr>
          <w:color w:val="000000" w:themeColor="text1"/>
        </w:rPr>
        <w:br/>
        <w:t>Data for FFY 20 was not collected because the assessment was not administered. An abbreviated assessment in fall of 2021 is not being publicly reported due to the nature of the assessment, altered in quality and timeline. Without a valid and usable data system, and without the talent and skill to use data reports for instructional decisions and to evaluate the impact of the EBP, local school systems will not be able to decide if they are being effective and will not be able to attribute any change in student performance to actual change in teacher instruction. Data use for decisions is critical to both achieving the SiMR and for sustaining use of EBPs over time.</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N/A</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lastRenderedPageBreak/>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It is expected that the 4 SSIP LEAs (Charles, Cecil, Queen Anne’s, and Worcester) will continue using their EBPs and ongoing coaching efforts as components of effective instructional practice and professional learning to continue to drive system change and improve student achievement. Strategies to achieve the SiMR are changing to meet the needs of learners with disabilities in mathematics for improvement plan implementation in the Revised SSIP LEAs (Baltimore and Howard). These strategies include:</w:t>
      </w:r>
      <w:r w:rsidRPr="00781112">
        <w:rPr>
          <w:color w:val="000000" w:themeColor="text1"/>
        </w:rPr>
        <w:br/>
      </w:r>
      <w:r w:rsidRPr="00781112">
        <w:rPr>
          <w:color w:val="000000" w:themeColor="text1"/>
        </w:rPr>
        <w:br/>
        <w:t>• Evidence-based Professional Learning and Coaching: under the guidance of Dr. Thomas Guskey, and other experts in coaching and professional learning, as well as input from stakeholders, MSDE will design a professional learning system or standards that can be applied across university, State TA, and local levels to support the development of personnel capacity to implement and sustain implementation of math and social-emotional instructional practices. Standards based on research will be designed for initial and ongoing professional learning as well as job-embedded coaching.</w:t>
      </w:r>
      <w:r w:rsidRPr="00781112">
        <w:rPr>
          <w:color w:val="000000" w:themeColor="text1"/>
        </w:rPr>
        <w:br/>
        <w:t>• Evidence-based specially designed mathematics instruction: under the guidance of Dr. Jenny Root, Dr. Paul Riccomini, and another national expert in teaching mathematics to students with disabilities in general education settings, and with stakeholder input, MSDE will design a standard approach to adapting an evidence-based mathematics curriculum and daily lessons for learners with varying disabilities.</w:t>
      </w:r>
      <w:r w:rsidRPr="00781112">
        <w:rPr>
          <w:color w:val="000000" w:themeColor="text1"/>
        </w:rPr>
        <w:br/>
        <w:t>• Research-based, embedded social-emotional supports: under the guidance of Dr. Doug Fisher, and with input from our stakeholders, MSDE will design an approach for addressing the social-emotional needs of mathematics learners with disabilities during mathematics instruction and across the school day as appropriate.</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If no, describe any changes to the activities, strategies or timelines described in the previous submission and include a rationale or justification for the changes.</w:t>
      </w:r>
    </w:p>
    <w:p w14:paraId="62108E5B" w14:textId="77777777" w:rsidR="00987BD2" w:rsidRDefault="00987BD2" w:rsidP="00987BD2">
      <w:r w:rsidRPr="00781112">
        <w:t>In Phase 1 of the SSIP the MSDE gathered stakeholders to examine a variety of student data, state indicator data, and input from a mixture of focus groups (advocates, LSS representatives, technical assistance partners, family members), resulting in agreement that math achievement was a priority area to address, and should become the State’s State-Identified Measurable Result (SiMR) with a focus on grades 3 through 5. The MSDE then provided professional development workshops and coaching from national math experts to build instructional capacity of state and local coaches and provided technical assistance to support LSSs to: a) design or select their elementary math intervention based on research, b) implement the practice, c) use a team-based continuous improvement cycle with a focus on fidelity data, and d) expand local training and coaching across elementary schools. Despite the relatively high levels of teacher implementation with fidelity, the following problems have been identified:</w:t>
      </w:r>
      <w:r w:rsidRPr="00781112">
        <w:br/>
        <w:t>•</w:t>
      </w:r>
      <w:r w:rsidRPr="00781112">
        <w:tab/>
        <w:t xml:space="preserve">The design or selection of the math evidence-based practice (EBP) and measures of fidelity were created locally and not through an agreed-upon criteria. With limited math materials for screening, progress monitoring, and intervention compared to reading, (Fuchs, undated) each district designed their own EBP and created a fidelity of implementation measure. Each district used a different math curriculum and designed a slightly different approach to intervention and specially designed instruction (SDI). There is a need for a replicable, well-defined approach to evidence-based core math instruction coupled with a replicable, well-defined approach for selecting or designing math interventions with specially designed instruction to respond to the unique needs of learners with disabilities. </w:t>
      </w:r>
      <w:r w:rsidRPr="00781112">
        <w:br/>
        <w:t>• The professional development model initially provided to participating LSSs also offered a coaching component through follow up grants. Local instructional coaching, however, varied across districts without a clear link to evidence-based coaching practices. There is a need to establish protocol and practice that is based on research for effective professional learning and coaching to sustain implementation with fidelity and continuously improve implementation.</w:t>
      </w:r>
      <w:r w:rsidRPr="00781112">
        <w:br/>
        <w:t>• The return of students to school post-covid restrictions resulted in a higher level of behavioral challenges from children who forgot how to “do school” or who were in K through 1st grade, transitioning to middle school, or transitioning to high school and had not had a solid structured educational experience that prepared them for a whole new way of teaching and learning methods. Social-emotional supports and affirming asset-based instruction has become recognizes as critical to support children’s participation in learning activities, especially for those with disabilities.</w:t>
      </w:r>
      <w:r w:rsidRPr="00781112">
        <w:br/>
      </w:r>
      <w:r w:rsidRPr="00781112">
        <w:br/>
        <w:t xml:space="preserve">MSDE has successfully applied for, and received, a State Personnel Development Grant that is specifically designed to address the SiMR, but with more highly structured strategies, fidelity measures, and PL/Coaching model that can be consistently applied across 2 school districts to improve student learning and demonstrate connections between teaching with evidence-based practices (both specially designed mathematics instruction and social-emotional support strategies). Rather than having districts design their math interventions, the work of the SPDG is to use national experts and research, with input from stakeholders including LEAs, to design practices that would be implemented with fidelity. A coaching model is being designed for implementation in FFY 23 and 24 that will be piloted and refined for replication across the State. Organizational structures that need to accompany professional learning will be addressed, such as: systems for using student data to analyze intervention needs, design of an integrated system of math and SEL supports that include the necessary, ongoing collaborative planning using continuous improvement cycles, and school schedules that allow for collaborative planning time and direct instruction in the needed dose and intensity for learners with disabilities.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Maryland’s SESAC is comprised of the following strong community stakeholders:</w:t>
      </w:r>
      <w:r w:rsidRPr="00781112">
        <w:rPr>
          <w:color w:val="000000" w:themeColor="text1"/>
        </w:rPr>
        <w:br/>
      </w:r>
      <w:r w:rsidRPr="00781112">
        <w:rPr>
          <w:color w:val="000000" w:themeColor="text1"/>
        </w:rPr>
        <w:br/>
      </w:r>
      <w:r w:rsidRPr="00781112">
        <w:rPr>
          <w:color w:val="000000" w:themeColor="text1"/>
        </w:rPr>
        <w:br/>
        <w:t>18 Parent Members</w:t>
      </w:r>
      <w:r w:rsidRPr="00781112">
        <w:rPr>
          <w:color w:val="000000" w:themeColor="text1"/>
        </w:rPr>
        <w:br/>
        <w:t>Juvenile Services Education</w:t>
      </w:r>
      <w:r w:rsidRPr="00781112">
        <w:rPr>
          <w:color w:val="000000" w:themeColor="text1"/>
        </w:rPr>
        <w:br/>
        <w:t>The Parents’ Place of Maryland</w:t>
      </w:r>
      <w:r w:rsidRPr="00781112">
        <w:rPr>
          <w:color w:val="000000" w:themeColor="text1"/>
        </w:rPr>
        <w:br/>
        <w:t>Maryland Higher Education Commission</w:t>
      </w:r>
      <w:r w:rsidRPr="00781112">
        <w:rPr>
          <w:color w:val="000000" w:themeColor="text1"/>
        </w:rPr>
        <w:br/>
        <w:t>4 LEA Representatives (administrators, service providers, etc.)</w:t>
      </w:r>
      <w:r w:rsidRPr="00781112">
        <w:rPr>
          <w:color w:val="000000" w:themeColor="text1"/>
        </w:rPr>
        <w:br/>
        <w:t>Maryland Association of Nonpublic Special Education Facilities</w:t>
      </w:r>
      <w:r w:rsidRPr="00781112">
        <w:rPr>
          <w:color w:val="000000" w:themeColor="text1"/>
        </w:rPr>
        <w:br/>
        <w:t>Maryland Department of Labor</w:t>
      </w:r>
      <w:r w:rsidRPr="00781112">
        <w:rPr>
          <w:color w:val="000000" w:themeColor="text1"/>
        </w:rPr>
        <w:br/>
        <w:t>Maryland Department of Disabilities</w:t>
      </w:r>
      <w:r w:rsidRPr="00781112">
        <w:rPr>
          <w:color w:val="000000" w:themeColor="text1"/>
        </w:rPr>
        <w:br/>
        <w:t>Maryland Developmental Disabilities Council</w:t>
      </w:r>
      <w:r w:rsidRPr="00781112">
        <w:rPr>
          <w:color w:val="000000" w:themeColor="text1"/>
        </w:rPr>
        <w:br/>
        <w:t>Division of Rehabilitation Services/Department of Disabilities</w:t>
      </w:r>
      <w:r w:rsidRPr="00781112">
        <w:rPr>
          <w:color w:val="000000" w:themeColor="text1"/>
        </w:rPr>
        <w:br/>
      </w:r>
      <w:r w:rsidRPr="00781112">
        <w:rPr>
          <w:color w:val="000000" w:themeColor="text1"/>
        </w:rPr>
        <w:lastRenderedPageBreak/>
        <w:t>The ARC of Maryland</w:t>
      </w:r>
      <w:r w:rsidRPr="00781112">
        <w:rPr>
          <w:color w:val="000000" w:themeColor="text1"/>
        </w:rPr>
        <w:br/>
        <w:t>Title I-Program Improvement &amp; Family Support, MSDE</w:t>
      </w:r>
      <w:r w:rsidRPr="00781112">
        <w:rPr>
          <w:color w:val="000000" w:themeColor="text1"/>
        </w:rPr>
        <w:br/>
        <w:t>Maryland State Education Association</w:t>
      </w:r>
      <w:r w:rsidRPr="00781112">
        <w:rPr>
          <w:color w:val="000000" w:themeColor="text1"/>
        </w:rPr>
        <w:br/>
        <w:t xml:space="preserve"> Maryland Department of Human Services</w:t>
      </w:r>
      <w:r w:rsidRPr="00781112">
        <w:rPr>
          <w:color w:val="000000" w:themeColor="text1"/>
        </w:rPr>
        <w:br/>
        <w:t>Division of Early Intervention/Special Education Services, MSDE</w:t>
      </w:r>
      <w:r w:rsidRPr="00781112">
        <w:rPr>
          <w:color w:val="000000" w:themeColor="text1"/>
        </w:rPr>
        <w:br/>
        <w:t xml:space="preserve">The Assistant State Superintendent of DEI/SES met with the SESAC during all five meetings during FFY 2021. SESAC members were informed of the Divisions’ priorities, including but not limited to the State’s SPP/APR and State's Systemic Improvement Plan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25, 2023, the draft FFY 2021 APR and data were presented to the SESAC. </w:t>
      </w:r>
      <w:r w:rsidRPr="00781112">
        <w:rPr>
          <w:color w:val="000000" w:themeColor="text1"/>
        </w:rPr>
        <w:br/>
      </w:r>
      <w:r w:rsidRPr="00781112">
        <w:rPr>
          <w:color w:val="000000" w:themeColor="text1"/>
        </w:rPr>
        <w:br/>
        <w:t xml:space="preserve">In preparation for submission of the FFY 2020-2025 SPP/APR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w:t>
      </w:r>
      <w:proofErr w:type="gramStart"/>
      <w:r w:rsidRPr="00781112">
        <w:rPr>
          <w:color w:val="000000" w:themeColor="text1"/>
        </w:rPr>
        <w:t>Both of these</w:t>
      </w:r>
      <w:proofErr w:type="gramEnd"/>
      <w:r w:rsidRPr="00781112">
        <w:rPr>
          <w:color w:val="000000" w:themeColor="text1"/>
        </w:rPr>
        <w:t xml:space="preserv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color w:val="000000" w:themeColor="text1"/>
        </w:rPr>
        <w:br/>
      </w:r>
      <w:r w:rsidRPr="00781112">
        <w:rPr>
          <w:color w:val="000000" w:themeColor="text1"/>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color w:val="000000" w:themeColor="text1"/>
        </w:rPr>
        <w:br/>
      </w:r>
      <w:r w:rsidRPr="00781112">
        <w:rPr>
          <w:color w:val="000000" w:themeColor="text1"/>
        </w:rPr>
        <w:br/>
        <w:t xml:space="preserve">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2021. Stakeholder feedback was obtained through April 22, </w:t>
      </w:r>
      <w:proofErr w:type="gramStart"/>
      <w:r w:rsidRPr="00781112">
        <w:rPr>
          <w:color w:val="000000" w:themeColor="text1"/>
        </w:rPr>
        <w:t>2022</w:t>
      </w:r>
      <w:proofErr w:type="gramEnd"/>
      <w:r w:rsidRPr="00781112">
        <w:rPr>
          <w:color w:val="000000" w:themeColor="text1"/>
        </w:rPr>
        <w:t xml:space="preserve">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r w:rsidRPr="00781112">
        <w:rPr>
          <w:color w:val="000000" w:themeColor="text1"/>
        </w:rPr>
        <w:br/>
      </w:r>
      <w:r w:rsidRPr="00781112">
        <w:rPr>
          <w:color w:val="000000" w:themeColor="text1"/>
        </w:rPr>
        <w:br/>
        <w:t xml:space="preserve">In preparation for its FFY 2021 APR submission, the State provided numerous opportunities to obtain stakeholder input on its data analysis, evaluating progress on targets, and improvement strategies. For </w:t>
      </w:r>
      <w:proofErr w:type="gramStart"/>
      <w:r w:rsidRPr="00781112">
        <w:rPr>
          <w:color w:val="000000" w:themeColor="text1"/>
        </w:rPr>
        <w:t>example</w:t>
      </w:r>
      <w:proofErr w:type="gramEnd"/>
      <w:r w:rsidRPr="00781112">
        <w:rPr>
          <w:color w:val="000000" w:themeColor="text1"/>
        </w:rPr>
        <w:t xml:space="preserve"> the MSDE, DEI/SES engages local leaders in Conversations for Solutions meetings 3 to 4 times per year. Meetings were held in August 2021, August 2022, and December 2022. Similarly, the DEI/SES obtained stakeholder feedback during each SESAC and Education Advocacy Coalition (EAC) Meeting, which both occur every other month. </w:t>
      </w:r>
      <w:r w:rsidRPr="00781112">
        <w:rPr>
          <w:color w:val="000000" w:themeColor="text1"/>
        </w:rPr>
        <w:br/>
      </w:r>
      <w:r w:rsidRPr="00781112">
        <w:rPr>
          <w:color w:val="000000" w:themeColor="text1"/>
        </w:rPr>
        <w:br/>
        <w:t>Because the State is proposing a new baseline and targets for Indicator #2 in FFY 2021, consistent with the APR reporting requirements, the State obtained feedback on its proposal at a December 14, 2022 Conversations for Solutions Meeting (which included early intervention and special education leadership from across Maryland, as well as parents and other stakeholder representatives) and the January 25, 2022 SESAC Meeting. Targets were revised as appropriate based on Stakeholder feedback and the final proposed targets are included in the the FFY 2021 submission.</w:t>
      </w:r>
      <w:r w:rsidRPr="00781112">
        <w:rPr>
          <w:color w:val="000000" w:themeColor="text1"/>
        </w:rPr>
        <w:br/>
      </w:r>
      <w:r w:rsidRPr="00781112">
        <w:rPr>
          <w:color w:val="000000" w:themeColor="text1"/>
        </w:rPr>
        <w:br/>
        <w:t xml:space="preserve">As required, the State revised Indicator 3A Assessment Participation targets to match the ESEA requirement of at least 95%.  Stakeholders were informed of this revision during the opportunities for stakeholder feedback mentioned above and were supportive of this revision.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For FFY ’21, stakeholder engagement occurred through the States Special Education State Advisory Committee (SESAC). The IDEA requires each State to establish and operate an advisory panel (SESAC) which,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Members must be individuals with disabilities or parents of students, ages birth through 21, with disabilities. Maryland’s SESAC is comprised of the following strong community stakeholders:</w:t>
      </w:r>
      <w:r w:rsidRPr="00781112">
        <w:rPr>
          <w:rFonts w:cs="Arial"/>
          <w:b w:val="0"/>
          <w:color w:val="000000" w:themeColor="text1"/>
          <w:szCs w:val="16"/>
        </w:rPr>
        <w:br/>
        <w:t>• 18 Parent Members</w:t>
      </w:r>
      <w:r w:rsidRPr="00781112">
        <w:rPr>
          <w:rFonts w:cs="Arial"/>
          <w:b w:val="0"/>
          <w:color w:val="000000" w:themeColor="text1"/>
          <w:szCs w:val="16"/>
        </w:rPr>
        <w:br/>
        <w:t>• Juvenile Services Education</w:t>
      </w:r>
      <w:r w:rsidRPr="00781112">
        <w:rPr>
          <w:rFonts w:cs="Arial"/>
          <w:b w:val="0"/>
          <w:color w:val="000000" w:themeColor="text1"/>
          <w:szCs w:val="16"/>
        </w:rPr>
        <w:br/>
        <w:t>• The Parents’ Place of Maryland</w:t>
      </w:r>
      <w:r w:rsidRPr="00781112">
        <w:rPr>
          <w:rFonts w:cs="Arial"/>
          <w:b w:val="0"/>
          <w:color w:val="000000" w:themeColor="text1"/>
          <w:szCs w:val="16"/>
        </w:rPr>
        <w:br/>
        <w:t>• Maryland Higher Education Commission</w:t>
      </w:r>
      <w:r w:rsidRPr="00781112">
        <w:rPr>
          <w:rFonts w:cs="Arial"/>
          <w:b w:val="0"/>
          <w:color w:val="000000" w:themeColor="text1"/>
          <w:szCs w:val="16"/>
        </w:rPr>
        <w:br/>
        <w:t>• 4 LEA Representatives (administrators, service providers, etc.)</w:t>
      </w:r>
      <w:r w:rsidRPr="00781112">
        <w:rPr>
          <w:rFonts w:cs="Arial"/>
          <w:b w:val="0"/>
          <w:color w:val="000000" w:themeColor="text1"/>
          <w:szCs w:val="16"/>
        </w:rPr>
        <w:br/>
        <w:t>• Maryland Association of Nonpublic Special Education Facilities</w:t>
      </w:r>
      <w:r w:rsidRPr="00781112">
        <w:rPr>
          <w:rFonts w:cs="Arial"/>
          <w:b w:val="0"/>
          <w:color w:val="000000" w:themeColor="text1"/>
          <w:szCs w:val="16"/>
        </w:rPr>
        <w:br/>
        <w:t>• Maryland Department of Labor</w:t>
      </w:r>
      <w:r w:rsidRPr="00781112">
        <w:rPr>
          <w:rFonts w:cs="Arial"/>
          <w:b w:val="0"/>
          <w:color w:val="000000" w:themeColor="text1"/>
          <w:szCs w:val="16"/>
        </w:rPr>
        <w:br/>
        <w:t>• Maryland Department of Disabilities</w:t>
      </w:r>
      <w:r w:rsidRPr="00781112">
        <w:rPr>
          <w:rFonts w:cs="Arial"/>
          <w:b w:val="0"/>
          <w:color w:val="000000" w:themeColor="text1"/>
          <w:szCs w:val="16"/>
        </w:rPr>
        <w:br/>
        <w:t>• Maryland Developmental Disabilities Council</w:t>
      </w:r>
      <w:r w:rsidRPr="00781112">
        <w:rPr>
          <w:rFonts w:cs="Arial"/>
          <w:b w:val="0"/>
          <w:color w:val="000000" w:themeColor="text1"/>
          <w:szCs w:val="16"/>
        </w:rPr>
        <w:br/>
        <w:t>• Division of Rehabilitation Services/Department of Disabilities</w:t>
      </w:r>
      <w:r w:rsidRPr="00781112">
        <w:rPr>
          <w:rFonts w:cs="Arial"/>
          <w:b w:val="0"/>
          <w:color w:val="000000" w:themeColor="text1"/>
          <w:szCs w:val="16"/>
        </w:rPr>
        <w:br/>
        <w:t>• The ARC of Maryland</w:t>
      </w:r>
      <w:r w:rsidRPr="00781112">
        <w:rPr>
          <w:rFonts w:cs="Arial"/>
          <w:b w:val="0"/>
          <w:color w:val="000000" w:themeColor="text1"/>
          <w:szCs w:val="16"/>
        </w:rPr>
        <w:br/>
        <w:t>• Title I-Program Improvement &amp; Family Support, MSDE</w:t>
      </w:r>
      <w:r w:rsidRPr="00781112">
        <w:rPr>
          <w:rFonts w:cs="Arial"/>
          <w:b w:val="0"/>
          <w:color w:val="000000" w:themeColor="text1"/>
          <w:szCs w:val="16"/>
        </w:rPr>
        <w:br/>
        <w:t>• Maryland State Education Association</w:t>
      </w:r>
      <w:r w:rsidRPr="00781112">
        <w:rPr>
          <w:rFonts w:cs="Arial"/>
          <w:b w:val="0"/>
          <w:color w:val="000000" w:themeColor="text1"/>
          <w:szCs w:val="16"/>
        </w:rPr>
        <w:br/>
        <w:t>• Maryland Department of Human Services</w:t>
      </w:r>
      <w:r w:rsidRPr="00781112">
        <w:rPr>
          <w:rFonts w:cs="Arial"/>
          <w:b w:val="0"/>
          <w:color w:val="000000" w:themeColor="text1"/>
          <w:szCs w:val="16"/>
        </w:rPr>
        <w:br/>
        <w:t>• Division of Early Intervention/Special Education Services, MSDE</w:t>
      </w:r>
      <w:r w:rsidRPr="00781112">
        <w:rPr>
          <w:rFonts w:cs="Arial"/>
          <w:b w:val="0"/>
          <w:color w:val="000000" w:themeColor="text1"/>
          <w:szCs w:val="16"/>
        </w:rPr>
        <w:br/>
      </w:r>
      <w:r w:rsidRPr="00781112">
        <w:rPr>
          <w:rFonts w:cs="Arial"/>
          <w:b w:val="0"/>
          <w:color w:val="000000" w:themeColor="text1"/>
          <w:szCs w:val="16"/>
        </w:rPr>
        <w:br/>
        <w:t>The Assistant State Superintendent of DEI/SES met with the SESAC during all five meetings during FFY 2020. SESAC members were informed of the Divisions’ priorities, including but not limited to the State’s APR and SSIP. Throughout FFY 2021,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w:t>
      </w:r>
      <w:r w:rsidRPr="00781112">
        <w:rPr>
          <w:rFonts w:cs="Arial"/>
          <w:b w:val="0"/>
          <w:color w:val="000000" w:themeColor="text1"/>
          <w:szCs w:val="16"/>
        </w:rPr>
        <w:br/>
      </w:r>
      <w:r w:rsidRPr="00781112">
        <w:rPr>
          <w:rFonts w:cs="Arial"/>
          <w:b w:val="0"/>
          <w:color w:val="000000" w:themeColor="text1"/>
          <w:szCs w:val="16"/>
        </w:rPr>
        <w:br/>
      </w:r>
      <w:r w:rsidRPr="00781112">
        <w:rPr>
          <w:rFonts w:cs="Arial"/>
          <w:b w:val="0"/>
          <w:color w:val="000000" w:themeColor="text1"/>
          <w:szCs w:val="16"/>
        </w:rPr>
        <w:lastRenderedPageBreak/>
        <w:t>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Like previous years, parents responding to both surveys provided low responses to issues of training or support. In addition, parents of students in preschool responded less favorably to receiving information about community services and supports. Parents of school-age students responded less favorably to the school providing them information on agencies that can assist their child in transition from school, providing information about organizations that support parents of students with disabilities, and explaining what options parents have if they disagree with the decision made by a school.</w:t>
      </w:r>
      <w:r w:rsidRPr="00781112">
        <w:rPr>
          <w:rFonts w:cs="Arial"/>
          <w:b w:val="0"/>
          <w:color w:val="000000" w:themeColor="text1"/>
          <w:szCs w:val="16"/>
        </w:rPr>
        <w:br/>
      </w:r>
      <w:r w:rsidRPr="00781112">
        <w:rPr>
          <w:rFonts w:cs="Arial"/>
          <w:b w:val="0"/>
          <w:color w:val="000000" w:themeColor="text1"/>
          <w:szCs w:val="16"/>
        </w:rPr>
        <w:br/>
        <w:t>In FFY ’22, the MSDE created a Stakeholder Advisory Group (SAG) specifically aligned to the work of the SSIP through SPDG funding. This group, after a launch in November 2021, began interactive half-day quarterly meetings in which they learned, advised, and made specific recommendations on:</w:t>
      </w:r>
      <w:r w:rsidRPr="00781112">
        <w:rPr>
          <w:rFonts w:cs="Arial"/>
          <w:b w:val="0"/>
          <w:color w:val="000000" w:themeColor="text1"/>
          <w:szCs w:val="16"/>
        </w:rPr>
        <w:br/>
        <w:t>• Recruitment, readiness, and selection criteria for applicant LEAS who wanted to join the work to address the SiMR.</w:t>
      </w:r>
      <w:r w:rsidRPr="00781112">
        <w:rPr>
          <w:rFonts w:cs="Arial"/>
          <w:b w:val="0"/>
          <w:color w:val="000000" w:themeColor="text1"/>
          <w:szCs w:val="16"/>
        </w:rPr>
        <w:br/>
        <w:t>• Family partnership strategies focused specifically on engagement in their child’s learning of mathematics concepts.</w:t>
      </w:r>
      <w:r w:rsidRPr="00781112">
        <w:rPr>
          <w:rFonts w:cs="Arial"/>
          <w:b w:val="0"/>
          <w:color w:val="000000" w:themeColor="text1"/>
          <w:szCs w:val="16"/>
        </w:rPr>
        <w:br/>
        <w:t>• Incorporating social-emotional learning strategies into instruction using the Frey, Fisher, and Smith book: All learning is social and emotional (2019).</w:t>
      </w:r>
      <w:r w:rsidRPr="00781112">
        <w:rPr>
          <w:rFonts w:cs="Arial"/>
          <w:b w:val="0"/>
          <w:color w:val="000000" w:themeColor="text1"/>
          <w:szCs w:val="16"/>
        </w:rPr>
        <w:br/>
        <w:t>• Designing and clarifying the framework and practices for evidence-based mathematics instruction that would serve as the basis for implementation in target schools.</w:t>
      </w:r>
      <w:r w:rsidRPr="00781112">
        <w:rPr>
          <w:rFonts w:cs="Arial"/>
          <w:b w:val="0"/>
          <w:color w:val="000000" w:themeColor="text1"/>
          <w:szCs w:val="16"/>
        </w:rPr>
        <w:br/>
        <w:t>Members of the SAG include approximately 25 regularly attending representatives from:</w:t>
      </w:r>
      <w:r w:rsidRPr="00781112">
        <w:rPr>
          <w:rFonts w:cs="Arial"/>
          <w:b w:val="0"/>
          <w:color w:val="000000" w:themeColor="text1"/>
          <w:szCs w:val="16"/>
        </w:rPr>
        <w:br/>
        <w:t>• MSDE Assistant State Superintendents and Division staff (special education, data/evaluation, teaching and learning)</w:t>
      </w:r>
      <w:r w:rsidRPr="00781112">
        <w:rPr>
          <w:rFonts w:cs="Arial"/>
          <w:b w:val="0"/>
          <w:color w:val="000000" w:themeColor="text1"/>
          <w:szCs w:val="16"/>
        </w:rPr>
        <w:br/>
        <w:t>• Maryland Coalition for Inclusive Education</w:t>
      </w:r>
      <w:r w:rsidRPr="00781112">
        <w:rPr>
          <w:rFonts w:cs="Arial"/>
          <w:b w:val="0"/>
          <w:color w:val="000000" w:themeColor="text1"/>
          <w:szCs w:val="16"/>
        </w:rPr>
        <w:br/>
        <w:t>• Parents’ Place of Maryland</w:t>
      </w:r>
      <w:r w:rsidRPr="00781112">
        <w:rPr>
          <w:rFonts w:cs="Arial"/>
          <w:b w:val="0"/>
          <w:color w:val="000000" w:themeColor="text1"/>
          <w:szCs w:val="16"/>
        </w:rPr>
        <w:br/>
        <w:t>• MD Developmental Disabilities Council</w:t>
      </w:r>
      <w:r w:rsidRPr="00781112">
        <w:rPr>
          <w:rFonts w:cs="Arial"/>
          <w:b w:val="0"/>
          <w:color w:val="000000" w:themeColor="text1"/>
          <w:szCs w:val="16"/>
        </w:rPr>
        <w:br/>
        <w:t>• Kennedy Krieger Institute</w:t>
      </w:r>
      <w:r w:rsidRPr="00781112">
        <w:rPr>
          <w:rFonts w:cs="Arial"/>
          <w:b w:val="0"/>
          <w:color w:val="000000" w:themeColor="text1"/>
          <w:szCs w:val="16"/>
        </w:rPr>
        <w:br/>
        <w:t>• National Experts in math, SEL, and professional learning</w:t>
      </w:r>
      <w:r w:rsidRPr="00781112">
        <w:rPr>
          <w:rFonts w:cs="Arial"/>
          <w:b w:val="0"/>
          <w:color w:val="000000" w:themeColor="text1"/>
          <w:szCs w:val="16"/>
        </w:rPr>
        <w:br/>
        <w:t>• Towson University</w:t>
      </w:r>
      <w:r w:rsidRPr="00781112">
        <w:rPr>
          <w:rFonts w:cs="Arial"/>
          <w:b w:val="0"/>
          <w:color w:val="000000" w:themeColor="text1"/>
          <w:szCs w:val="16"/>
        </w:rPr>
        <w:br/>
        <w:t>• LEAs: Baltimore County and Howard County</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In each of the SAG half-day meetings, approximately 1/3 of the time is spent on learning through presentation/discussion with the SPDG Co-Principal Investigator and/or national experts (e.g., Doug Fisher, Jenny Root, Tom Guskey and more). The content of learning is components of implementation science (e.g., understanding fidelity or practice profiles), mathematics or SEL evidence-based practices, etc. </w:t>
      </w:r>
      <w:proofErr w:type="gramStart"/>
      <w:r w:rsidRPr="00781112">
        <w:rPr>
          <w:color w:val="000000" w:themeColor="text1"/>
        </w:rPr>
        <w:t>in order for</w:t>
      </w:r>
      <w:proofErr w:type="gramEnd"/>
      <w:r w:rsidRPr="00781112">
        <w:rPr>
          <w:color w:val="000000" w:themeColor="text1"/>
        </w:rPr>
        <w:t xml:space="preserve"> members to make informed recommendations. Approximately 1/3 of the time is devoted to small group problem-solving, and 1/3 of the time devoted to recommendations and next steps. These discussions have been very helpful in the LEA recruitment/selection process, decisions about implementation and family engagement, and in assisting MSDE staff in prioritizing the work.</w:t>
      </w:r>
      <w:r w:rsidRPr="00781112">
        <w:rPr>
          <w:color w:val="000000" w:themeColor="text1"/>
        </w:rPr>
        <w:br/>
        <w:t>In addition, members of the SAG participate in one of the following Design/Focus groups that meet between SAG meetings to design the EBPs and content in fidelity of implementation measures:</w:t>
      </w:r>
      <w:r w:rsidRPr="00781112">
        <w:rPr>
          <w:color w:val="000000" w:themeColor="text1"/>
        </w:rPr>
        <w:br/>
        <w:t>• Mathematics/Specially Designed Instruction</w:t>
      </w:r>
      <w:r w:rsidRPr="00781112">
        <w:rPr>
          <w:color w:val="000000" w:themeColor="text1"/>
        </w:rPr>
        <w:br/>
        <w:t>• Social-Emotional Learning</w:t>
      </w:r>
      <w:r w:rsidRPr="00781112">
        <w:rPr>
          <w:color w:val="000000" w:themeColor="text1"/>
        </w:rPr>
        <w:br/>
        <w:t>• Professional Learning/Coaching</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With a greater emphasis on the role of the university in teacher preparation, it is anticipated that Towson University can take a larger role in support of local school systems and can become a university model for integrating specially designed instruction with standards-based mathematics instruction with embedded social-emotional supports. This will be the work of the Stakeholder Advisory Group, Design Team and focus groups are ongoing.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Timelines have been adjusted to reflect ongoing implementation actions.</w:t>
      </w:r>
      <w:r w:rsidRPr="00781112">
        <w:rPr>
          <w:color w:val="000000" w:themeColor="text1"/>
        </w:rPr>
        <w:br/>
        <w:t>By the end of the 2023, the SPDG Design Team, with input from Stakeholders and focus group members, will Identify and design the EBPs associated with evidence-based specially designed math instruction and social-emotional supports, as measured by Stakeholders’ ratings of identified EBPs as a 4 out of 5 on a scale (very low – very high) quality, usefulness, relevance, and evidence-based.</w:t>
      </w:r>
      <w:r w:rsidRPr="00781112">
        <w:rPr>
          <w:color w:val="000000" w:themeColor="text1"/>
        </w:rPr>
        <w:br/>
      </w:r>
      <w:r w:rsidRPr="00781112">
        <w:rPr>
          <w:color w:val="000000" w:themeColor="text1"/>
        </w:rPr>
        <w:br/>
        <w:t>By the end of the 2023, the SPDG Design Team, with input from Stakeholders and focus group members, will define and establish the fidelity of implementation of EBP measures associated with specially designed math instruction and social-emotional supports, as measured by ratings of identified EBPs as a 4 out of 5 on a scale (very low – very high) quality, usefulness, relevance, and evidence-based.</w:t>
      </w:r>
      <w:r w:rsidRPr="00781112">
        <w:rPr>
          <w:color w:val="000000" w:themeColor="text1"/>
        </w:rPr>
        <w:br/>
      </w:r>
      <w:r w:rsidRPr="00781112">
        <w:rPr>
          <w:color w:val="000000" w:themeColor="text1"/>
        </w:rPr>
        <w:br/>
        <w:t>By the end of the 2023, the SPDG Design Team, with input from Stakeholders and focus group members, will revise the specially designed math and SEL EBP process based on implementation fidelity and coaching input, as measured by a 4 out of 5 QUR rating on a 1 – 5 scale) by teacher implementers.</w:t>
      </w:r>
      <w:r w:rsidRPr="00781112">
        <w:rPr>
          <w:color w:val="000000" w:themeColor="text1"/>
        </w:rPr>
        <w:br/>
      </w:r>
      <w:r w:rsidRPr="00781112">
        <w:rPr>
          <w:color w:val="000000" w:themeColor="text1"/>
        </w:rPr>
        <w:br/>
        <w:t>By the end of the 2024, Towson University faculty will have embedded EBP in math SDI and SEL practices in special education teacher preparation coursework, as measured by 60% fidelity in Year 2, and 70% fidelity in Year 3 and 4, and 80% in Year 5.</w:t>
      </w:r>
      <w:r w:rsidRPr="00781112">
        <w:rPr>
          <w:color w:val="000000" w:themeColor="text1"/>
        </w:rPr>
        <w:br/>
      </w:r>
      <w:r w:rsidRPr="00781112">
        <w:rPr>
          <w:color w:val="000000" w:themeColor="text1"/>
        </w:rPr>
        <w:br/>
        <w:t>By the end of Years 2022 - 2026, participants receiving PL services from PL implementers (University, State, and local) will demonstrate a 25% increase in knowledge as measured by pre-post course/PL activity assessments.</w:t>
      </w:r>
      <w:r w:rsidRPr="00781112">
        <w:rPr>
          <w:color w:val="000000" w:themeColor="text1"/>
        </w:rPr>
        <w:br/>
      </w:r>
      <w:r w:rsidRPr="00781112">
        <w:rPr>
          <w:color w:val="000000" w:themeColor="text1"/>
        </w:rPr>
        <w:br/>
        <w:t>By the end of the 2026, all general and special education elementary teachers participating in professional learning and coaching activities will demonstrate improved implementation of math and SEL EBPs as measured by 60% fidelity in Year 2, 70% fidelity in Year 3 and 4, and 80% in Year 5.</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lastRenderedPageBreak/>
        <w:t>N/A</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Brian Morrison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Branch Chief, </w:t>
      </w:r>
      <w:proofErr w:type="gramStart"/>
      <w:r w:rsidRPr="00781112">
        <w:rPr>
          <w:rFonts w:cs="Arial"/>
          <w:color w:val="000000" w:themeColor="text1"/>
          <w:szCs w:val="16"/>
        </w:rPr>
        <w:t>Policy</w:t>
      </w:r>
      <w:proofErr w:type="gramEnd"/>
      <w:r w:rsidRPr="00781112">
        <w:rPr>
          <w:rFonts w:cs="Arial"/>
          <w:color w:val="000000" w:themeColor="text1"/>
          <w:szCs w:val="16"/>
        </w:rPr>
        <w:t xml:space="preserve"> and Accountability</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brian.morrison@maryland.gov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410-767-0863</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1:08:47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271535D7" w14:textId="752AE319" w:rsidR="0025528E" w:rsidRPr="0025528E" w:rsidRDefault="0025528E" w:rsidP="0025528E">
      <w:pPr>
        <w:rPr>
          <w:b/>
          <w:bCs/>
          <w:sz w:val="20"/>
          <w:szCs w:val="28"/>
        </w:rPr>
      </w:pPr>
      <w:r w:rsidRPr="0025528E">
        <w:rPr>
          <w:b/>
          <w:bCs/>
          <w:sz w:val="20"/>
          <w:szCs w:val="28"/>
        </w:rPr>
        <w:t>Maryland</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78.75%</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15</w:t>
            </w:r>
          </w:p>
        </w:tc>
        <w:tc>
          <w:tcPr>
            <w:tcW w:w="1218" w:type="pct"/>
          </w:tcPr>
          <w:p w14:paraId="0E3866D0" w14:textId="74D5D84B" w:rsidR="00E1330D" w:rsidRPr="00210AC6" w:rsidRDefault="00E1330D" w:rsidP="00E1330D">
            <w:pPr>
              <w:rPr>
                <w:rFonts w:cs="Arial"/>
                <w:szCs w:val="16"/>
              </w:rPr>
            </w:pPr>
            <w:r w:rsidRPr="00210AC6">
              <w:rPr>
                <w:rFonts w:cs="Arial"/>
                <w:szCs w:val="16"/>
              </w:rPr>
              <w:t>62.50%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19</w:t>
            </w:r>
          </w:p>
        </w:tc>
        <w:tc>
          <w:tcPr>
            <w:tcW w:w="1218" w:type="pct"/>
          </w:tcPr>
          <w:p w14:paraId="568903BA" w14:textId="193CF7F1" w:rsidR="00E1330D" w:rsidRPr="00210AC6" w:rsidRDefault="00E1330D" w:rsidP="00E1330D">
            <w:pPr>
              <w:rPr>
                <w:rFonts w:cs="Arial"/>
                <w:szCs w:val="16"/>
              </w:rPr>
            </w:pPr>
            <w:r w:rsidRPr="00210AC6">
              <w:rPr>
                <w:rFonts w:cs="Arial"/>
                <w:szCs w:val="16"/>
              </w:rPr>
              <w:t>95.00%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91%</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84%</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23%</w:t>
            </w:r>
          </w:p>
        </w:tc>
        <w:tc>
          <w:tcPr>
            <w:tcW w:w="833" w:type="pct"/>
          </w:tcPr>
          <w:p w14:paraId="23A64B98" w14:textId="5F4E05F3" w:rsidR="00AC185D" w:rsidRPr="00210AC6" w:rsidRDefault="00AC185D" w:rsidP="00AC185D">
            <w:pPr>
              <w:rPr>
                <w:rFonts w:cs="Arial"/>
                <w:szCs w:val="16"/>
              </w:rPr>
            </w:pPr>
            <w:r w:rsidRPr="00210AC6">
              <w:rPr>
                <w:rFonts w:cs="Arial"/>
                <w:szCs w:val="16"/>
              </w:rPr>
              <w:t>1</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90%</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24%</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91%</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91%</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83%</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34%</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93%</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18%</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90%</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13</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74</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96.96%</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98.75%</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99.97%</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1</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Yes, 2 to 4 years</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5B5EAE5A" w14:textId="77777777" w:rsidR="0025528E" w:rsidRPr="0025528E" w:rsidRDefault="0025528E" w:rsidP="0025528E">
      <w:pPr>
        <w:rPr>
          <w:b/>
          <w:bCs/>
          <w:sz w:val="20"/>
          <w:szCs w:val="28"/>
        </w:rPr>
      </w:pPr>
      <w:r w:rsidRPr="0025528E">
        <w:rPr>
          <w:b/>
          <w:bCs/>
          <w:sz w:val="20"/>
          <w:szCs w:val="28"/>
        </w:rPr>
        <w:t>Maryland</w:t>
      </w:r>
    </w:p>
    <w:p w14:paraId="078383A9" w14:textId="77777777" w:rsidR="0025528E" w:rsidRPr="0025528E" w:rsidRDefault="0025528E" w:rsidP="0025528E"/>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7D4A7384" w14:textId="77777777" w:rsidR="008D2D48" w:rsidRDefault="008D2D48">
      <w:pPr>
        <w:spacing w:before="0" w:after="200" w:line="276" w:lineRule="auto"/>
      </w:pPr>
    </w:p>
    <w:p w14:paraId="10BA59E7" w14:textId="39F119CE" w:rsidR="0058254D" w:rsidRDefault="0025528E">
      <w:pPr>
        <w:spacing w:before="0" w:after="200" w:line="276" w:lineRule="auto"/>
      </w:pPr>
      <w:r>
        <w:object w:dxaOrig="1540" w:dyaOrig="997" w14:anchorId="4C708E1B">
          <v:shape id="_x0000_i1026" type="#_x0000_t75" alt="MD-B-DR-2021-22" style="width:77.25pt;height:49.5pt" o:ole="">
            <v:imagedata r:id="rId12" o:title=""/>
          </v:shape>
          <o:OLEObject Type="Embed" ProgID="Acrobat.Document.DC" ShapeID="_x0000_i1026" DrawAspect="Icon" ObjectID="_1753082009"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565A8D95" w:rsidR="00D84A0A" w:rsidRPr="00D733C3" w:rsidRDefault="00000000">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C52E" w14:textId="77777777" w:rsidR="00D23B30" w:rsidRDefault="00D23B30" w:rsidP="000802F7">
      <w:pPr>
        <w:spacing w:before="0" w:after="0"/>
      </w:pPr>
      <w:r>
        <w:separator/>
      </w:r>
    </w:p>
  </w:endnote>
  <w:endnote w:type="continuationSeparator" w:id="0">
    <w:p w14:paraId="17C369F7" w14:textId="77777777" w:rsidR="00D23B30" w:rsidRDefault="00D23B30" w:rsidP="000802F7">
      <w:pPr>
        <w:spacing w:before="0" w:after="0"/>
      </w:pPr>
      <w:r>
        <w:continuationSeparator/>
      </w:r>
    </w:p>
  </w:endnote>
  <w:endnote w:type="continuationNotice" w:id="1">
    <w:p w14:paraId="2320B955" w14:textId="77777777" w:rsidR="00D23B30" w:rsidRDefault="00D23B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86BB" w14:textId="77777777" w:rsidR="00D23B30" w:rsidRDefault="00D23B30" w:rsidP="000802F7">
      <w:pPr>
        <w:spacing w:before="0" w:after="0"/>
      </w:pPr>
      <w:r>
        <w:separator/>
      </w:r>
    </w:p>
  </w:footnote>
  <w:footnote w:type="continuationSeparator" w:id="0">
    <w:p w14:paraId="67B94CF5" w14:textId="77777777" w:rsidR="00D23B30" w:rsidRDefault="00D23B30" w:rsidP="000802F7">
      <w:pPr>
        <w:spacing w:before="0" w:after="0"/>
      </w:pPr>
      <w:r>
        <w:continuationSeparator/>
      </w:r>
    </w:p>
  </w:footnote>
  <w:footnote w:type="continuationNotice" w:id="1">
    <w:p w14:paraId="4B7191C2" w14:textId="77777777" w:rsidR="00D23B30" w:rsidRDefault="00D23B30">
      <w:pPr>
        <w:spacing w:before="0" w:after="0"/>
      </w:pPr>
    </w:p>
  </w:footnote>
  <w:footnote w:id="2">
    <w:p w14:paraId="4319E828" w14:textId="3477E6E0" w:rsidR="0025528E" w:rsidRPr="00EC0EF5" w:rsidRDefault="0025528E" w:rsidP="0025528E">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EC0EF5">
        <w:rPr>
          <w:rFonts w:cs="Arial"/>
          <w:szCs w:val="16"/>
        </w:rPr>
        <w:t>ent data source to report data under this indicator.</w:t>
      </w:r>
      <w:bookmarkEnd w:id="5"/>
    </w:p>
  </w:footnote>
  <w:footnote w:id="3">
    <w:p w14:paraId="7DAD4F69" w14:textId="741BF03D" w:rsidR="00EC0EF5" w:rsidRDefault="00EC0EF5">
      <w:pPr>
        <w:pStyle w:val="FootnoteText"/>
      </w:pPr>
      <w:r w:rsidRPr="00EC0EF5">
        <w:rPr>
          <w:rStyle w:val="FootnoteReference"/>
          <w:sz w:val="16"/>
          <w:szCs w:val="16"/>
        </w:rPr>
        <w:footnoteRef/>
      </w:r>
      <w:r w:rsidRPr="00EC0EF5">
        <w:rPr>
          <w:sz w:val="16"/>
          <w:szCs w:val="16"/>
        </w:rPr>
        <w:t xml:space="preserve"> </w:t>
      </w:r>
      <w:r w:rsidRPr="00EC0EF5">
        <w:rPr>
          <w:rFonts w:cs="Arial"/>
          <w:sz w:val="16"/>
          <w:szCs w:val="16"/>
        </w:rPr>
        <w:t>Percentage blurred due to privacy protection.</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934"/>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2D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28E"/>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2FF3"/>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2B5"/>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5E59"/>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2D48"/>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3EBE"/>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3B3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5677"/>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EF5"/>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f4f48c-d55d-4625-8121-08fdad9dc02e">
      <UserInfo>
        <DisplayName/>
        <AccountId xsi:nil="true"/>
        <AccountType/>
      </UserInfo>
    </SharedWithUsers>
    <MediaLengthInSeconds xmlns="89bf3613-0818-48da-aadf-73420b6d03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A0DF30-B4CD-44F6-8388-D2046F516928}"/>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5</TotalTime>
  <Pages>105</Pages>
  <Words>66680</Words>
  <Characters>380080</Characters>
  <Application>Microsoft Office Word</Application>
  <DocSecurity>0</DocSecurity>
  <Lines>3167</Lines>
  <Paragraphs>891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Elledge, Amy</cp:lastModifiedBy>
  <cp:revision>4</cp:revision>
  <cp:lastPrinted>2014-08-19T16:56:00Z</cp:lastPrinted>
  <dcterms:created xsi:type="dcterms:W3CDTF">2023-08-09T14:23:00Z</dcterms:created>
  <dcterms:modified xsi:type="dcterms:W3CDTF">2023-08-09T14:27:00Z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ies>
</file>