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Kentucky</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Kentucky Department of Education (KDE) is pleased to submit Kentucky’s federal fiscal year (FFY) 2020 State Performance Plan and Annual Performance Report (SPP/APR). The IDEA of 2004 requires that SEAs ensure the requirements of the IDEA are met and education programs throughout the state are providing a free appropriate public education (FAPE) to all students with disabilities. The KDE’s Office of Special Education and Early Learning (OSEEL) has the responsibility of monitoring compliance with federal and state requirements (20 U.S.C. Sec. 1400) with the primary focus on improving educational results and functional outcomes for all students with disabilities. This annual report provides an update on the performance of the SEA and each LEA in meeting the requirements of the IDEA for FFY 2020.</w:t>
      </w:r>
      <w:r w:rsidRPr="00781112">
        <w:rPr>
          <w:rFonts w:cs="Arial"/>
          <w:color w:val="000000" w:themeColor="text1"/>
          <w:szCs w:val="16"/>
        </w:rPr>
        <w:br/>
      </w:r>
      <w:r w:rsidRPr="00781112">
        <w:rPr>
          <w:rFonts w:cs="Arial"/>
          <w:color w:val="000000" w:themeColor="text1"/>
          <w:szCs w:val="16"/>
        </w:rPr>
        <w:br/>
        <w:t xml:space="preserve">The OSEEL is committed to providing the necessary support and technical assistance to LEAs so students with disabilities are equipped to pursue a successful future. To that end, the OSEEL’s priorities include the following: </w:t>
      </w:r>
      <w:r w:rsidRPr="00781112">
        <w:rPr>
          <w:rFonts w:cs="Arial"/>
          <w:color w:val="000000" w:themeColor="text1"/>
          <w:szCs w:val="16"/>
        </w:rPr>
        <w:br/>
        <w:t xml:space="preserve">1. Improving instruction and discipline practices for students with disabilities. </w:t>
      </w:r>
      <w:r w:rsidRPr="00781112">
        <w:rPr>
          <w:rFonts w:cs="Arial"/>
          <w:color w:val="000000" w:themeColor="text1"/>
          <w:szCs w:val="16"/>
        </w:rPr>
        <w:br/>
        <w:t>2. Improving communication and dissemination of information.</w:t>
      </w:r>
      <w:r w:rsidRPr="00781112">
        <w:rPr>
          <w:rFonts w:cs="Arial"/>
          <w:color w:val="000000" w:themeColor="text1"/>
          <w:szCs w:val="16"/>
        </w:rPr>
        <w:br/>
        <w:t>3. Bridging supports from preschool to kindergarten.</w:t>
      </w:r>
      <w:r w:rsidRPr="00781112">
        <w:rPr>
          <w:rFonts w:cs="Arial"/>
          <w:color w:val="000000" w:themeColor="text1"/>
          <w:szCs w:val="16"/>
        </w:rPr>
        <w:br/>
        <w:t>4. Fostering family and community engagement.</w:t>
      </w:r>
      <w:r w:rsidRPr="00781112">
        <w:rPr>
          <w:rFonts w:cs="Arial"/>
          <w:color w:val="000000" w:themeColor="text1"/>
          <w:szCs w:val="16"/>
        </w:rPr>
        <w:br/>
        <w:t xml:space="preserve">5. Recruiting and retaining high-quality staff. </w:t>
      </w:r>
      <w:r w:rsidRPr="00781112">
        <w:rPr>
          <w:rFonts w:cs="Arial"/>
          <w:color w:val="000000" w:themeColor="text1"/>
          <w:szCs w:val="16"/>
        </w:rPr>
        <w:br/>
      </w:r>
      <w:r w:rsidRPr="00781112">
        <w:rPr>
          <w:rFonts w:cs="Arial"/>
          <w:color w:val="000000" w:themeColor="text1"/>
          <w:szCs w:val="16"/>
        </w:rPr>
        <w:br/>
        <w:t xml:space="preserve">The KDE relies on the SPP/APR and the SSIP as the essential components to guide work to ensure compliance with IDEA, provide FAPE and improve educational and functional outcomes for students with disabilities. </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The Kentucky School for the Blind (KSB) and the Kentucky School for the Deaf (KSD) are LEAs within Kentucky. However, funding is separate from other LEAs. Kentucky has 173 LEAs, including the KSB and the KSD.</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173</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SPP/APR-</w:t>
      </w:r>
      <w:r w:rsidRPr="00781112">
        <w:rPr>
          <w:rFonts w:cs="Arial"/>
          <w:color w:val="000000" w:themeColor="text1"/>
          <w:szCs w:val="16"/>
        </w:rPr>
        <w:br/>
        <w:t>Kentucky’s SPP/APR is essential to evaluate the state’s efforts to implement the requirements and achieve the objectives of the IDEA. To assist in strengthening the state plan, Kentucky engaged with a broad range of stakeholders to set rigorous measurable annual performance targets. The SPP stakeholder group followed a consistent process for reviewing, analyzing and providing proposed measures to ensure improved outcomes for students with disabilities.</w:t>
      </w:r>
      <w:r w:rsidRPr="00781112">
        <w:rPr>
          <w:rFonts w:cs="Arial"/>
          <w:color w:val="000000" w:themeColor="text1"/>
          <w:szCs w:val="16"/>
        </w:rPr>
        <w:br/>
      </w:r>
      <w:r w:rsidRPr="00781112">
        <w:rPr>
          <w:rFonts w:cs="Arial"/>
          <w:color w:val="000000" w:themeColor="text1"/>
          <w:szCs w:val="16"/>
        </w:rPr>
        <w:br/>
        <w:t>SSIP-</w:t>
      </w:r>
      <w:r w:rsidRPr="00781112">
        <w:rPr>
          <w:rFonts w:cs="Arial"/>
          <w:color w:val="000000" w:themeColor="text1"/>
          <w:szCs w:val="16"/>
        </w:rPr>
        <w:br/>
        <w:t xml:space="preserve">Kentucky uses a linked teaming structure that includes a practice to policy communication process linking the SEA to feedback from the classroom. This is designed to ensure support is provided to improve student performance in mathematics and meet the goals of the State-identified Measurable Result (SiMR). </w:t>
      </w:r>
      <w:r w:rsidRPr="00781112">
        <w:rPr>
          <w:rFonts w:cs="Arial"/>
          <w:color w:val="000000" w:themeColor="text1"/>
          <w:szCs w:val="16"/>
        </w:rPr>
        <w:br/>
        <w:t xml:space="preserve"> </w:t>
      </w:r>
      <w:r w:rsidRPr="00781112">
        <w:rPr>
          <w:rFonts w:cs="Arial"/>
          <w:color w:val="000000" w:themeColor="text1"/>
          <w:szCs w:val="16"/>
        </w:rPr>
        <w:br/>
        <w:t>Policies, Procedures, and Effective Implementation-</w:t>
      </w:r>
      <w:r w:rsidRPr="00781112">
        <w:rPr>
          <w:rFonts w:cs="Arial"/>
          <w:color w:val="000000" w:themeColor="text1"/>
          <w:szCs w:val="16"/>
        </w:rPr>
        <w:br/>
        <w:t>Along with the Every Student Succeeds Act  2015 (ESSA), the IDEA 2004, the Americans with Disabilities Act 1990, the Family Educational Rights and Privacy Act 1974 (FERPA) and the Rehabilitation Act 1973 Section 504, Kentucky has a regulatory framework to provide structure for LEA implementation of the IDEA Part B requirements located at https://apps.legislature.ky.gov/law/kar/TITLE707.HTM.</w:t>
      </w:r>
      <w:r w:rsidRPr="00781112">
        <w:rPr>
          <w:rFonts w:cs="Arial"/>
          <w:color w:val="000000" w:themeColor="text1"/>
          <w:szCs w:val="16"/>
        </w:rPr>
        <w:br/>
      </w:r>
      <w:r w:rsidRPr="00781112">
        <w:rPr>
          <w:rFonts w:cs="Arial"/>
          <w:color w:val="000000" w:themeColor="text1"/>
          <w:szCs w:val="16"/>
        </w:rPr>
        <w:br/>
        <w:t>Integrated Monitoring Activities-</w:t>
      </w:r>
      <w:r w:rsidRPr="00781112">
        <w:rPr>
          <w:rFonts w:cs="Arial"/>
          <w:color w:val="000000" w:themeColor="text1"/>
          <w:szCs w:val="16"/>
        </w:rPr>
        <w:br/>
        <w:t>The KDE's monitoring activities include onsite LEA visits, desk audits, annual determinations, the monitoring of correctional facilities and evaluating LEA self-reported compliance data. The KDE monitors compliance and student results by focusing on areas most likely to improve student outcomes. During COVID-19, virtual monitoring was implemented when appropriate to ensure the safety of students and staff. Onsite or virtual monitoring visits are part of the KDE’s State Consolidated Monitoring (SCM) process that includes all federal programs. SCM provides the KDE an opportunity to review state and federal programs to support effective implementation and collaboration. Staff from each program identify and commend effective practices while providing recommendations for improvements or corrective actions for addressing noncompliance. The KDE also conducts individual monitoring on an as-needed basis when LEA specific concerns arise. The KDE uses a risk assessment to determine LEAs with the most significant risk of noncompliance with the IDEA. The KDE further triangulates data to determine LEAs that need monitoring.</w:t>
      </w:r>
      <w:r w:rsidRPr="00781112">
        <w:rPr>
          <w:rFonts w:cs="Arial"/>
          <w:color w:val="000000" w:themeColor="text1"/>
          <w:szCs w:val="16"/>
        </w:rPr>
        <w:br/>
      </w:r>
      <w:r w:rsidRPr="00781112">
        <w:rPr>
          <w:rFonts w:cs="Arial"/>
          <w:color w:val="000000" w:themeColor="text1"/>
          <w:szCs w:val="16"/>
        </w:rPr>
        <w:br/>
        <w:t>Annual desk audits for compliance indicators in the APR are also conducted. Prior to the desk audit, the KDE collects and validates data related to the indicator. Identified LEAs provide student due process files for review. If needed, the KDE issues citations for noncompliance and then works with the LEAs to determine the root cause of the noncompliance, develops corrective action plans (CAPs) and verifies correction of noncompliance in accordance with OSEP Memorandum 09-02.</w:t>
      </w:r>
      <w:r w:rsidRPr="00781112">
        <w:rPr>
          <w:rFonts w:cs="Arial"/>
          <w:color w:val="000000" w:themeColor="text1"/>
          <w:szCs w:val="16"/>
        </w:rPr>
        <w:br/>
        <w:t>Additional information on Kentucky’s general supervision system can be found in the “Monitoring Manual” located at:</w:t>
      </w:r>
      <w:r w:rsidRPr="00781112">
        <w:rPr>
          <w:rFonts w:cs="Arial"/>
          <w:color w:val="000000" w:themeColor="text1"/>
          <w:szCs w:val="16"/>
        </w:rPr>
        <w:br/>
        <w:t>https://education.ky.gov/specialed/excep/forms/Documents/IDEAMonManDstrctEdtn.pdf.</w:t>
      </w:r>
      <w:r w:rsidRPr="00781112">
        <w:rPr>
          <w:rFonts w:cs="Arial"/>
          <w:color w:val="000000" w:themeColor="text1"/>
          <w:szCs w:val="16"/>
        </w:rPr>
        <w:br/>
      </w:r>
      <w:r w:rsidRPr="00781112">
        <w:rPr>
          <w:rFonts w:cs="Arial"/>
          <w:color w:val="000000" w:themeColor="text1"/>
          <w:szCs w:val="16"/>
        </w:rPr>
        <w:br/>
        <w:t>Kentucky’s Improvement, Correction, Incentives and Sanctions-</w:t>
      </w:r>
      <w:r w:rsidRPr="00781112">
        <w:rPr>
          <w:rFonts w:cs="Arial"/>
          <w:color w:val="000000" w:themeColor="text1"/>
          <w:szCs w:val="16"/>
        </w:rPr>
        <w:br/>
        <w:t>Through Kentucky’s system of monitoring, the state identifies noncompliance which is present in LEAs. Findings of noncompliance result in a CAP for LEAs. CAPs are used to correct noncompliance and improve programs for students with disabilities. When sanctions are necessary, they are applied consistent with 707 KAR 1:380, Section 3. (https://apps.legislature.ky.gov/law/kar/707/001/380.pdf)</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Effective Dispute Resolution-</w:t>
      </w:r>
      <w:r w:rsidRPr="00781112">
        <w:rPr>
          <w:rFonts w:cs="Arial"/>
          <w:color w:val="000000" w:themeColor="text1"/>
          <w:szCs w:val="16"/>
        </w:rPr>
        <w:br/>
        <w:t>Dispute resolution processes are in place to resolve disputes between parents of students with disabilities and LEAs. The OSEEL investigates formal written complaints and collaborates with the KDE’s Office of Legal Services on due process hearings, expedited due process hearings and mediation. In response to COVID-19, the KDE updated its procedures regarding dispute resolution processes to support online submissions. More information is available at: https://education.ky.gov/specialed/excep/Pages/Dispute_Resolution_Process.aspx.</w:t>
      </w:r>
      <w:r w:rsidRPr="00781112">
        <w:rPr>
          <w:rFonts w:cs="Arial"/>
          <w:color w:val="000000" w:themeColor="text1"/>
          <w:szCs w:val="16"/>
        </w:rPr>
        <w:br/>
      </w:r>
      <w:r w:rsidRPr="00781112">
        <w:rPr>
          <w:rFonts w:cs="Arial"/>
          <w:color w:val="000000" w:themeColor="text1"/>
          <w:szCs w:val="16"/>
        </w:rPr>
        <w:br/>
        <w:t>Fiscal Management-</w:t>
      </w:r>
      <w:r w:rsidRPr="00781112">
        <w:rPr>
          <w:rFonts w:cs="Arial"/>
          <w:color w:val="000000" w:themeColor="text1"/>
          <w:szCs w:val="16"/>
        </w:rPr>
        <w:br/>
        <w:t xml:space="preserve">KRS 156.265 authorizes the State Committee for School District Audits (SCSDA) to conduct audits of the financial records of local boards of education. The audits must be performed by a certified public accountant, approved by the SCSDA and conducted according to current auditing standards. The SCSDA requires all local boards to have an annual audit of the fiscal records and accounts under the board's control. </w:t>
      </w:r>
      <w:r w:rsidRPr="00781112">
        <w:rPr>
          <w:rFonts w:cs="Arial"/>
          <w:color w:val="000000" w:themeColor="text1"/>
          <w:szCs w:val="16"/>
        </w:rPr>
        <w:br/>
        <w:t>In addition, the Office of Management and Budget Uniform Administrative Requirements, Cost Principles, and Audit Requirements for Federal Awards sets forth cost principles and standards for determining the allowable costs of federally funded grants and contracts administered by state and local governments and contains provisions for determining indirect cost rates for grantees and subgrantees of federal grants.</w:t>
      </w:r>
      <w:r w:rsidRPr="00781112">
        <w:rPr>
          <w:rFonts w:cs="Arial"/>
          <w:color w:val="000000" w:themeColor="text1"/>
          <w:szCs w:val="16"/>
        </w:rPr>
        <w:br/>
        <w:t xml:space="preserve">The OSEEL works with the KDE’s Office of Financial Operations (OFO) which tracks and manages federal title funds for the agency. The OSEEL takes additional steps to provide sound fiscal management and oversight of the IDEA funds received by the state. With respect to the state share of IDEA funds, both those for administrative purposes and other state-level activities, by organizing monthly reconciliation meetings with the OFO to monitor the expenditure of these funds throughout the period of availability. Funds are reconciled for each area of expenditure. Staff from both offices make sure the funds are spent appropriately, in a timely fashion, and as budgeted. Tracking fund expenditures monthly provides the OSEEL with the flexibility to reallocate funds to different priorities and make sure the funds are utilized appropriately. </w:t>
      </w:r>
      <w:r w:rsidRPr="00781112">
        <w:rPr>
          <w:rFonts w:cs="Arial"/>
          <w:color w:val="000000" w:themeColor="text1"/>
          <w:szCs w:val="16"/>
        </w:rPr>
        <w:br/>
      </w:r>
      <w:r w:rsidRPr="00781112">
        <w:rPr>
          <w:rFonts w:cs="Arial"/>
          <w:color w:val="000000" w:themeColor="text1"/>
          <w:szCs w:val="16"/>
        </w:rPr>
        <w:br/>
        <w:t>Data Collection and Data Analysis-</w:t>
      </w:r>
      <w:r w:rsidRPr="00781112">
        <w:rPr>
          <w:rFonts w:cs="Arial"/>
          <w:color w:val="000000" w:themeColor="text1"/>
          <w:szCs w:val="16"/>
        </w:rPr>
        <w:br/>
        <w:t>Kentucky collects data to meet reporting requirements, target LEA support and measure the effectiveness of the LEA’s compliance with requirements. Statewide special education data is reported publicly and can be found online at 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As the KDE responds to various reporting requirements and longitudinal data is shared between systems, it is important to ensure data is consistently entered statewide.  Data standardization is used to establish conventions and procedures to ensure consistency and comparability across different databases. Data standards dedicated to students with disabilities provide schools and LEAs with a set of guidelines for entering data into Kentucky’s Student Information System utilizing the Infinite Campus (IC) platform. The data standards provide a series of screenshots and explanations of the data elements required for state and federal reporting. The data standards are in state regulation and meet the Federal Reporting Requirements under section 618 of the IDEA. The standards include collections for: the December 1 child count, the special education exit report, the special education behavior/safe schools report and the SPP/APR. The data standards can be located at https://education.ky.gov/districts/tech/sis/Documents/Standard-Special_Education-Processes.pdf.</w:t>
      </w:r>
      <w:r w:rsidRPr="00781112">
        <w:rPr>
          <w:rFonts w:cs="Arial"/>
          <w:color w:val="000000" w:themeColor="text1"/>
          <w:szCs w:val="16"/>
        </w:rPr>
        <w:br/>
      </w:r>
      <w:r w:rsidRPr="00781112">
        <w:rPr>
          <w:rFonts w:cs="Arial"/>
          <w:color w:val="000000" w:themeColor="text1"/>
          <w:szCs w:val="16"/>
        </w:rPr>
        <w:br/>
        <w:t>The KDE collects data from LEAs, parents and other sources. These data are reviewed, interpreted and utilized to inform what LEA support and guidance is needed and where to focus compliance monitoring.</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As part of the dissemination of discretionary funds the KDE receives under IDEA Part B for state-level activities, the KDE provides grants for statewide activities. The KDE technical assistance network provides teachers, other service providers and parents with information on effective practices for meeting the needs of students with disabilities and their families. This network also provides support with any issues identified through the SPP/APR and the implementation of the SSIP. Within the networks, local stakeholders are engaged in the design and implementation of activities to promote academic achievement and improve results for students with disabilities.</w:t>
      </w:r>
      <w:r w:rsidRPr="00781112">
        <w:rPr>
          <w:rFonts w:cs="Arial"/>
          <w:color w:val="000000" w:themeColor="text1"/>
          <w:szCs w:val="16"/>
        </w:rPr>
        <w:br/>
      </w:r>
      <w:r w:rsidRPr="00781112">
        <w:rPr>
          <w:rFonts w:cs="Arial"/>
          <w:color w:val="000000" w:themeColor="text1"/>
          <w:szCs w:val="16"/>
        </w:rPr>
        <w:br/>
        <w:t>Currently, the KDE provides technical assistance through nine regional special education cooperatives and five early childhood regional training centers (RTCs). These service providers are located throughout the state and provide LEAs with professional development and specialized instructional support.</w:t>
      </w:r>
      <w:r w:rsidRPr="00781112">
        <w:rPr>
          <w:rFonts w:cs="Arial"/>
          <w:color w:val="000000" w:themeColor="text1"/>
          <w:szCs w:val="16"/>
        </w:rPr>
        <w:br/>
      </w:r>
      <w:r w:rsidRPr="00781112">
        <w:rPr>
          <w:rFonts w:cs="Arial"/>
          <w:color w:val="000000" w:themeColor="text1"/>
          <w:szCs w:val="16"/>
        </w:rPr>
        <w:br/>
        <w:t>SSIP-</w:t>
      </w:r>
      <w:r w:rsidRPr="00781112">
        <w:rPr>
          <w:rFonts w:cs="Arial"/>
          <w:color w:val="000000" w:themeColor="text1"/>
          <w:szCs w:val="16"/>
        </w:rPr>
        <w:br/>
        <w:t>Kentucky’s SSIP focuses on supporting teachers with the implementation of evidence-based math practices and Positive Behavioral Interventions and Supports (PBIS). Using the Active Implementation Frameworks (AIF), the SSIP centers around developing systems of support to close achievement gaps and improve math outcomes for students with disabilities. Through the SSIP, the KDE collaborates with regional special education cooperatives in a limited number of LEAs known as Transformation Zones (TZ). Using continuous improvement cycles, regions are supporting LEAs in reaching the goals of the SiMR.</w:t>
      </w:r>
      <w:r w:rsidRPr="00781112">
        <w:rPr>
          <w:rFonts w:cs="Arial"/>
          <w:color w:val="000000" w:themeColor="text1"/>
          <w:szCs w:val="16"/>
        </w:rPr>
        <w:br/>
      </w:r>
      <w:r w:rsidRPr="00781112">
        <w:rPr>
          <w:rFonts w:cs="Arial"/>
          <w:color w:val="000000" w:themeColor="text1"/>
          <w:szCs w:val="16"/>
        </w:rPr>
        <w:br/>
        <w:t>Kentucky Regional Special Education Cooperatives-</w:t>
      </w:r>
      <w:r w:rsidRPr="00781112">
        <w:rPr>
          <w:rFonts w:cs="Arial"/>
          <w:color w:val="000000" w:themeColor="text1"/>
          <w:szCs w:val="16"/>
        </w:rPr>
        <w:br/>
        <w:t>The focus of the regional special education cooperatives continues to be improving educational opportunities and outcomes of students with disabilities by providing regional leadership and delivering specialized services. The cooperatives work in partnership with the KDE, LEAs, and institutions of higher education and other service providers. The regional special education cooperatives also serve as a regional collaborative forum to support quality education, provide a wide range of support services and model innovative practices for the benefit of students with disabilities.</w:t>
      </w:r>
      <w:r w:rsidRPr="00781112">
        <w:rPr>
          <w:rFonts w:cs="Arial"/>
          <w:color w:val="000000" w:themeColor="text1"/>
          <w:szCs w:val="16"/>
        </w:rPr>
        <w:br/>
      </w:r>
      <w:r w:rsidRPr="00781112">
        <w:rPr>
          <w:rFonts w:cs="Arial"/>
          <w:color w:val="000000" w:themeColor="text1"/>
          <w:szCs w:val="16"/>
        </w:rPr>
        <w:br/>
        <w:t xml:space="preserve">Consultants employed by the cooperatives work on special education initiatives and services for students with disabilities. Literacy, math and behavior specialists with special education expertise are also hired by the cooperatives to build LEA capacity in support of teachers working with students with disabilities. </w:t>
      </w:r>
      <w:r w:rsidRPr="00781112">
        <w:rPr>
          <w:rFonts w:cs="Arial"/>
          <w:color w:val="000000" w:themeColor="text1"/>
          <w:szCs w:val="16"/>
        </w:rPr>
        <w:br/>
      </w:r>
      <w:r w:rsidRPr="00781112">
        <w:rPr>
          <w:rFonts w:cs="Arial"/>
          <w:color w:val="000000" w:themeColor="text1"/>
          <w:szCs w:val="16"/>
        </w:rPr>
        <w:br/>
        <w:t>Early Childhood Regional Training Centers (RTCs)-</w:t>
      </w:r>
      <w:r w:rsidRPr="00781112">
        <w:rPr>
          <w:rFonts w:cs="Arial"/>
          <w:color w:val="000000" w:themeColor="text1"/>
          <w:szCs w:val="16"/>
        </w:rPr>
        <w:br/>
        <w:t>The RTCs provide a range of services for early childhood providers and professionals supporting students with disabilities. This includes regional training, workshops, on-site consultations, a lending library of materials and annual statewide and regional collaborative institutes. The RTCs promote school readiness and high-quality early education services by providing resources and information to providers. RTCs also provide in-depth professional learning tailored to meet the needs of the geographic region. More information can be found at https://education.ky.gov/curriculum/conpro/prim-pre/Pages/Early-Childhood-Regional-Training-Centers.aspx.</w:t>
      </w:r>
      <w:r w:rsidRPr="00781112">
        <w:rPr>
          <w:rFonts w:cs="Arial"/>
          <w:color w:val="000000" w:themeColor="text1"/>
          <w:szCs w:val="16"/>
        </w:rPr>
        <w:br/>
      </w:r>
      <w:r w:rsidRPr="00781112">
        <w:rPr>
          <w:rFonts w:cs="Arial"/>
          <w:color w:val="000000" w:themeColor="text1"/>
          <w:szCs w:val="16"/>
        </w:rPr>
        <w:br/>
        <w:t>Guidance and Resources-</w:t>
      </w:r>
      <w:r w:rsidRPr="00781112">
        <w:rPr>
          <w:rFonts w:cs="Arial"/>
          <w:color w:val="000000" w:themeColor="text1"/>
          <w:szCs w:val="16"/>
        </w:rPr>
        <w:br/>
        <w:t xml:space="preserve">The KDE creates, maintains and updates resources for a broad spectrum of stakeholders. Guidance publications and resources are provided to support understanding, implementation and compliance with the IDEA. </w:t>
      </w:r>
      <w:r w:rsidRPr="00781112">
        <w:rPr>
          <w:rFonts w:cs="Arial"/>
          <w:color w:val="000000" w:themeColor="text1"/>
          <w:szCs w:val="16"/>
        </w:rPr>
        <w:br/>
      </w:r>
      <w:r w:rsidRPr="00781112">
        <w:rPr>
          <w:rFonts w:cs="Arial"/>
          <w:color w:val="000000" w:themeColor="text1"/>
          <w:szCs w:val="16"/>
        </w:rPr>
        <w:br/>
        <w:t xml:space="preserve">The latest monitoring guidance can be found online at https://education.ky.gov/specialed/excep/forms/Pages/Monitoring-Documents.aspx and includes </w:t>
      </w:r>
      <w:r w:rsidRPr="00781112">
        <w:rPr>
          <w:rFonts w:cs="Arial"/>
          <w:color w:val="000000" w:themeColor="text1"/>
          <w:szCs w:val="16"/>
        </w:rPr>
        <w:lastRenderedPageBreak/>
        <w:t xml:space="preserve">the updated Compliance Record Review. This guidance was created to assist LEA personnel in conducting accurate student due process record reviews. </w:t>
      </w:r>
      <w:r w:rsidRPr="00781112">
        <w:rPr>
          <w:rFonts w:cs="Arial"/>
          <w:color w:val="000000" w:themeColor="text1"/>
          <w:szCs w:val="16"/>
        </w:rPr>
        <w:br/>
      </w:r>
      <w:r w:rsidRPr="00781112">
        <w:rPr>
          <w:rFonts w:cs="Arial"/>
          <w:color w:val="000000" w:themeColor="text1"/>
          <w:szCs w:val="16"/>
        </w:rPr>
        <w:br/>
        <w:t>Monitoring of LEAs during the previous school year placed emphasis on improving documentation and implementation of Individual Education Programs (IEPs). Guidance related to the development of IEPs in Kentucky is available online at https://education.ky.gov/specialed/excep/forms/Pages/IEP-Guidance-and-Documents.aspx.</w:t>
      </w:r>
      <w:r w:rsidRPr="00781112">
        <w:rPr>
          <w:rFonts w:cs="Arial"/>
          <w:color w:val="000000" w:themeColor="text1"/>
          <w:szCs w:val="16"/>
        </w:rPr>
        <w:br/>
      </w:r>
      <w:r w:rsidRPr="00781112">
        <w:rPr>
          <w:rFonts w:cs="Arial"/>
          <w:color w:val="000000" w:themeColor="text1"/>
          <w:szCs w:val="16"/>
        </w:rPr>
        <w:br/>
        <w:t>Additionally, the Guidance Document for IEP Development, the Specific Learning Disability Guidance, the IEP and Lesson Plan Development Handbook, Improving Educational Outcomes for Students with Disabilities and Guidance for Special Transportation in Kentucky are available at https://education.ky.gov/specialed/excep/forms/Pages/Guidance-Documents.aspx.</w:t>
      </w:r>
      <w:r w:rsidRPr="00781112">
        <w:rPr>
          <w:rFonts w:cs="Arial"/>
          <w:color w:val="000000" w:themeColor="text1"/>
          <w:szCs w:val="16"/>
        </w:rPr>
        <w:br/>
      </w:r>
      <w:r w:rsidRPr="00781112">
        <w:rPr>
          <w:rFonts w:cs="Arial"/>
          <w:color w:val="000000" w:themeColor="text1"/>
          <w:szCs w:val="16"/>
        </w:rPr>
        <w:br/>
        <w:t>Strategic Partnerships</w:t>
      </w:r>
      <w:r w:rsidRPr="00781112">
        <w:rPr>
          <w:rFonts w:cs="Arial"/>
          <w:color w:val="000000" w:themeColor="text1"/>
          <w:szCs w:val="16"/>
        </w:rPr>
        <w:br/>
        <w:t>To further assist with improving outcomes for students with disabilities, the KDE contracts with the University of Kentucky’s Human Development Institute (HDI) to provide technical assistance to LEAs through web-based training on how to determine and document alternate assessment eligibility. Access to the virtual trainings is facilitated by the regional special education cooperatives. Guidance documents for determining and documenting alternate assessment eligibility and data collection are posted on the KDE website:  https://education.ky.gov/specialed/excep/instresources/Pages/Kentucky-Alternate-Assessment-Participation-Waiver-.aspx.</w:t>
      </w:r>
      <w:r w:rsidRPr="00781112">
        <w:rPr>
          <w:rFonts w:cs="Arial"/>
          <w:color w:val="000000" w:themeColor="text1"/>
          <w:szCs w:val="16"/>
        </w:rPr>
        <w:br/>
      </w:r>
      <w:r w:rsidRPr="00781112">
        <w:rPr>
          <w:rFonts w:cs="Arial"/>
          <w:color w:val="000000" w:themeColor="text1"/>
          <w:szCs w:val="16"/>
        </w:rPr>
        <w:br/>
        <w:t>To assist KDE in meeting transition goals for students with disabilities, the Kentucky Post School Outcomes Center (KYPSO), as part of HDI, develops and oversees the administration of the Youth One Year Out (YOYO) Former Student Interview. The YOYO is a longitudinal investigation of the post-school outcomes of Kentucky youth with educational disabilities which spans the student’s final year of high school and one year after exiting high school. The KYPSO provides information to LEAs regarding programs and practices to support secondary transition and data to the KDE for Indicator 14. More information about KYPSO can be found at https://www.kypso.org/.</w:t>
      </w:r>
      <w:r w:rsidRPr="00781112">
        <w:rPr>
          <w:rFonts w:cs="Arial"/>
          <w:color w:val="000000" w:themeColor="text1"/>
          <w:szCs w:val="16"/>
        </w:rPr>
        <w:br/>
      </w:r>
      <w:r w:rsidRPr="00781112">
        <w:rPr>
          <w:rFonts w:cs="Arial"/>
          <w:color w:val="000000" w:themeColor="text1"/>
          <w:szCs w:val="16"/>
        </w:rPr>
        <w:br/>
        <w:t>Additionally, for data related to Indicator 7, the KDE along with the Cabinet for Health and Family Services (CHFS) through its First Steps program – Kentucky’s statewide early intervention system that provides services to children with developmental disabilities from birth to age 3 and their families – jointly fund the Kentucky Early Childhood Data System (KEDS). KEDS supports the state’s reporting requirements for the child outcomes for early childhood under the IDEA. More information about KEDS can be found at https://www.kedsonline.info/.</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The State Personnel Development Grant (SPDG) is a five-year, competitive grant that has been awarded to Kentucky by OSEP since the late 1990s. In partnership with personnel from the University of Kentucky, the University of Louisville, the Kentucky Special Parent Training and Information Center (KY-SPIN) and professional learning providers across the state, the Kentucky SPDG addresses two primary goals: </w:t>
      </w:r>
      <w:r w:rsidRPr="00781112">
        <w:rPr>
          <w:rFonts w:cs="Arial"/>
          <w:color w:val="000000" w:themeColor="text1"/>
          <w:szCs w:val="16"/>
        </w:rPr>
        <w:br/>
      </w:r>
      <w:r w:rsidRPr="00781112">
        <w:rPr>
          <w:rFonts w:cs="Arial"/>
          <w:color w:val="000000" w:themeColor="text1"/>
          <w:szCs w:val="16"/>
        </w:rPr>
        <w:br/>
        <w:t xml:space="preserve">Goal 1: To improve the capacity of Transformation Zone (TZ) teams (LEAs, regional partners, and schools) to implement and sustain Multi-Tiered Systems of Support (MTSS) by aligning related initiatives at each level and provide ongoing professional learning for LEA and school personnel. </w:t>
      </w:r>
      <w:r w:rsidRPr="00781112">
        <w:rPr>
          <w:rFonts w:cs="Arial"/>
          <w:color w:val="000000" w:themeColor="text1"/>
          <w:szCs w:val="16"/>
        </w:rPr>
        <w:br/>
      </w:r>
      <w:r w:rsidRPr="00781112">
        <w:rPr>
          <w:rFonts w:cs="Arial"/>
          <w:color w:val="000000" w:themeColor="text1"/>
          <w:szCs w:val="16"/>
        </w:rPr>
        <w:br/>
        <w:t xml:space="preserve">Goal 2: To improve student achievement in TZ LEAs through multiple, sustained professional learning strategies within an MTSS framework that impacts teachers, school administrators, students and families. </w:t>
      </w:r>
      <w:r w:rsidRPr="00781112">
        <w:rPr>
          <w:rFonts w:cs="Arial"/>
          <w:color w:val="000000" w:themeColor="text1"/>
          <w:szCs w:val="16"/>
        </w:rPr>
        <w:br/>
      </w:r>
      <w:r w:rsidRPr="00781112">
        <w:rPr>
          <w:rFonts w:cs="Arial"/>
          <w:color w:val="000000" w:themeColor="text1"/>
          <w:szCs w:val="16"/>
        </w:rPr>
        <w:br/>
        <w:t xml:space="preserve">A key objective of the SPDG is the integration of activities with Kentucky’s ESSA plan and the SSIP, as well as with the work of the Collaboration for Effective Educator Development, Accountability and Reform (CEEDAR) Center and the State Implementation and Scaling-up of Evidence-Based Practices (SISEP) Center. </w:t>
      </w:r>
      <w:r w:rsidRPr="00781112">
        <w:rPr>
          <w:rFonts w:cs="Arial"/>
          <w:color w:val="000000" w:themeColor="text1"/>
          <w:szCs w:val="16"/>
        </w:rPr>
        <w:br/>
      </w:r>
      <w:r w:rsidRPr="00781112">
        <w:rPr>
          <w:rFonts w:cs="Arial"/>
          <w:color w:val="000000" w:themeColor="text1"/>
          <w:szCs w:val="16"/>
        </w:rPr>
        <w:br/>
        <w:t>The KDE was awarded and is implementing the Kentucky Leading, Educating, Advocating for Directors of Special Education (LEADS) grant. In partnership with the KDE, Kentucky’s Part C Early Intervention Services, Morehead State University, Western Kentucky University, Murray State University and the KY-SPIN, the Kentucky LEADS Academy is working toward three goals:</w:t>
      </w:r>
      <w:r w:rsidRPr="00781112">
        <w:rPr>
          <w:rFonts w:cs="Arial"/>
          <w:color w:val="000000" w:themeColor="text1"/>
          <w:szCs w:val="16"/>
        </w:rPr>
        <w:br/>
      </w:r>
      <w:r w:rsidRPr="00781112">
        <w:rPr>
          <w:rFonts w:cs="Arial"/>
          <w:color w:val="000000" w:themeColor="text1"/>
          <w:szCs w:val="16"/>
        </w:rPr>
        <w:br/>
        <w:t>1. Recruit – Increase the number of persons who attain the state's initial level of Advanced Educational Leader – Director of Special Education (DoSE) certification to ensure that there is an adequate pipeline of eligible applicants to serve as state, regional and local leaders to promote high expectations and improve early childhood and educational outcomes for children with disabilities and their families.</w:t>
      </w:r>
      <w:r w:rsidRPr="00781112">
        <w:rPr>
          <w:rFonts w:cs="Arial"/>
          <w:color w:val="000000" w:themeColor="text1"/>
          <w:szCs w:val="16"/>
        </w:rPr>
        <w:br/>
        <w:t>2. Retain – Increase and nurture the number of persons whose job description includes supervising, directing, administering, or coordinating special education programs who have attained the state’s highest level of Advanced Educational Leader – Director of Special Education certification.</w:t>
      </w:r>
      <w:r w:rsidRPr="00781112">
        <w:rPr>
          <w:rFonts w:cs="Arial"/>
          <w:color w:val="000000" w:themeColor="text1"/>
          <w:szCs w:val="16"/>
        </w:rPr>
        <w:br/>
        <w:t>3. Increase Capacity – Expand and enhance the existing state network to ensure that state, regional and local leaders have the knowledge, skills and access necessary to improve early childhood and educational outcomes for children with disabilities and their families through the systems that serve them.</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w:t>
      </w:r>
      <w:r w:rsidRPr="00781112">
        <w:rPr>
          <w:rFonts w:cs="Arial"/>
          <w:color w:val="000000" w:themeColor="text1"/>
          <w:szCs w:val="16"/>
        </w:rPr>
        <w:lastRenderedPageBreak/>
        <w:t xml:space="preserve">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16</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Parents are and continue to be critical partners in the work of the KDE on behalf of and for students with disabilities. Individual parents of students with disabilities, staff from Kentucky’s parent training and information center, the KY-SPIN, advocates and advocacy organizations were included in stakeholder engagement activities.</w:t>
      </w:r>
      <w:r w:rsidRPr="00781112">
        <w:rPr>
          <w:color w:val="000000" w:themeColor="text1"/>
          <w:szCs w:val="16"/>
        </w:rPr>
        <w:br/>
      </w:r>
      <w:r w:rsidRPr="00781112">
        <w:rPr>
          <w:color w:val="000000" w:themeColor="text1"/>
          <w:szCs w:val="16"/>
        </w:rPr>
        <w:br/>
        <w:t>KY-SPIN engaged with parents to provide information on how to collaborate with the KDE on statewide target setting efforts. Additionally, a broader range of parents unable to attend public or virtual forums provided input on targets through an online survey. Links to the survey were sent via email to parents and posted on the public reporting web page located at https://education.ky.gov/specialed/excep/IDEA/Pages/Public-Reporting-of-IDEA-B-Data.aspx. To solicit further input, target-setting information was provided to every LEA’s DoSE through the statewide listserv, allowing local directors to solicit parent feedback.</w:t>
      </w:r>
      <w:r w:rsidRPr="00781112">
        <w:rPr>
          <w:color w:val="000000" w:themeColor="text1"/>
          <w:szCs w:val="16"/>
        </w:rPr>
        <w:br/>
      </w:r>
      <w:r w:rsidRPr="00781112">
        <w:rPr>
          <w:color w:val="000000" w:themeColor="text1"/>
          <w:szCs w:val="16"/>
        </w:rPr>
        <w:br/>
        <w:t xml:space="preserve">The KDE also engaged existing stakeholder groups to solicit feedback. As members of Kentucky’s SAPEC, parents are given the opportunity to actively engage in target setting, improvement strategies and data analysis related to students with disabilities. The SAPEC had several new parent members added this year through the gubernatorial appointing process. </w:t>
      </w:r>
      <w:r w:rsidRPr="00781112">
        <w:rPr>
          <w:color w:val="000000" w:themeColor="text1"/>
          <w:szCs w:val="16"/>
        </w:rPr>
        <w:br/>
      </w:r>
      <w:r w:rsidRPr="00781112">
        <w:rPr>
          <w:color w:val="000000" w:themeColor="text1"/>
          <w:szCs w:val="16"/>
        </w:rPr>
        <w:br/>
        <w:t>As part of stakeholder engagement, parents were provided the opportunity to analyze data, discuss the state’s progress, identify barriers and discuss ideas for improvement for each indicator.</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To gather feedback from stakeholders that represent the state population, the KDE contacted community organizations who work with diverse groups of families to assist in the selection of participants for target setting. The KY-SPIN worked collaboratively with the KDE to increase the capacity of parents on target setting. KY-SPIN explained to parents how to engage with the state on target setting activities. Additionally, KY-SPIN shared the opportunity for parents to engage with the KDE on ideas for implementing improvement strategies. Additionally, a broader range of parents unable to attend public or virtual forums provided input on targets through an online survey. Links to the survey were sent via email to parents and posted on the public reporting webpage located at https://education.ky.gov/specialed/excep/IDEA/Pages/Public-Reporting-of-IDEA-B-Data.aspx. The KDE encouraged the broad distributions of online surveys, specifically with populations who are traditionally underserved. </w:t>
      </w:r>
      <w:r w:rsidRPr="00781112">
        <w:rPr>
          <w:color w:val="000000" w:themeColor="text1"/>
          <w:szCs w:val="16"/>
        </w:rPr>
        <w:br/>
      </w:r>
      <w:r w:rsidRPr="00781112">
        <w:rPr>
          <w:color w:val="000000" w:themeColor="text1"/>
          <w:szCs w:val="16"/>
        </w:rPr>
        <w:br/>
        <w:t xml:space="preserve">The input and feedback from parents through engagement activities provided insight on improvement activities the KDE could consider when working toward meeting the goals and targets of the SPP/APR. For example, parents provided feedback regarding the indicator 8 survey. LEAs preferred a </w:t>
      </w:r>
      <w:r w:rsidRPr="00781112">
        <w:rPr>
          <w:color w:val="000000" w:themeColor="text1"/>
          <w:szCs w:val="16"/>
        </w:rPr>
        <w:lastRenderedPageBreak/>
        <w:t>longer survey window. LEAs felt this would give an opportunity for parents to complete the survey following each student’s annual IEP meeting. Parents provided feedback that completing a survey immediately following annual IEP meetings was intimidating. Parents also suggested using additional distribution methods, including social media and paper surveys in regions with limited internet connectivity. As a response to parent feedback, the KDE is developing guidance for LEAs on best practices for survey distribution.</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Public input was obtained through various mechanisms, including virtual meetings with stakeholders, virtual and in-person meetings with the SAPEC and online surveys provided to stakeholders. </w:t>
      </w:r>
      <w:r w:rsidRPr="00781112">
        <w:rPr>
          <w:color w:val="000000" w:themeColor="text1"/>
          <w:szCs w:val="16"/>
        </w:rPr>
        <w:br/>
      </w:r>
      <w:r w:rsidRPr="00781112">
        <w:rPr>
          <w:color w:val="000000" w:themeColor="text1"/>
          <w:szCs w:val="16"/>
        </w:rPr>
        <w:br/>
        <w:t xml:space="preserve">The KDE continually engages with stakeholders on improving practices for students with disabilities. As part of the stakeholder engagement activities for target setting, the KDE invited various stakeholders to work collaboratively to provide recommendations for rigorous and achievable goals. Engagement specific to this target setting series began in August of 2021 and continued until the submission of this APR. </w:t>
      </w:r>
      <w:r w:rsidRPr="00781112">
        <w:rPr>
          <w:color w:val="000000" w:themeColor="text1"/>
          <w:szCs w:val="16"/>
        </w:rPr>
        <w:br/>
      </w:r>
      <w:r w:rsidRPr="00781112">
        <w:rPr>
          <w:color w:val="000000" w:themeColor="text1"/>
          <w:szCs w:val="16"/>
        </w:rPr>
        <w:br/>
        <w:t>As part of stakeholder engagement efforts, all stakeholders were provided the opportunity to analyze data, discuss the state’s progress, identify barriers and discuss ideas for improvement for each indicator.</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KDE annually shares the SPP/APR publicly on its website located at:  https://education.ky.gov/specialed/excep/IDEA/Pages/Public-Reporting-of-IDEA-B-Data.aspx. The KDE publicizes updated releases with press announcements and updates are disseminated broadly through the Technical Assistance Network.</w:t>
      </w:r>
      <w:r w:rsidRPr="00781112">
        <w:rPr>
          <w:color w:val="000000" w:themeColor="text1"/>
          <w:szCs w:val="16"/>
        </w:rPr>
        <w:br/>
      </w:r>
      <w:r w:rsidRPr="00781112">
        <w:rPr>
          <w:color w:val="000000" w:themeColor="text1"/>
          <w:szCs w:val="16"/>
        </w:rPr>
        <w:br/>
        <w:t>Online surveys were distributed to stakeholders in October 2021 and remained open until January 2022.  The SAPEC meetings in which target setting was discussed were publicly broadcast in October, November and December of 2021.  Recordings of these meetings can be found at https://mediaportal.education.ky.gov/special-education-and-early-learning/.</w:t>
      </w:r>
      <w:r w:rsidRPr="00781112">
        <w:rPr>
          <w:color w:val="000000" w:themeColor="text1"/>
          <w:szCs w:val="16"/>
        </w:rPr>
        <w:br/>
      </w:r>
      <w:r w:rsidRPr="00781112">
        <w:rPr>
          <w:color w:val="000000" w:themeColor="text1"/>
          <w:szCs w:val="16"/>
        </w:rPr>
        <w:br/>
        <w:t>Additionally, the KDE publicly released the results of the target setting activities on its public reporting web page in January 2022.  (https://education.ky.gov/specialed/excep/IDEA/Pages/Public-Reporting-of-IDEA-B-Data.aspx)</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KDE publicly reports the performance of LEAs on the SPP/APR targets on its website. For more information regarding statewide Section 618 data, the SPP/APR, and Kentucky's IDEA Part B State Application, please visit https://education.ky.gov/specialed/excep/IDEA/Pages/Public-Reporting-of-IDEA-B-Data.aspx. The KDE also publicly reports the state summative assessment results for all students, including students participating in the alternate assessment aligned with the alternate academic achievement standards (AA-AAAS). These results are shared at the local and state levels for all assessed and accountable content areas, by grade and grade range as reported through the Kentucky School Report Card located at https://www.kyschoolreportcard.com/home?year=2019.</w:t>
      </w:r>
      <w:r w:rsidRPr="00781112">
        <w:rPr>
          <w:rFonts w:cs="Arial"/>
          <w:color w:val="000000" w:themeColor="text1"/>
          <w:szCs w:val="16"/>
        </w:rPr>
        <w:br/>
      </w:r>
      <w:r w:rsidRPr="00781112">
        <w:rPr>
          <w:rFonts w:cs="Arial"/>
          <w:color w:val="000000" w:themeColor="text1"/>
          <w:szCs w:val="16"/>
        </w:rPr>
        <w:br/>
        <w:t>Kentucky strictly adheres to the provisions of the FERPA to protect the privacy of student education records. Some individual grade or grade range performance results are suppressed to protect student identity. Individual Student Reports (ISRs) identifying individual student results are shared with LEAs for distribution to schools and parents. The results are not made public due to FERPA guidelines.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42D6A57A" w:rsidR="005E59DB" w:rsidRPr="00781112" w:rsidRDefault="005E59DB" w:rsidP="00B65C2C">
      <w:pPr>
        <w:rPr>
          <w:b/>
          <w:color w:val="000000" w:themeColor="text1"/>
        </w:rPr>
      </w:pPr>
      <w:r w:rsidRPr="00781112">
        <w:rPr>
          <w:b/>
          <w:color w:val="000000" w:themeColor="text1"/>
        </w:rPr>
        <w:t>Historical Data</w:t>
      </w:r>
      <w:r w:rsidR="0086208A">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81.85%</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79.60%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79.60%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79.60%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79.60%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79.60%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65.99%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71.89%</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74.42%</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74.83%</w:t>
            </w:r>
          </w:p>
        </w:tc>
        <w:tc>
          <w:tcPr>
            <w:tcW w:w="834" w:type="pct"/>
            <w:tcBorders>
              <w:bottom w:val="single" w:sz="4" w:space="0" w:color="auto"/>
            </w:tcBorders>
            <w:shd w:val="clear" w:color="auto" w:fill="auto"/>
            <w:vAlign w:val="center"/>
          </w:tcPr>
          <w:p w14:paraId="3C2AFA14" w14:textId="1115FABC" w:rsidR="007F24E2" w:rsidRPr="00781112" w:rsidRDefault="002B7490" w:rsidP="00E0321D">
            <w:pPr>
              <w:jc w:val="center"/>
              <w:rPr>
                <w:rFonts w:cs="Arial"/>
                <w:color w:val="000000" w:themeColor="text1"/>
                <w:szCs w:val="16"/>
              </w:rPr>
            </w:pPr>
            <w:r w:rsidRPr="00781112">
              <w:rPr>
                <w:rFonts w:cs="Arial"/>
                <w:color w:val="000000" w:themeColor="text1"/>
                <w:szCs w:val="16"/>
              </w:rPr>
              <w:t>75.</w:t>
            </w:r>
            <w:r w:rsidR="00E86999">
              <w:rPr>
                <w:rFonts w:cs="Arial"/>
                <w:color w:val="000000" w:themeColor="text1"/>
                <w:szCs w:val="16"/>
              </w:rPr>
              <w:t>5</w:t>
            </w:r>
            <w:r w:rsidRPr="00781112">
              <w:rPr>
                <w:rFonts w:cs="Arial"/>
                <w:color w:val="000000" w:themeColor="text1"/>
                <w:szCs w:val="16"/>
              </w:rPr>
              <w:t>%</w:t>
            </w:r>
            <w:r w:rsidR="00E86999">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81.85%</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81.85%</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81.99%</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82.50%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84.00%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85.00%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w:t>
      </w:r>
      <w:r w:rsidRPr="00781112">
        <w:rPr>
          <w:rFonts w:cs="Arial"/>
          <w:color w:val="000000" w:themeColor="text1"/>
          <w:szCs w:val="16"/>
        </w:rPr>
        <w:lastRenderedPageBreak/>
        <w:t xml:space="preserve">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3,500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382</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53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341</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4,276</w:t>
            </w:r>
          </w:p>
        </w:tc>
        <w:tc>
          <w:tcPr>
            <w:tcW w:w="541" w:type="pct"/>
            <w:shd w:val="clear" w:color="auto" w:fill="auto"/>
          </w:tcPr>
          <w:p w14:paraId="02406DF0" w14:textId="0885BE82" w:rsidR="0098478C" w:rsidRPr="00781112" w:rsidRDefault="00E86999" w:rsidP="00A018D4">
            <w:pPr>
              <w:jc w:val="center"/>
              <w:rPr>
                <w:rFonts w:cs="Arial"/>
                <w:color w:val="000000" w:themeColor="text1"/>
                <w:szCs w:val="16"/>
              </w:rPr>
            </w:pPr>
            <w:r w:rsidRPr="00781112">
              <w:rPr>
                <w:rFonts w:cs="Arial"/>
                <w:color w:val="000000" w:themeColor="text1"/>
                <w:szCs w:val="16"/>
              </w:rPr>
              <w:t>75.</w:t>
            </w:r>
            <w:r>
              <w:rPr>
                <w:rFonts w:cs="Arial"/>
                <w:color w:val="000000" w:themeColor="text1"/>
                <w:szCs w:val="16"/>
              </w:rPr>
              <w:t>5</w:t>
            </w:r>
            <w:r w:rsidRPr="00781112">
              <w:rPr>
                <w:rFonts w:cs="Arial"/>
                <w:color w:val="000000" w:themeColor="text1"/>
                <w:szCs w:val="16"/>
              </w:rPr>
              <w:t>%</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81.85%</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81.85%</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four-year graduation rate is based on the Special Ed Exit Report (FS009). The formula divides the number of students with IEPs ages 14-21 who exited special education with a regular high school diploma by the number of students with IEPs ages 14-21 who exited special education with one of the following: received a regular high school diploma, received a certificate, reached maximum age, or dropped out. The term regular high school diploma means the standard high school diploma awarded to students by the LEA with a curriculum fully aligned to the state’s academic content standards. It does not include a General Equivalency Diploma (GED) or any alternative diplomas that are not aligned with Kentucky’s academic content standards. Kentucky does not have a state-defined alternate diploma.</w:t>
      </w:r>
      <w:r w:rsidRPr="00781112">
        <w:rPr>
          <w:rFonts w:cs="Arial"/>
          <w:color w:val="000000" w:themeColor="text1"/>
          <w:szCs w:val="16"/>
        </w:rPr>
        <w:br/>
      </w:r>
      <w:r w:rsidRPr="00781112">
        <w:rPr>
          <w:rFonts w:cs="Arial"/>
          <w:color w:val="000000" w:themeColor="text1"/>
          <w:szCs w:val="16"/>
        </w:rPr>
        <w:lastRenderedPageBreak/>
        <w:br/>
        <w:t>Kentucky schools must provide students with disabilities the opportunity and necessary instructional support and accommodations to progress through a course of study leading to a diploma. Students with disabilities who earn the required high school credit through successful completion of the required content areas and elective work are awarded a regular high school diploma. The academic conditions that students with IEPs must meet to graduate with a regular diploma are the same as those for students without disabilities. The KDE identifies the minimum credits required for graduation, and the LEAs establish local graduation requirements in policies consistent with state regulation 704 KAR 3:305, located at https://apps.legislature.ky.gov/law/kar/704/003/305.pdf.</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Kentucky revised the baseline due to the new calculation for Indicator 1: Graduation. Additionally, OSEP changed the data source for Indicator 1. This impacted the comparability of the data. </w:t>
      </w:r>
      <w:r w:rsidRPr="00781112">
        <w:rPr>
          <w:rFonts w:cs="Arial"/>
          <w:color w:val="000000" w:themeColor="text1"/>
          <w:szCs w:val="16"/>
        </w:rPr>
        <w:br/>
      </w:r>
      <w:r w:rsidRPr="00781112">
        <w:rPr>
          <w:rFonts w:cs="Arial"/>
          <w:color w:val="000000" w:themeColor="text1"/>
          <w:szCs w:val="16"/>
        </w:rPr>
        <w:br/>
        <w:t>The KDE has analyzed data and has not identified a known COVID-19 impact on the data for this indicator. However, the KDE will continue to review and analyze data to determine if an impact directly related to COVID-19 is present.</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0D442B4F" w:rsidR="00907A35" w:rsidRPr="00781112" w:rsidRDefault="00907A35" w:rsidP="004369B2">
      <w:pPr>
        <w:rPr>
          <w:b/>
          <w:color w:val="000000" w:themeColor="text1"/>
        </w:rPr>
      </w:pPr>
      <w:r w:rsidRPr="00781112">
        <w:rPr>
          <w:b/>
          <w:color w:val="000000" w:themeColor="text1"/>
        </w:rPr>
        <w:t>Historical Data</w:t>
      </w:r>
      <w:r w:rsidR="0086208A">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7.97%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2.31%</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2.11%</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1.91%</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1.71%</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1.71%</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2.75%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2.07%</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2.01%</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1.86%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1.79%</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7.97%</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7.97%</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7.77%</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7.00%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6.00%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5.00%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w:t>
      </w:r>
      <w:r w:rsidRPr="00781112">
        <w:rPr>
          <w:rFonts w:cs="Arial"/>
          <w:color w:val="000000" w:themeColor="text1"/>
          <w:szCs w:val="16"/>
        </w:rPr>
        <w:lastRenderedPageBreak/>
        <w:t>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3,500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382</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53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341</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lastRenderedPageBreak/>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341</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4,276</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1.79%</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7.97%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7.97%</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Kentucky counted students enrolled at the start of the reporting period but were not enrolled at the end of the reporting period. This included dropouts, runaways, GED recipients, expulsions, status unknowns and students who moved and were not known to be continuing in another education program.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Students with IEPs who dropped out were included in this calculation. Students with IEPs who were enrolled at the start of the reporting period but were not enrolled at the end of the reporting period and had not exited special education through any of the other previously stated means were counted as dropouts.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Kentucky revised the baseline due to the new calculation for Indicator 2: Drop Out. Additionally, the change to Option 1 impacted the comparability of the data.</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KDE has analyzed data and has not identified a known COVID-19 impact on the data for this indicator. However, the KDE will continue reviewing and analyzing data to determine if an impact directly related to COVID-19 is present.</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89.07%</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81.92%</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74.34%</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89.02%</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81.70%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73.74%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96.50%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96.50%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7,751</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6,625</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5,611</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2,364</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1,071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977</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4,095</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3,836</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2,793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lastRenderedPageBreak/>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445</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520</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401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7,751</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6,622</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5,610</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2,363</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1,069</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958</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4,093</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3,824</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2,779</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444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517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400</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6,904</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7,751</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96.50%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89.07%</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5,427</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6,625</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96.50%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81.92%</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4,171</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5,611</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96.50%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74.34%</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6,900</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7,751</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96.50%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89.02%</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5,410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6,622</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96.50%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81.70%</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4,137</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5,610</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96.50%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73.74%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https://education.ky.gov/specialed/excep/IDEA/Pages/Public-Reporting-of-IDEA-B-Data.aspx</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These data were impacted by COVID-19. On April 21, 2021, Kentucky received an accountability waiver for the 2020-2021 school year from the federal government. The KDE communicated the intent of the accountability waiver was to focus on assessments to provide information to parents, educators, and the public about student performance and to help target resources and support. Therefore, LEAs were encouraged to assess all students. The federal waiver can be found at https://oese.ed.gov/files/2021/04/ky-acct-waiver-response.pdf.</w:t>
      </w:r>
      <w:r w:rsidRPr="00781112">
        <w:rPr>
          <w:rFonts w:cs="Arial"/>
          <w:color w:val="000000" w:themeColor="text1"/>
          <w:szCs w:val="16"/>
        </w:rPr>
        <w:br/>
      </w:r>
      <w:r w:rsidRPr="00781112">
        <w:rPr>
          <w:rFonts w:cs="Arial"/>
          <w:color w:val="000000" w:themeColor="text1"/>
          <w:szCs w:val="16"/>
        </w:rPr>
        <w:br/>
        <w:t xml:space="preserve">Kentucky law does not offer an opt-out option for statewide assessment. </w:t>
      </w:r>
      <w:r w:rsidRPr="00781112">
        <w:rPr>
          <w:rFonts w:cs="Arial"/>
          <w:color w:val="000000" w:themeColor="text1"/>
          <w:szCs w:val="16"/>
        </w:rPr>
        <w:br/>
        <w:t xml:space="preserve">The KDE provided guidance to LEAs on how to document student attendance for virtual/remote or in-person testing within Kentucky’s statewide student information system, Infinite Campus (IC). LEAs reported students were still not attending school in person during the 2020-2021 school year, and </w:t>
      </w:r>
      <w:r w:rsidRPr="00781112">
        <w:rPr>
          <w:rFonts w:cs="Arial"/>
          <w:color w:val="000000" w:themeColor="text1"/>
          <w:szCs w:val="16"/>
        </w:rPr>
        <w:lastRenderedPageBreak/>
        <w:t>parents and guardians were required to make students available for in person testing. LEAs offered parents the option of a mutually agreed upon location with health and safety measures in place. However, despite these efforts, fewer students were made available to take the exams. This impacted the comparability of the data. Therefore, Kentucky revised the baseline for the FFY 2020.</w:t>
      </w:r>
      <w:r w:rsidRPr="00781112">
        <w:rPr>
          <w:rFonts w:cs="Arial"/>
          <w:color w:val="000000" w:themeColor="text1"/>
          <w:szCs w:val="16"/>
        </w:rPr>
        <w:br/>
      </w:r>
      <w:r w:rsidRPr="00781112">
        <w:rPr>
          <w:rFonts w:cs="Arial"/>
          <w:color w:val="000000" w:themeColor="text1"/>
          <w:szCs w:val="16"/>
        </w:rPr>
        <w:br/>
        <w:t>KDE disseminated a District Message (https://education.ky.gov/AA/distsupp/Documents/2020%20District%20Opt-Out%20Testing%20Message.pdf) statewide and advised parents through a Parent Message that Kentucky law does not offer an opt out option for state-wide testing (https://education.ky.gov/AA/distsupp/Documents/2020%20Opting%20Out%20Parent%20Message.pdf).</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26.26%</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19.24%</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11.17%</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18.62%</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8.26%</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7.84%</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26.26%</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28.61%</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30.96%</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33.30%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35.65%</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38.00%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19.24%</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21.39%</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23.54%</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25.70%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27.85%</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30.00%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11.17%</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12.98%</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14.78%</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16.59%</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18.39%</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20.20%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18.62%</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21.43%</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24.24%</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27.05%</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29.86%</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32.67%</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8.26%</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10.41%</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12.56%</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14.70%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16.85%</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19.00%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7.84%</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8.47%</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9.10%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9.74%</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10.37%</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lastRenderedPageBreak/>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6,459</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4,907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3,770</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720</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234</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119</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976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710</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302</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lastRenderedPageBreak/>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6,456</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4,893</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3,737</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552</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115</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80</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650</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289</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213</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1,696</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6,459</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26.26%</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26.26%</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944</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4,907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19.24%</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19.24%</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421</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3,770</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11.17%</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11.17%</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1,202</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6,456</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18.62%</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18.62%</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404</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4,893</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8.26%</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8.26%</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293</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3,737</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7.84%</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7.84%</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https://education.ky.gov/specialed/excep/IDEA/Pages/Public-Reporting-of-IDEA-B-Data.aspx</w:t>
      </w:r>
      <w:r w:rsidRPr="00781112">
        <w:rPr>
          <w:rFonts w:cs="Arial"/>
          <w:color w:val="000000" w:themeColor="text1"/>
          <w:szCs w:val="16"/>
        </w:rPr>
        <w:br/>
      </w:r>
      <w:r w:rsidRPr="00781112">
        <w:rPr>
          <w:rFonts w:cs="Arial"/>
          <w:color w:val="000000" w:themeColor="text1"/>
          <w:szCs w:val="16"/>
        </w:rPr>
        <w:br/>
        <w:t>https://www.kyschoolreportcard.com/organization/20/academic_performance/assessment_performance/state_assessments_enrollment?year=2021</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Kentucky revised the baseline for the FFY 2020 due to the removal of students participating in the alternate assessment in the calculations and due to changes to the statewide assessment. This impacted the comparability of the data.</w:t>
      </w:r>
      <w:r w:rsidRPr="00781112">
        <w:rPr>
          <w:rFonts w:cs="Arial"/>
          <w:color w:val="000000" w:themeColor="text1"/>
          <w:szCs w:val="16"/>
        </w:rPr>
        <w:br/>
      </w:r>
      <w:r w:rsidRPr="00781112">
        <w:rPr>
          <w:rFonts w:cs="Arial"/>
          <w:color w:val="000000" w:themeColor="text1"/>
          <w:szCs w:val="16"/>
        </w:rPr>
        <w:br/>
        <w:t xml:space="preserve">Kentucky Summative Assessment (KSA)-  </w:t>
      </w:r>
      <w:r w:rsidRPr="00781112">
        <w:rPr>
          <w:rFonts w:cs="Arial"/>
          <w:color w:val="000000" w:themeColor="text1"/>
          <w:szCs w:val="16"/>
        </w:rPr>
        <w:br/>
        <w:t>A trained facilitator must administer the KSA.  For 2020-2021, participation in the KSA was lower due to COVID-19 and in person testing requirements. This affected the comparability of the data because of the number of test takers, changes to the assessment and modified instructional settings. To mitigate the impact of COVID-19 and in person testing requirements, the KDE released the KSA Administration Guidance 2020-2021 School Year to support LEAs in developing a plan to test students, including those participating in virtual learning. This guide can be found at https://education.ky.gov/AA/Assessments/Documents/2020-2021AssessmentGuidanceDocument.pdf.</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47.87%</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24.42%</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25.69%</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30.86%</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35.40%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21.75%</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47.87%</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48.17%</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48.48%</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48.79%</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49.09%</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49.39%</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24.42%</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25.54%</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26.65%</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27.77%</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28.88%</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30.00%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25.69%</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26.35%</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27.01%</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27.68%</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28.34%</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29.00%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30.86%</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31.36%</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31.85%</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32.35%</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32.84%</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33.34%</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35.40%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35.75%</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36.10%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36.46%</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36.81%</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37.16%</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21.75%</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22.55%</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23.34%</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24.14%</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24.93%</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25.73%</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445</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520</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401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 xml:space="preserve">b. Children with IEPs in alternate assessment against alternate </w:t>
            </w:r>
            <w:r w:rsidRPr="00781112">
              <w:rPr>
                <w:rFonts w:cs="Arial"/>
                <w:szCs w:val="16"/>
                <w:shd w:val="clear" w:color="auto" w:fill="FFFFFF"/>
              </w:rPr>
              <w:lastRenderedPageBreak/>
              <w:t>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lastRenderedPageBreak/>
              <w:t>213</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127</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103</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444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517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400</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137</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183</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87</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213</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445</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47.87%</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47.87%</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127</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520</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24.42%</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24.42%</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103</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401</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25.69%</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25.69%</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137</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444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30.86%</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30.86%</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183</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517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35.40%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35.40%</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87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400</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21.75%</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21.75%</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https://education.ky.gov/specialed/excep/IDEA/Pages/Public-Reporting-of-IDEA-B-Data.aspx</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https://www.kyschoolreportcard.com/organization/20/academic_performance/assessment_performance/state_assessments_enrollment?year=2021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lastRenderedPageBreak/>
        <w:t xml:space="preserve">Kentucky revised the baseline for the FFY 2020 due to the inclusion of students who participated in the alternate assessment as a separate calculation.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KDE has analyzed data and has not identified a known COVID-19 impact on the data for this indicator. However, the KDE will continue to review and analyze data to determine if an impact directly related to COVID-19 is present.</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16.65</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30.84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26.84</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14.71</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18.69</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22.49</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16.65</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16.25</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15.85</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15.45</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15.05</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14.65</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30.84</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30.44</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30.04</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29.64</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29.24</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28.84</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26.84</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26.44</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26.04</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25.64</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25.24</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24.84</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14.71</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14.31</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13.91</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13.51</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13.11</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12.71</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18.69</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18.29</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17.89</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17.49</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17.09</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16.69</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22.49</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22.09</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21.69</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21.29</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20.89</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20.49</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lastRenderedPageBreak/>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42,095</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42,977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39,164</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6,459</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4,907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3,770</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16,809</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20,741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14,564</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1,252</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779</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323</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720</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234</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119</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976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710</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302</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42,143</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42,940</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38,947</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6,456</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4,893</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3,737</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13,194</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11,251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11,574</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852</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322</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238</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552</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115</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80</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650</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289</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213</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26.26%</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42.91%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16.65</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16.65</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19.24%</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50.07%</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30.84</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30.84</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11.17%</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38.01%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26.84</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26.84</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18.62%</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33.33%</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14.71</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14.71</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8.26%</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26.95%</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18.69</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18.69</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7.84%</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30.33%</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22.49</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22.49</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lastRenderedPageBreak/>
        <w:t>Since this is the first year for this sub-indicator the baseline was set for FFY 2020.</w:t>
      </w:r>
      <w:r w:rsidRPr="00781112">
        <w:rPr>
          <w:rFonts w:cs="Arial"/>
          <w:color w:val="000000" w:themeColor="text1"/>
          <w:szCs w:val="16"/>
        </w:rPr>
        <w:br/>
      </w:r>
      <w:r w:rsidRPr="00781112">
        <w:rPr>
          <w:rFonts w:cs="Arial"/>
          <w:color w:val="000000" w:themeColor="text1"/>
          <w:szCs w:val="16"/>
        </w:rPr>
        <w:br/>
        <w:t>Without comparability data, the KDE is unable to identify the impact from COVID-19 on this sub-indicator.</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and OSEP accepts the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2017</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5.85%</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1.71%</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1.71%</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1.14%</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1.14%</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1.14%</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0.58%</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3.53%</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5.85%</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5.88%</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2.92%</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5.88%</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5.88%</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5.65%</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5.41%</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4.94%</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4.00%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lastRenderedPageBreak/>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170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2.92%</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5.88%</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3.53%</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A Kentucky LEA is found to have a significant discrepancy under Indicator 4A if the following two criteria are met: </w:t>
      </w:r>
      <w:r w:rsidRPr="00781112">
        <w:rPr>
          <w:rFonts w:cs="Arial"/>
          <w:color w:val="000000" w:themeColor="text1"/>
          <w:szCs w:val="16"/>
        </w:rPr>
        <w:br/>
      </w:r>
      <w:r w:rsidRPr="00781112">
        <w:rPr>
          <w:rFonts w:cs="Arial"/>
          <w:color w:val="000000" w:themeColor="text1"/>
          <w:szCs w:val="16"/>
        </w:rPr>
        <w:br/>
        <w:t xml:space="preserve">1. The LEA subjected students with disabilities to out-of-school removals (suspensions or expulsions) for more than ten days during a school year at a rate that is at least three times higher than the state target of 0.2% for these types of removals; and </w:t>
      </w:r>
      <w:r w:rsidRPr="00781112">
        <w:rPr>
          <w:rFonts w:cs="Arial"/>
          <w:color w:val="000000" w:themeColor="text1"/>
          <w:szCs w:val="16"/>
        </w:rPr>
        <w:br/>
        <w:t xml:space="preserve">2. The LEA met the n-size of at least 50 students with disabilities. </w:t>
      </w:r>
      <w:r w:rsidRPr="00781112">
        <w:rPr>
          <w:rFonts w:cs="Arial"/>
          <w:color w:val="000000" w:themeColor="text1"/>
          <w:szCs w:val="16"/>
        </w:rPr>
        <w:br/>
      </w:r>
      <w:r w:rsidRPr="00781112">
        <w:rPr>
          <w:rFonts w:cs="Arial"/>
          <w:color w:val="000000" w:themeColor="text1"/>
          <w:szCs w:val="16"/>
        </w:rPr>
        <w:br/>
        <w:t xml:space="preserve">The significant discrepancy rate is calculated for each LEA based on its local discipline data and the number of students with IEPs. Kentucky uses a minimum n-size of 50 students with disabilities enrolled in the LEA. During the 2019-2020 school year, there were 174 LEAs in Kentucky. Of the 174 LEAs, four did not have at least 50 students with disabilities. </w:t>
      </w:r>
      <w:r w:rsidRPr="00781112">
        <w:rPr>
          <w:rFonts w:cs="Arial"/>
          <w:color w:val="000000" w:themeColor="text1"/>
          <w:szCs w:val="16"/>
        </w:rPr>
        <w:br/>
      </w:r>
      <w:r w:rsidRPr="00781112">
        <w:rPr>
          <w:rFonts w:cs="Arial"/>
          <w:color w:val="000000" w:themeColor="text1"/>
          <w:szCs w:val="16"/>
        </w:rPr>
        <w:br/>
        <w:t>For FFY 2020, using 2019-2020 data, six LEAs out of 170 had discrepancies at least three times higher than the state rate.</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The baseline for indicator 4A was changed due to the removal of cell size from the calculation. In both FFY 2017 and FFY 2020, Kentucky had no cell size for Indicator 4A. Cell sizes existed for both FFY 2018 and FFY 2019. Since 2020 data was potentially impacted by the COVID-19 pandemic, Kentucky selected FFY 2017 school year as the baseline.</w:t>
      </w:r>
      <w:r w:rsidRPr="00781112">
        <w:rPr>
          <w:rFonts w:cs="Arial"/>
          <w:color w:val="000000" w:themeColor="text1"/>
          <w:szCs w:val="16"/>
        </w:rPr>
        <w:br/>
      </w:r>
      <w:r w:rsidRPr="00781112">
        <w:rPr>
          <w:rFonts w:cs="Arial"/>
          <w:color w:val="000000" w:themeColor="text1"/>
          <w:szCs w:val="16"/>
        </w:rPr>
        <w:br/>
        <w:t>For Indicator 4A, there were 174 LEAs during the 2019-2020 school year. This number varies due to the use of lag year data. The Kentucky School for the Blind (KSB) and the Kentucky School for the Deaf (KSD) are included in the denominator. Although all students at the KSB and the KSD are students with disabilities, there was a comparison group for this indicator. Calculations for Indicator 4A compare the disciplinary rates for students with disabilities to the state rate, rather than to students without disabilities. Therefore, the KSB and the KSD are not excluded from the calculations based on the comparison group.</w:t>
      </w:r>
      <w:r w:rsidRPr="00781112">
        <w:rPr>
          <w:rFonts w:cs="Arial"/>
          <w:color w:val="000000" w:themeColor="text1"/>
          <w:szCs w:val="16"/>
        </w:rPr>
        <w:br/>
      </w:r>
      <w:r w:rsidRPr="00781112">
        <w:rPr>
          <w:rFonts w:cs="Arial"/>
          <w:color w:val="000000" w:themeColor="text1"/>
          <w:szCs w:val="16"/>
        </w:rPr>
        <w:br/>
        <w:t>The data were impacted by COVID-19. Students were not physically in schools after March 13, 2020, until the remainder of this reporting year. The transition to a virtual instruction environment decreased the number of students who were removed from the classroom. The OSEEL mitigated the impact on the comparability of the data by engaging with LEAs through webinars and technical assistance to provide support for student behavior upon the return to in-person instruction.</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 KDE analyzed LEA suspension and expulsion data submitted through the Safe Schools report located in IC. </w:t>
      </w:r>
      <w:r w:rsidRPr="00781112">
        <w:rPr>
          <w:rFonts w:cs="Arial"/>
          <w:color w:val="000000" w:themeColor="text1"/>
          <w:szCs w:val="16"/>
        </w:rPr>
        <w:br/>
      </w:r>
      <w:r w:rsidRPr="00781112">
        <w:rPr>
          <w:rFonts w:cs="Arial"/>
          <w:color w:val="000000" w:themeColor="text1"/>
          <w:szCs w:val="16"/>
        </w:rPr>
        <w:br/>
        <w:t xml:space="preserve">The KDE contacted the six LEAs identified as having a significant discrepancy in suspension and expulsion rates greater than ten school days in a school year for students with IEPs. Following notification, the KDE conducted a desk audit that aligned with the requirements of 34 C.F.R §300.170(b). The KDE required these LEAs to provide additional data and information regarding the LEA’s policies, procedures, and practices. KDE consultants completed student-level record reviews for a sample of students from each of these LEAs. The KDE reviewed due process files from the 2019-2020 school year, including IEPs, conference summaries, manifestation determinations, functional behavior analyses (FBAs), behavior intervention plans (BIPs), attendance records, positive behavioral interventions and supports (PBIS), enrollment records, procedural safeguards and behavior detail reports. </w:t>
      </w:r>
      <w:r w:rsidRPr="00781112">
        <w:rPr>
          <w:rFonts w:cs="Arial"/>
          <w:color w:val="000000" w:themeColor="text1"/>
          <w:szCs w:val="16"/>
        </w:rPr>
        <w:br/>
      </w:r>
      <w:r w:rsidRPr="00781112">
        <w:rPr>
          <w:rFonts w:cs="Arial"/>
          <w:color w:val="000000" w:themeColor="text1"/>
          <w:szCs w:val="16"/>
        </w:rPr>
        <w:br/>
        <w:t>Six LEAs were identified by the KDE under Indicator 4A as having inappropriate policies, procedures, or practices.</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F8EF51C" w14:textId="56A16050" w:rsidR="00EA1474" w:rsidRPr="00781112" w:rsidRDefault="00EA1474" w:rsidP="000D3273">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81112" w:rsidRDefault="003B64C0" w:rsidP="000D3273">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0179F7BE" w14:textId="17835A19" w:rsidR="002D57DA" w:rsidRPr="00781112" w:rsidRDefault="002D57DA" w:rsidP="001011BB">
      <w:pPr>
        <w:tabs>
          <w:tab w:val="left" w:pos="4068"/>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3F21F3CA" w14:textId="0BFC7BB8" w:rsidR="002D57DA" w:rsidRPr="00781112" w:rsidRDefault="002B7490" w:rsidP="001011BB">
      <w:pPr>
        <w:rPr>
          <w:rFonts w:cs="Arial"/>
          <w:color w:val="000000" w:themeColor="text1"/>
          <w:szCs w:val="16"/>
        </w:rPr>
      </w:pPr>
      <w:r w:rsidRPr="00781112">
        <w:rPr>
          <w:rFonts w:cs="Arial"/>
          <w:color w:val="000000" w:themeColor="text1"/>
          <w:szCs w:val="16"/>
        </w:rPr>
        <w:t xml:space="preserve">Through a desk audit, the KDE identified all students with disabilities in the six LEAs who were subjected to out-of-school removals of more than 10 days. The KDE reviewed a sample of student records. The sample size was determined using criteria which were based on the LEA’s total child count in the focus area. This formula can be found in the Monitoring Manual located at https://education.ky.gov/specialed/excep/forms/Documents/IDEAMonManDstrctEdtn.pdf. </w:t>
      </w:r>
      <w:r w:rsidRPr="00781112">
        <w:rPr>
          <w:rFonts w:cs="Arial"/>
          <w:color w:val="000000" w:themeColor="text1"/>
          <w:szCs w:val="16"/>
        </w:rPr>
        <w:br/>
      </w:r>
      <w:r w:rsidRPr="00781112">
        <w:rPr>
          <w:rFonts w:cs="Arial"/>
          <w:color w:val="000000" w:themeColor="text1"/>
          <w:szCs w:val="16"/>
        </w:rPr>
        <w:br/>
        <w:t xml:space="preserve">When the KDE identified noncompliance, a written Report of Findings was issued to the LEA. The report included the LEA’s percentage of suspensions and expulsions, the statewide rate for comparison, findings of fact and conclusions, and both systemic and student-specific noncompliance citations. </w:t>
      </w:r>
      <w:r w:rsidRPr="00781112">
        <w:rPr>
          <w:rFonts w:cs="Arial"/>
          <w:color w:val="000000" w:themeColor="text1"/>
          <w:szCs w:val="16"/>
        </w:rPr>
        <w:br/>
      </w:r>
      <w:r w:rsidRPr="00781112">
        <w:rPr>
          <w:rFonts w:cs="Arial"/>
          <w:color w:val="000000" w:themeColor="text1"/>
          <w:szCs w:val="16"/>
        </w:rPr>
        <w:br/>
        <w:t xml:space="preserve">The LEA, with assistance from the Regional Special Education Cooperative and the KDE, reviewed student specific and systemic noncompliance items identified in the Report of Findings and conducted a root cause analysis to determine why problem areas existed. The results of the root cause analyses were used to develop meaningful CAPs, which included: </w:t>
      </w:r>
      <w:r w:rsidRPr="00781112">
        <w:rPr>
          <w:rFonts w:cs="Arial"/>
          <w:color w:val="000000" w:themeColor="text1"/>
          <w:szCs w:val="16"/>
        </w:rPr>
        <w:br/>
        <w:t xml:space="preserve">-Action steps to ensure policies, procedures, and practices were revised as necessary to comply with IDEA requirements. </w:t>
      </w:r>
      <w:r w:rsidRPr="00781112">
        <w:rPr>
          <w:rFonts w:cs="Arial"/>
          <w:color w:val="000000" w:themeColor="text1"/>
          <w:szCs w:val="16"/>
        </w:rPr>
        <w:br/>
        <w:t xml:space="preserve">-A plan to ensure LEA staff were properly trained and practices effectively implemented in the area of noncompliance. </w:t>
      </w:r>
      <w:r w:rsidRPr="00781112">
        <w:rPr>
          <w:rFonts w:cs="Arial"/>
          <w:color w:val="000000" w:themeColor="text1"/>
          <w:szCs w:val="16"/>
        </w:rPr>
        <w:br/>
        <w:t xml:space="preserve">-Correction of all systemic and student-specific cases of noncompliance. </w:t>
      </w:r>
      <w:r w:rsidRPr="00781112">
        <w:rPr>
          <w:rFonts w:cs="Arial"/>
          <w:color w:val="000000" w:themeColor="text1"/>
          <w:szCs w:val="16"/>
        </w:rPr>
        <w:br/>
      </w:r>
      <w:r w:rsidRPr="00781112">
        <w:rPr>
          <w:rFonts w:cs="Arial"/>
          <w:color w:val="000000" w:themeColor="text1"/>
          <w:szCs w:val="16"/>
        </w:rPr>
        <w:lastRenderedPageBreak/>
        <w:br/>
        <w:t xml:space="preserve">The KDE required all noncompliance to be corrected as soon as possible, but not more than one year from the date of notification of the noncompliance. LEAs were required to submit CAP status reports to the KDE at least quarterly. </w:t>
      </w:r>
      <w:r w:rsidRPr="00781112">
        <w:rPr>
          <w:rFonts w:cs="Arial"/>
          <w:color w:val="000000" w:themeColor="text1"/>
          <w:szCs w:val="16"/>
        </w:rPr>
        <w:br/>
      </w:r>
      <w:r w:rsidRPr="00781112">
        <w:rPr>
          <w:rFonts w:cs="Arial"/>
          <w:color w:val="000000" w:themeColor="text1"/>
          <w:szCs w:val="16"/>
        </w:rPr>
        <w:br/>
        <w:t xml:space="preserve">The KDE provided guidance, technical assistance and reviewed the evidence submitted by LEAs to verify the implementation and completion of CAP activities. Once the individual and systemic noncompliance was verified as corrected, the KDE reviewed updated data through a process known in Kentucky as comparison folder reviews. As part of this process, the KDE reviewed the files of additional students who were subject to removals in the current school year. This allowed the KDE to ensure the updated data was verified as corrected and to ensure the LEA subsequently achieved 100% compliance with Indicator 4A requirements. The KDE concluded and reported all identified noncompliance was corrected when the LEA: </w:t>
      </w:r>
      <w:r w:rsidRPr="00781112">
        <w:rPr>
          <w:rFonts w:cs="Arial"/>
          <w:color w:val="000000" w:themeColor="text1"/>
          <w:szCs w:val="16"/>
        </w:rPr>
        <w:br/>
      </w:r>
      <w:r w:rsidRPr="00781112">
        <w:rPr>
          <w:rFonts w:cs="Arial"/>
          <w:color w:val="000000" w:themeColor="text1"/>
          <w:szCs w:val="16"/>
        </w:rPr>
        <w:br/>
        <w:t xml:space="preserve">Prong 1 – Corrected each individual case of noncompliance, and </w:t>
      </w:r>
      <w:r w:rsidRPr="00781112">
        <w:rPr>
          <w:rFonts w:cs="Arial"/>
          <w:color w:val="000000" w:themeColor="text1"/>
          <w:szCs w:val="16"/>
        </w:rPr>
        <w:br/>
        <w:t>Prong 2 – Was systemically in compliance with the specified regulatory requirements (i.e., subsequently achieved 100% compliance), based on the KDE review of the updated data, known in Kentucky as comparison folder reviews.</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31047242" w:rsidR="000C7B90" w:rsidRPr="00781112" w:rsidRDefault="00F6415A" w:rsidP="004369B2">
      <w:pPr>
        <w:rPr>
          <w:color w:val="000000" w:themeColor="text1"/>
        </w:rPr>
      </w:pPr>
      <w:r w:rsidRPr="00781112">
        <w:rPr>
          <w:b/>
          <w:color w:val="000000" w:themeColor="text1"/>
        </w:rPr>
        <w:t>FFY 2019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 xml:space="preserve">The five LEAs, with assistance from the Regional Special Education Cooperative and the KDE, reviewed student-specific and systemic noncompliance items identified in the Report of Findings. The KDE identified the percentage level of noncompliance for each LEA. Each LEA was required to conduct a root cause analysis to determine why problem areas existed. </w:t>
      </w:r>
      <w:r w:rsidRPr="00781112">
        <w:rPr>
          <w:rFonts w:cs="Arial"/>
          <w:color w:val="000000" w:themeColor="text1"/>
          <w:szCs w:val="16"/>
        </w:rPr>
        <w:br/>
      </w:r>
      <w:r w:rsidRPr="00781112">
        <w:rPr>
          <w:rFonts w:cs="Arial"/>
          <w:color w:val="000000" w:themeColor="text1"/>
          <w:szCs w:val="16"/>
        </w:rPr>
        <w:br/>
        <w:t>The results of the root cause analyses were varied and included topics such as misunderstandings of timeline requirements and lack of training for PBIS. Those results were utilized to develop meaningful CAPs that included action steps to ensure the LEA corrected the root cause of noncompliance, ensure the LEA was correctly implementing the regulatory requirements and improving practices related to discipline. The KDE identified noncompliant policies, procedures, and practices in the Report of Findings for each LEA. The LEA was required to change any noncompliant policies, procedures and practices through the CAP process. Additional CAP activities varied by LEA and were related to the root cause of noncompliance in the LEA. The KDE-approved trainers provided training activities identified in the CAP. Approved trainers included regional special education cooperative staff members. Prior to training events, the KDE reviewed the training materials to ensure all areas of noncompliance were sufficiently addressed and the regulatory requirements were correctly implemented.</w:t>
      </w:r>
      <w:r w:rsidRPr="00781112">
        <w:rPr>
          <w:rFonts w:cs="Arial"/>
          <w:color w:val="000000" w:themeColor="text1"/>
          <w:szCs w:val="16"/>
        </w:rPr>
        <w:br/>
      </w:r>
      <w:r w:rsidRPr="00781112">
        <w:rPr>
          <w:rFonts w:cs="Arial"/>
          <w:color w:val="000000" w:themeColor="text1"/>
          <w:szCs w:val="16"/>
        </w:rPr>
        <w:br/>
        <w:t xml:space="preserve">The KDE required all noncompliance to be corrected as soon as possible but not more than one year from the date of notification of the noncompliance. The LEAs were required to submit CAP status reports to the KDE at least quarterly. </w:t>
      </w:r>
      <w:r w:rsidRPr="00781112">
        <w:rPr>
          <w:rFonts w:cs="Arial"/>
          <w:color w:val="000000" w:themeColor="text1"/>
          <w:szCs w:val="16"/>
        </w:rPr>
        <w:br/>
      </w:r>
      <w:r w:rsidRPr="00781112">
        <w:rPr>
          <w:rFonts w:cs="Arial"/>
          <w:color w:val="000000" w:themeColor="text1"/>
          <w:szCs w:val="16"/>
        </w:rPr>
        <w:br/>
        <w:t xml:space="preserve">The KDE reviewed additional student due process records as part of the CAP process to verify that the LEAs were implementing the regulatory requirements. In Kentucky, this is known as review of updated data using comparison folders. The number of folders reviewed was determined by the size of the LEA's child count in the specific area. The process for selecting files is documented on page 29 of the KDE's IDEA Monitoring Manual. This can be found at https://education.ky.gov/specialed/excep/forms/Documents/IDEAMonManDstrctEdtn.pdf. </w:t>
      </w:r>
      <w:r w:rsidRPr="00781112">
        <w:rPr>
          <w:rFonts w:cs="Arial"/>
          <w:color w:val="000000" w:themeColor="text1"/>
          <w:szCs w:val="16"/>
        </w:rPr>
        <w:br/>
      </w:r>
      <w:r w:rsidRPr="00781112">
        <w:rPr>
          <w:rFonts w:cs="Arial"/>
          <w:color w:val="000000" w:themeColor="text1"/>
          <w:szCs w:val="16"/>
        </w:rPr>
        <w:br/>
        <w:t xml:space="preserve">If any record was found noncompliant during comparison folder reviews, the LEA was required to correct the noncompliance. Additionally, LEAs were required to correct all systemic noncompliance. All original records were verified as 100% compliant in the areas originally cited. Additional folders identified in the review of updated data were also verified as 100% compliant before the KDE determined the LEA had corrected all areas of noncompliance. The updated data review (comparison folders) was repeated until the LEA was correctly implementing the regulatory requirements at 100% compliance. With verification of CAP completion and all updated data verified as 100% compliant, the KDE reported the noncompliance as corrected and closed the CAP. </w:t>
      </w:r>
      <w:r w:rsidRPr="00781112">
        <w:rPr>
          <w:rFonts w:cs="Arial"/>
          <w:color w:val="000000" w:themeColor="text1"/>
          <w:szCs w:val="16"/>
        </w:rPr>
        <w:br/>
      </w:r>
      <w:r w:rsidRPr="00781112">
        <w:rPr>
          <w:rFonts w:cs="Arial"/>
          <w:color w:val="000000" w:themeColor="text1"/>
          <w:szCs w:val="16"/>
        </w:rPr>
        <w:br/>
        <w:t>All five of the LEAs identified successfully implemented the regulatory requirements at 100% compliance and closed their CAPs.</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 xml:space="preserve">For FFY 2019, five LEAs were identified as having noncompliant practices under Indicator 4A. The KDE reviewed all identified student files and issued student-specific corrective action. LEAs developed CAPs to address noncompliance and included the correction of individual due process files as part of the CAP activities. </w:t>
      </w:r>
      <w:r w:rsidRPr="00781112">
        <w:rPr>
          <w:rFonts w:cs="Arial"/>
          <w:color w:val="000000" w:themeColor="text1"/>
          <w:szCs w:val="16"/>
        </w:rPr>
        <w:br/>
      </w:r>
      <w:r w:rsidRPr="00781112">
        <w:rPr>
          <w:rFonts w:cs="Arial"/>
          <w:color w:val="000000" w:themeColor="text1"/>
          <w:szCs w:val="16"/>
        </w:rPr>
        <w:br/>
        <w:t xml:space="preserve">The LEA, with assistance from the Regional Special Education Cooperative and the KDE, reviewed student-specific items identified in the Report of Findings. The KDE required all student-level noncompliance to be corrected as soon as possible but not more than one year from the date of notification of the noncompliance. The LEAs were required to submit CAP status reports to the KDE at least quarterly. </w:t>
      </w:r>
      <w:r w:rsidRPr="00781112">
        <w:rPr>
          <w:rFonts w:cs="Arial"/>
          <w:color w:val="000000" w:themeColor="text1"/>
          <w:szCs w:val="16"/>
        </w:rPr>
        <w:br/>
      </w:r>
      <w:r w:rsidRPr="00781112">
        <w:rPr>
          <w:rFonts w:cs="Arial"/>
          <w:color w:val="000000" w:themeColor="text1"/>
          <w:szCs w:val="16"/>
        </w:rPr>
        <w:br/>
        <w:t xml:space="preserve">The KDE provided guidance, technical assistance and reviewed the evidence submitted to verify the implementation and completion of student-specific corrections and CAP activities. The KDE reviewed the evidence and verified that all five LEAs had corrected each individual case of noncompliance. </w:t>
      </w:r>
      <w:r w:rsidRPr="00781112">
        <w:rPr>
          <w:rFonts w:cs="Arial"/>
          <w:color w:val="000000" w:themeColor="text1"/>
          <w:szCs w:val="16"/>
        </w:rPr>
        <w:br/>
      </w:r>
      <w:r w:rsidRPr="00781112">
        <w:rPr>
          <w:rFonts w:cs="Arial"/>
          <w:color w:val="000000" w:themeColor="text1"/>
          <w:szCs w:val="16"/>
        </w:rPr>
        <w:br/>
        <w:t>With verification of CAP completion and all updated data submitted verified as 100% compliant in the areas identified, the KDE reported the noncompliance as corrected. The KDE determined all five of the LEAs corrected all individual cases of noncompliance under OSEP Memorandum 09-02.</w:t>
      </w:r>
    </w:p>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54" w:type="pct"/>
            <w:shd w:val="clear" w:color="auto" w:fill="auto"/>
          </w:tcPr>
          <w:p w14:paraId="38361EB5" w14:textId="479B3693"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0" w:type="pct"/>
            <w:shd w:val="clear" w:color="auto" w:fill="auto"/>
          </w:tcPr>
          <w:p w14:paraId="0F44D03C" w14:textId="3887F715"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269" w:type="pct"/>
            <w:shd w:val="clear" w:color="auto" w:fill="auto"/>
          </w:tcPr>
          <w:p w14:paraId="5DF55667" w14:textId="0913E6B4" w:rsidR="000C7B90"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3BB76F7F" w14:textId="77777777" w:rsidTr="00AB0D6A">
        <w:tc>
          <w:tcPr>
            <w:tcW w:w="1027" w:type="pct"/>
            <w:shd w:val="clear" w:color="auto" w:fill="auto"/>
          </w:tcPr>
          <w:p w14:paraId="3E53BDFC" w14:textId="49B50F7D" w:rsidR="000C7B90" w:rsidRPr="00781112" w:rsidRDefault="002B7490" w:rsidP="00A018D4">
            <w:pPr>
              <w:jc w:val="center"/>
              <w:rPr>
                <w:rFonts w:cs="Arial"/>
                <w:color w:val="000000" w:themeColor="text1"/>
                <w:szCs w:val="16"/>
              </w:rPr>
            </w:pPr>
            <w:r w:rsidRPr="00781112">
              <w:rPr>
                <w:rFonts w:cs="Arial"/>
                <w:color w:val="000000" w:themeColor="text1"/>
                <w:szCs w:val="16"/>
              </w:rPr>
              <w:t>FFY 2017</w:t>
            </w:r>
          </w:p>
        </w:tc>
        <w:tc>
          <w:tcPr>
            <w:tcW w:w="1354" w:type="pct"/>
            <w:shd w:val="clear" w:color="auto" w:fill="auto"/>
          </w:tcPr>
          <w:p w14:paraId="2DAC4ACF" w14:textId="6DFB36C9"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0" w:type="pct"/>
            <w:shd w:val="clear" w:color="auto" w:fill="auto"/>
          </w:tcPr>
          <w:p w14:paraId="45BEAE02" w14:textId="10E4F499"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269" w:type="pct"/>
            <w:shd w:val="clear" w:color="auto" w:fill="auto"/>
          </w:tcPr>
          <w:p w14:paraId="3F264F27" w14:textId="46B36D97" w:rsidR="000C7B90"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1B66B81" w14:textId="77777777" w:rsidTr="00AB0D6A">
        <w:tc>
          <w:tcPr>
            <w:tcW w:w="1027" w:type="pct"/>
            <w:shd w:val="clear" w:color="auto" w:fill="auto"/>
          </w:tcPr>
          <w:p w14:paraId="65918C5C" w14:textId="6650DAE7" w:rsidR="000C7B90" w:rsidRPr="00781112" w:rsidRDefault="00505F18" w:rsidP="00A018D4">
            <w:pPr>
              <w:jc w:val="center"/>
              <w:rPr>
                <w:rFonts w:cs="Arial"/>
                <w:color w:val="000000" w:themeColor="text1"/>
                <w:szCs w:val="16"/>
              </w:rPr>
            </w:pPr>
            <w:r w:rsidRPr="00781112">
              <w:rPr>
                <w:rFonts w:cs="Arial"/>
                <w:color w:val="000000" w:themeColor="text1"/>
                <w:szCs w:val="16"/>
              </w:rPr>
              <w:lastRenderedPageBreak/>
              <w:t>FFY 2016</w:t>
            </w:r>
          </w:p>
        </w:tc>
        <w:tc>
          <w:tcPr>
            <w:tcW w:w="1354" w:type="pct"/>
            <w:shd w:val="clear" w:color="auto" w:fill="auto"/>
          </w:tcPr>
          <w:p w14:paraId="1BC28F5F" w14:textId="383929AE"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0" w:type="pct"/>
            <w:shd w:val="clear" w:color="auto" w:fill="auto"/>
          </w:tcPr>
          <w:p w14:paraId="12030336" w14:textId="25AE5462"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269" w:type="pct"/>
            <w:shd w:val="clear" w:color="auto" w:fill="auto"/>
          </w:tcPr>
          <w:p w14:paraId="189EDDF9" w14:textId="00F3EE08" w:rsidR="000C7B90" w:rsidRPr="00781112" w:rsidRDefault="002B7490">
            <w:pPr>
              <w:jc w:val="center"/>
              <w:rPr>
                <w:rFonts w:cs="Arial"/>
                <w:noProof/>
                <w:color w:val="000000" w:themeColor="text1"/>
                <w:szCs w:val="16"/>
              </w:rPr>
            </w:pPr>
            <w:r w:rsidRPr="00781112">
              <w:rPr>
                <w:rFonts w:cs="Arial"/>
                <w:color w:val="000000" w:themeColor="text1"/>
                <w:szCs w:val="16"/>
              </w:rPr>
              <w:t>0</w:t>
            </w:r>
          </w:p>
        </w:tc>
      </w:tr>
    </w:tbl>
    <w:p w14:paraId="74BF3CD2" w14:textId="0F74368A" w:rsidR="00D5193F" w:rsidRPr="00781112" w:rsidRDefault="00D5193F" w:rsidP="004369B2">
      <w:pPr>
        <w:rPr>
          <w:rFonts w:cs="Arial"/>
          <w:b/>
          <w:bCs/>
          <w:color w:val="000000" w:themeColor="text1"/>
          <w:szCs w:val="16"/>
        </w:rPr>
      </w:pPr>
      <w:r w:rsidRPr="00781112">
        <w:rPr>
          <w:rFonts w:cs="Arial"/>
          <w:b/>
          <w:bCs/>
          <w:color w:val="000000" w:themeColor="text1"/>
          <w:szCs w:val="16"/>
        </w:rPr>
        <w:t>FFY 2018</w:t>
      </w:r>
    </w:p>
    <w:p w14:paraId="1C2A9975" w14:textId="28FF6C1E" w:rsidR="000C7B90" w:rsidRPr="00781112" w:rsidRDefault="000C7B90" w:rsidP="004369B2">
      <w:pPr>
        <w:rPr>
          <w:color w:val="000000" w:themeColor="text1"/>
        </w:rPr>
      </w:pPr>
      <w:r w:rsidRPr="00781112">
        <w:rPr>
          <w:b/>
          <w:color w:val="000000" w:themeColor="text1"/>
        </w:rPr>
        <w:t>Findings of Noncompliance Verified as Corrected</w:t>
      </w:r>
    </w:p>
    <w:p w14:paraId="294DE42A"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F179ACD" w14:textId="5A69585C" w:rsidR="002D57DA" w:rsidRPr="00781112" w:rsidRDefault="002B7490" w:rsidP="000C7B90">
      <w:pPr>
        <w:rPr>
          <w:rFonts w:cs="Arial"/>
          <w:color w:val="000000" w:themeColor="text1"/>
          <w:szCs w:val="16"/>
        </w:rPr>
      </w:pPr>
      <w:r w:rsidRPr="00781112">
        <w:rPr>
          <w:rFonts w:cs="Arial"/>
          <w:color w:val="000000" w:themeColor="text1"/>
          <w:szCs w:val="16"/>
        </w:rPr>
        <w:t xml:space="preserve">The remaining one noncompliant LEA, with assistance from the Regional Special Education Cooperative and the KDE, reviewed student-specific and systemic noncompliance items identified in the Report of Findings. The KDE identified the percentage level of noncompliance for the LEA. The LEA was required to conduct a root cause analysis to determine why problem areas existed. </w:t>
      </w:r>
      <w:r w:rsidRPr="00781112">
        <w:rPr>
          <w:rFonts w:cs="Arial"/>
          <w:color w:val="000000" w:themeColor="text1"/>
          <w:szCs w:val="16"/>
        </w:rPr>
        <w:br/>
      </w:r>
      <w:r w:rsidRPr="00781112">
        <w:rPr>
          <w:rFonts w:cs="Arial"/>
          <w:color w:val="000000" w:themeColor="text1"/>
          <w:szCs w:val="16"/>
        </w:rPr>
        <w:br/>
        <w:t>The results of the root cause analysis included topics such as misunderstandings of timeline requirements and lack of training for PBIS. Those results were utilized to develop a meaningful CAP that included action steps to ensure the LEA corrected the root cause of noncompliance, ensure the LEA was correctly implementing the regulatory requirements and improve LEA practices in discipline. The KDE identified noncompliant policies, procedures, and practices in the Report of Findings for the LEA. The LEA was required to change any noncompliant policies, procedures and practices within their CAP. Additional CAP activities were related to the root cause of noncompliance in the LEA. KDE-approved trainers included regional special education cooperative staff members who provided training activities identified on the CAP. Prior to training events, the KDE reviewed the training materials to ensure all areas of noncompliance were sufficiently addressed and that the regulatory requirements were correctly implemented.</w:t>
      </w:r>
      <w:r w:rsidRPr="00781112">
        <w:rPr>
          <w:rFonts w:cs="Arial"/>
          <w:color w:val="000000" w:themeColor="text1"/>
          <w:szCs w:val="16"/>
        </w:rPr>
        <w:br/>
      </w:r>
      <w:r w:rsidRPr="00781112">
        <w:rPr>
          <w:rFonts w:cs="Arial"/>
          <w:color w:val="000000" w:themeColor="text1"/>
          <w:szCs w:val="16"/>
        </w:rPr>
        <w:br/>
        <w:t xml:space="preserve">The KDE required all noncompliance to be corrected as soon as possible but not more than one year from the date of notification of the noncompliance. The LEA was required to submit CAP status reports to the KDE at least quarterly . </w:t>
      </w:r>
      <w:r w:rsidRPr="00781112">
        <w:rPr>
          <w:rFonts w:cs="Arial"/>
          <w:color w:val="000000" w:themeColor="text1"/>
          <w:szCs w:val="16"/>
        </w:rPr>
        <w:br/>
      </w:r>
      <w:r w:rsidRPr="00781112">
        <w:rPr>
          <w:rFonts w:cs="Arial"/>
          <w:color w:val="000000" w:themeColor="text1"/>
          <w:szCs w:val="16"/>
        </w:rPr>
        <w:br/>
        <w:t xml:space="preserve">The KDE reviewed additional student due process records as part of the CAP process to verify that the LEA was implementing the regulatory requirements. In Kentucky, this is known as review of updated data using comparison folder reviews. The number of folders reviewed was determined by the size of the LEA's child count in the area reviewed. The process for selecting files is documented on page 29 of the KDE's IDEA Monitoring Manual. This can be found at https://education.ky.gov/specialed/excep/forms/Documents/IDEAMonManDstrctEdtn.pdf. </w:t>
      </w:r>
      <w:r w:rsidRPr="00781112">
        <w:rPr>
          <w:rFonts w:cs="Arial"/>
          <w:color w:val="000000" w:themeColor="text1"/>
          <w:szCs w:val="16"/>
        </w:rPr>
        <w:br/>
      </w:r>
      <w:r w:rsidRPr="00781112">
        <w:rPr>
          <w:rFonts w:cs="Arial"/>
          <w:color w:val="000000" w:themeColor="text1"/>
          <w:szCs w:val="16"/>
        </w:rPr>
        <w:br/>
        <w:t xml:space="preserve">If any record was found noncompliant during comparison folder reviews, the LEA was required to correct the noncompliance. If any record was found noncompliant during comparison folder reviews, the LEA was required to correct the noncompliance. Additionally, the LEA was required to correct all systemic noncompliance. All original records were verified as 100% compliant in the areas originally cited. Additional folders were verified as 100% compliant before the KDE determined the LEA had corrected all areas of noncompliance. The updated data review (comparison folders) was repeated until the LEA was correctly implementing the regulatory requirements at 100% compliance. With verification of CAP completion and all updated data verified as 100% compliant, the Division of IDEA Monitoring and Results (DIMR) reported the noncompliance as corrected and closed the CAP. </w:t>
      </w:r>
      <w:r w:rsidRPr="00781112">
        <w:rPr>
          <w:rFonts w:cs="Arial"/>
          <w:color w:val="000000" w:themeColor="text1"/>
          <w:szCs w:val="16"/>
        </w:rPr>
        <w:br/>
      </w:r>
      <w:r w:rsidRPr="00781112">
        <w:rPr>
          <w:rFonts w:cs="Arial"/>
          <w:color w:val="000000" w:themeColor="text1"/>
          <w:szCs w:val="16"/>
        </w:rPr>
        <w:br/>
        <w:t xml:space="preserve">The LEA successfully implemented the regulatory requirements at 100% compliance and closed their CAP. </w:t>
      </w:r>
    </w:p>
    <w:p w14:paraId="3F279C69" w14:textId="41576744"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00DD3830"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F4BD0E9" w14:textId="38A4E6A4" w:rsidR="002D57DA" w:rsidRPr="00781112" w:rsidRDefault="002B7490" w:rsidP="000C7B90">
      <w:pPr>
        <w:rPr>
          <w:rFonts w:cs="Arial"/>
          <w:color w:val="000000" w:themeColor="text1"/>
          <w:szCs w:val="16"/>
        </w:rPr>
      </w:pPr>
      <w:r w:rsidRPr="00781112">
        <w:rPr>
          <w:rFonts w:cs="Arial"/>
          <w:color w:val="000000" w:themeColor="text1"/>
          <w:szCs w:val="16"/>
        </w:rPr>
        <w:t xml:space="preserve">For FFY 2018, one LEA remained as having noncompliant practices under Indicator 4A. The KDE reviewed all identified student files and issued student specific corrective action. The LEA developed a CAP to address noncompliance and included the correction of individual due process files as part of the CAP activities. </w:t>
      </w:r>
      <w:r w:rsidRPr="00781112">
        <w:rPr>
          <w:rFonts w:cs="Arial"/>
          <w:color w:val="000000" w:themeColor="text1"/>
          <w:szCs w:val="16"/>
        </w:rPr>
        <w:br/>
      </w:r>
      <w:r w:rsidRPr="00781112">
        <w:rPr>
          <w:rFonts w:cs="Arial"/>
          <w:color w:val="000000" w:themeColor="text1"/>
          <w:szCs w:val="16"/>
        </w:rPr>
        <w:br/>
        <w:t xml:space="preserve">The LEA, with assistance from the Regional Special Education Cooperative and the KDE, reviewed student-specific items identified in the Report of Findings. The KDE required all student-level noncompliance to be corrected as soon as possible but not more than one year from the date of notification of the noncompliance. The DIMR required all student-level noncompliance to be corrected as soon as possible but not longer than one year from the date of notification of the noncompliance. The LEA was required to submit CAP status reports to the KDE at least quarterly. </w:t>
      </w:r>
      <w:r w:rsidRPr="00781112">
        <w:rPr>
          <w:rFonts w:cs="Arial"/>
          <w:color w:val="000000" w:themeColor="text1"/>
          <w:szCs w:val="16"/>
        </w:rPr>
        <w:br/>
      </w:r>
      <w:r w:rsidRPr="00781112">
        <w:rPr>
          <w:rFonts w:cs="Arial"/>
          <w:color w:val="000000" w:themeColor="text1"/>
          <w:szCs w:val="16"/>
        </w:rPr>
        <w:br/>
        <w:t xml:space="preserve">The KDE provided guidance, technical assistance and reviewed the evidence submitted to verify the implementation and completion of student-specific corrections and CAP activities. The KDE reviewed the evidence and verified that the LEA had corrected all individual cases of noncompliance. </w:t>
      </w:r>
      <w:r w:rsidRPr="00781112">
        <w:rPr>
          <w:rFonts w:cs="Arial"/>
          <w:color w:val="000000" w:themeColor="text1"/>
          <w:szCs w:val="16"/>
        </w:rPr>
        <w:br/>
      </w:r>
      <w:r w:rsidRPr="00781112">
        <w:rPr>
          <w:rFonts w:cs="Arial"/>
          <w:color w:val="000000" w:themeColor="text1"/>
          <w:szCs w:val="16"/>
        </w:rPr>
        <w:br/>
        <w:t>With verification of CAP completion and all updated data submitted verified as 100% compliant in the areas identified, the KDE reported the noncompliance as corrected. With verification of CAP completion and all updated data submitted verified as 100% compliant in the areas identified, the DIMR reported the noncompliance as corrected.  The correction of individual student files was reported in the FFY19 SPP/APR.</w:t>
      </w:r>
    </w:p>
    <w:p w14:paraId="378AB43A" w14:textId="705ED3F0" w:rsidR="00D5193F" w:rsidRPr="00781112" w:rsidRDefault="00D5193F" w:rsidP="00D5193F">
      <w:pPr>
        <w:rPr>
          <w:rFonts w:cs="Arial"/>
          <w:b/>
          <w:bCs/>
          <w:color w:val="000000" w:themeColor="text1"/>
          <w:szCs w:val="16"/>
        </w:rPr>
      </w:pPr>
      <w:r w:rsidRPr="00781112">
        <w:rPr>
          <w:rFonts w:cs="Arial"/>
          <w:b/>
          <w:bCs/>
          <w:color w:val="000000" w:themeColor="text1"/>
          <w:szCs w:val="16"/>
        </w:rPr>
        <w:t>FFY 2017</w:t>
      </w:r>
    </w:p>
    <w:p w14:paraId="70DB4EC3" w14:textId="160168EB" w:rsidR="000C7B90" w:rsidRPr="00781112" w:rsidRDefault="000C7B90" w:rsidP="004369B2">
      <w:pPr>
        <w:rPr>
          <w:color w:val="000000" w:themeColor="text1"/>
        </w:rPr>
      </w:pPr>
      <w:r w:rsidRPr="00781112">
        <w:rPr>
          <w:b/>
          <w:color w:val="000000" w:themeColor="text1"/>
        </w:rPr>
        <w:t>Findings of Noncompliance Verified as Corrected</w:t>
      </w:r>
    </w:p>
    <w:p w14:paraId="28697352" w14:textId="1584A642"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00DD3830" w:rsidRPr="00781112">
        <w:rPr>
          <w:rFonts w:cs="Arial"/>
          <w:b/>
          <w:i/>
          <w:color w:val="000000" w:themeColor="text1"/>
          <w:szCs w:val="16"/>
        </w:rPr>
        <w:t>regulatory requirements</w:t>
      </w:r>
    </w:p>
    <w:p w14:paraId="6EF127D5" w14:textId="0028AC89" w:rsidR="002D57DA" w:rsidRPr="00781112" w:rsidRDefault="002B7490" w:rsidP="000C7B90">
      <w:pPr>
        <w:rPr>
          <w:rFonts w:cs="Arial"/>
          <w:color w:val="000000" w:themeColor="text1"/>
          <w:szCs w:val="16"/>
        </w:rPr>
      </w:pPr>
      <w:r w:rsidRPr="00781112">
        <w:rPr>
          <w:rFonts w:cs="Arial"/>
          <w:color w:val="000000" w:themeColor="text1"/>
          <w:szCs w:val="16"/>
        </w:rPr>
        <w:t xml:space="preserve">The remaining one noncompliant LEA, with assistance from the Regional Special Education Cooperative and the KDE, reviewed student-specific and systemic noncompliance items identified in the Report of Findings. The KDE identified the percentage level of noncompliance for the LEA. The LEA was required to conduct a root cause analysis to determine why problem areas existed. </w:t>
      </w:r>
      <w:r w:rsidRPr="00781112">
        <w:rPr>
          <w:rFonts w:cs="Arial"/>
          <w:color w:val="000000" w:themeColor="text1"/>
          <w:szCs w:val="16"/>
        </w:rPr>
        <w:br/>
      </w:r>
      <w:r w:rsidRPr="00781112">
        <w:rPr>
          <w:rFonts w:cs="Arial"/>
          <w:color w:val="000000" w:themeColor="text1"/>
          <w:szCs w:val="16"/>
        </w:rPr>
        <w:br/>
        <w:t>The results of the root cause analysis included topics such as misunderstandings of timeline requirements and lack of training for PBIS. Those results were utilized to develop a meaningful CAP that included action steps to ensure the LEA corrected the root cause of noncompliance, ensure the LEA was correctly implementing the regulatory requirements and improve LEA practices in discipline. The KDE identified noncompliant policies, procedures, and practices in the Report of Findings for the LEA. The LEA was required to change any noncompliant policies, procedures and practices within their CAP. Additional CAP activities were related to the root cause of noncompliance in the LEA. KDE-approved trainers included regional special education cooperative staff members who provided training activities identified on the CAP. Prior to training events, the KDE reviewed the training materials to ensure all areas of noncompliance were sufficiently addressed and that the regulatory requirements were correctly implemented.</w:t>
      </w:r>
      <w:r w:rsidRPr="00781112">
        <w:rPr>
          <w:rFonts w:cs="Arial"/>
          <w:color w:val="000000" w:themeColor="text1"/>
          <w:szCs w:val="16"/>
        </w:rPr>
        <w:br/>
      </w:r>
      <w:r w:rsidRPr="00781112">
        <w:rPr>
          <w:rFonts w:cs="Arial"/>
          <w:color w:val="000000" w:themeColor="text1"/>
          <w:szCs w:val="16"/>
        </w:rPr>
        <w:br/>
        <w:t xml:space="preserve">The KDE required all noncompliance to be corrected as soon as possible but not more than one year from the date of notification of the noncompliance. The LEA was required to submit CAP status reports to the KDE at least quarterly . </w:t>
      </w:r>
      <w:r w:rsidRPr="00781112">
        <w:rPr>
          <w:rFonts w:cs="Arial"/>
          <w:color w:val="000000" w:themeColor="text1"/>
          <w:szCs w:val="16"/>
        </w:rPr>
        <w:br/>
      </w:r>
      <w:r w:rsidRPr="00781112">
        <w:rPr>
          <w:rFonts w:cs="Arial"/>
          <w:color w:val="000000" w:themeColor="text1"/>
          <w:szCs w:val="16"/>
        </w:rPr>
        <w:br/>
        <w:t xml:space="preserve">The KDE reviewed additional student due process records as part of the CAP process to verify that the LEA was implementing the regulatory requirements. In Kentucky, this is known as review of updated data using comparison folder reviews. The number of folders reviewed was determined by the size of the LEA's child count in the area reviewed. The process for selecting files is documented on page 29 of the KDE's IDEA Monitoring Manual. This can be found at https://education.ky.gov/specialed/excep/forms/Documents/IDEAMonManDstrctEdtn.pdf. </w:t>
      </w:r>
      <w:r w:rsidRPr="00781112">
        <w:rPr>
          <w:rFonts w:cs="Arial"/>
          <w:color w:val="000000" w:themeColor="text1"/>
          <w:szCs w:val="16"/>
        </w:rPr>
        <w:br/>
      </w:r>
      <w:r w:rsidRPr="00781112">
        <w:rPr>
          <w:rFonts w:cs="Arial"/>
          <w:color w:val="000000" w:themeColor="text1"/>
          <w:szCs w:val="16"/>
        </w:rPr>
        <w:lastRenderedPageBreak/>
        <w:br/>
        <w:t xml:space="preserve">If any record was found noncompliant during comparison folder reviews, the LEA was required to correct the noncompliance. If any record was found noncompliant during comparison folder reviews, the LEA was required to correct the noncompliance. Additionally, the LEA was required to correct all systemic noncompliance. All original records were verified as 100% compliant in the areas originally cited. Additional folders were verified as 100% compliant before the KDE determined the LEA had corrected all areas of noncompliance. The updated data review (comparison folders) was repeated until the LEA was correctly implementing the regulatory requirements at 100% compliance. With verification of CAP completion and all updated data verified as 100% compliant, the Division of IDEA Monitoring and Results (DIMR) reported the noncompliance as corrected and closed the CAP. </w:t>
      </w:r>
      <w:r w:rsidRPr="00781112">
        <w:rPr>
          <w:rFonts w:cs="Arial"/>
          <w:color w:val="000000" w:themeColor="text1"/>
          <w:szCs w:val="16"/>
        </w:rPr>
        <w:br/>
      </w:r>
      <w:r w:rsidRPr="00781112">
        <w:rPr>
          <w:rFonts w:cs="Arial"/>
          <w:color w:val="000000" w:themeColor="text1"/>
          <w:szCs w:val="16"/>
        </w:rPr>
        <w:br/>
        <w:t xml:space="preserve">The LEA successfully implemented the regulatory requirements at 100% compliance and closed their CAP. </w:t>
      </w:r>
    </w:p>
    <w:p w14:paraId="2C091DAF" w14:textId="40C1FA4E"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6F7AAF" w14:textId="2C1030DF" w:rsidR="002D57DA" w:rsidRPr="00781112" w:rsidRDefault="002B7490" w:rsidP="000C7B90">
      <w:pPr>
        <w:rPr>
          <w:rFonts w:cs="Arial"/>
          <w:color w:val="000000" w:themeColor="text1"/>
          <w:szCs w:val="16"/>
        </w:rPr>
      </w:pPr>
      <w:r w:rsidRPr="00781112">
        <w:rPr>
          <w:rFonts w:cs="Arial"/>
          <w:color w:val="000000" w:themeColor="text1"/>
          <w:szCs w:val="16"/>
        </w:rPr>
        <w:t xml:space="preserve">For FFY 2017, one LEA remained as having noncompliant practices under Indicator 4A. The KDE reviewed all identified student files and issued student specific corrective action. The LEA developed a CAP to address noncompliance and included the correction of individual due process files as part of the CAP activities. </w:t>
      </w:r>
      <w:r w:rsidRPr="00781112">
        <w:rPr>
          <w:rFonts w:cs="Arial"/>
          <w:color w:val="000000" w:themeColor="text1"/>
          <w:szCs w:val="16"/>
        </w:rPr>
        <w:br/>
      </w:r>
      <w:r w:rsidRPr="00781112">
        <w:rPr>
          <w:rFonts w:cs="Arial"/>
          <w:color w:val="000000" w:themeColor="text1"/>
          <w:szCs w:val="16"/>
        </w:rPr>
        <w:br/>
        <w:t xml:space="preserve">The LEA, with assistance from the Regional Special Education Cooperative and the KDE, reviewed student-specific items identified in the Report of Findings. The KDE required all student-level noncompliance to be corrected as soon as possible but not more than one year from the date of notification of the noncompliance. The DIMR required all student-level noncompliance to be corrected as soon as possible but not longer than one year from the date of notification of the noncompliance. The LEA was required to submit CAP status reports to the KDE at least quarterly. </w:t>
      </w:r>
      <w:r w:rsidRPr="00781112">
        <w:rPr>
          <w:rFonts w:cs="Arial"/>
          <w:color w:val="000000" w:themeColor="text1"/>
          <w:szCs w:val="16"/>
        </w:rPr>
        <w:br/>
      </w:r>
      <w:r w:rsidRPr="00781112">
        <w:rPr>
          <w:rFonts w:cs="Arial"/>
          <w:color w:val="000000" w:themeColor="text1"/>
          <w:szCs w:val="16"/>
        </w:rPr>
        <w:br/>
        <w:t xml:space="preserve">The KDE provided guidance, technical assistance and reviewed the evidence submitted to verify the implementation and completion of student-specific corrections and CAP activities. The KDE reviewed the evidence and verified that the LEA had corrected all individual cases of noncompliance. </w:t>
      </w:r>
      <w:r w:rsidRPr="00781112">
        <w:rPr>
          <w:rFonts w:cs="Arial"/>
          <w:color w:val="000000" w:themeColor="text1"/>
          <w:szCs w:val="16"/>
        </w:rPr>
        <w:br/>
      </w:r>
      <w:r w:rsidRPr="00781112">
        <w:rPr>
          <w:rFonts w:cs="Arial"/>
          <w:color w:val="000000" w:themeColor="text1"/>
          <w:szCs w:val="16"/>
        </w:rPr>
        <w:br/>
        <w:t>With verification of CAP completion and all updated data submitted verified as 100% compliant in the areas identified, the KDE reported the noncompliance as corrected. With verification of CAP completion and all updated data submitted verified as 100% compliant in the areas identified, the DIMR reported the noncompliance as corrected.  The correction of individual student files was reported in the FFY19 SPP/APR.</w:t>
      </w:r>
    </w:p>
    <w:p w14:paraId="08B5A143" w14:textId="5E0F6B74" w:rsidR="00D5193F" w:rsidRPr="00781112" w:rsidRDefault="00D5193F" w:rsidP="00D5193F">
      <w:pPr>
        <w:rPr>
          <w:rFonts w:cs="Arial"/>
          <w:b/>
          <w:bCs/>
          <w:color w:val="000000" w:themeColor="text1"/>
          <w:szCs w:val="16"/>
        </w:rPr>
      </w:pPr>
      <w:r w:rsidRPr="00781112">
        <w:rPr>
          <w:rFonts w:cs="Arial"/>
          <w:b/>
          <w:bCs/>
          <w:color w:val="000000" w:themeColor="text1"/>
          <w:szCs w:val="16"/>
        </w:rPr>
        <w:t>FFY 2016</w:t>
      </w:r>
    </w:p>
    <w:p w14:paraId="70846711" w14:textId="6F042549" w:rsidR="000C7B90" w:rsidRPr="00781112" w:rsidRDefault="000C7B90" w:rsidP="004369B2">
      <w:pPr>
        <w:rPr>
          <w:color w:val="000000" w:themeColor="text1"/>
        </w:rPr>
      </w:pPr>
      <w:r w:rsidRPr="00781112">
        <w:rPr>
          <w:b/>
          <w:color w:val="000000" w:themeColor="text1"/>
        </w:rPr>
        <w:t>Findings of Noncompliance Verified as Corrected</w:t>
      </w:r>
    </w:p>
    <w:p w14:paraId="2272F535" w14:textId="355F4406"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849187F" w14:textId="552F4667" w:rsidR="002D57DA" w:rsidRPr="00781112" w:rsidRDefault="002B7490" w:rsidP="000C7B90">
      <w:pPr>
        <w:rPr>
          <w:rFonts w:cs="Arial"/>
          <w:color w:val="000000" w:themeColor="text1"/>
          <w:szCs w:val="16"/>
        </w:rPr>
      </w:pPr>
      <w:r w:rsidRPr="00781112">
        <w:rPr>
          <w:rFonts w:cs="Arial"/>
          <w:color w:val="000000" w:themeColor="text1"/>
          <w:szCs w:val="16"/>
        </w:rPr>
        <w:t xml:space="preserve">The remaining one noncompliant LEA, with assistance from the Regional Special Education Cooperative and the KDE, reviewed student-specific and systemic noncompliance items identified in the Report of Findings. The KDE identified the percentage level of noncompliance for the LEA. The LEA was required to conduct a root cause analysis to determine why problem areas existed. </w:t>
      </w:r>
      <w:r w:rsidRPr="00781112">
        <w:rPr>
          <w:rFonts w:cs="Arial"/>
          <w:color w:val="000000" w:themeColor="text1"/>
          <w:szCs w:val="16"/>
        </w:rPr>
        <w:br/>
      </w:r>
      <w:r w:rsidRPr="00781112">
        <w:rPr>
          <w:rFonts w:cs="Arial"/>
          <w:color w:val="000000" w:themeColor="text1"/>
          <w:szCs w:val="16"/>
        </w:rPr>
        <w:br/>
        <w:t>The results of the root cause analysis included topics such as misunderstandings of timeline requirements and lack of training for PBIS. Those results were utilized to develop a meaningful CAP that included action steps to ensure the LEA corrected the root cause of noncompliance, ensure the LEA was correctly implementing the regulatory requirements and improve LEA practices in discipline. The KDE identified noncompliant policies, procedures, and practices in the Report of Findings for the LEA. The LEA was required to change any noncompliant policies, procedures and practices within their CAP. Additional CAP activities were related to the root cause of noncompliance in the LEA. KDE-approved trainers included regional special education cooperative staff members who provided training activities identified on the CAP. Prior to training events, the KDE reviewed the training materials to ensure all areas of noncompliance were sufficiently addressed and that the regulatory requirements were correctly implemented.</w:t>
      </w:r>
      <w:r w:rsidRPr="00781112">
        <w:rPr>
          <w:rFonts w:cs="Arial"/>
          <w:color w:val="000000" w:themeColor="text1"/>
          <w:szCs w:val="16"/>
        </w:rPr>
        <w:br/>
      </w:r>
      <w:r w:rsidRPr="00781112">
        <w:rPr>
          <w:rFonts w:cs="Arial"/>
          <w:color w:val="000000" w:themeColor="text1"/>
          <w:szCs w:val="16"/>
        </w:rPr>
        <w:br/>
        <w:t xml:space="preserve">The KDE required all noncompliance to be corrected as soon as possible but not more than one year from the date of notification of the noncompliance. The LEA was required to submit CAP status reports to the KDE at least quarterly . </w:t>
      </w:r>
      <w:r w:rsidRPr="00781112">
        <w:rPr>
          <w:rFonts w:cs="Arial"/>
          <w:color w:val="000000" w:themeColor="text1"/>
          <w:szCs w:val="16"/>
        </w:rPr>
        <w:br/>
      </w:r>
      <w:r w:rsidRPr="00781112">
        <w:rPr>
          <w:rFonts w:cs="Arial"/>
          <w:color w:val="000000" w:themeColor="text1"/>
          <w:szCs w:val="16"/>
        </w:rPr>
        <w:br/>
        <w:t xml:space="preserve">The KDE reviewed additional student due process records as part of the CAP process to verify that the LEA was implementing the regulatory requirements. In Kentucky, this is known as review of updated data using comparison folder reviews. The number of folders reviewed was determined by the size of the LEA's child count in the area reviewed. The process for selecting files is documented on page 29 of the KDE's IDEA Monitoring Manual. This can be found at https://education.ky.gov/specialed/excep/forms/Documents/IDEAMonManDstrctEdtn.pdf. </w:t>
      </w:r>
      <w:r w:rsidRPr="00781112">
        <w:rPr>
          <w:rFonts w:cs="Arial"/>
          <w:color w:val="000000" w:themeColor="text1"/>
          <w:szCs w:val="16"/>
        </w:rPr>
        <w:br/>
      </w:r>
      <w:r w:rsidRPr="00781112">
        <w:rPr>
          <w:rFonts w:cs="Arial"/>
          <w:color w:val="000000" w:themeColor="text1"/>
          <w:szCs w:val="16"/>
        </w:rPr>
        <w:br/>
        <w:t xml:space="preserve">If any record was found noncompliant during comparison folder reviews, the LEA was required to correct the noncompliance. If any record was found noncompliant during comparison folder reviews, the LEA was required to correct the noncompliance. Additionally, the LEA was required to correct all systemic noncompliance. All original records were verified as 100% compliant in the areas originally cited. Additional folders were verified as 100% compliant before the KDE determined the LEA had corrected all areas of noncompliance. The updated data review (comparison folders) was repeated until the LEA was correctly implementing the regulatory requirements at 100% compliance. With verification of CAP completion and all updated data verified as 100% compliant, the Division of IDEA Monitoring and Results (DIMR) reported the noncompliance as corrected and closed the CAP. </w:t>
      </w:r>
      <w:r w:rsidRPr="00781112">
        <w:rPr>
          <w:rFonts w:cs="Arial"/>
          <w:color w:val="000000" w:themeColor="text1"/>
          <w:szCs w:val="16"/>
        </w:rPr>
        <w:br/>
      </w:r>
      <w:r w:rsidRPr="00781112">
        <w:rPr>
          <w:rFonts w:cs="Arial"/>
          <w:color w:val="000000" w:themeColor="text1"/>
          <w:szCs w:val="16"/>
        </w:rPr>
        <w:br/>
        <w:t xml:space="preserve">The LEA successfully implemented the regulatory requirements at 100% compliance and closed their CAP. </w:t>
      </w:r>
    </w:p>
    <w:p w14:paraId="418A9665" w14:textId="22C16290"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2527DA3" w14:textId="43332DC9" w:rsidR="002D57DA" w:rsidRPr="00781112" w:rsidRDefault="002B7490" w:rsidP="000C7B90">
      <w:pPr>
        <w:rPr>
          <w:rFonts w:cs="Arial"/>
          <w:color w:val="000000" w:themeColor="text1"/>
          <w:szCs w:val="16"/>
        </w:rPr>
      </w:pPr>
      <w:r w:rsidRPr="00781112">
        <w:rPr>
          <w:rFonts w:cs="Arial"/>
          <w:color w:val="000000" w:themeColor="text1"/>
          <w:szCs w:val="16"/>
        </w:rPr>
        <w:t xml:space="preserve">For FFY 2016, one LEA remained as having noncompliant practices under Indicator 4A. The KDE reviewed all identified student files and issued student specific corrective action. The LEA developed a CAP to address noncompliance and included the correction of individual due process files as part of the CAP activities. </w:t>
      </w:r>
      <w:r w:rsidRPr="00781112">
        <w:rPr>
          <w:rFonts w:cs="Arial"/>
          <w:color w:val="000000" w:themeColor="text1"/>
          <w:szCs w:val="16"/>
        </w:rPr>
        <w:br/>
      </w:r>
      <w:r w:rsidRPr="00781112">
        <w:rPr>
          <w:rFonts w:cs="Arial"/>
          <w:color w:val="000000" w:themeColor="text1"/>
          <w:szCs w:val="16"/>
        </w:rPr>
        <w:br/>
        <w:t xml:space="preserve">The LEA, with assistance from the Regional Special Education Cooperative and the KDE, reviewed student-specific items identified in the Report of Findings. The KDE required all student-level noncompliance to be corrected as soon as possible but not more than one year from the date of notification of the noncompliance. The DIMR required all student-level noncompliance to be corrected as soon as possible but not longer than one year from the date of notification of the noncompliance. The LEA was required to submit CAP status reports to the KDE at least quarterly. </w:t>
      </w:r>
      <w:r w:rsidRPr="00781112">
        <w:rPr>
          <w:rFonts w:cs="Arial"/>
          <w:color w:val="000000" w:themeColor="text1"/>
          <w:szCs w:val="16"/>
        </w:rPr>
        <w:br/>
      </w:r>
      <w:r w:rsidRPr="00781112">
        <w:rPr>
          <w:rFonts w:cs="Arial"/>
          <w:color w:val="000000" w:themeColor="text1"/>
          <w:szCs w:val="16"/>
        </w:rPr>
        <w:br/>
        <w:t xml:space="preserve">The KDE provided guidance, technical assistance and reviewed the evidence submitted to verify the implementation and completion of student-specific corrections and CAP activities. The KDE reviewed the evidence and verified that the LEA had corrected all individual cases of noncompliance. </w:t>
      </w:r>
      <w:r w:rsidRPr="00781112">
        <w:rPr>
          <w:rFonts w:cs="Arial"/>
          <w:color w:val="000000" w:themeColor="text1"/>
          <w:szCs w:val="16"/>
        </w:rPr>
        <w:br/>
      </w:r>
      <w:r w:rsidRPr="00781112">
        <w:rPr>
          <w:rFonts w:cs="Arial"/>
          <w:color w:val="000000" w:themeColor="text1"/>
          <w:szCs w:val="16"/>
        </w:rPr>
        <w:br/>
        <w:t>With verification of CAP completion and all updated data submitted verified as 100% compliant in the areas identified, the KDE reported the noncompliance as corrected. With verification of CAP completion and all updated data submitted verified as 100% compliant in the areas identified, the DIMR reported the noncompliance as corrected.  The correction of individual student files was reported in the FFY19 SPP/APR.</w:t>
      </w:r>
    </w:p>
    <w:p w14:paraId="21AE82C7" w14:textId="33B9781C" w:rsidR="004E2151" w:rsidRPr="00781112" w:rsidRDefault="00697434" w:rsidP="008645AD">
      <w:pPr>
        <w:pStyle w:val="Heading2"/>
      </w:pPr>
      <w:r w:rsidRPr="00781112">
        <w:lastRenderedPageBreak/>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2020 SPP/APR, on the correction of noncompliance that the State identified in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The State reported that noncompliance identified in FFY 2018, FFY 2017, and FFY 2016 as a result of the review it conducted pursuant to 34 C.F.R. § 300.170(b) was partially corrected. When reporting on the correction of these noncompliance, the State must demonstrate, in the FFY 2020 SPP/APR, that it has verified that each district with remaining noncompliance identified in FFY 2018, FFY 2017, and FFY 2016: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 xml:space="preserve">Through desk audits, the KDE completed a review of updated data from additional student due process folders as part of the CAP process for the one LEA identified as being noncompliant in FFY 2017, FFY 2018, FFY 2019 and FFY 2020. The KDE has employed intensive assistance to the LEA for over a three-year period and notes the LEA made progress during FFY 2020 to obtain voluntary compliance. </w:t>
      </w:r>
      <w:r w:rsidRPr="00781112">
        <w:rPr>
          <w:rFonts w:cs="Arial"/>
          <w:color w:val="000000" w:themeColor="text1"/>
          <w:szCs w:val="16"/>
        </w:rPr>
        <w:br/>
      </w:r>
      <w:r w:rsidRPr="00781112">
        <w:rPr>
          <w:rFonts w:cs="Arial"/>
          <w:color w:val="000000" w:themeColor="text1"/>
          <w:szCs w:val="16"/>
        </w:rPr>
        <w:br/>
        <w:t>Through intensive assistance, the LEA was able to demonstrate correction of noncompliance during FFY 2020 at the systemic and student levels and the DIMR was able to ensure the source of noncompliance was correctly implementing the regulatory requirements at a rate of 100% accuracy. Through intensive assistance, the LEA was able to demonstrate correction of noncompliance during FFY 2020 at the systemic and student levels and the KDE was able to ensure the source of noncompliance was correctly implementing the regulatory requirements at a rate of 100% accuracy. Additionally, the KDE verified each individual case of noncompliance was corrected prior to closing the LEA's CAP. Additionally, the DIMR verified each individual case of noncompliance was corrected prior to closing the LEA's CAP. Please see the above descriptions for each school year for additional information on how correction was verified.</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2017,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must report, in the FFY 2021 SPP/APR, on the correction of noncompliance that the State identified in FFY 2020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2020</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2.30%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0.57%</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4.57%</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2.29%</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174</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2.29%</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2.30%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A Kentucky LEA is found to have a significant discrepancy under Indicator 4B if the following two criteria are met: </w:t>
      </w:r>
      <w:r w:rsidRPr="00781112">
        <w:rPr>
          <w:rFonts w:cs="Arial"/>
          <w:color w:val="000000" w:themeColor="text1"/>
          <w:szCs w:val="16"/>
        </w:rPr>
        <w:br/>
      </w:r>
      <w:r w:rsidRPr="00781112">
        <w:rPr>
          <w:rFonts w:cs="Arial"/>
          <w:color w:val="000000" w:themeColor="text1"/>
          <w:szCs w:val="16"/>
        </w:rPr>
        <w:br/>
        <w:t xml:space="preserve">1. The LEA subjected students with disabilities to out-of-school removals (suspensions or expulsions) for more than ten days during a school year at a rate that is at least three times higher than the state target of 0.2% for these types of removals; and </w:t>
      </w:r>
      <w:r w:rsidRPr="00781112">
        <w:rPr>
          <w:rFonts w:cs="Arial"/>
          <w:color w:val="000000" w:themeColor="text1"/>
          <w:szCs w:val="16"/>
        </w:rPr>
        <w:br/>
        <w:t xml:space="preserve">2. The LEA had at least 10 students with disabilities in any race/ethnicity category. </w:t>
      </w:r>
      <w:r w:rsidRPr="00781112">
        <w:rPr>
          <w:rFonts w:cs="Arial"/>
          <w:color w:val="000000" w:themeColor="text1"/>
          <w:szCs w:val="16"/>
        </w:rPr>
        <w:br/>
      </w:r>
      <w:r w:rsidRPr="00781112">
        <w:rPr>
          <w:rFonts w:cs="Arial"/>
          <w:color w:val="000000" w:themeColor="text1"/>
          <w:szCs w:val="16"/>
        </w:rPr>
        <w:br/>
        <w:t>The significant discrepancy rate is calculated for each LEA based on its local discipline data and the number of students with IEPs. Kentucky uses a minimum n-size of 10 students with disabilities enrolled in the LEA. During the 2019-2020 school year, there were 174 LEAs in Kentucky. All 174 LEAs met the n-size.</w:t>
      </w:r>
      <w:r w:rsidRPr="00781112">
        <w:rPr>
          <w:rFonts w:cs="Arial"/>
          <w:color w:val="000000" w:themeColor="text1"/>
          <w:szCs w:val="16"/>
        </w:rPr>
        <w:br/>
      </w:r>
      <w:r w:rsidRPr="00781112">
        <w:rPr>
          <w:rFonts w:cs="Arial"/>
          <w:color w:val="000000" w:themeColor="text1"/>
          <w:szCs w:val="16"/>
        </w:rPr>
        <w:br/>
        <w:t>For FFY 2020, using 2019-2020 data, ten LEAs out of 174 had discrepancies at least three times higher than the state rate.</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For Indicator 4B, there were 174 LEAs during the 2019-2020 school year. This number varies due to the use of lag year data. The KSB and the KSD are included in the denominator. Although all students at the KSB and the KSD are students with disabilities, there was a comparison group for this indicator. Calculations for Indicator 4B compare the disciplinary rates for students with disabilities to the state rate, rather than to students without disabilities. Therefore, the KSB and the KSD are not excluded from the calculations based on the comparison group.</w:t>
      </w:r>
      <w:r w:rsidRPr="00781112">
        <w:rPr>
          <w:rFonts w:cs="Arial"/>
          <w:color w:val="000000" w:themeColor="text1"/>
          <w:szCs w:val="16"/>
        </w:rPr>
        <w:br/>
      </w:r>
      <w:r w:rsidRPr="00781112">
        <w:rPr>
          <w:rFonts w:cs="Arial"/>
          <w:color w:val="000000" w:themeColor="text1"/>
          <w:szCs w:val="16"/>
        </w:rPr>
        <w:br/>
        <w:t xml:space="preserve">The data were impacted by COVID-19. Students were not physically in schools after March 13, 2020, until the remainder of this reporting year. The transition to a virtual instruction environment decreased the number of students who were removed from the classroom. The OSEEL mitigated the impact on the comparability of the data by engaging with LEAs through webinars and technical assistance to provide support for student behavior upon the return to in-person instruction. </w:t>
      </w:r>
      <w:r w:rsidRPr="00781112">
        <w:rPr>
          <w:rFonts w:cs="Arial"/>
          <w:color w:val="000000" w:themeColor="text1"/>
          <w:szCs w:val="16"/>
        </w:rPr>
        <w:br/>
      </w:r>
      <w:r w:rsidRPr="00781112">
        <w:rPr>
          <w:rFonts w:cs="Arial"/>
          <w:color w:val="000000" w:themeColor="text1"/>
          <w:szCs w:val="16"/>
        </w:rPr>
        <w:br/>
        <w:t>The baseline for indicator 4B was changed due to the removal of cell size from the calculation.</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lastRenderedPageBreak/>
        <w:t>Significant discrepancy by race/ethnicity in the rate of long-term removals of students with disabilities was identified for four LEAs. Once the significant discrepancy was identified, the KDE reviewed the policies, procedures, and practices relating to long-term removals of students with disabilities in each of the identified LEAs. As part of this review, the KDE completed student-level record reviews for a sample of students from each LEA identified as having significant discrepancies in the rate of long-term removals of students with disabilities. The KDE then reviewed due process files from the 2019-2020 school year, including IEPs, conference summaries, manifestation determinations, FBAs, BIPs, attendance records, enrollment records, and behavior detail reports. The KDE also reviewed the policies and procedures of the LEA. The review of individual student records confirmed four LEAs implemented LEA wide practices that were out of compliance with the IDEA. The KDE identified both student-specific and systemic noncompliance with  the IDEA.</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C52C0B0" w14:textId="59E6D11C" w:rsidR="00616510" w:rsidRPr="00781112" w:rsidRDefault="007D4253" w:rsidP="009C613A">
      <w:pPr>
        <w:rPr>
          <w:rFonts w:cs="Arial"/>
          <w:b/>
          <w:color w:val="000000" w:themeColor="text1"/>
          <w:szCs w:val="16"/>
        </w:rPr>
      </w:pPr>
      <w:r w:rsidRPr="00781112">
        <w:rPr>
          <w:rFonts w:cs="Arial"/>
          <w:b/>
          <w:color w:val="000000" w:themeColor="text1"/>
          <w:szCs w:val="16"/>
        </w:rPr>
        <w:t>If YES, select one of the following:</w:t>
      </w:r>
    </w:p>
    <w:p w14:paraId="3AAA912C" w14:textId="12231485" w:rsidR="00616510" w:rsidRPr="00781112" w:rsidRDefault="00616510" w:rsidP="009C613A">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1790EB12" w14:textId="0A7C289B" w:rsidR="002D57DA" w:rsidRPr="00781112" w:rsidRDefault="002D57DA" w:rsidP="001011BB">
      <w:pPr>
        <w:tabs>
          <w:tab w:val="left" w:pos="4055"/>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2D96DC2B" w14:textId="33372855" w:rsidR="002D57DA" w:rsidRPr="00781112" w:rsidRDefault="002B7490" w:rsidP="001011BB">
      <w:pPr>
        <w:rPr>
          <w:rFonts w:cs="Arial"/>
          <w:i/>
          <w:color w:val="000000" w:themeColor="text1"/>
          <w:szCs w:val="16"/>
        </w:rPr>
      </w:pPr>
      <w:r w:rsidRPr="00781112">
        <w:rPr>
          <w:rFonts w:cs="Arial"/>
          <w:color w:val="000000" w:themeColor="text1"/>
          <w:szCs w:val="16"/>
        </w:rPr>
        <w:t xml:space="preserve">Through a desk audit, the KDE identified all students with disabilities in the LEAs, who were subject to out-of-school removals of more than 10 days. The KDE reviewed a sample of student records. The sample size was determined using criteria which is based on the LEA’s total child count in the focus area. This formula can be found in the Monitoring Manual located at https://education.ky.gov/specialed/excep/forms/Documents/IDEAMonManDstrctEdtn.pdf. </w:t>
      </w:r>
      <w:r w:rsidRPr="00781112">
        <w:rPr>
          <w:rFonts w:cs="Arial"/>
          <w:color w:val="000000" w:themeColor="text1"/>
          <w:szCs w:val="16"/>
        </w:rPr>
        <w:br/>
      </w:r>
      <w:r w:rsidRPr="00781112">
        <w:rPr>
          <w:rFonts w:cs="Arial"/>
          <w:color w:val="000000" w:themeColor="text1"/>
          <w:szCs w:val="16"/>
        </w:rPr>
        <w:br/>
        <w:t xml:space="preserve">When noncompliance was identified, a written Report of Findings was issued to the LEA. The report included the LEA’s percentage of suspensions and expulsions, the statewide rate for comparison, findings of fact and conclusions, and both systemic and student-specific noncompliance citations. </w:t>
      </w:r>
      <w:r w:rsidRPr="00781112">
        <w:rPr>
          <w:rFonts w:cs="Arial"/>
          <w:color w:val="000000" w:themeColor="text1"/>
          <w:szCs w:val="16"/>
        </w:rPr>
        <w:br/>
      </w:r>
      <w:r w:rsidRPr="00781112">
        <w:rPr>
          <w:rFonts w:cs="Arial"/>
          <w:color w:val="000000" w:themeColor="text1"/>
          <w:szCs w:val="16"/>
        </w:rPr>
        <w:br/>
        <w:t xml:space="preserve">The LEAs, with assistance from the Regional Special Education Cooperative and the KDE, reviewed student-specific and systemic noncompliance items identified in the Report of Findings and conducted a root cause analysis to determine why problem areas existed. The results of the root cause analyses were used to develop meaningful CAPs, which included: </w:t>
      </w:r>
      <w:r w:rsidRPr="00781112">
        <w:rPr>
          <w:rFonts w:cs="Arial"/>
          <w:color w:val="000000" w:themeColor="text1"/>
          <w:szCs w:val="16"/>
        </w:rPr>
        <w:br/>
      </w:r>
      <w:r w:rsidRPr="00781112">
        <w:rPr>
          <w:rFonts w:cs="Arial"/>
          <w:color w:val="000000" w:themeColor="text1"/>
          <w:szCs w:val="16"/>
        </w:rPr>
        <w:br/>
        <w:t xml:space="preserve">-Action steps to ensure policies, procedures, and practices were revised as necessary to comply with IDEA requirements. </w:t>
      </w:r>
      <w:r w:rsidRPr="00781112">
        <w:rPr>
          <w:rFonts w:cs="Arial"/>
          <w:color w:val="000000" w:themeColor="text1"/>
          <w:szCs w:val="16"/>
        </w:rPr>
        <w:br/>
        <w:t xml:space="preserve">-A plan to ensure LEA staff were properly trained and practices effectively implemented in the area of noncompliance. </w:t>
      </w:r>
      <w:r w:rsidRPr="00781112">
        <w:rPr>
          <w:rFonts w:cs="Arial"/>
          <w:color w:val="000000" w:themeColor="text1"/>
          <w:szCs w:val="16"/>
        </w:rPr>
        <w:br/>
        <w:t>-Correction of all systemic and student-specific cases of noncompliance.</w:t>
      </w:r>
      <w:r w:rsidRPr="00781112">
        <w:rPr>
          <w:rFonts w:cs="Arial"/>
          <w:color w:val="000000" w:themeColor="text1"/>
          <w:szCs w:val="16"/>
        </w:rPr>
        <w:br/>
      </w:r>
      <w:r w:rsidRPr="00781112">
        <w:rPr>
          <w:rFonts w:cs="Arial"/>
          <w:color w:val="000000" w:themeColor="text1"/>
          <w:szCs w:val="16"/>
        </w:rPr>
        <w:br/>
        <w:t xml:space="preserve">The KDE identified all students with disabilities in the LEAs who were subject to out-of-school removals of more than 10 days. The KDE reviewed a sample of student records. </w:t>
      </w:r>
      <w:r w:rsidRPr="00781112">
        <w:rPr>
          <w:rFonts w:cs="Arial"/>
          <w:color w:val="000000" w:themeColor="text1"/>
          <w:szCs w:val="16"/>
        </w:rPr>
        <w:br/>
      </w:r>
      <w:r w:rsidRPr="00781112">
        <w:rPr>
          <w:rFonts w:cs="Arial"/>
          <w:color w:val="000000" w:themeColor="text1"/>
          <w:szCs w:val="16"/>
        </w:rPr>
        <w:br/>
        <w:t xml:space="preserve">LEAs were required to correct all individual cases of noncompliance as part of the CAP. The KDE requires all noncompliance to be corrected as soon as possible but not longer than one year from the date of notification of the noncompliance. LEAs were required to submit CAP status reports to the KDE at least quarterly. </w:t>
      </w:r>
      <w:r w:rsidRPr="00781112">
        <w:rPr>
          <w:rFonts w:cs="Arial"/>
          <w:color w:val="000000" w:themeColor="text1"/>
          <w:szCs w:val="16"/>
        </w:rPr>
        <w:br/>
      </w:r>
      <w:r w:rsidRPr="00781112">
        <w:rPr>
          <w:rFonts w:cs="Arial"/>
          <w:color w:val="000000" w:themeColor="text1"/>
          <w:szCs w:val="16"/>
        </w:rPr>
        <w:br/>
        <w:t xml:space="preserve">The KDE provided guidance, technical assistance and reviewed the evidence submitted by LEAs to verify the implementation and completion of CAP activities. Once the individual and systemic noncompliance was verified as corrected, the KDE reviewed updated data through a process known in Kentucky as comparison folder reviews. As part of this process, the KDE reviewed the files of additional students who were subject to removals in the current school year. This allowed the KDE to ensure the updated data was verified as corrected and to ensure the LEA subsequently achieved 100% compliance with Indicator 4B requirements. The KDE concluded and reported all noncompliance identified was corrected when the LEAs: </w:t>
      </w:r>
      <w:r w:rsidRPr="00781112">
        <w:rPr>
          <w:rFonts w:cs="Arial"/>
          <w:color w:val="000000" w:themeColor="text1"/>
          <w:szCs w:val="16"/>
        </w:rPr>
        <w:br/>
      </w:r>
      <w:r w:rsidRPr="00781112">
        <w:rPr>
          <w:rFonts w:cs="Arial"/>
          <w:color w:val="000000" w:themeColor="text1"/>
          <w:szCs w:val="16"/>
        </w:rPr>
        <w:br/>
        <w:t xml:space="preserve">Prong 1 – Corrected each individual case of noncompliance, and </w:t>
      </w:r>
      <w:r w:rsidRPr="00781112">
        <w:rPr>
          <w:rFonts w:cs="Arial"/>
          <w:color w:val="000000" w:themeColor="text1"/>
          <w:szCs w:val="16"/>
        </w:rPr>
        <w:br/>
        <w:t>Prong 2 – Were systemically in compliance with the specified regulatory requirements (i.e., subsequently achieved 100% compliance), based on the KDE review of the updated data known in Kentucky as comparison folder reviews.</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29A50C20" w:rsidR="009A755E" w:rsidRPr="00781112" w:rsidRDefault="00F6415A" w:rsidP="004369B2">
      <w:pPr>
        <w:rPr>
          <w:color w:val="000000" w:themeColor="text1"/>
        </w:rPr>
      </w:pPr>
      <w:r w:rsidRPr="00781112">
        <w:rPr>
          <w:b/>
          <w:color w:val="000000" w:themeColor="text1"/>
        </w:rPr>
        <w:t>FFY 2019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 xml:space="preserve">The four LEAs, with assistance as needed from the Regional Special Education Cooperative and the KDE, reviewed student specific and systemic noncompliance items identified in the Reports of Findings. The KDE identified the percentage level of noncompliance for each LEA and conducted a root cause analysis in each LEA to determine why problem areas existed. </w:t>
      </w:r>
      <w:r w:rsidRPr="00781112">
        <w:rPr>
          <w:rFonts w:cs="Arial"/>
          <w:color w:val="000000" w:themeColor="text1"/>
          <w:szCs w:val="16"/>
        </w:rPr>
        <w:br/>
      </w:r>
      <w:r w:rsidRPr="00781112">
        <w:rPr>
          <w:rFonts w:cs="Arial"/>
          <w:color w:val="000000" w:themeColor="text1"/>
          <w:szCs w:val="16"/>
        </w:rPr>
        <w:br/>
        <w:t xml:space="preserve">The results of the root cause analyses were varied and included topics such as misunderstandings of timeline requirements and lack of training for PBIS. Those results were utilized to develop meaningful CAPs that included action steps to ensure the LEAs corrected the root cause of noncompliance, ensure the LEAs were correctly implementing the regulatory requirements and improve LEA practices in discipline. The KDE identified noncompliant policies, procedures, and practices in the Report of Findings for each LEA. The LEAs were required to change any noncompliant policies, procedures and practices within their CAP. Additional CAP activities varied by LEA and were related to the root cause of noncompliance in the LEA. Training activities identified on the CAP were provided by KDE approved trainers. Approved trainers included regional special education cooperatives. Prior to training events, the KDE reviewed the training materials to ensure all areas of noncompliance were sufficiently addressed. </w:t>
      </w:r>
      <w:r w:rsidRPr="00781112">
        <w:rPr>
          <w:rFonts w:cs="Arial"/>
          <w:color w:val="000000" w:themeColor="text1"/>
          <w:szCs w:val="16"/>
        </w:rPr>
        <w:br/>
      </w:r>
      <w:r w:rsidRPr="00781112">
        <w:rPr>
          <w:rFonts w:cs="Arial"/>
          <w:color w:val="000000" w:themeColor="text1"/>
          <w:szCs w:val="16"/>
        </w:rPr>
        <w:br/>
        <w:t xml:space="preserve">The KDE required all noncompliance to be corrected as soon as possible, but not more than one year from the date of notification of the noncompliance. LEAs were required to submit CAP status reports to the KDE at least quarterly. </w:t>
      </w:r>
      <w:r w:rsidRPr="00781112">
        <w:rPr>
          <w:rFonts w:cs="Arial"/>
          <w:color w:val="000000" w:themeColor="text1"/>
          <w:szCs w:val="16"/>
        </w:rPr>
        <w:br/>
      </w:r>
      <w:r w:rsidRPr="00781112">
        <w:rPr>
          <w:rFonts w:cs="Arial"/>
          <w:color w:val="000000" w:themeColor="text1"/>
          <w:szCs w:val="16"/>
        </w:rPr>
        <w:br/>
        <w:t xml:space="preserve">To verify the LEAs were implementing the regulatory requirements, the KDE reviewed additional student due process records as part of the CAP process. In Kentucky, this is known as comparison folder reviews. The number of folders reviewed was determined by the size of the LEA's child count </w:t>
      </w:r>
      <w:r w:rsidRPr="00781112">
        <w:rPr>
          <w:rFonts w:cs="Arial"/>
          <w:color w:val="000000" w:themeColor="text1"/>
          <w:szCs w:val="16"/>
        </w:rPr>
        <w:lastRenderedPageBreak/>
        <w:t xml:space="preserve">in the area reviewed. The process for selecting files is documented on page 29 of the KDE's IDEA Monitoring Manual. This can be found at  https://tinyurl.com/2p8bhudv. </w:t>
      </w:r>
      <w:r w:rsidRPr="00781112">
        <w:rPr>
          <w:rFonts w:cs="Arial"/>
          <w:color w:val="000000" w:themeColor="text1"/>
          <w:szCs w:val="16"/>
        </w:rPr>
        <w:br/>
      </w:r>
      <w:r w:rsidRPr="00781112">
        <w:rPr>
          <w:rFonts w:cs="Arial"/>
          <w:color w:val="000000" w:themeColor="text1"/>
          <w:szCs w:val="16"/>
        </w:rPr>
        <w:br/>
        <w:t xml:space="preserve">If any record was found noncompliant during comparison folder reviews, the LEA was required to correct the noncompliance. All original records were verified as 100% compliant in the areas originally cited. Additional folders were verified as 100% compliant before the KDE determined the LEA had corrected all areas of noncompliance. The updated data review (comparison folders) was repeated until the LEA was correctly implementing the regulatory requirements at 100% compliance. With verification of CAP completion and all updated data verified as 100% compliant, the KDE reported the noncompliance as corrected and closed the CAP. </w:t>
      </w:r>
      <w:r w:rsidRPr="00781112">
        <w:rPr>
          <w:rFonts w:cs="Arial"/>
          <w:color w:val="000000" w:themeColor="text1"/>
          <w:szCs w:val="16"/>
        </w:rPr>
        <w:br/>
      </w:r>
      <w:r w:rsidRPr="00781112">
        <w:rPr>
          <w:rFonts w:cs="Arial"/>
          <w:color w:val="000000" w:themeColor="text1"/>
          <w:szCs w:val="16"/>
        </w:rPr>
        <w:br/>
        <w:t xml:space="preserve">All four LEAs identified were able to successfully implement the regulatory requirements at 100% compliance and close their CAPs. </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 xml:space="preserve">For FFY 2019, four LEAs were identified as having noncompliant practices under Indicator 4B. The KDE reviewed all identified student files and issued student-specific corrective action where necessary. LEAs developed CAPs to address noncompliance and included the correction of student specific files as part of the CAP activities. </w:t>
      </w:r>
      <w:r w:rsidRPr="00781112">
        <w:rPr>
          <w:rFonts w:cs="Arial"/>
          <w:color w:val="000000" w:themeColor="text1"/>
          <w:szCs w:val="16"/>
        </w:rPr>
        <w:br/>
      </w:r>
      <w:r w:rsidRPr="00781112">
        <w:rPr>
          <w:rFonts w:cs="Arial"/>
          <w:color w:val="000000" w:themeColor="text1"/>
          <w:szCs w:val="16"/>
        </w:rPr>
        <w:br/>
        <w:t xml:space="preserve">The LEAs, with assistance as needed from the Regional Special Education Cooperative and the KDE, reviewed student-specific items identified in the Report of Findings. The KDE required all student-level noncompliance to be corrected as soon as possible but not more than one year from the date of notification of the noncompliance. LEAs were required to submit CAP status reports to the KDE at least quarterly. </w:t>
      </w:r>
      <w:r w:rsidRPr="00781112">
        <w:rPr>
          <w:rFonts w:cs="Arial"/>
          <w:color w:val="000000" w:themeColor="text1"/>
          <w:szCs w:val="16"/>
        </w:rPr>
        <w:br/>
      </w:r>
      <w:r w:rsidRPr="00781112">
        <w:rPr>
          <w:rFonts w:cs="Arial"/>
          <w:color w:val="000000" w:themeColor="text1"/>
          <w:szCs w:val="16"/>
        </w:rPr>
        <w:br/>
        <w:t xml:space="preserve">The KDE provided guidance and technical assistance and reviewed the evidence submitted to verify the implementation and completion of student specific corrections and CAP activities. The KDE reviewed the evidence and verified that all four LEAs had corrected each individual case of noncompliance. This included the LEA for which the state could not verify the implementation of the regulatory requirements. </w:t>
      </w:r>
      <w:r w:rsidRPr="00781112">
        <w:rPr>
          <w:rFonts w:cs="Arial"/>
          <w:color w:val="000000" w:themeColor="text1"/>
          <w:szCs w:val="16"/>
        </w:rPr>
        <w:br/>
      </w:r>
      <w:r w:rsidRPr="00781112">
        <w:rPr>
          <w:rFonts w:cs="Arial"/>
          <w:color w:val="000000" w:themeColor="text1"/>
          <w:szCs w:val="16"/>
        </w:rPr>
        <w:br/>
        <w:t>With verification of CAP completion and all updated data verified as 100% compliant in the areas identified, the KDE reported the noncompliance as corrected. The KDE determined all four of the LEAs corrected all individual cases of noncompliance under OSEP Memorandum 09-02.</w:t>
      </w:r>
    </w:p>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89" w:type="pct"/>
            <w:shd w:val="clear" w:color="auto" w:fill="auto"/>
          </w:tcPr>
          <w:p w14:paraId="27669B26" w14:textId="57CAFD92"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85" w:type="pct"/>
            <w:shd w:val="clear" w:color="auto" w:fill="auto"/>
          </w:tcPr>
          <w:p w14:paraId="265AB867" w14:textId="6DD4A6E4"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01" w:type="pct"/>
            <w:shd w:val="clear" w:color="auto" w:fill="auto"/>
          </w:tcPr>
          <w:p w14:paraId="016118B8" w14:textId="60E0958F"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06C2E448" w14:textId="77777777" w:rsidTr="00C570AA">
        <w:tc>
          <w:tcPr>
            <w:tcW w:w="924" w:type="pct"/>
            <w:shd w:val="clear" w:color="auto" w:fill="auto"/>
          </w:tcPr>
          <w:p w14:paraId="1F883C29" w14:textId="16901E48" w:rsidR="009A755E" w:rsidRPr="00781112" w:rsidRDefault="002B7490" w:rsidP="00A018D4">
            <w:pPr>
              <w:jc w:val="center"/>
              <w:rPr>
                <w:rFonts w:cs="Arial"/>
                <w:color w:val="000000" w:themeColor="text1"/>
                <w:szCs w:val="16"/>
              </w:rPr>
            </w:pPr>
            <w:r w:rsidRPr="00781112">
              <w:rPr>
                <w:rFonts w:cs="Arial"/>
                <w:color w:val="000000" w:themeColor="text1"/>
                <w:szCs w:val="16"/>
              </w:rPr>
              <w:t>FFY 2017</w:t>
            </w:r>
          </w:p>
        </w:tc>
        <w:tc>
          <w:tcPr>
            <w:tcW w:w="1389" w:type="pct"/>
            <w:shd w:val="clear" w:color="auto" w:fill="auto"/>
          </w:tcPr>
          <w:p w14:paraId="4878C645" w14:textId="6B8E2DD3"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85" w:type="pct"/>
            <w:shd w:val="clear" w:color="auto" w:fill="auto"/>
          </w:tcPr>
          <w:p w14:paraId="5C5B29A8" w14:textId="4F847347"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01" w:type="pct"/>
            <w:shd w:val="clear" w:color="auto" w:fill="auto"/>
          </w:tcPr>
          <w:p w14:paraId="3059F96F" w14:textId="54D2C196"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70D86DF" w14:textId="77777777" w:rsidTr="00C570AA">
        <w:tc>
          <w:tcPr>
            <w:tcW w:w="924" w:type="pct"/>
            <w:shd w:val="clear" w:color="auto" w:fill="auto"/>
          </w:tcPr>
          <w:p w14:paraId="7DBC402C" w14:textId="659D0437" w:rsidR="009A755E" w:rsidRPr="00781112" w:rsidRDefault="002B7490" w:rsidP="00A018D4">
            <w:pPr>
              <w:jc w:val="center"/>
              <w:rPr>
                <w:rFonts w:cs="Arial"/>
                <w:color w:val="000000" w:themeColor="text1"/>
                <w:szCs w:val="16"/>
              </w:rPr>
            </w:pPr>
            <w:r w:rsidRPr="00781112">
              <w:rPr>
                <w:rFonts w:cs="Arial"/>
                <w:color w:val="000000" w:themeColor="text1"/>
                <w:szCs w:val="16"/>
              </w:rPr>
              <w:t>FFY 2016</w:t>
            </w:r>
          </w:p>
        </w:tc>
        <w:tc>
          <w:tcPr>
            <w:tcW w:w="1389" w:type="pct"/>
            <w:shd w:val="clear" w:color="auto" w:fill="auto"/>
          </w:tcPr>
          <w:p w14:paraId="39F6C3A8" w14:textId="6AFAAA5E"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85" w:type="pct"/>
            <w:shd w:val="clear" w:color="auto" w:fill="auto"/>
          </w:tcPr>
          <w:p w14:paraId="4ABCDE9F" w14:textId="61A85266"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01" w:type="pct"/>
            <w:shd w:val="clear" w:color="auto" w:fill="auto"/>
          </w:tcPr>
          <w:p w14:paraId="4AB54464" w14:textId="0D8F01A9"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bl>
    <w:p w14:paraId="548E1CEB" w14:textId="4CA6EB27" w:rsidR="009A221D" w:rsidRPr="00781112" w:rsidRDefault="009A221D" w:rsidP="009A221D">
      <w:pPr>
        <w:rPr>
          <w:rFonts w:cs="Arial"/>
          <w:b/>
          <w:bCs/>
          <w:color w:val="000000" w:themeColor="text1"/>
          <w:szCs w:val="16"/>
        </w:rPr>
      </w:pPr>
      <w:r w:rsidRPr="00781112">
        <w:rPr>
          <w:rFonts w:cs="Arial"/>
          <w:b/>
          <w:bCs/>
          <w:color w:val="000000" w:themeColor="text1"/>
          <w:szCs w:val="16"/>
        </w:rPr>
        <w:t>FFY 2018</w:t>
      </w:r>
    </w:p>
    <w:p w14:paraId="4CFBEAFC" w14:textId="423F6E49" w:rsidR="009A755E" w:rsidRPr="00781112" w:rsidRDefault="009A755E" w:rsidP="004369B2">
      <w:pPr>
        <w:rPr>
          <w:color w:val="000000" w:themeColor="text1"/>
        </w:rPr>
      </w:pPr>
      <w:r w:rsidRPr="00781112">
        <w:rPr>
          <w:b/>
          <w:color w:val="000000" w:themeColor="text1"/>
        </w:rPr>
        <w:t>Findings of Noncompliance Verified as Corrected</w:t>
      </w:r>
    </w:p>
    <w:p w14:paraId="77729471" w14:textId="0242687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A8B9831" w14:textId="64F218C4" w:rsidR="003C308E" w:rsidRPr="00781112" w:rsidRDefault="002B7490" w:rsidP="009A755E">
      <w:pPr>
        <w:rPr>
          <w:rFonts w:cs="Arial"/>
          <w:color w:val="000000" w:themeColor="text1"/>
          <w:szCs w:val="16"/>
        </w:rPr>
      </w:pPr>
      <w:r w:rsidRPr="00781112">
        <w:rPr>
          <w:rFonts w:cs="Arial"/>
          <w:color w:val="000000" w:themeColor="text1"/>
          <w:szCs w:val="16"/>
        </w:rPr>
        <w:t xml:space="preserve">The one LEA, with assistance as needed from the Regional Special Education Cooperative and the KDE, reviewed student-specific and systemic noncompliance items identified in the Report of Findings. The KDE identified the percentage level of noncompliance for the LEA and conducted a root cause analysis to determine why problem areas existed. </w:t>
      </w:r>
      <w:r w:rsidRPr="00781112">
        <w:rPr>
          <w:rFonts w:cs="Arial"/>
          <w:color w:val="000000" w:themeColor="text1"/>
          <w:szCs w:val="16"/>
        </w:rPr>
        <w:br/>
      </w:r>
      <w:r w:rsidRPr="00781112">
        <w:rPr>
          <w:rFonts w:cs="Arial"/>
          <w:color w:val="000000" w:themeColor="text1"/>
          <w:szCs w:val="16"/>
        </w:rPr>
        <w:br/>
        <w:t xml:space="preserve">The results of the root cause analysis included topics such as misunderstandings of timeline requirements and lack of training for PBIS. Those results were utilized to develop a meaningful CAP that included action steps to ensure the LEA corrected the root cause of noncompliance, ensure the LEA was correctly implementing the regulatory requirements and improve LEA practices in discipline. The KDE identified noncompliant policies, procedures, and practices in the Report of Findings for the LEA. The LEA was required to change any noncompliant policies, procedures and practices within their CAP. Additional CAP activities were related to the root cause of noncompliance in the LEA. Training activities identified on the CAP were provided by KDE-approved trainers. Approved trainers included regional special education cooperatives. Prior to training events, the KDE reviewed the training materials to ensure all areas of noncompliance were sufficiently addressed. </w:t>
      </w:r>
      <w:r w:rsidRPr="00781112">
        <w:rPr>
          <w:rFonts w:cs="Arial"/>
          <w:color w:val="000000" w:themeColor="text1"/>
          <w:szCs w:val="16"/>
        </w:rPr>
        <w:br/>
      </w:r>
      <w:r w:rsidRPr="00781112">
        <w:rPr>
          <w:rFonts w:cs="Arial"/>
          <w:color w:val="000000" w:themeColor="text1"/>
          <w:szCs w:val="16"/>
        </w:rPr>
        <w:br/>
        <w:t xml:space="preserve">The KDE required all noncompliance to be corrected as soon as possible but not more than one year from the date of notification of the noncompliance. The LEA was required to submit CAP status reports to the KDE at least quarterly basis. </w:t>
      </w:r>
      <w:r w:rsidRPr="00781112">
        <w:rPr>
          <w:rFonts w:cs="Arial"/>
          <w:color w:val="000000" w:themeColor="text1"/>
          <w:szCs w:val="16"/>
        </w:rPr>
        <w:br/>
      </w:r>
      <w:r w:rsidRPr="00781112">
        <w:rPr>
          <w:rFonts w:cs="Arial"/>
          <w:color w:val="000000" w:themeColor="text1"/>
          <w:szCs w:val="16"/>
        </w:rPr>
        <w:br/>
        <w:t xml:space="preserve">The KDE reviewed additional student due process records as part of the CAP process to verify that the LEA was implementing the regulatory requirements. In Kentucky, this is known as comparison folder reviews. The number of folders reviewed was determined by the size of the LEA's child count in the area reviewed. The process for selecting files is documented on page 29 of the KDE's IDEA Monitoring Manual. This can be found at  https://tinyurl.com/2p8bhudv. </w:t>
      </w:r>
      <w:r w:rsidRPr="00781112">
        <w:rPr>
          <w:rFonts w:cs="Arial"/>
          <w:color w:val="000000" w:themeColor="text1"/>
          <w:szCs w:val="16"/>
        </w:rPr>
        <w:br/>
      </w:r>
      <w:r w:rsidRPr="00781112">
        <w:rPr>
          <w:rFonts w:cs="Arial"/>
          <w:color w:val="000000" w:themeColor="text1"/>
          <w:szCs w:val="16"/>
        </w:rPr>
        <w:br/>
        <w:t xml:space="preserve">If any record was found noncompliant during comparison folder reviews, the LEA was required to correct the noncompliance. All original records were verified as 100% compliant in the areas originally cited. Additional folders were verified as 100% compliant before the KDE determined the LEA had corrected all areas of noncompliance. The updated data review (comparison folders) was repeated until the LEA was correctly implementing the regulatory requirements at 100% compliance. With verification of CAP completion and all updated data verified as 100% compliant, the KDE reported the noncompliance as corrected and closed the CAP. </w:t>
      </w:r>
      <w:r w:rsidRPr="00781112">
        <w:rPr>
          <w:rFonts w:cs="Arial"/>
          <w:color w:val="000000" w:themeColor="text1"/>
          <w:szCs w:val="16"/>
        </w:rPr>
        <w:br/>
      </w:r>
      <w:r w:rsidRPr="00781112">
        <w:rPr>
          <w:rFonts w:cs="Arial"/>
          <w:color w:val="000000" w:themeColor="text1"/>
          <w:szCs w:val="16"/>
        </w:rPr>
        <w:br/>
        <w:t>The identified LEA was able to successfully implement the regulatory requirements at 100% compliance and close their CAP.</w:t>
      </w:r>
    </w:p>
    <w:p w14:paraId="5902F2EE" w14:textId="48AE04C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054DB5D" w14:textId="626582B6" w:rsidR="003C308E" w:rsidRPr="00781112" w:rsidRDefault="002B7490" w:rsidP="009A755E">
      <w:pPr>
        <w:rPr>
          <w:rFonts w:cs="Arial"/>
          <w:color w:val="000000" w:themeColor="text1"/>
          <w:szCs w:val="16"/>
        </w:rPr>
      </w:pPr>
      <w:r w:rsidRPr="00781112">
        <w:rPr>
          <w:rFonts w:cs="Arial"/>
          <w:color w:val="000000" w:themeColor="text1"/>
          <w:szCs w:val="16"/>
        </w:rPr>
        <w:t xml:space="preserve">For FFY 2018, one LEA was identified as having noncompliant practices under Indicator 4B. The KDE reviewed all identified student files and issued student-specific corrective action where necessary. The LEA developed a CAP to address noncompliance and included the correction of student specific files as part of the CAP activities. </w:t>
      </w:r>
      <w:r w:rsidRPr="00781112">
        <w:rPr>
          <w:rFonts w:cs="Arial"/>
          <w:color w:val="000000" w:themeColor="text1"/>
          <w:szCs w:val="16"/>
        </w:rPr>
        <w:br/>
      </w:r>
      <w:r w:rsidRPr="00781112">
        <w:rPr>
          <w:rFonts w:cs="Arial"/>
          <w:color w:val="000000" w:themeColor="text1"/>
          <w:szCs w:val="16"/>
        </w:rPr>
        <w:br/>
        <w:t xml:space="preserve">The LEA, with assistance as needed from the Regional Special Education Cooperative and the KDE, reviewed student-specific items identified in the Report of Findings. The KDE required all student-level noncompliance to be corrected as soon as possible but not more than one year from the date of notification of the noncompliance. The LEA was required to submit CAP status reports to the KDE at least quarterly. </w:t>
      </w:r>
      <w:r w:rsidRPr="00781112">
        <w:rPr>
          <w:rFonts w:cs="Arial"/>
          <w:color w:val="000000" w:themeColor="text1"/>
          <w:szCs w:val="16"/>
        </w:rPr>
        <w:br/>
      </w:r>
      <w:r w:rsidRPr="00781112">
        <w:rPr>
          <w:rFonts w:cs="Arial"/>
          <w:color w:val="000000" w:themeColor="text1"/>
          <w:szCs w:val="16"/>
        </w:rPr>
        <w:br/>
        <w:t xml:space="preserve">The KDE provided guidance and technical assistance and reviewed the evidence submitted to verify the implementation and completion of student </w:t>
      </w:r>
      <w:r w:rsidRPr="00781112">
        <w:rPr>
          <w:rFonts w:cs="Arial"/>
          <w:color w:val="000000" w:themeColor="text1"/>
          <w:szCs w:val="16"/>
        </w:rPr>
        <w:lastRenderedPageBreak/>
        <w:t>specific corrections and CAP activities. The KDE reviewed the evidence and verified that the identified LEA had corrected each individual case of noncompliance.</w:t>
      </w:r>
      <w:r w:rsidRPr="00781112">
        <w:rPr>
          <w:rFonts w:cs="Arial"/>
          <w:color w:val="000000" w:themeColor="text1"/>
          <w:szCs w:val="16"/>
        </w:rPr>
        <w:br/>
      </w:r>
      <w:r w:rsidRPr="00781112">
        <w:rPr>
          <w:rFonts w:cs="Arial"/>
          <w:color w:val="000000" w:themeColor="text1"/>
          <w:szCs w:val="16"/>
        </w:rPr>
        <w:br/>
        <w:t>With verification of CAP completion and all updated data verified as 100% compliant in the areas identified, the KDE reported the noncompliance as corrected. The KDE determined the LEA corrected all individual cases of noncompliance under OSEP Memorandum 09-02.</w:t>
      </w:r>
    </w:p>
    <w:p w14:paraId="78C7176D" w14:textId="44CC878A" w:rsidR="009A221D" w:rsidRPr="00781112" w:rsidRDefault="009A221D" w:rsidP="009A221D">
      <w:pPr>
        <w:rPr>
          <w:rFonts w:cs="Arial"/>
          <w:b/>
          <w:bCs/>
          <w:color w:val="000000" w:themeColor="text1"/>
          <w:szCs w:val="16"/>
        </w:rPr>
      </w:pPr>
      <w:r w:rsidRPr="00781112">
        <w:rPr>
          <w:rFonts w:cs="Arial"/>
          <w:b/>
          <w:bCs/>
          <w:color w:val="000000" w:themeColor="text1"/>
          <w:szCs w:val="16"/>
        </w:rPr>
        <w:t>FFY 2017</w:t>
      </w:r>
    </w:p>
    <w:p w14:paraId="4E534FF7" w14:textId="7B8B86A4" w:rsidR="009A755E" w:rsidRPr="00781112" w:rsidRDefault="009A755E" w:rsidP="004369B2">
      <w:pPr>
        <w:rPr>
          <w:color w:val="000000" w:themeColor="text1"/>
        </w:rPr>
      </w:pPr>
      <w:r w:rsidRPr="00781112">
        <w:rPr>
          <w:b/>
          <w:color w:val="000000" w:themeColor="text1"/>
        </w:rPr>
        <w:t>Findings of Noncompliance Verified as Corrected</w:t>
      </w:r>
    </w:p>
    <w:p w14:paraId="6D2F84BA" w14:textId="56FB246F"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9F25CF7" w14:textId="082BC6AF" w:rsidR="003C308E" w:rsidRPr="00781112" w:rsidRDefault="002B7490" w:rsidP="009A755E">
      <w:pPr>
        <w:rPr>
          <w:rFonts w:cs="Arial"/>
          <w:color w:val="000000" w:themeColor="text1"/>
          <w:szCs w:val="16"/>
        </w:rPr>
      </w:pPr>
      <w:r w:rsidRPr="00781112">
        <w:rPr>
          <w:rFonts w:cs="Arial"/>
          <w:color w:val="000000" w:themeColor="text1"/>
          <w:szCs w:val="16"/>
        </w:rPr>
        <w:t xml:space="preserve">The one LEA, with assistance as needed from the Regional Special Education Cooperative and the KDE, reviewed student-specific and systemic noncompliance items identified in the Report of Findings. The KDE identified the percentage level of noncompliance for the LEA and conducted a root cause analysis to determine why problem areas existed. </w:t>
      </w:r>
      <w:r w:rsidRPr="00781112">
        <w:rPr>
          <w:rFonts w:cs="Arial"/>
          <w:color w:val="000000" w:themeColor="text1"/>
          <w:szCs w:val="16"/>
        </w:rPr>
        <w:br/>
      </w:r>
      <w:r w:rsidRPr="00781112">
        <w:rPr>
          <w:rFonts w:cs="Arial"/>
          <w:color w:val="000000" w:themeColor="text1"/>
          <w:szCs w:val="16"/>
        </w:rPr>
        <w:br/>
        <w:t xml:space="preserve">The results of the root cause analysis included topics such as misunderstandings of timeline requirements and lack of training for PBIS. Those results were utilized to develop a meaningful CAP that included action steps to ensure the LEA corrected the root cause of noncompliance, ensure the LEA was correctly implementing the regulatory requirements and improve LEA practices in discipline. The KDE identified noncompliant policies, procedures, and practices in the Report of Findings for the LEA. The LEA was required to change any noncompliant policies, procedures and practices within their CAP. Additional CAP activities were related to the root cause of noncompliance in the LEA. Training activities identified on the CAP were provided by KDE-approved trainers. Approved trainers included regional special education cooperatives. Prior to training events, the KDE reviewed the training materials to ensure all areas of noncompliance were sufficiently addressed. </w:t>
      </w:r>
      <w:r w:rsidRPr="00781112">
        <w:rPr>
          <w:rFonts w:cs="Arial"/>
          <w:color w:val="000000" w:themeColor="text1"/>
          <w:szCs w:val="16"/>
        </w:rPr>
        <w:br/>
      </w:r>
      <w:r w:rsidRPr="00781112">
        <w:rPr>
          <w:rFonts w:cs="Arial"/>
          <w:color w:val="000000" w:themeColor="text1"/>
          <w:szCs w:val="16"/>
        </w:rPr>
        <w:br/>
        <w:t xml:space="preserve">The KDE required all noncompliance to be corrected as soon as possible but not more than one year from the date of notification of the noncompliance. The LEA was required to submit CAP status reports to the KDE at least quarterly basis. </w:t>
      </w:r>
      <w:r w:rsidRPr="00781112">
        <w:rPr>
          <w:rFonts w:cs="Arial"/>
          <w:color w:val="000000" w:themeColor="text1"/>
          <w:szCs w:val="16"/>
        </w:rPr>
        <w:br/>
      </w:r>
      <w:r w:rsidRPr="00781112">
        <w:rPr>
          <w:rFonts w:cs="Arial"/>
          <w:color w:val="000000" w:themeColor="text1"/>
          <w:szCs w:val="16"/>
        </w:rPr>
        <w:br/>
        <w:t xml:space="preserve">The KDE reviewed additional student due process records as part of the CAP process to verify that the LEA was implementing the regulatory requirements. In Kentucky, this is known as comparison folder reviews. The number of folders reviewed was determined by the size of the LEA's child count in the area reviewed. The process for selecting files is documented on page 29 of the KDE's IDEA Monitoring Manual. This can be found at  https://tinyurl.com/2p8bhudv. </w:t>
      </w:r>
      <w:r w:rsidRPr="00781112">
        <w:rPr>
          <w:rFonts w:cs="Arial"/>
          <w:color w:val="000000" w:themeColor="text1"/>
          <w:szCs w:val="16"/>
        </w:rPr>
        <w:br/>
      </w:r>
      <w:r w:rsidRPr="00781112">
        <w:rPr>
          <w:rFonts w:cs="Arial"/>
          <w:color w:val="000000" w:themeColor="text1"/>
          <w:szCs w:val="16"/>
        </w:rPr>
        <w:br/>
        <w:t xml:space="preserve">If any record was found noncompliant during comparison folder reviews, the LEA was required to correct the noncompliance. All original records were verified as 100% compliant in the areas originally cited. Additional folders were verified as 100% compliant before the KDE determined the LEA had corrected all areas of noncompliance. The updated data review (comparison folders) was repeated until the LEA was correctly implementing the regulatory requirements at 100% compliance. With verification of CAP completion and all updated data verified as 100% compliant, the KDE reported the noncompliance as corrected and closed the CAP. </w:t>
      </w:r>
      <w:r w:rsidRPr="00781112">
        <w:rPr>
          <w:rFonts w:cs="Arial"/>
          <w:color w:val="000000" w:themeColor="text1"/>
          <w:szCs w:val="16"/>
        </w:rPr>
        <w:br/>
      </w:r>
      <w:r w:rsidRPr="00781112">
        <w:rPr>
          <w:rFonts w:cs="Arial"/>
          <w:color w:val="000000" w:themeColor="text1"/>
          <w:szCs w:val="16"/>
        </w:rPr>
        <w:br/>
        <w:t>The identified LEA was able to successfully implement the regulatory requirements at 100% compliance and close their CAP.</w:t>
      </w:r>
    </w:p>
    <w:p w14:paraId="18499E6B" w14:textId="7BB19FBF"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7DD79F6" w14:textId="61BF1E05" w:rsidR="003C308E" w:rsidRPr="00781112" w:rsidRDefault="002B7490" w:rsidP="009A755E">
      <w:pPr>
        <w:rPr>
          <w:rFonts w:cs="Arial"/>
          <w:color w:val="000000" w:themeColor="text1"/>
          <w:szCs w:val="16"/>
        </w:rPr>
      </w:pPr>
      <w:r w:rsidRPr="00781112">
        <w:rPr>
          <w:rFonts w:cs="Arial"/>
          <w:color w:val="000000" w:themeColor="text1"/>
          <w:szCs w:val="16"/>
        </w:rPr>
        <w:t xml:space="preserve">For FFY 2017, one LEA was identified as having noncompliant practices under Indicator 4B. The KDE reviewed all identified student files and issued student-specific corrective action where necessary. The LEA developed a CAP to address noncompliance and included the correction of student specific files as part of the CAP activities. </w:t>
      </w:r>
      <w:r w:rsidRPr="00781112">
        <w:rPr>
          <w:rFonts w:cs="Arial"/>
          <w:color w:val="000000" w:themeColor="text1"/>
          <w:szCs w:val="16"/>
        </w:rPr>
        <w:br/>
      </w:r>
      <w:r w:rsidRPr="00781112">
        <w:rPr>
          <w:rFonts w:cs="Arial"/>
          <w:color w:val="000000" w:themeColor="text1"/>
          <w:szCs w:val="16"/>
        </w:rPr>
        <w:br/>
        <w:t xml:space="preserve">The LEA, with assistance as needed from the Regional Special Education Cooperative and the KDE, reviewed student-specific items identified in the Report of Findings. The KDE required all student-level noncompliance to be corrected as soon as possible but not more than one year from the date of notification of the noncompliance. The LEA was required to submit CAP status reports to the KDE at least quarterly. </w:t>
      </w:r>
      <w:r w:rsidRPr="00781112">
        <w:rPr>
          <w:rFonts w:cs="Arial"/>
          <w:color w:val="000000" w:themeColor="text1"/>
          <w:szCs w:val="16"/>
        </w:rPr>
        <w:br/>
      </w:r>
      <w:r w:rsidRPr="00781112">
        <w:rPr>
          <w:rFonts w:cs="Arial"/>
          <w:color w:val="000000" w:themeColor="text1"/>
          <w:szCs w:val="16"/>
        </w:rPr>
        <w:br/>
        <w:t>The KDE provided guidance and technical assistance and reviewed the evidence submitted to verify the implementation and completion of student specific corrections and CAP activities. The KDE reviewed the evidence and verified that the identified LEA had corrected each individual case of noncompliance.</w:t>
      </w:r>
      <w:r w:rsidRPr="00781112">
        <w:rPr>
          <w:rFonts w:cs="Arial"/>
          <w:color w:val="000000" w:themeColor="text1"/>
          <w:szCs w:val="16"/>
        </w:rPr>
        <w:br/>
      </w:r>
      <w:r w:rsidRPr="00781112">
        <w:rPr>
          <w:rFonts w:cs="Arial"/>
          <w:color w:val="000000" w:themeColor="text1"/>
          <w:szCs w:val="16"/>
        </w:rPr>
        <w:br/>
        <w:t>With verification of CAP completion and all updated data verified as 100% compliant in the areas identified, the KDE reported the noncompliance as corrected. The KDE determined the LEA corrected all individual cases of noncompliance under OSEP Memorandum 09-02.</w:t>
      </w:r>
    </w:p>
    <w:p w14:paraId="64921697"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2016</w:t>
      </w:r>
    </w:p>
    <w:p w14:paraId="2AEC1188" w14:textId="11BDAB6E" w:rsidR="009A755E" w:rsidRPr="00781112" w:rsidRDefault="009A755E" w:rsidP="004369B2">
      <w:pPr>
        <w:rPr>
          <w:color w:val="000000" w:themeColor="text1"/>
        </w:rPr>
      </w:pPr>
      <w:r w:rsidRPr="00781112">
        <w:rPr>
          <w:b/>
          <w:color w:val="000000" w:themeColor="text1"/>
        </w:rPr>
        <w:t>Findings of Noncompliance Verified as Corrected</w:t>
      </w:r>
    </w:p>
    <w:p w14:paraId="3D695EBB" w14:textId="684A520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72FCC46" w14:textId="568531B5" w:rsidR="003C308E" w:rsidRPr="00781112" w:rsidRDefault="002B7490" w:rsidP="009A755E">
      <w:pPr>
        <w:rPr>
          <w:rFonts w:cs="Arial"/>
          <w:color w:val="000000" w:themeColor="text1"/>
          <w:szCs w:val="16"/>
        </w:rPr>
      </w:pPr>
      <w:r w:rsidRPr="00781112">
        <w:rPr>
          <w:rFonts w:cs="Arial"/>
          <w:color w:val="000000" w:themeColor="text1"/>
          <w:szCs w:val="16"/>
        </w:rPr>
        <w:t xml:space="preserve">The one LEA, with assistance as needed from the Regional Special Education Cooperative and the KDE, reviewed student-specific and systemic noncompliance items identified in the Report of Findings. The KDE identified the percentage level of noncompliance for the LEA and conducted a root cause analysis to determine why problem areas existed. </w:t>
      </w:r>
      <w:r w:rsidRPr="00781112">
        <w:rPr>
          <w:rFonts w:cs="Arial"/>
          <w:color w:val="000000" w:themeColor="text1"/>
          <w:szCs w:val="16"/>
        </w:rPr>
        <w:br/>
      </w:r>
      <w:r w:rsidRPr="00781112">
        <w:rPr>
          <w:rFonts w:cs="Arial"/>
          <w:color w:val="000000" w:themeColor="text1"/>
          <w:szCs w:val="16"/>
        </w:rPr>
        <w:br/>
        <w:t xml:space="preserve">The results of the root cause analysis included topics such as misunderstandings of timeline requirements and lack of training for PBIS. Those results were utilized to develop a meaningful CAP that included action steps to ensure the LEA corrected the root cause of noncompliance, ensure the LEA was correctly implementing the regulatory requirements and improve LEA practices in discipline. The KDE identified noncompliant policies, procedures, and practices in the Report of Findings for the LEA. The LEA was required to change any noncompliant policies, procedures and practices within their CAP. Additional CAP activities were related to the root cause of noncompliance in the LEA. Training activities identified on the CAP were provided by KDE-approved trainers. Approved trainers included regional special education cooperatives. Prior to training events, the KDE reviewed the training materials to ensure all areas of noncompliance were sufficiently addressed. </w:t>
      </w:r>
      <w:r w:rsidRPr="00781112">
        <w:rPr>
          <w:rFonts w:cs="Arial"/>
          <w:color w:val="000000" w:themeColor="text1"/>
          <w:szCs w:val="16"/>
        </w:rPr>
        <w:br/>
      </w:r>
      <w:r w:rsidRPr="00781112">
        <w:rPr>
          <w:rFonts w:cs="Arial"/>
          <w:color w:val="000000" w:themeColor="text1"/>
          <w:szCs w:val="16"/>
        </w:rPr>
        <w:br/>
        <w:t xml:space="preserve">The KDE required all noncompliance to be corrected as soon as possible but not more than one year from the date of notification of the noncompliance. The LEA was required to submit CAP status reports to the KDE at least quarterly basis. </w:t>
      </w:r>
      <w:r w:rsidRPr="00781112">
        <w:rPr>
          <w:rFonts w:cs="Arial"/>
          <w:color w:val="000000" w:themeColor="text1"/>
          <w:szCs w:val="16"/>
        </w:rPr>
        <w:br/>
      </w:r>
      <w:r w:rsidRPr="00781112">
        <w:rPr>
          <w:rFonts w:cs="Arial"/>
          <w:color w:val="000000" w:themeColor="text1"/>
          <w:szCs w:val="16"/>
        </w:rPr>
        <w:br/>
        <w:t xml:space="preserve">The KDE reviewed additional student due process records as part of the CAP process to verify that the LEA was implementing the regulatory requirements. In Kentucky, this is known as comparison folder reviews. The number of folders reviewed was determined by the size of the LEA's child count in the area reviewed. The process for selecting files is documented on page 29 of the KDE's IDEA Monitoring Manual. This can be found at  https://tinyurl.com/2p8bhudv. </w:t>
      </w:r>
      <w:r w:rsidRPr="00781112">
        <w:rPr>
          <w:rFonts w:cs="Arial"/>
          <w:color w:val="000000" w:themeColor="text1"/>
          <w:szCs w:val="16"/>
        </w:rPr>
        <w:br/>
      </w:r>
      <w:r w:rsidRPr="00781112">
        <w:rPr>
          <w:rFonts w:cs="Arial"/>
          <w:color w:val="000000" w:themeColor="text1"/>
          <w:szCs w:val="16"/>
        </w:rPr>
        <w:br/>
        <w:t xml:space="preserve">If any record was found noncompliant during comparison folder reviews, the LEA was required to correct the noncompliance. All original records were verified as 100% compliant in the areas originally cited. Additional folders were verified as 100% compliant before the KDE determined the LEA had </w:t>
      </w:r>
      <w:r w:rsidRPr="00781112">
        <w:rPr>
          <w:rFonts w:cs="Arial"/>
          <w:color w:val="000000" w:themeColor="text1"/>
          <w:szCs w:val="16"/>
        </w:rPr>
        <w:lastRenderedPageBreak/>
        <w:t xml:space="preserve">corrected all areas of noncompliance. The updated data review (comparison folders) was repeated until the LEA was correctly implementing the regulatory requirements at 100% compliance. With verification of CAP completion and all updated data verified as 100% compliant, the KDE reported the noncompliance as corrected and closed the CAP. </w:t>
      </w:r>
      <w:r w:rsidRPr="00781112">
        <w:rPr>
          <w:rFonts w:cs="Arial"/>
          <w:color w:val="000000" w:themeColor="text1"/>
          <w:szCs w:val="16"/>
        </w:rPr>
        <w:br/>
      </w:r>
      <w:r w:rsidRPr="00781112">
        <w:rPr>
          <w:rFonts w:cs="Arial"/>
          <w:color w:val="000000" w:themeColor="text1"/>
          <w:szCs w:val="16"/>
        </w:rPr>
        <w:br/>
        <w:t>The identified LEA was able to successfully implement the regulatory requirements at 100% compliance and close their CAP.</w:t>
      </w:r>
    </w:p>
    <w:p w14:paraId="1FBEB315" w14:textId="71EAC6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2FE70E65" w14:textId="4012B5B1" w:rsidR="003C308E" w:rsidRPr="00781112" w:rsidRDefault="002B7490" w:rsidP="009A755E">
      <w:pPr>
        <w:rPr>
          <w:rFonts w:cs="Arial"/>
          <w:color w:val="000000" w:themeColor="text1"/>
          <w:szCs w:val="16"/>
        </w:rPr>
      </w:pPr>
      <w:r w:rsidRPr="00781112">
        <w:rPr>
          <w:rFonts w:cs="Arial"/>
          <w:color w:val="000000" w:themeColor="text1"/>
          <w:szCs w:val="16"/>
        </w:rPr>
        <w:t xml:space="preserve">For FFY 2016, one LEA was identified as having noncompliant practices under Indicator 4B. The KDE reviewed all identified student files and issued student-specific corrective action where necessary. The LEA developed a CAP to address noncompliance and included the correction of student specific files as part of the CAP activities. </w:t>
      </w:r>
      <w:r w:rsidRPr="00781112">
        <w:rPr>
          <w:rFonts w:cs="Arial"/>
          <w:color w:val="000000" w:themeColor="text1"/>
          <w:szCs w:val="16"/>
        </w:rPr>
        <w:br/>
      </w:r>
      <w:r w:rsidRPr="00781112">
        <w:rPr>
          <w:rFonts w:cs="Arial"/>
          <w:color w:val="000000" w:themeColor="text1"/>
          <w:szCs w:val="16"/>
        </w:rPr>
        <w:br/>
        <w:t xml:space="preserve">The LEA, with assistance as needed from the Regional Special Education Cooperative and the KDE, reviewed student-specific items identified in the Report of Findings. The KDE required all student-level noncompliance to be corrected as soon as possible but not more than one year from the date of notification of the noncompliance. The LEA was required to submit CAP status reports to the KDE at least quarterly. </w:t>
      </w:r>
      <w:r w:rsidRPr="00781112">
        <w:rPr>
          <w:rFonts w:cs="Arial"/>
          <w:color w:val="000000" w:themeColor="text1"/>
          <w:szCs w:val="16"/>
        </w:rPr>
        <w:br/>
      </w:r>
      <w:r w:rsidRPr="00781112">
        <w:rPr>
          <w:rFonts w:cs="Arial"/>
          <w:color w:val="000000" w:themeColor="text1"/>
          <w:szCs w:val="16"/>
        </w:rPr>
        <w:br/>
        <w:t>The KDE provided guidance and technical assistance and reviewed the evidence submitted to verify the implementation and completion of student specific corrections and CAP activities. The KDE reviewed the evidence and verified that the identified LEA had corrected each individual case of noncompliance.</w:t>
      </w:r>
      <w:r w:rsidRPr="00781112">
        <w:rPr>
          <w:rFonts w:cs="Arial"/>
          <w:color w:val="000000" w:themeColor="text1"/>
          <w:szCs w:val="16"/>
        </w:rPr>
        <w:br/>
      </w:r>
      <w:r w:rsidRPr="00781112">
        <w:rPr>
          <w:rFonts w:cs="Arial"/>
          <w:color w:val="000000" w:themeColor="text1"/>
          <w:szCs w:val="16"/>
        </w:rPr>
        <w:br/>
        <w:t>With verification of CAP completion and all updated data verified as 100% compliant in the areas identified, the KDE reported the noncompliance as corrected. The KDE determined the LEA corrected all individual cases of noncompliance under OSEP Memorandum 09-02.</w:t>
      </w:r>
    </w:p>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2019, the State must report on the status of correction of noncompliance identified in FFY 2019 for this indicator.  The State must demonstrate, in the FFY 2020 SPP/APR, that the districts identified with noncompliance in FFY 2019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r w:rsidRPr="00781112">
        <w:rPr>
          <w:rFonts w:cs="Arial"/>
          <w:color w:val="000000" w:themeColor="text1"/>
          <w:szCs w:val="16"/>
        </w:rPr>
        <w:br/>
      </w:r>
      <w:r w:rsidRPr="00781112">
        <w:rPr>
          <w:rFonts w:cs="Arial"/>
          <w:color w:val="000000" w:themeColor="text1"/>
          <w:szCs w:val="16"/>
        </w:rPr>
        <w:br/>
        <w:t>The State reported that noncompliance identified in FFY 2018, FFY 2017, and FFY 2016 as a result of the review it conducted pursuant to 34 C.F.R. § 300.170(b) was partially corrected. When reporting on the correction of noncompliance, the State must demonstrate, in the FFY 2020 SPP/APR, that it has verified that each district with remaining noncompliance identified in FFY 2018, FFY 2017, and FFY 2016: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739A1EFB" w14:textId="5155DA04" w:rsidR="004E2151" w:rsidRPr="00781112" w:rsidRDefault="004E2151" w:rsidP="004369B2">
      <w:pPr>
        <w:rPr>
          <w:b/>
          <w:color w:val="000000" w:themeColor="text1"/>
        </w:rPr>
      </w:pPr>
      <w:r w:rsidRPr="00781112">
        <w:rPr>
          <w:b/>
          <w:color w:val="000000" w:themeColor="text1"/>
        </w:rPr>
        <w:t>Response to actions required in FFY 2019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 xml:space="preserve">Through desk audits, the KDE completed a review of updated data from additional student due process folders as part of the CAP process for the one LEA identified as being noncompliant in FFY 2017, FFY 2018, FFY 2019 and FFY 2020. The KDE has employed intensive assistance to the LEA over a three-year period and notes the LEA made progress during FFY 2020 to obtain voluntary compliance. </w:t>
      </w:r>
      <w:r w:rsidRPr="00781112">
        <w:rPr>
          <w:rFonts w:cs="Arial"/>
          <w:color w:val="000000" w:themeColor="text1"/>
          <w:szCs w:val="16"/>
        </w:rPr>
        <w:br/>
      </w:r>
      <w:r w:rsidRPr="00781112">
        <w:rPr>
          <w:rFonts w:cs="Arial"/>
          <w:color w:val="000000" w:themeColor="text1"/>
          <w:szCs w:val="16"/>
        </w:rPr>
        <w:br/>
        <w:t>Through intensive assistance, the LEA demonstrated correction of noncompliance during FFY 2020 at the systemic and student levels. The KDE was able to ensure the source of noncompliance was correctly implementing the regulatory requirements at a rate of 100% accuracy. Additionally, the KDE verified each individual case of noncompliance was corrected prior to closing the LEA's CAP. Please see the above descriptions for each school year for additional information on how correction was verified.</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has established the baseline for this indicator, using data from FFY 2020, and OSEP accepts the baseline.</w:t>
      </w:r>
      <w:r w:rsidRPr="00781112">
        <w:rPr>
          <w:rFonts w:cs="Arial"/>
          <w:color w:val="000000" w:themeColor="text1"/>
          <w:szCs w:val="16"/>
        </w:rPr>
        <w:br/>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71.80%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74.99%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73.73%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73.81%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73.43%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73.57%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73.90%</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8.70%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8.70%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8.70%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8.70%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8.70%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8.38%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8.28%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8.31%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8.27%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8.48%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8.58%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1.90%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1.55%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1.82%</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75.00%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74.99%</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75.24%</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75.49%</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76.00%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77.00%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8.38%</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8.38%</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8.15%</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7.91%</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7.44%</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6.50%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1.55%</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1.55%</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1.51%</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1.48%</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1.40%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1.25%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w:t>
      </w:r>
      <w:r w:rsidRPr="00781112">
        <w:rPr>
          <w:rFonts w:cs="Arial"/>
          <w:color w:val="000000" w:themeColor="text1"/>
          <w:szCs w:val="16"/>
        </w:rPr>
        <w:lastRenderedPageBreak/>
        <w:t xml:space="preserve">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95,554</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71,661</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8,008</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482</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288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709</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lastRenderedPageBreak/>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71,661</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95,554</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73.90%</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8,008</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95,554</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8.58%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8.38%</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8.38%</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1,479</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95,554</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1.82%</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1.55%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1.55%</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Kentucky revised the baseline for Indicator 5 due to the addition of five-year-old students in kindergarten to this indicator. </w:t>
      </w:r>
      <w:r w:rsidRPr="00781112">
        <w:rPr>
          <w:rFonts w:cs="Arial"/>
          <w:color w:val="000000" w:themeColor="text1"/>
          <w:szCs w:val="16"/>
        </w:rPr>
        <w:br/>
      </w:r>
      <w:r w:rsidRPr="00781112">
        <w:rPr>
          <w:rFonts w:cs="Arial"/>
          <w:color w:val="000000" w:themeColor="text1"/>
          <w:szCs w:val="16"/>
        </w:rPr>
        <w:br/>
        <w:t>The KDE has analyzed data and has not identified a known COVID-19 impact on the data for this indicator. However, the KDE will continue to review and analyze data to determine if an impact directly related to COVID-19 is present.</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64.00%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64.00%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64.00%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64.00%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66.50%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67.36%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69.27%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70.47%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71.24%</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6.00%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6.00%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4.54%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4.03%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3.48%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4.52%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3.89%</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the state would be in FFY 2025 if all things stayed the same. Stakeholders were provided with an overview of the advantages and disadvantages of </w:t>
      </w:r>
      <w:r w:rsidRPr="00781112">
        <w:rPr>
          <w:rFonts w:cs="Arial"/>
          <w:color w:val="000000" w:themeColor="text1"/>
          <w:szCs w:val="16"/>
        </w:rPr>
        <w:lastRenderedPageBreak/>
        <w:t xml:space="preserve">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76.87%</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4.13%</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0.27%</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76.87%</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76.87%</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77.14%</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77.40%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77.94%</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79.00%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4.13%</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4.13%</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4.05%</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3.97%</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3.82%</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3.50%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0.27%</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0.27%</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0.27%</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0.27%</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0.26%</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0.25%</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lastRenderedPageBreak/>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2,719</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5,356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2,150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10,225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2,153</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4,121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1,586</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7,860</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96</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205</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82</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383</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17</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37</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6</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7,860</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10,225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71.24%</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76.87%</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76.87%</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422</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10,225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3.89%</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4.13%</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4.13%</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28</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10,225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0.27%</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0.27%</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Kentucky revised the baseline for Indicator 6 due to the removal of five-year-old students in kindergarten from the calculation.</w:t>
      </w:r>
      <w:r w:rsidRPr="00781112">
        <w:rPr>
          <w:rFonts w:cs="Arial"/>
          <w:color w:val="000000" w:themeColor="text1"/>
          <w:szCs w:val="16"/>
        </w:rPr>
        <w:br/>
      </w:r>
      <w:r w:rsidRPr="00781112">
        <w:rPr>
          <w:rFonts w:cs="Arial"/>
          <w:color w:val="000000" w:themeColor="text1"/>
          <w:szCs w:val="16"/>
        </w:rPr>
        <w:br/>
        <w:t>The KDE has analyzed data and has not identified a known COVID-19 impact on the data for this indicator. However, the KDE will continue to review and analyze data to determine if an impact directly related to COVID-19 is present.</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49.30%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50.50%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50.50%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49.29%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39.84%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40.10%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48.98%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41.84%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40.18%</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39.20%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40.50%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40.50%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39.11%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28.96%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30.60%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45.30%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44.50%</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67.40%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68.50%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67.42%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63.06%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61.16%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67.95%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65.97%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68.40%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39.90%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40.50%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40.50%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41.00%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39.85%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36.67%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36.31%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45.49%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47.78%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48.45%</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50.70%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51.50%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51.50%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50.67%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33.79%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33.49%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55.10%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52.55%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53.18%</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35.70%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36.50%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36.50%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35.67%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24.22%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25.33%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42.75%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42.74%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43.05%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30.41%</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30.41%</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32.92%</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35.43%</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40.46%</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50.50%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37.18%</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37.18%</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38.35%</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39.51%</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41.84%</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46.50%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57.12%</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57.12%</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59.48%</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61.84%</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66.56%</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76.00%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39.72%</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39.72%</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41.07%</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42.42%</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45.11%</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50.50%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42.51%</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42.51%</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44.07%</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45.63%</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48.76%</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55.00%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35.37%</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35.37%</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36.57%</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37.78%</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40.19%</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45.00%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lastRenderedPageBreak/>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5,635</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384</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6.81%</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2,751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48.82%</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405</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7.19%</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965</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17.13%</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1,130</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20.05%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1,370</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4,505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40.18%</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30.41%</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30.41%</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2,095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5,635</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44.50%</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37.18%</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37.18%</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221</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3.92%</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1,790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31.77%</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1,386</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24.60%</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1,293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22.95%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945</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16.77%</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2,679</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4,690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68.40%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57.12%</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57.12%</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2,238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5,635</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48.45%</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39.72%</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39.72%</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318</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5.64%</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2,381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42.25%</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943</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16.73%</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1,053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18.69%</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940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16.68%</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1,996</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4,695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53.18%</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42.51%</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42.51%</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1,993</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5,635</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43.05%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35.37%</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35.37%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lastRenderedPageBreak/>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 xml:space="preserve">Students enrolled in the state-funded preschool program (including all students receiving services under Part B, Section 619) for at least six months and who had at least two complete data points (i.e., assessed at least twice with an approved assessment) were included in the analyses. Specific criteria for 37 Part B inclusion were: (a) students aged three through five years with an IEP and who had been in the program a minimum of six months, (b) valid identifying student information (state student identifier (SSID) and demographic information) was received, (c) assessment data were collected with one of the state-approved instruments via publisher-approved data collection methods (web-based or paper and pencil), and (d) assessment data were at least 75% complete. </w:t>
      </w:r>
      <w:r w:rsidRPr="00781112">
        <w:rPr>
          <w:rFonts w:cs="Arial"/>
          <w:color w:val="000000" w:themeColor="text1"/>
          <w:szCs w:val="16"/>
        </w:rPr>
        <w:br/>
      </w:r>
      <w:r w:rsidRPr="00781112">
        <w:rPr>
          <w:rFonts w:cs="Arial"/>
          <w:color w:val="000000" w:themeColor="text1"/>
          <w:szCs w:val="16"/>
        </w:rPr>
        <w:br/>
        <w:t xml:space="preserve">To ensure data entry reliability, two data cleaning phases were implemented by the staff of KEDS. First, demographic fields collected within the KEDS system were reviewed to ensure all data were verified and matched with an SSID. Then, all assessments collected through KEDS and from publisher approved methods were collected and merged with the cleaned demographic information. Duplicate assessments were removed, as were assessments where a valid SSID could not be found. Final item scores were re-coded to a dichotomous variable reflecting age-appropriate functioning. Each item was assigned a score of 0 (not age-appropriate functioning) or 1 (age-appropriate functioning) based on alignment work. The assigned item score was based on the student’s age at the time of assessment. The student’s first and last assessments were utilized for the OSEP analyses. </w:t>
      </w:r>
      <w:r w:rsidRPr="00781112">
        <w:rPr>
          <w:rFonts w:cs="Arial"/>
          <w:color w:val="000000" w:themeColor="text1"/>
          <w:szCs w:val="16"/>
        </w:rPr>
        <w:br/>
      </w:r>
      <w:r w:rsidRPr="00781112">
        <w:rPr>
          <w:rFonts w:cs="Arial"/>
          <w:color w:val="000000" w:themeColor="text1"/>
          <w:szCs w:val="16"/>
        </w:rPr>
        <w:br/>
        <w:t xml:space="preserve">Based on the first-level crosswalk procedure, all item scores were analyzed to determine age-appropriate functioning. Items that correlated with each OSEP outcome were then examined and the percentage of items on which the student scored at age level at exit for each outcome was calculated. Beginning in FFY 2013, the analysis algorithms were modified to measure change more accurately in the child’s level of functioning. This was achieved by focusing on the six-month age band corresponding to the child’s age at exit in identifying age-appropriate functioning compared to same-age peers. </w:t>
      </w:r>
      <w:r w:rsidRPr="00781112">
        <w:rPr>
          <w:rFonts w:cs="Arial"/>
          <w:color w:val="000000" w:themeColor="text1"/>
          <w:szCs w:val="16"/>
        </w:rPr>
        <w:br/>
      </w:r>
      <w:r w:rsidRPr="00781112">
        <w:rPr>
          <w:rFonts w:cs="Arial"/>
          <w:color w:val="000000" w:themeColor="text1"/>
          <w:szCs w:val="16"/>
        </w:rPr>
        <w:br/>
        <w:t xml:space="preserve">Age-appropriate functioning was set at 40% for categories c, d, and e; (i.e., a child had to have mastered 40% of the items within the six-month age band at the time of assessment). For categories a and b, analyses examined items in all age bands covered by the assessments when determining absolute progress. Three percentages (one for each OSEP outcome) were computed for each student on each assessment. </w:t>
      </w:r>
      <w:r w:rsidRPr="00781112">
        <w:rPr>
          <w:rFonts w:cs="Arial"/>
          <w:color w:val="000000" w:themeColor="text1"/>
          <w:szCs w:val="16"/>
        </w:rPr>
        <w:br/>
      </w:r>
      <w:r w:rsidRPr="00781112">
        <w:rPr>
          <w:rFonts w:cs="Arial"/>
          <w:color w:val="000000" w:themeColor="text1"/>
          <w:szCs w:val="16"/>
        </w:rPr>
        <w:br/>
        <w:t>Growth was determined by calculating the change in percentage between the two assessments. Growth differences were categorized into five levels of functioning as specified by OSEP:</w:t>
      </w:r>
      <w:r w:rsidRPr="00781112">
        <w:rPr>
          <w:rFonts w:cs="Arial"/>
          <w:color w:val="000000" w:themeColor="text1"/>
          <w:szCs w:val="16"/>
        </w:rPr>
        <w:br/>
      </w:r>
      <w:r w:rsidRPr="00781112">
        <w:rPr>
          <w:rFonts w:cs="Arial"/>
          <w:color w:val="000000" w:themeColor="text1"/>
          <w:szCs w:val="16"/>
        </w:rPr>
        <w:br/>
        <w:t xml:space="preserve">(a) students who did not improve, i.e., did not move nearer to age-equivalent functioning and exhibited no change or a decrease in total item scores, </w:t>
      </w:r>
      <w:r w:rsidRPr="00781112">
        <w:rPr>
          <w:rFonts w:cs="Arial"/>
          <w:color w:val="000000" w:themeColor="text1"/>
          <w:szCs w:val="16"/>
        </w:rPr>
        <w:br/>
        <w:t xml:space="preserve">(b) students who improved but not sufficiently to move nearer to age-equivalent functioning, i.e., exhibited a total item gain but did not exhibit an increase in age-equivalent functioning, </w:t>
      </w:r>
      <w:r w:rsidRPr="00781112">
        <w:rPr>
          <w:rFonts w:cs="Arial"/>
          <w:color w:val="000000" w:themeColor="text1"/>
          <w:szCs w:val="16"/>
        </w:rPr>
        <w:br/>
        <w:t xml:space="preserve">(c) students who improved functioning and moved nearer to age-equivalent functioning but did not reach the level of same-aged peers, i.e., showed an increase in the percentage of age-equivalent functioning, but on less than 40% of items used to measure an outcome, </w:t>
      </w:r>
      <w:r w:rsidRPr="00781112">
        <w:rPr>
          <w:rFonts w:cs="Arial"/>
          <w:color w:val="000000" w:themeColor="text1"/>
          <w:szCs w:val="16"/>
        </w:rPr>
        <w:br/>
        <w:t xml:space="preserve">(d) students who improved functioning reaching levels comparable to same-aged peers, i.e., reached age-appropriate functioning on at least 40% of items used to measure an outcome, and </w:t>
      </w:r>
      <w:r w:rsidRPr="00781112">
        <w:rPr>
          <w:rFonts w:cs="Arial"/>
          <w:color w:val="000000" w:themeColor="text1"/>
          <w:szCs w:val="16"/>
        </w:rPr>
        <w:br/>
        <w:t>(e) students who maintained functioning comparable to same-aged peers, i.e., continued to function at age-level on 40% or more items for an outcome at both entry and exit from preschool.</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Kentucky system for measuring progress on child outcomes is based on recommended practice for continuous assessment of all students aged birth to five years as defined by the Kentucky Early Childhood Standards (https://kyecac.ky.gov/professionals/Pages/Early-Childhood-Standards.aspx) and Kentucky Early Childhood Continuous Assessment Guide (https://www.kedsonline.org/Libraries/General/The_Kentucky_Early_Childhood_Continuous_Assessment_Guide.sflb.ashx). There are currently five assessment instruments approved for monitoring student progress in Kentucky:</w:t>
      </w:r>
      <w:r w:rsidRPr="00781112">
        <w:rPr>
          <w:rFonts w:cs="Arial"/>
          <w:color w:val="000000" w:themeColor="text1"/>
          <w:szCs w:val="16"/>
        </w:rPr>
        <w:br/>
      </w:r>
      <w:r w:rsidRPr="00781112">
        <w:rPr>
          <w:rFonts w:cs="Arial"/>
          <w:color w:val="000000" w:themeColor="text1"/>
          <w:szCs w:val="16"/>
        </w:rPr>
        <w:br/>
        <w:t xml:space="preserve"> --Assessment, Evaluation and Programming System for Infants and Students, Second Edition (AEPS; Bricker et al., 2002)</w:t>
      </w:r>
      <w:r w:rsidRPr="00781112">
        <w:rPr>
          <w:rFonts w:cs="Arial"/>
          <w:color w:val="000000" w:themeColor="text1"/>
          <w:szCs w:val="16"/>
        </w:rPr>
        <w:br/>
        <w:t xml:space="preserve"> --Carolina Curriculum for Preschoolers with Special Needs (CCPSN; Johnson-Martin et al., 2004); and Carolina Curriculum for Infants and Toddlers with Special Needs, Third Edition (CCITSN, Johnson-Martin et al., 2004) </w:t>
      </w:r>
      <w:r w:rsidRPr="00781112">
        <w:rPr>
          <w:rFonts w:cs="Arial"/>
          <w:color w:val="000000" w:themeColor="text1"/>
          <w:szCs w:val="16"/>
        </w:rPr>
        <w:br/>
        <w:t>--COR Advantage (HighScope, 2013)</w:t>
      </w:r>
      <w:r w:rsidRPr="00781112">
        <w:rPr>
          <w:rFonts w:cs="Arial"/>
          <w:color w:val="000000" w:themeColor="text1"/>
          <w:szCs w:val="16"/>
        </w:rPr>
        <w:br/>
        <w:t>--Teaching Strategies GOLD ™ (GOLD; Heroman, Burts, Berke, &amp; Bickart, 2010)</w:t>
      </w:r>
      <w:r w:rsidRPr="00781112">
        <w:rPr>
          <w:rFonts w:cs="Arial"/>
          <w:color w:val="000000" w:themeColor="text1"/>
          <w:szCs w:val="16"/>
        </w:rPr>
        <w:br/>
        <w:t>--Work Sampling System 5th Edition (WSS; Dichtelmiller, Jablon, Marsden, &amp; Meisels, 2013) and Work Sampling for Head Start 5th Edition (WSHS; Dichtelmiller, Jablon, Marsden, &amp; Meisels, 2014)</w:t>
      </w:r>
      <w:r w:rsidRPr="00781112">
        <w:rPr>
          <w:rFonts w:cs="Arial"/>
          <w:color w:val="000000" w:themeColor="text1"/>
          <w:szCs w:val="16"/>
        </w:rPr>
        <w:br/>
        <w:t>Recommended assessment tools for the state were selected based on technical adequacy, the inclusion of functional goals and multiple domains, utility for diverse populations, multiple modalities for collecting data, involvement of families, current use in the field, and ease of administration (KDE, 2004). LEAs were instructed to assess students within six weeks of entering preschool and each successive spring and fall during which the students were enrolled. If students enrolled after the initial data point, teachers were instructed to assess students within four weeks of the student’s start date.</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While the preschool outcome data for Kentucky has remained stable for several reporting cycles, the data for FFY 2020 was negatively impacted by COVID-19. The assessment window was six weeks long at the beginning of the 2020-2021 school year. During this six-week window, students were quarantined and LEAs provided remote instruction during this window due to health concerns related to COVID-19. </w:t>
      </w:r>
      <w:r w:rsidRPr="00781112">
        <w:rPr>
          <w:rFonts w:cs="Arial"/>
          <w:color w:val="000000" w:themeColor="text1"/>
          <w:szCs w:val="16"/>
        </w:rPr>
        <w:br/>
      </w:r>
      <w:r w:rsidRPr="00781112">
        <w:rPr>
          <w:rFonts w:cs="Arial"/>
          <w:color w:val="000000" w:themeColor="text1"/>
          <w:szCs w:val="16"/>
        </w:rPr>
        <w:br/>
        <w:t xml:space="preserve">LEAs can choose from one of five state approved assessment providers and enter into contracts with the publisher. Of the five approved assessments in Kentucky, only one (Teaching Strategies Gold) allowed for remote delivery of the assessment. When students were quarantined or the LEA provided online instruction, LEAs who utilized other assessments were not able to deliver the assessment remotely. </w:t>
      </w:r>
      <w:r w:rsidRPr="00781112">
        <w:rPr>
          <w:rFonts w:cs="Arial"/>
          <w:color w:val="000000" w:themeColor="text1"/>
          <w:szCs w:val="16"/>
        </w:rPr>
        <w:br/>
      </w:r>
      <w:r w:rsidRPr="00781112">
        <w:rPr>
          <w:rFonts w:cs="Arial"/>
          <w:color w:val="000000" w:themeColor="text1"/>
          <w:szCs w:val="16"/>
        </w:rPr>
        <w:br/>
        <w:t>To mitigate the impact on the data, the KDE provided information to LEAs and regions on which assessment had online delivery options. Additionally, the KDE encouraged the use of parental input, online-based assessment, and  previous information to inform the assessment results. The KDE reminded LEAs that the assessment was required and that students could not opt-out. LEAs worked with families to provide creative in-person assessment options, which allowed for delivery of the assessment while still responding to health requirements.</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lastRenderedPageBreak/>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t>
      </w:r>
      <w:r w:rsidRPr="00781112">
        <w:rPr>
          <w:rFonts w:cs="Arial"/>
          <w:color w:val="000000" w:themeColor="text1"/>
          <w:szCs w:val="16"/>
        </w:rPr>
        <w:lastRenderedPageBreak/>
        <w:t xml:space="preserve">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2013</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80.45%</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80.65%</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80.75%</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80.85%</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80.95%</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80.95%</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86.76%</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87.88%</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88.94%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89.90%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90.04%</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80.45%</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80.45%</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81.89%</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83.34%</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86.23%</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92.00%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6,956</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7,807</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90.04%</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80.45%</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89.10%</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At the beginning of the six-month survey window, the KDE sends an email to all DoSEs within the state as part of the process to obtain data for Indicator 8. The email includes a sample letter to parents explaining the purpose of the survey, as well as a link to an electronic survey. The email requests the DoSE share the survey link and the letter to all parents whose children had IEPs within the LEA.</w:t>
      </w:r>
      <w:r w:rsidRPr="00781112">
        <w:rPr>
          <w:rFonts w:cs="Arial"/>
          <w:color w:val="000000" w:themeColor="text1"/>
          <w:szCs w:val="16"/>
        </w:rPr>
        <w:br/>
      </w:r>
      <w:r w:rsidRPr="00781112">
        <w:rPr>
          <w:rFonts w:cs="Arial"/>
          <w:color w:val="000000" w:themeColor="text1"/>
          <w:szCs w:val="16"/>
        </w:rPr>
        <w:br/>
        <w:t xml:space="preserve">Sample letters to parents are made available in English, Spanish and Arabic. The survey is also available in English, Spanish and Arabic. </w:t>
      </w:r>
      <w:r w:rsidRPr="00781112">
        <w:rPr>
          <w:rFonts w:cs="Arial"/>
          <w:color w:val="000000" w:themeColor="text1"/>
          <w:szCs w:val="16"/>
        </w:rPr>
        <w:br/>
      </w:r>
      <w:r w:rsidRPr="00781112">
        <w:rPr>
          <w:rFonts w:cs="Arial"/>
          <w:color w:val="000000" w:themeColor="text1"/>
          <w:szCs w:val="16"/>
        </w:rPr>
        <w:br/>
        <w:t xml:space="preserve">Additionally, KDE staff share information and related links with various Family-School partnership agencies within the survey window.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survey is intended for parents of both preschool and school-age students. While the results can be broken down between these two groups, they are not separate surveys and results are automatically combined.</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103,808</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7.52%</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6.59%</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7.52%</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state has identified staff to work with parent groups to increase representativeness. The KDE's family engagement consultant engages in regular meetings with various parent groups, including but not limited to the Kentucky Collaborative for Families and Schools (KYCFS), the SAPEC, and the KY-SPIN. Both KY-SPIN and KYCFS regularly hold events to train, support and inform parents. The KDE will continue to partner with these groups to provide links to the survey and emphasize the importance and impact of the data to encourage participation. In addition, the KDE will review data on a routine basis throughout the survey window, monitoring response rate by LEA and region. The KDE will provide technical assistance to LEAs accordingly. This will include strategies that relate to the specific barriers identified by underrepresented regions/LEAs of the state.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KDE’s analysis of the response rate data demonstrated discrepancies in certain areas/regions of the state. Throughout the survey, the KDE contacted both LEA’s and Special Education Regional Cooperatives to provide technical assistance to those LEAs. In addition, the KDE contacted the regional special education cooperatives where trends of underrepresentation were identified to further understand potential barriers to survey dissemination and completion. The KDE collected feedback and anecdotal data from underrepresented regions/LEAs and intends to utilize this data in the development of guidance to support an increased response rate in future surveys.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In terms of representativeness, the following subgroups were over or underrepresented by more than 3% from population figures (a “-“ sign indicates underrepresentation): White (5%), Hispanic (-4%), Mild Mental Disability (-6%), Specific Learning Disability (-4%), Autism (8%), Multiple Disabilities (4%), Other Health Impairment (-9%), the Southeast/South-Central Region (-7%), the Western Kentucky Region (4%) and the Greater Louisville Region (4%).</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The KDE has collected feedback and anecdotal data from underrepresented regions/LEAs, as well as families, and intends to utilize this data in the development of guidance to support increased response rate and representativeness in future surveys. The KDE will disseminate this guidance to LEAs. This guidance will highlight the importance of the survey, as well as techniques for gathering parent responses. This will include strategies that relate to the specific barriers identified by underrepresented regions/LEAs of the state.</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In accordance with guidelines from the National Post School Outcomes Center, the state considers each sub-group to be representative of the population if its percentage of respondents is within +/- 3% of the percentage of the population.</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The survey was initiated during COVID-19. This impacted the comparability of these data. To mitigate the impact of COVID-19, the KDE extended the deadline for completion of the survey and communicated more frequently with LEAs. Additionally, the KDE regularly reviewed response rates and communicated with LEAs with low response rates.</w:t>
      </w:r>
    </w:p>
    <w:p w14:paraId="1CDDE440" w14:textId="050C9555" w:rsidR="000A2C83" w:rsidRPr="00781112" w:rsidRDefault="00752BAF" w:rsidP="008645AD">
      <w:pPr>
        <w:pStyle w:val="Heading2"/>
      </w:pPr>
      <w:r w:rsidRPr="00781112">
        <w:lastRenderedPageBreak/>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The state has identified staff to work with parent groups to increase representativeness. The KDE's family engagement consultant engages in regular meetings with a variety of parent groups, including but not limited to the KYCFS, the SAPEC (formerly known as the State Advisory Council for Exceptional Children), and the KY-SPIN. Both KY-SPIN and KYCFS regularly hold events to train, support, and inform parents. The KDE engaged with these groups to provide links to the survey and emphasize the importance and impact of the data to encourage participation.</w:t>
      </w:r>
      <w:r w:rsidRPr="00781112">
        <w:rPr>
          <w:rFonts w:cs="Arial"/>
          <w:color w:val="000000" w:themeColor="text1"/>
          <w:szCs w:val="16"/>
        </w:rPr>
        <w:br/>
      </w:r>
      <w:r w:rsidRPr="00781112">
        <w:rPr>
          <w:rFonts w:cs="Arial"/>
          <w:color w:val="000000" w:themeColor="text1"/>
          <w:szCs w:val="16"/>
        </w:rPr>
        <w:br/>
        <w:t>In terms of representativeness, the following subgroups were over or underrepresented by more than 3% from population figures (a “-“ sign indicates underrepresentation): White (5%), Hispanic (-4%), Mild Mental Disability (-6%), Specific Learning Disability (-4%), Autism (8%), Multiple Disabilities (4%), Other Health Impairment (-9%), the Southeast/South-Central Region (-7%), the Western Kentucky Region (4%) and the Greater Louisville Region (4%).</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1.17%</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1.14%</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0.57%</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4</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171</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1.17%</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 xml:space="preserve">The KDE used the “risk ratio” methodology for both Indicators 9 and 10 to determine mathematically if disproportionate representation based on race/ethnicity exists in any of its LEAs. For Indicator 9, KDE applied this methodology to determine if disproportionate representation by race/ethnicity existed when identifying students for special education services. In applying this methodology, the KDE reviewed each LEA’s data to make sure for each race/ethnicity examined the following conditions existed: </w:t>
      </w:r>
      <w:r w:rsidRPr="00781112">
        <w:rPr>
          <w:rFonts w:cs="Arial"/>
          <w:color w:val="000000" w:themeColor="text1"/>
          <w:szCs w:val="16"/>
        </w:rPr>
        <w:br/>
      </w:r>
      <w:r w:rsidRPr="00781112">
        <w:rPr>
          <w:rFonts w:cs="Arial"/>
          <w:color w:val="000000" w:themeColor="text1"/>
          <w:szCs w:val="16"/>
        </w:rPr>
        <w:br/>
        <w:t xml:space="preserve">--There were at least 50 students in the racial or ethnic group examined who were enrolled in the LEA. (This is often referred to as the n-size and served as the denominator in determining risk.) </w:t>
      </w:r>
      <w:r w:rsidRPr="00781112">
        <w:rPr>
          <w:rFonts w:cs="Arial"/>
          <w:color w:val="000000" w:themeColor="text1"/>
          <w:szCs w:val="16"/>
        </w:rPr>
        <w:br/>
        <w:t xml:space="preserve">--There were at least 10 students in the racial or ethnic group being examined who were identified as eligible for special education services. (This is often referred to as the cell size and served as the numerator in determining risk.) </w:t>
      </w:r>
      <w:r w:rsidRPr="00781112">
        <w:rPr>
          <w:rFonts w:cs="Arial"/>
          <w:color w:val="000000" w:themeColor="text1"/>
          <w:szCs w:val="16"/>
        </w:rPr>
        <w:br/>
        <w:t xml:space="preserve">--The risk for a student in a particular racial or ethnic group was compared to the risk of all other students not of that same racial or ethnic group who were identified for the same outcome. For example, the risk of a white student enrolled in the LEA being identified for special education services was compared to the risk of all non-white students enrolled in the LEA who were identified. The “risk ratio” is the comparison of these two risks. </w:t>
      </w:r>
      <w:r w:rsidRPr="00781112">
        <w:rPr>
          <w:rFonts w:cs="Arial"/>
          <w:color w:val="000000" w:themeColor="text1"/>
          <w:szCs w:val="16"/>
        </w:rPr>
        <w:br/>
        <w:t xml:space="preserve">--The risk ratio or comparison of the two risks indicated that students in the racial or ethnic group examined were at least two times as likely to be identified for the same outcome than students who were not of that same racial or ethnic group. </w:t>
      </w:r>
      <w:r w:rsidRPr="00781112">
        <w:rPr>
          <w:rFonts w:cs="Arial"/>
          <w:color w:val="000000" w:themeColor="text1"/>
          <w:szCs w:val="16"/>
        </w:rPr>
        <w:br/>
      </w:r>
      <w:r w:rsidRPr="00781112">
        <w:rPr>
          <w:rFonts w:cs="Arial"/>
          <w:color w:val="000000" w:themeColor="text1"/>
          <w:szCs w:val="16"/>
        </w:rPr>
        <w:br/>
        <w:t xml:space="preserve">All LEAs met the n-size for this indicator. </w:t>
      </w:r>
      <w:r w:rsidRPr="00781112">
        <w:rPr>
          <w:rFonts w:cs="Arial"/>
          <w:color w:val="000000" w:themeColor="text1"/>
          <w:szCs w:val="16"/>
        </w:rPr>
        <w:br/>
      </w:r>
      <w:r w:rsidRPr="00781112">
        <w:rPr>
          <w:rFonts w:cs="Arial"/>
          <w:color w:val="000000" w:themeColor="text1"/>
          <w:szCs w:val="16"/>
        </w:rPr>
        <w:br/>
        <w:t xml:space="preserve">Data were examined by the risk or rate of identification of students individually for each of the seven Federal racial or ethnic groups as compared to the risk or rate of identification of students in all other racial or ethnic categories (i.e., rate of white students compared to the rate of non-white students, rate of Hispanic students to the rate of non-Hispanic students, etc.). </w:t>
      </w:r>
      <w:r w:rsidRPr="00781112">
        <w:rPr>
          <w:rFonts w:cs="Arial"/>
          <w:color w:val="000000" w:themeColor="text1"/>
          <w:szCs w:val="16"/>
        </w:rPr>
        <w:br/>
      </w:r>
      <w:r w:rsidRPr="00781112">
        <w:rPr>
          <w:rFonts w:cs="Arial"/>
          <w:color w:val="000000" w:themeColor="text1"/>
          <w:szCs w:val="16"/>
        </w:rPr>
        <w:br/>
        <w:t xml:space="preserve">When considering what “risk” means under Indicator 9 the KDE asked, “What percentage of an LEA’s students falling within a specific racial and ethnic category were determined eligible for special education services?” </w:t>
      </w:r>
      <w:r w:rsidRPr="00781112">
        <w:rPr>
          <w:rFonts w:cs="Arial"/>
          <w:color w:val="000000" w:themeColor="text1"/>
          <w:szCs w:val="16"/>
        </w:rPr>
        <w:br/>
      </w:r>
      <w:r w:rsidRPr="00781112">
        <w:rPr>
          <w:rFonts w:cs="Arial"/>
          <w:color w:val="000000" w:themeColor="text1"/>
          <w:szCs w:val="16"/>
        </w:rPr>
        <w:br/>
        <w:t xml:space="preserve">The percentage was determined by taking the number of students in specific racial and ethnic groups identified as eligible under the IDEA and dividing it by the total number of enrolled students from that racial and ethnic group. These data come from the LEA’s December 1 Child Count under the IDEA, the enrollment data for all students was the data as reported on the LEA’s annual Growth Factor Report. </w:t>
      </w:r>
      <w:r w:rsidRPr="00781112">
        <w:rPr>
          <w:rFonts w:cs="Arial"/>
          <w:color w:val="000000" w:themeColor="text1"/>
          <w:szCs w:val="16"/>
        </w:rPr>
        <w:br/>
      </w:r>
      <w:r w:rsidRPr="00781112">
        <w:rPr>
          <w:rFonts w:cs="Arial"/>
          <w:color w:val="000000" w:themeColor="text1"/>
          <w:szCs w:val="16"/>
        </w:rPr>
        <w:br/>
        <w:t xml:space="preserve">Below is an example of calculating risk for Indicator 9: </w:t>
      </w:r>
      <w:r w:rsidRPr="00781112">
        <w:rPr>
          <w:rFonts w:cs="Arial"/>
          <w:color w:val="000000" w:themeColor="text1"/>
          <w:szCs w:val="16"/>
        </w:rPr>
        <w:br/>
      </w:r>
      <w:r w:rsidRPr="00781112">
        <w:rPr>
          <w:rFonts w:cs="Arial"/>
          <w:color w:val="000000" w:themeColor="text1"/>
          <w:szCs w:val="16"/>
        </w:rPr>
        <w:br/>
        <w:t xml:space="preserve">--60 Asian students are reported on the Annual IDEA Child Count in the Blue County LEA. </w:t>
      </w:r>
      <w:r w:rsidRPr="00781112">
        <w:rPr>
          <w:rFonts w:cs="Arial"/>
          <w:color w:val="000000" w:themeColor="text1"/>
          <w:szCs w:val="16"/>
        </w:rPr>
        <w:br/>
        <w:t xml:space="preserve">--A total of 270 Asian students are enrolled in the Blue County LEA. </w:t>
      </w:r>
      <w:r w:rsidRPr="00781112">
        <w:rPr>
          <w:rFonts w:cs="Arial"/>
          <w:color w:val="000000" w:themeColor="text1"/>
          <w:szCs w:val="16"/>
        </w:rPr>
        <w:br/>
        <w:t xml:space="preserve">--The risk of being a student receiving special education services in the Blue County LEA for Asian students is 22.2%. (60 Asian special education students divided by 270 Asian students enrolled in the LEA, multiplied by 100 to obtain a percentage of 22.2%.) </w:t>
      </w:r>
      <w:r w:rsidRPr="00781112">
        <w:rPr>
          <w:rFonts w:cs="Arial"/>
          <w:color w:val="000000" w:themeColor="text1"/>
          <w:szCs w:val="16"/>
        </w:rPr>
        <w:br/>
      </w:r>
      <w:r w:rsidRPr="00781112">
        <w:rPr>
          <w:rFonts w:cs="Arial"/>
          <w:color w:val="000000" w:themeColor="text1"/>
          <w:szCs w:val="16"/>
        </w:rPr>
        <w:br/>
        <w:t xml:space="preserve">Risk ratio takes the inquiry one step further. For Indicator 9, the risk ratio was determined by comparing the risk of students from the racial and ethnic group in question to the risk of all other students enrolled in the LEA. Thus, risk ratio answers the question, “What is the ratio of the risk for a student in a specific racial or ethnic group of being identified for special education services when compared to the risk for all other students in the LEA to be identified for special education?” </w:t>
      </w:r>
      <w:r w:rsidRPr="00781112">
        <w:rPr>
          <w:rFonts w:cs="Arial"/>
          <w:color w:val="000000" w:themeColor="text1"/>
          <w:szCs w:val="16"/>
        </w:rPr>
        <w:br/>
      </w:r>
      <w:r w:rsidRPr="00781112">
        <w:rPr>
          <w:rFonts w:cs="Arial"/>
          <w:color w:val="000000" w:themeColor="text1"/>
          <w:szCs w:val="16"/>
        </w:rPr>
        <w:br/>
        <w:t xml:space="preserve">Below is an example of risk ratio calculations for Indicator 9: </w:t>
      </w:r>
      <w:r w:rsidRPr="00781112">
        <w:rPr>
          <w:rFonts w:cs="Arial"/>
          <w:color w:val="000000" w:themeColor="text1"/>
          <w:szCs w:val="16"/>
        </w:rPr>
        <w:br/>
      </w:r>
      <w:r w:rsidRPr="00781112">
        <w:rPr>
          <w:rFonts w:cs="Arial"/>
          <w:color w:val="000000" w:themeColor="text1"/>
          <w:szCs w:val="16"/>
        </w:rPr>
        <w:br/>
        <w:t xml:space="preserve">--There are 6,000 non-Asian students enrolled in the LEA. Of that, 600 non-Asian students receive special education and related services. The risk of being a special education student for all students who are non-Asian is 10.0%. [600 divided by 6,000 equals 0.10, which is multiplied by 100 to obtain a percentage of 10.0%]. </w:t>
      </w:r>
      <w:r w:rsidRPr="00781112">
        <w:rPr>
          <w:rFonts w:cs="Arial"/>
          <w:color w:val="000000" w:themeColor="text1"/>
          <w:szCs w:val="16"/>
        </w:rPr>
        <w:br/>
        <w:t xml:space="preserve">--To determine the “risk ratio”, divide the risk of Asian students identified as eligible for special education (22.2%) by the risk of all other students identified as eligible for special education (10.0%). 22.2% /10% = 2.22. </w:t>
      </w:r>
      <w:r w:rsidRPr="00781112">
        <w:rPr>
          <w:rFonts w:cs="Arial"/>
          <w:color w:val="000000" w:themeColor="text1"/>
          <w:szCs w:val="16"/>
        </w:rPr>
        <w:br/>
        <w:t xml:space="preserve">--The risk ratio for students who are Asian is 2.22. This means Asian students are 2.22 times more likely than all other non-Asian students to be identified as eligible for special education. Because the LEA has a risk ratio of 2.22 for Asian students, the KDE must examine data from the LEA specific to the identification of students for special education to determine if the disproportionality is the result of inappropriate policies, procedures, or practices. </w:t>
      </w:r>
      <w:r w:rsidRPr="00781112">
        <w:rPr>
          <w:rFonts w:cs="Arial"/>
          <w:color w:val="000000" w:themeColor="text1"/>
          <w:szCs w:val="16"/>
        </w:rPr>
        <w:br/>
        <w:t xml:space="preserve">If the KDE determines that the disproportionate identification of Asian students is due to inappropriate policies, procedures, or practices, the LEA is identified under Indicator 9 as having disproportionate representation of Asian students in special education. </w:t>
      </w:r>
      <w:r w:rsidRPr="00781112">
        <w:rPr>
          <w:rFonts w:cs="Arial"/>
          <w:color w:val="000000" w:themeColor="text1"/>
          <w:szCs w:val="16"/>
        </w:rPr>
        <w:br/>
      </w:r>
      <w:r w:rsidRPr="00781112">
        <w:rPr>
          <w:rFonts w:cs="Arial"/>
          <w:color w:val="000000" w:themeColor="text1"/>
          <w:szCs w:val="16"/>
        </w:rPr>
        <w:lastRenderedPageBreak/>
        <w:br/>
        <w:t>LEAs that have a risk ratio, as calculated above, that is 2.0 or greater, and the KDE determines the disproportionality to be the result of inappropriate policies, procedures, or practices that have disproportionate representation and are cited for noncompliance for Indicator 9.</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The KDE analyzed LEA Child Count data located in the statewide student information system known as IC. </w:t>
      </w:r>
      <w:r w:rsidRPr="00781112">
        <w:rPr>
          <w:rFonts w:cs="Arial"/>
          <w:color w:val="000000" w:themeColor="text1"/>
          <w:szCs w:val="16"/>
        </w:rPr>
        <w:br/>
        <w:t xml:space="preserve">Consultants in the KDE contacted the two LEAs identified as having a disproportionate representation in the rates of racial/ethnic groups. Following notification, the KDE conducted a desk audit which aligned with the requirements of 34 C.F.R. §§ 300.111, 300.201, and 300.301 through 300.311. The KDE required these two LEAs to provide additional data and information regarding their policies, procedures, and practices. KDE consultants completed student-level record reviews for a sample of students from each LEA. The KDE reviewed due process files from the 2020-2021 school year, including evaluations, Response to Intervention (RTI) progress data, conference summaries, and eligibility determinations. The KDE also reviewed the policies and procedures of the LEAs. </w:t>
      </w:r>
      <w:r w:rsidRPr="00781112">
        <w:rPr>
          <w:rFonts w:cs="Arial"/>
          <w:color w:val="000000" w:themeColor="text1"/>
          <w:szCs w:val="16"/>
        </w:rPr>
        <w:br/>
      </w:r>
      <w:r w:rsidRPr="00781112">
        <w:rPr>
          <w:rFonts w:cs="Arial"/>
          <w:color w:val="000000" w:themeColor="text1"/>
          <w:szCs w:val="16"/>
        </w:rPr>
        <w:br/>
        <w:t>Two LEAs were identified by the KDE under Indicator 9 as having disproportionate representation due to inappropriate policies, procedures, or practices.</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For this indicator, there are 171 LEAs. This is because the KSB and the KSD were not included in the denominator. These two schools were excluded because there is no comparison group for these schools, as all students attending the KSB and the KSD are students with disabilities. </w:t>
      </w:r>
      <w:r w:rsidRPr="00781112">
        <w:rPr>
          <w:rFonts w:cs="Arial"/>
          <w:color w:val="000000" w:themeColor="text1"/>
          <w:szCs w:val="16"/>
        </w:rPr>
        <w:br/>
      </w:r>
      <w:r w:rsidRPr="00781112">
        <w:rPr>
          <w:rFonts w:cs="Arial"/>
          <w:color w:val="000000" w:themeColor="text1"/>
          <w:szCs w:val="16"/>
        </w:rPr>
        <w:br/>
        <w:t>Baseline was set to FFY 2020 due to the addition of five-year-old students in kindergarten to the calculation.</w:t>
      </w:r>
      <w:r w:rsidRPr="00781112">
        <w:rPr>
          <w:rFonts w:cs="Arial"/>
          <w:color w:val="000000" w:themeColor="text1"/>
          <w:szCs w:val="16"/>
        </w:rPr>
        <w:br/>
      </w:r>
      <w:r w:rsidRPr="00781112">
        <w:rPr>
          <w:rFonts w:cs="Arial"/>
          <w:color w:val="000000" w:themeColor="text1"/>
          <w:szCs w:val="16"/>
        </w:rPr>
        <w:br/>
        <w:t>The KDE has analyzed data and has not identified a known COVID-19 impact on the data for this indicator. However, the KDE will continue to review and analyze data to determine if an impact directly related to COVID-19 is present.</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the baseline.</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two (2) districts identified in FFY 2020 with disproportionate representation of racial and ethnic groups in special education and related services that was the result of inappropriate identification is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3.51%</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2.29%</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2.86%</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7.43%</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4.00%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5.23%</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6</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171</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5.23%</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3.51%</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KDE used the “risk ratio” methodology for both indicators 9 and 10 to determine mathematically if disproportionate representation based on race/ethnicity exists in any of its LEAs. For indicator 10, the KDE applied this methodology to determine if disproportionate representation by race/ethnicity existed when identifying students in any of six specific disability categories. In applying this methodology, the KDE reviewed each LEA’s data to make sure for each race/ethnicity examined the following conditions existed: </w:t>
      </w:r>
      <w:r w:rsidRPr="00781112">
        <w:rPr>
          <w:rFonts w:cs="Arial"/>
          <w:color w:val="000000" w:themeColor="text1"/>
          <w:szCs w:val="16"/>
        </w:rPr>
        <w:br/>
      </w:r>
      <w:r w:rsidRPr="00781112">
        <w:rPr>
          <w:rFonts w:cs="Arial"/>
          <w:color w:val="000000" w:themeColor="text1"/>
          <w:szCs w:val="16"/>
        </w:rPr>
        <w:br/>
        <w:t xml:space="preserve">--There were at least 50 students in the racial or ethnic group examined who were enrolled in the LEA. (This is often referred to as the n-size and served as the denominator in determining risk.) </w:t>
      </w:r>
      <w:r w:rsidRPr="00781112">
        <w:rPr>
          <w:rFonts w:cs="Arial"/>
          <w:color w:val="000000" w:themeColor="text1"/>
          <w:szCs w:val="16"/>
        </w:rPr>
        <w:br/>
        <w:t xml:space="preserve">--There were at least 10 students in the racial or ethnic group being examined who were identified as eligible in the category being examined. Indicator 10 refers to students identified in each of the six specific disability categories. (This is often referred to as the cell size and serves as the numerator in determining risk.) </w:t>
      </w:r>
      <w:r w:rsidRPr="00781112">
        <w:rPr>
          <w:rFonts w:cs="Arial"/>
          <w:color w:val="000000" w:themeColor="text1"/>
          <w:szCs w:val="16"/>
        </w:rPr>
        <w:br/>
        <w:t xml:space="preserve">--The risk for a student in a particular racial or ethnic group was compared to the risk of all other students, not of that same racial or ethnic group who were identified for the same outcome. For example, the risk of a white student enrolled in the LEA who were identified for one of the six disability categories was compared to the risk of all non-white students enrolled in the LEA who were identified for that same disability. The “risk ratio” is the comparison of these two risks. </w:t>
      </w:r>
      <w:r w:rsidRPr="00781112">
        <w:rPr>
          <w:rFonts w:cs="Arial"/>
          <w:color w:val="000000" w:themeColor="text1"/>
          <w:szCs w:val="16"/>
        </w:rPr>
        <w:br/>
        <w:t xml:space="preserve">--The risk ratio or comparison of the two risks indicated that students in the racial or ethnic group examined were at least two times as likely to be identified for the same outcome than students who were not of that same racial or ethnic group. </w:t>
      </w:r>
      <w:r w:rsidRPr="00781112">
        <w:rPr>
          <w:rFonts w:cs="Arial"/>
          <w:color w:val="000000" w:themeColor="text1"/>
          <w:szCs w:val="16"/>
        </w:rPr>
        <w:br/>
      </w:r>
      <w:r w:rsidRPr="00781112">
        <w:rPr>
          <w:rFonts w:cs="Arial"/>
          <w:color w:val="000000" w:themeColor="text1"/>
          <w:szCs w:val="16"/>
        </w:rPr>
        <w:br/>
        <w:t xml:space="preserve">All LEAs met the n-size for this indicator. </w:t>
      </w:r>
      <w:r w:rsidRPr="00781112">
        <w:rPr>
          <w:rFonts w:cs="Arial"/>
          <w:color w:val="000000" w:themeColor="text1"/>
          <w:szCs w:val="16"/>
        </w:rPr>
        <w:br/>
      </w:r>
      <w:r w:rsidRPr="00781112">
        <w:rPr>
          <w:rFonts w:cs="Arial"/>
          <w:color w:val="000000" w:themeColor="text1"/>
          <w:szCs w:val="16"/>
        </w:rPr>
        <w:br/>
        <w:t xml:space="preserve">Data were examined by the risk or rate of identification of students individually for each of the seven Federal racial or ethnic groups as compared to the risk or rate of identification of students in all other racial or ethnic categories (i.e., rate of white students compared to the rate of non-white students, rate of Hispanic students to the rate of non-Hispanic students, etc.). </w:t>
      </w:r>
      <w:r w:rsidRPr="00781112">
        <w:rPr>
          <w:rFonts w:cs="Arial"/>
          <w:color w:val="000000" w:themeColor="text1"/>
          <w:szCs w:val="16"/>
        </w:rPr>
        <w:br/>
      </w:r>
      <w:r w:rsidRPr="00781112">
        <w:rPr>
          <w:rFonts w:cs="Arial"/>
          <w:color w:val="000000" w:themeColor="text1"/>
          <w:szCs w:val="16"/>
        </w:rPr>
        <w:br/>
        <w:t xml:space="preserve">When considering what “risk” means under indicator 10 the KDE asked, “What percentage of an LEA’s students falling within a specific racial and ethnic category were determined eligible for one of the specific disability categories examined?” </w:t>
      </w:r>
      <w:r w:rsidRPr="00781112">
        <w:rPr>
          <w:rFonts w:cs="Arial"/>
          <w:color w:val="000000" w:themeColor="text1"/>
          <w:szCs w:val="16"/>
        </w:rPr>
        <w:br/>
      </w:r>
      <w:r w:rsidRPr="00781112">
        <w:rPr>
          <w:rFonts w:cs="Arial"/>
          <w:color w:val="000000" w:themeColor="text1"/>
          <w:szCs w:val="16"/>
        </w:rPr>
        <w:br/>
        <w:t xml:space="preserve">The percentage was determined by taking the number of students in specific racial and ethnic groups identified as eligible under the IDEA and dividing it by the total number of enrolled students from that racial and ethnic group. These data come from the LEA’s December 1 Child Count under the IDEA. The enrollment data for all students was the data reported on the LEA’s annual Growth Factor Report. </w:t>
      </w:r>
      <w:r w:rsidRPr="00781112">
        <w:rPr>
          <w:rFonts w:cs="Arial"/>
          <w:color w:val="000000" w:themeColor="text1"/>
          <w:szCs w:val="16"/>
        </w:rPr>
        <w:br/>
      </w:r>
      <w:r w:rsidRPr="00781112">
        <w:rPr>
          <w:rFonts w:cs="Arial"/>
          <w:color w:val="000000" w:themeColor="text1"/>
          <w:szCs w:val="16"/>
        </w:rPr>
        <w:br/>
        <w:t xml:space="preserve">Below is an example of calculating risk for indicator 10: </w:t>
      </w:r>
      <w:r w:rsidRPr="00781112">
        <w:rPr>
          <w:rFonts w:cs="Arial"/>
          <w:color w:val="000000" w:themeColor="text1"/>
          <w:szCs w:val="16"/>
        </w:rPr>
        <w:br/>
      </w:r>
      <w:r w:rsidRPr="00781112">
        <w:rPr>
          <w:rFonts w:cs="Arial"/>
          <w:color w:val="000000" w:themeColor="text1"/>
          <w:szCs w:val="16"/>
        </w:rPr>
        <w:br/>
        <w:t xml:space="preserve">--60 Asian students are reported on the Annual IDEA Child Count in the Blue County LEA in the category of Other Health Impairment (OHI). </w:t>
      </w:r>
      <w:r w:rsidRPr="00781112">
        <w:rPr>
          <w:rFonts w:cs="Arial"/>
          <w:color w:val="000000" w:themeColor="text1"/>
          <w:szCs w:val="16"/>
        </w:rPr>
        <w:br/>
        <w:t xml:space="preserve">--A total of 270 Asian students are enrolled in the Blue County LEA. </w:t>
      </w:r>
      <w:r w:rsidRPr="00781112">
        <w:rPr>
          <w:rFonts w:cs="Arial"/>
          <w:color w:val="000000" w:themeColor="text1"/>
          <w:szCs w:val="16"/>
        </w:rPr>
        <w:br/>
        <w:t xml:space="preserve">--The risk of being a student receiving special education services under the eligibility category of OHI in the Blue County LEA for Asian students is 22.2%. (60 Asian special education students eligible under OHI divided by 270 Asian students enrolled in the LEA, multiplied by 100 to obtain a percentage of 22.2%.) </w:t>
      </w:r>
      <w:r w:rsidRPr="00781112">
        <w:rPr>
          <w:rFonts w:cs="Arial"/>
          <w:color w:val="000000" w:themeColor="text1"/>
          <w:szCs w:val="16"/>
        </w:rPr>
        <w:br/>
      </w:r>
      <w:r w:rsidRPr="00781112">
        <w:rPr>
          <w:rFonts w:cs="Arial"/>
          <w:color w:val="000000" w:themeColor="text1"/>
          <w:szCs w:val="16"/>
        </w:rPr>
        <w:br/>
        <w:t>Risk ratio takes the inquiry one step further. For indicator 10, the risk ratio was determined by comparing the risk of students from the racial and ethnic group in question to the risk of all other students enrolled in the LEA. Thus, risk ratio answers the question, “What is the ratio of the risk for a student in a specific racial or ethnic group of being identified for special education services under a specific disability category when compared to the risk for all other students in the LEA to be identified for special education under a specific disability category?”</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Below is an example of risk ratio calculations for indicator 10:</w:t>
      </w:r>
      <w:r w:rsidRPr="00781112">
        <w:rPr>
          <w:rFonts w:cs="Arial"/>
          <w:color w:val="000000" w:themeColor="text1"/>
          <w:szCs w:val="16"/>
        </w:rPr>
        <w:br/>
        <w:t xml:space="preserve"> </w:t>
      </w:r>
      <w:r w:rsidRPr="00781112">
        <w:rPr>
          <w:rFonts w:cs="Arial"/>
          <w:color w:val="000000" w:themeColor="text1"/>
          <w:szCs w:val="16"/>
        </w:rPr>
        <w:br/>
        <w:t xml:space="preserve">--There are 6,000 non-Asian students enrolled in the LEA. Of that, 600 non-Asian students receive special education and related services under the eligibility category of OHI. The risk of being a special education student under the eligibility category of OHI for all students who are non-Asian is 10.0%. [600 divided by 6,000 equals 0.10, which is multiplied by 100 to obtain a percentage of 10.0%]. </w:t>
      </w:r>
      <w:r w:rsidRPr="00781112">
        <w:rPr>
          <w:rFonts w:cs="Arial"/>
          <w:color w:val="000000" w:themeColor="text1"/>
          <w:szCs w:val="16"/>
        </w:rPr>
        <w:br/>
        <w:t xml:space="preserve">--To determine the “risk ratio”, divide the risk of Asian students identified as eligible for special education under the eligibility category of OHI (22.2%) by the risk of all other students identified as eligible for special education under the eligibility category of OHI (10.0%). 22.2% /10% = 2.22. </w:t>
      </w:r>
      <w:r w:rsidRPr="00781112">
        <w:rPr>
          <w:rFonts w:cs="Arial"/>
          <w:color w:val="000000" w:themeColor="text1"/>
          <w:szCs w:val="16"/>
        </w:rPr>
        <w:br/>
        <w:t xml:space="preserve">--The risk ratio for students who are Asian is 2.22. This means Asian students are 2.22 times more likely than all other non-Asian students to be identified as eligible for special education under the eligibility category of OHI. Because the LEA has a risk ratio of 2.22 for Asian students the KDE must examine data from the LEA specific to the identification of students for special education under the eligibility category of OHI to determine if the disproportionality is the result of inappropriate policies, procedures, or practices. If the KDE determines that the disproportionate identification of Asian students under the eligibility category of OHI is due to inappropriate policies, procedures, or practices, the LEA is identified under indicator 10 as having a disproportionate representation of Asian students in special education under the eligibility category of OHI. </w:t>
      </w:r>
      <w:r w:rsidRPr="00781112">
        <w:rPr>
          <w:rFonts w:cs="Arial"/>
          <w:color w:val="000000" w:themeColor="text1"/>
          <w:szCs w:val="16"/>
        </w:rPr>
        <w:br/>
      </w:r>
      <w:r w:rsidRPr="00781112">
        <w:rPr>
          <w:rFonts w:cs="Arial"/>
          <w:color w:val="000000" w:themeColor="text1"/>
          <w:szCs w:val="16"/>
        </w:rPr>
        <w:br/>
        <w:t>LEAs that have a risk ratio, as calculated above, that is 2.0 or greater, and the disproportionality is determined by the KDE to be the result of inappropriate policies, procedures, or practices that have disproportionate representation and are cited for noncompliance for indicator 10.</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Any LEA identified with disproportionate representation with a risk ratio of more than 2.0 was selected for a desk audit. The KDE randomly chose a sampling of student due process records and reviewed evaluation and eligibility determinations per racial and ethnic groups in a specific disability category for the LEA. Additionally, the KDE reviewed LEA policies, procedures and practices as part of the desk audit process. </w:t>
      </w:r>
      <w:r w:rsidRPr="00781112">
        <w:rPr>
          <w:rFonts w:cs="Arial"/>
          <w:color w:val="000000" w:themeColor="text1"/>
          <w:szCs w:val="16"/>
        </w:rPr>
        <w:br/>
      </w:r>
      <w:r w:rsidRPr="00781112">
        <w:rPr>
          <w:rFonts w:cs="Arial"/>
          <w:color w:val="000000" w:themeColor="text1"/>
          <w:szCs w:val="16"/>
        </w:rPr>
        <w:br/>
        <w:t xml:space="preserve">The KDE used its Compliance Record Review Document to determine if the students had been appropriately identified under the IDEA. When the KDE found that students had been inappropriately identified through the desk audit, the KDE cited the LEA as having disproportionate representation due to inappropriate identification within the specific racial or ethnic group. The KDE’s Compliance Record Review Document may be found on the Forms and Monitoring Documents webpage at https://education.ky.gov /specialed/excep/forms/Pages/Monitoring-Documents.aspx. </w:t>
      </w:r>
      <w:r w:rsidRPr="00781112">
        <w:rPr>
          <w:rFonts w:cs="Arial"/>
          <w:color w:val="000000" w:themeColor="text1"/>
          <w:szCs w:val="16"/>
        </w:rPr>
        <w:br/>
      </w:r>
      <w:r w:rsidRPr="00781112">
        <w:rPr>
          <w:rFonts w:cs="Arial"/>
          <w:color w:val="000000" w:themeColor="text1"/>
          <w:szCs w:val="16"/>
        </w:rPr>
        <w:br/>
        <w:t>Out of 171 LEAs, 25 LEAs were identified as having disproportionate representation and were reviewed. Based on the KDE's desk audit review findings, six LEAs were cited for disproportionate representation because of inappropriate identification.</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For this indicator, there are 171 LEAs. This is because the KSB and the KSD were not included in the denominator. These schools were excluded because there is no comparison group for these schools, as all students in these schools are students with disabilities. </w:t>
      </w:r>
      <w:r w:rsidRPr="00781112">
        <w:rPr>
          <w:rFonts w:cs="Arial"/>
          <w:color w:val="000000" w:themeColor="text1"/>
          <w:szCs w:val="16"/>
        </w:rPr>
        <w:br/>
      </w:r>
      <w:r w:rsidRPr="00781112">
        <w:rPr>
          <w:rFonts w:cs="Arial"/>
          <w:color w:val="000000" w:themeColor="text1"/>
          <w:szCs w:val="16"/>
        </w:rPr>
        <w:br/>
        <w:t>Baseline was set to FFY 2020 due to the addition of five-year-old students in kindergarten to the calculation.</w:t>
      </w:r>
      <w:r w:rsidRPr="00781112">
        <w:rPr>
          <w:rFonts w:cs="Arial"/>
          <w:color w:val="000000" w:themeColor="text1"/>
          <w:szCs w:val="16"/>
        </w:rPr>
        <w:br/>
      </w:r>
      <w:r w:rsidRPr="00781112">
        <w:rPr>
          <w:rFonts w:cs="Arial"/>
          <w:color w:val="000000" w:themeColor="text1"/>
          <w:szCs w:val="16"/>
        </w:rPr>
        <w:br/>
        <w:t>The KDE has analyzed data and has not identified a known COVID-19 impact on the data for this indicator. However, the KDE will continue to review and analyze data to determine if an impact directly related to COVID-19 is present.</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9</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8</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5079A77D" w:rsidR="009A755E" w:rsidRPr="00781112" w:rsidRDefault="00F6415A" w:rsidP="004369B2">
      <w:pPr>
        <w:rPr>
          <w:color w:val="000000" w:themeColor="text1"/>
        </w:rPr>
      </w:pPr>
      <w:r w:rsidRPr="00781112">
        <w:rPr>
          <w:b/>
          <w:color w:val="000000" w:themeColor="text1"/>
        </w:rPr>
        <w:t>FFY 2019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 xml:space="preserve">With assistance as needed from the Regional Special Education Cooperative and the KDE, the nine LEAs reviewed student-specific and systemic noncompliance items identified in the Report of Findings. The KDE identified the percentage level of noncompliance for each LEA. Each LEA was required to conduct a root cause analysis to determine why problem areas existed. </w:t>
      </w:r>
      <w:r w:rsidRPr="00781112">
        <w:rPr>
          <w:rFonts w:cs="Arial"/>
          <w:color w:val="000000" w:themeColor="text1"/>
          <w:szCs w:val="16"/>
        </w:rPr>
        <w:br/>
      </w:r>
      <w:r w:rsidRPr="00781112">
        <w:rPr>
          <w:rFonts w:cs="Arial"/>
          <w:color w:val="000000" w:themeColor="text1"/>
          <w:szCs w:val="16"/>
        </w:rPr>
        <w:br/>
        <w:t>The results of the root cause analyses were varied and included topics such as lack of training and inexperienced staff. Those results were utilized to develop meaningful CAPs that included action steps to ensure the LEA corrected the root cause of noncompliance, ensure the LEA was correctly implementing the regulatory requirements and improve LEA practices. The KDE identified noncompliant policies, procedures, and practices in the Report of Findings for each LEA. The LEA was required to change any noncompliant policies, procedures and practices within their CAP. Additional CAP activities varied by LEA and were related to the root cause of noncompliance in the LEA. KDE- approved trainers provided training activities identified on the CAP. Approved trainers included regional special education cooperative staff members. Prior to training events, the KDE reviewed the training materials to ensure all areas of noncompliance were sufficiently addressed and that the regulatory requirements were correctly implemented.</w:t>
      </w:r>
      <w:r w:rsidRPr="00781112">
        <w:rPr>
          <w:rFonts w:cs="Arial"/>
          <w:color w:val="000000" w:themeColor="text1"/>
          <w:szCs w:val="16"/>
        </w:rPr>
        <w:br/>
      </w:r>
      <w:r w:rsidRPr="00781112">
        <w:rPr>
          <w:rFonts w:cs="Arial"/>
          <w:color w:val="000000" w:themeColor="text1"/>
          <w:szCs w:val="16"/>
        </w:rPr>
        <w:br/>
        <w:t xml:space="preserve">The KDE required all noncompliance to be corrected as soon as possible but not longer than one year from the date of notification of the noncompliance. LEAs were required to submit CAP status reports to the KDE at least quarterly. </w:t>
      </w:r>
      <w:r w:rsidRPr="00781112">
        <w:rPr>
          <w:rFonts w:cs="Arial"/>
          <w:color w:val="000000" w:themeColor="text1"/>
          <w:szCs w:val="16"/>
        </w:rPr>
        <w:br/>
      </w:r>
      <w:r w:rsidRPr="00781112">
        <w:rPr>
          <w:rFonts w:cs="Arial"/>
          <w:color w:val="000000" w:themeColor="text1"/>
          <w:szCs w:val="16"/>
        </w:rPr>
        <w:br/>
        <w:t xml:space="preserve">The KDE reviewed additional student due process records as part of the CAP process to verify that the LEA was implementing the regulatory requirements related to indicator 10. In Kentucky, this is known as review of updated data. The number of folders reviewed was determined by the size of the LEA's child count in the area reviewed. The process for selecting files is documented on page 29 of the KDE's IDEA Monitoring Manual. This can be found at https://education.ky.gov/specialed/excep/forms/Documents/IDEAMonManDstrctEdtn.pdf. </w:t>
      </w:r>
      <w:r w:rsidRPr="00781112">
        <w:rPr>
          <w:rFonts w:cs="Arial"/>
          <w:color w:val="000000" w:themeColor="text1"/>
          <w:szCs w:val="16"/>
        </w:rPr>
        <w:br/>
      </w:r>
      <w:r w:rsidRPr="00781112">
        <w:rPr>
          <w:rFonts w:cs="Arial"/>
          <w:color w:val="000000" w:themeColor="text1"/>
          <w:szCs w:val="16"/>
        </w:rPr>
        <w:br/>
        <w:t xml:space="preserve">If any record was found noncompliant during comparison folder reviews, the LEA was required to correct the noncompliance. Additionally, LEAs were required to correct all systemic noncompliance. All original records were verified as 100% compliant in the areas initially cited. Additional folders were verified as 100% compliant before the KDE determined the LEA had corrected all areas of noncompliance. The updated data review was repeated until the LEA correctly implemented the regulatory requirements at 100% compliance. With verification of CAP completion and all updated data verified as 100% compliant, the KDE reported the noncompliance as corrected and closed the CAP. </w:t>
      </w:r>
      <w:r w:rsidRPr="00781112">
        <w:rPr>
          <w:rFonts w:cs="Arial"/>
          <w:color w:val="000000" w:themeColor="text1"/>
          <w:szCs w:val="16"/>
        </w:rPr>
        <w:br/>
      </w:r>
      <w:r w:rsidRPr="00781112">
        <w:rPr>
          <w:rFonts w:cs="Arial"/>
          <w:color w:val="000000" w:themeColor="text1"/>
          <w:szCs w:val="16"/>
        </w:rPr>
        <w:br/>
        <w:t>All nine LEAs identified successfully implemented the regulatory requirements at 100% compliance and closed their CAPs.</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lastRenderedPageBreak/>
        <w:t xml:space="preserve">For FFY 2019, nine LEAs were identified as having noncompliant practices under indicator 10. The KDE reviewed all identified student files and issued student specific corrective action. LEAs developed CAPs to address noncompliance and included the correction of individual due process files as part of the CAP activities. </w:t>
      </w:r>
      <w:r w:rsidRPr="00781112">
        <w:rPr>
          <w:rFonts w:cs="Arial"/>
          <w:color w:val="000000" w:themeColor="text1"/>
          <w:szCs w:val="16"/>
        </w:rPr>
        <w:br/>
      </w:r>
      <w:r w:rsidRPr="00781112">
        <w:rPr>
          <w:rFonts w:cs="Arial"/>
          <w:color w:val="000000" w:themeColor="text1"/>
          <w:szCs w:val="16"/>
        </w:rPr>
        <w:br/>
        <w:t xml:space="preserve">The LEAs, with assistance as needed from the Regional Special Education Cooperative and the KDE, reviewed student specific items identified in the Report of Findings. The KDE required all student-level noncompliance to be corrected as soon as possible but not longer than one year from the date of notification of the noncompliance. LEAs were required to submit CAP status reports to the KDE at least quarterly. </w:t>
      </w:r>
      <w:r w:rsidRPr="00781112">
        <w:rPr>
          <w:rFonts w:cs="Arial"/>
          <w:color w:val="000000" w:themeColor="text1"/>
          <w:szCs w:val="16"/>
        </w:rPr>
        <w:br/>
      </w:r>
      <w:r w:rsidRPr="00781112">
        <w:rPr>
          <w:rFonts w:cs="Arial"/>
          <w:color w:val="000000" w:themeColor="text1"/>
          <w:szCs w:val="16"/>
        </w:rPr>
        <w:br/>
        <w:t xml:space="preserve">The KDE provided guidance, technical assistance and reviewed the evidence submitted to verify the implementation and completion of student-specific corrections and CAP activities. The KDE reviewed the evidence and verified that all nine LEAs had corrected each individual case of noncompliance. </w:t>
      </w:r>
      <w:r w:rsidRPr="00781112">
        <w:rPr>
          <w:rFonts w:cs="Arial"/>
          <w:color w:val="000000" w:themeColor="text1"/>
          <w:szCs w:val="16"/>
        </w:rPr>
        <w:br/>
      </w:r>
      <w:r w:rsidRPr="00781112">
        <w:rPr>
          <w:rFonts w:cs="Arial"/>
          <w:color w:val="000000" w:themeColor="text1"/>
          <w:szCs w:val="16"/>
        </w:rPr>
        <w:br/>
        <w:t>With verification of CAP completion and all updated data and student records verified as 100% compliant in the areas identified, the KDE reported the noncompliance as corrected. The KDE determined all nine of the LEAs corrected all individual cases of noncompliance under OSEP Memorandum 09-02.</w:t>
      </w:r>
    </w:p>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(greater than 0% actual target data for this indicator), the State must report on the status of correction of noncompliance identified in FFY 2019 for this indicator. The State must demonstrate, in the FFY 2020 SPP/APR, that the districts identified in FFY 2019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p>
    <w:p w14:paraId="7C7C5568" w14:textId="77777777" w:rsidR="009F69E7" w:rsidRPr="00781112" w:rsidRDefault="009F69E7" w:rsidP="004E2151">
      <w:pPr>
        <w:rPr>
          <w:rFonts w:cs="Arial"/>
          <w:color w:val="000000" w:themeColor="text1"/>
          <w:szCs w:val="16"/>
        </w:rPr>
      </w:pPr>
    </w:p>
    <w:p w14:paraId="5DF0DC37" w14:textId="1B20ACA5" w:rsidR="004E2151" w:rsidRPr="00781112" w:rsidRDefault="004E2151" w:rsidP="004369B2">
      <w:pPr>
        <w:rPr>
          <w:b/>
          <w:color w:val="000000" w:themeColor="text1"/>
        </w:rPr>
      </w:pPr>
      <w:r w:rsidRPr="00781112">
        <w:rPr>
          <w:b/>
          <w:color w:val="000000" w:themeColor="text1"/>
        </w:rPr>
        <w:t>Response to actions required in FFY 2019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Correction of noncompliance explanations are included in the narratives above.</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six (6) districts identified in FFY 2020 with disproportionate representation of racial and ethnic groups in specific disability categories that was the result of inappropriate identification is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95.43%</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99.74%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99.76%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99.43%</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99.91%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97.30%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2,059</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2,034</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97.30%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98.79%</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25</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There were 25 students whose evaluations were not completed within the designated 60-day timeline. </w:t>
      </w:r>
      <w:r w:rsidRPr="00781112">
        <w:rPr>
          <w:color w:val="000000" w:themeColor="text1"/>
        </w:rPr>
        <w:br/>
        <w:t>1-10 days over--9 students</w:t>
      </w:r>
      <w:r w:rsidRPr="00781112">
        <w:rPr>
          <w:color w:val="000000" w:themeColor="text1"/>
        </w:rPr>
        <w:br/>
        <w:t>11-20 days over--5 students</w:t>
      </w:r>
      <w:r w:rsidRPr="00781112">
        <w:rPr>
          <w:color w:val="000000" w:themeColor="text1"/>
        </w:rPr>
        <w:br/>
        <w:t>21-30 days over--5 students</w:t>
      </w:r>
      <w:r w:rsidRPr="00781112">
        <w:rPr>
          <w:color w:val="000000" w:themeColor="text1"/>
        </w:rPr>
        <w:br/>
        <w:t>31-40 days over--1 student</w:t>
      </w:r>
      <w:r w:rsidRPr="00781112">
        <w:rPr>
          <w:color w:val="000000" w:themeColor="text1"/>
        </w:rPr>
        <w:br/>
        <w:t>41-50 days over--1 student</w:t>
      </w:r>
      <w:r w:rsidRPr="00781112">
        <w:rPr>
          <w:color w:val="000000" w:themeColor="text1"/>
        </w:rPr>
        <w:br/>
        <w:t>greater than 50 days over--4 students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KDE collected APR data for indicator 11 by requiring all LEAs to submit a self-assessment report to the KDE containing randomly selected, child-specific data. The Part B Data Manager provided the self-assessment spreadsheet to all DoSEs to enter the indicator 11 data to be provided to the KDE. LEAs were instructed to randomly select 10% of students who were initially evaluated and whose data was included on the spreadsheet. LEAs reviewed no less than 10 students and no more than 50 students. LEAs with 10 or fewer students who were initially evaluated sent data for all students evaluated. The KDE Part B Data Manager completed a review of data and validated the self-reported data submitted by LEAs. The Data Manager contacted each DoSE for the LEAs who reported any noncompliance. LEAs with noncompliance were required to complete a CAP to address student-specific and systemic noncompliance based on their self-reported data. Additionally, the KDE randomly selected 10% of the LEAs that reported 100% compliance. From those LEAs, 10% of students initially evaluated during the 2020-2021 school year were randomly selected for desk audits. The KDE used its Compliance Record Review Document, the data information system, and student due process records to determine whether a student’s file was compliant with indicator 11. When the KDE determined, through the desk audits, student files were not in compliance with indicator 11 under the IDEA, the LEA was notified of the noncompliance through a Report of Findings issued by the KDE.</w:t>
      </w:r>
      <w:r w:rsidRPr="00781112">
        <w:rPr>
          <w:rFonts w:cs="Arial"/>
          <w:color w:val="000000" w:themeColor="text1"/>
          <w:szCs w:val="16"/>
        </w:rPr>
        <w:br/>
      </w:r>
      <w:r w:rsidRPr="00781112">
        <w:rPr>
          <w:rFonts w:cs="Arial"/>
          <w:color w:val="000000" w:themeColor="text1"/>
          <w:szCs w:val="16"/>
        </w:rPr>
        <w:br/>
        <w:t xml:space="preserve">For the FFY 2020, the KDE received self-reported data from all LEAs. Nine LEAs self-reported noncompliance. Additionally, the KDE reviewed random records from LEAs that self-reported 100% compliance. Through the audit an additional eight LEAs were cited for noncompliance. In total, 25 student due process records were identified as noncompliant. </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The KDE has analyzed data and has not identified a known COVID-19 impact on the data for this indicator. However, the KDE will continue to review and analyze data to determine if an impact directly related to COVID-19 is present.</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36</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36</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 noncompliant LEAs (representing 36 students), with assistance as needed from the regional special education Cooperative and the KDE, reviewed student-specific and systemic noncompliance items identified in the Report of Findings. The KDE identified the percentage level of noncompliance for each LEA. Each noncompliant LEA was required to conduct a root cause analysis to determine why problem areas existed. </w:t>
      </w:r>
      <w:r w:rsidRPr="00781112">
        <w:rPr>
          <w:rFonts w:cs="Arial"/>
          <w:color w:val="000000" w:themeColor="text1"/>
          <w:szCs w:val="16"/>
        </w:rPr>
        <w:br/>
      </w:r>
      <w:r w:rsidRPr="00781112">
        <w:rPr>
          <w:rFonts w:cs="Arial"/>
          <w:color w:val="000000" w:themeColor="text1"/>
          <w:szCs w:val="16"/>
        </w:rPr>
        <w:br/>
        <w:t>The results of the root cause analyses were varied and included topics such as misunderstanding of timeline requirements and the need to develop communication plans to support increased communication between Part B and Part C providers. Those results were utilized to develop meaningful CAPs that included action steps to ensure the LEAs corrected the root cause of noncompliance, ensure the LEAs were  correctly implementing the regulatory requirements and improve LEA practices. The KDE identified noncompliant policies, procedures, and practices in the Report of Findings for each LEA. The LEAs were required to change any noncompliant policies, procedures and practices within their CAP. Additional CAP activities varied by LEA and were related to the root cause of noncompliance in the LEA. KDE- approved trainers provided training activities identified on the CAP. Approved trainers included regional special education cooperative staff members. Prior to training events, the KDE reviewed the training materials to ensure all areas of noncompliance were sufficiently addressed and that the regulatory requirements were correctly implemented.</w:t>
      </w:r>
      <w:r w:rsidRPr="00781112">
        <w:rPr>
          <w:rFonts w:cs="Arial"/>
          <w:color w:val="000000" w:themeColor="text1"/>
          <w:szCs w:val="16"/>
        </w:rPr>
        <w:br/>
      </w:r>
      <w:r w:rsidRPr="00781112">
        <w:rPr>
          <w:rFonts w:cs="Arial"/>
          <w:color w:val="000000" w:themeColor="text1"/>
          <w:szCs w:val="16"/>
        </w:rPr>
        <w:br/>
        <w:t xml:space="preserve">The KDE required all noncompliance to be corrected as soon as possible but not more than one year from the date of notification of the noncompliance. The LEAs were required to submit CAP status reports to the KDE at least quarterly. </w:t>
      </w:r>
      <w:r w:rsidRPr="00781112">
        <w:rPr>
          <w:rFonts w:cs="Arial"/>
          <w:color w:val="000000" w:themeColor="text1"/>
          <w:szCs w:val="16"/>
        </w:rPr>
        <w:br/>
      </w:r>
      <w:r w:rsidRPr="00781112">
        <w:rPr>
          <w:rFonts w:cs="Arial"/>
          <w:color w:val="000000" w:themeColor="text1"/>
          <w:szCs w:val="16"/>
        </w:rPr>
        <w:lastRenderedPageBreak/>
        <w:br/>
        <w:t xml:space="preserve">The KDE reviewed additional student due process records as part of the CAP process to verify that the LEAs were  implementing the regulatory requirements. In Kentucky, this is known as review of updated data using comparison folder reviews. The number of folders reviewed was determined by the size of the LEA's child count in the area reviewed. The process for selecting files is documented on page 29 of the KDE's IDEA Monitoring Manual. This can be found at https://education.ky.gov/specialed/excep/forms/Documents/IDEAMonManDstrctEdtn.pdf. </w:t>
      </w:r>
      <w:r w:rsidRPr="00781112">
        <w:rPr>
          <w:rFonts w:cs="Arial"/>
          <w:color w:val="000000" w:themeColor="text1"/>
          <w:szCs w:val="16"/>
        </w:rPr>
        <w:br/>
      </w:r>
      <w:r w:rsidRPr="00781112">
        <w:rPr>
          <w:rFonts w:cs="Arial"/>
          <w:color w:val="000000" w:themeColor="text1"/>
          <w:szCs w:val="16"/>
        </w:rPr>
        <w:br/>
        <w:t xml:space="preserve">If any record was found noncompliant during comparison folder reviews, the LEA was required to correct the noncompliance. Additionally, LEAs were required to correct all systemic noncompliance. All original records were verified as 100% compliant in the areas initially cited. Additional folders were verified as 100% compliant before the KDE determined the LEA had corrected all areas of noncompliance. The updated data review was repeated until the LEA was correctly implementing the regulatory requirements at 100% compliance. With verification of CAP completion and all updated data verified as 100% compliant, the KDE reported the noncompliance as corrected and closed the CAP. </w:t>
      </w:r>
      <w:r w:rsidRPr="00781112">
        <w:rPr>
          <w:rFonts w:cs="Arial"/>
          <w:color w:val="000000" w:themeColor="text1"/>
          <w:szCs w:val="16"/>
        </w:rPr>
        <w:br/>
      </w:r>
      <w:r w:rsidRPr="00781112">
        <w:rPr>
          <w:rFonts w:cs="Arial"/>
          <w:color w:val="000000" w:themeColor="text1"/>
          <w:szCs w:val="16"/>
        </w:rPr>
        <w:br/>
        <w:t xml:space="preserve">All the LEAs identified successfully implemented the regulatory requirements at 100% compliance and closed their CAPs.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For FFY 2019, the KDE reviewed all identified student files with noncompliance and issued student-specific corrective action. The KDE reviewed all identified student files and issued student-specific corrective actions. LEAs developed CAPs to address noncompliance and included the correction of individual due process files as part of the CAP activities. The LEAs (representing 36 students) developed CAPs to address noncompliance and included the correction of individual due process files as part of the CAP activities. </w:t>
      </w:r>
      <w:r w:rsidRPr="00781112">
        <w:rPr>
          <w:rFonts w:cs="Arial"/>
          <w:color w:val="000000" w:themeColor="text1"/>
          <w:szCs w:val="16"/>
        </w:rPr>
        <w:br/>
      </w:r>
      <w:r w:rsidRPr="00781112">
        <w:rPr>
          <w:rFonts w:cs="Arial"/>
          <w:color w:val="000000" w:themeColor="text1"/>
          <w:szCs w:val="16"/>
        </w:rPr>
        <w:br/>
        <w:t xml:space="preserve">The LEAs, with assistance as needed from the Regional Special Education Cooperative and the KDE, reviewed student-specific items identified in the Report of Findings. The KDE required all student-level noncompliance to be corrected as soon as possible but not more than one year from the date of notification of the noncompliance. LEAs were required to submit CAP status reports to the KDE at least quarterly. </w:t>
      </w:r>
      <w:r w:rsidRPr="00781112">
        <w:rPr>
          <w:rFonts w:cs="Arial"/>
          <w:color w:val="000000" w:themeColor="text1"/>
          <w:szCs w:val="16"/>
        </w:rPr>
        <w:br/>
      </w:r>
      <w:r w:rsidRPr="00781112">
        <w:rPr>
          <w:rFonts w:cs="Arial"/>
          <w:color w:val="000000" w:themeColor="text1"/>
          <w:szCs w:val="16"/>
        </w:rPr>
        <w:br/>
        <w:t xml:space="preserve">The KDE provided guidance, technical assistance and reviewed the evidence submitted to verify the implementation and completion of student-specific corrections and CAP activities. The KDE reviewed the evidence and verified that the LEAs had corrected all 36 individual cases of noncompliance. </w:t>
      </w:r>
      <w:r w:rsidRPr="00781112">
        <w:rPr>
          <w:rFonts w:cs="Arial"/>
          <w:color w:val="000000" w:themeColor="text1"/>
          <w:szCs w:val="16"/>
        </w:rPr>
        <w:br/>
      </w:r>
      <w:r w:rsidRPr="00781112">
        <w:rPr>
          <w:rFonts w:cs="Arial"/>
          <w:color w:val="000000" w:themeColor="text1"/>
          <w:szCs w:val="16"/>
        </w:rPr>
        <w:br/>
        <w:t xml:space="preserve">With verification of CAP completion and all updated data submitted verified as 100% compliant in the areas identified, the KDE reported the noncompliance as corrected. </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Correction of noncompliance explanations are included in the narratives above.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93.74%</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99.81%</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99.91%</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99.41%</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99.36%</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91.52%</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2,561</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280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1,606</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295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152</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1,606</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1,834</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91.52%</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87.57%</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Slippage occurred due to the increasingly transient nature of Kentucky families. Many children begin Part C services in one LEA but move to follow employment, family, or other opportunities to another LEA. Subsequently, the prior LEA is unable to complete the transition process as they are unable to find the child or their family, despite best efforts. </w:t>
      </w:r>
      <w:r w:rsidRPr="00781112">
        <w:rPr>
          <w:rFonts w:cs="Arial"/>
          <w:color w:val="000000" w:themeColor="text1"/>
          <w:szCs w:val="16"/>
        </w:rPr>
        <w:br/>
      </w:r>
      <w:r w:rsidRPr="00781112">
        <w:rPr>
          <w:rFonts w:cs="Arial"/>
          <w:color w:val="000000" w:themeColor="text1"/>
          <w:szCs w:val="16"/>
        </w:rPr>
        <w:br/>
        <w:t xml:space="preserve">Additionally, families in Kentucky are choosing to decline transition services at an increasing rate. Cultural shifts, including more families with two parents in the workforce, as well as an increase in the lack of quality, affordable childcare are additional factors that have been recognized. Wrap around care is essential when students are only served in part-day programs. Without quality wrap-around childcare, many students are unable to access preschool programming. The lack of access can make parents and families decide not to complete the transition process as their child will not be adequately served for the entirety of their preschool enrollment. </w:t>
      </w:r>
      <w:r w:rsidRPr="00781112">
        <w:rPr>
          <w:rFonts w:cs="Arial"/>
          <w:color w:val="000000" w:themeColor="text1"/>
          <w:szCs w:val="16"/>
        </w:rPr>
        <w:br/>
      </w:r>
      <w:r w:rsidRPr="00781112">
        <w:rPr>
          <w:rFonts w:cs="Arial"/>
          <w:color w:val="000000" w:themeColor="text1"/>
          <w:szCs w:val="16"/>
        </w:rPr>
        <w:br/>
        <w:t xml:space="preserve">Some parents determined they did not wish to transition their child into the Part B program but did not communicate this in a timely manner with Part C providers and Part B staff. This caused a delay in completing formal transition paperwork. While the factors identified above have had a subtle impact on the data over the past couple of years, much of the decline in progress seen in FFY 2020 continues to be attributed to the impact of COVID-19 on the delivery of services. </w:t>
      </w:r>
      <w:r w:rsidRPr="00781112">
        <w:rPr>
          <w:rFonts w:cs="Arial"/>
          <w:color w:val="000000" w:themeColor="text1"/>
          <w:szCs w:val="16"/>
        </w:rPr>
        <w:br/>
      </w:r>
      <w:r w:rsidRPr="00781112">
        <w:rPr>
          <w:rFonts w:cs="Arial"/>
          <w:color w:val="000000" w:themeColor="text1"/>
          <w:szCs w:val="16"/>
        </w:rPr>
        <w:br/>
        <w:t xml:space="preserve">Families and programs experienced a disruption in services when in-person services were discontinued during COVID-19 outbreaks. The Part C program experienced closures to in-person services as LEAs transitioned to virtual and/or nontraditional instruction. Due to restrictions presented by COVID-19 mitigation strategies, such as not being able to meet in person, lack of virtual evaluation methods, etc., transition and eligibility determination meetings did not occur consistently across the state. As these did not occur timely or consistently, referral to Part B, evaluation, and eligibility determination meetings were impacted. As a result, 228 students from 23 LEAs were not appropriately transitioned from Part C to Part B. Part C programs across the state interrupted or closed home visiting due to the COVID-19 pandemic. Many providers usually encounter children in childcare programs, and as these were closed as well, this created additional strain on the program. While Part C providers and Part B staff attempted to hold virtual transition meetings and complete evaluations and eligibility virtually, families may not have been able to access the technology needed to participate or sufficient evaluation data was needed to determine Part B eligibility appropriately was not   available. </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228</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1-10 days—33 students</w:t>
      </w:r>
      <w:r w:rsidRPr="00781112">
        <w:rPr>
          <w:bCs/>
          <w:color w:val="000000" w:themeColor="text1"/>
        </w:rPr>
        <w:br/>
        <w:t>11-25 days—37 students</w:t>
      </w:r>
      <w:r w:rsidRPr="00781112">
        <w:rPr>
          <w:bCs/>
          <w:color w:val="000000" w:themeColor="text1"/>
        </w:rPr>
        <w:br/>
        <w:t>26-100 days—119 students</w:t>
      </w:r>
      <w:r w:rsidRPr="00781112">
        <w:rPr>
          <w:bCs/>
          <w:color w:val="000000" w:themeColor="text1"/>
        </w:rPr>
        <w:br/>
        <w:t>101+ days—39 students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KDE collected data from LEAs using the end-of-year Preschool Program Performance Report. The KDE then reviewed transition data for errors and noncompliance. When errors were noted, LEAs were required to revise and resubmit data. LEAs also self-reported indicator 12 preschool transition data to the KDE. Each LEA who self-reported noncompliance (23 LEAs) received a CAP and required correction of all noncompliance for systematic/student specific noncompliance. The KDE validated self-reported data through random desk audits, using data from IC and student records. If individual student records were found to be noncompliant, the LEA was required to correct the noncompliance for each student. The KDE then verified these corrections and reviewed additional randomly selected student files to determine systemic compliance.</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The data have been impacted by COVID-19 for the 2020-2021 transition year. Families and programs experienced a disruption in services when in person services were discontinued during peaks of COVID-19 outbreaks in communities. The Part C program was closed to in person services as LEAs transitioned to virtual and/or non-traditional instruction. Due to meeting restrictions, such as not being able to meet in person, inability to complete virtual evaluations, etc., IEP team eligibility meetings could not occur consistently across the state. As these meetings did not occur in a timely or consistent fashion, referral to Part B, evaluation, and eligibility meetings were impacted. As a result, 228 students were not provided an appropriate transition from </w:t>
      </w:r>
      <w:r w:rsidRPr="00781112">
        <w:rPr>
          <w:rFonts w:cs="Arial"/>
          <w:color w:val="000000" w:themeColor="text1"/>
          <w:szCs w:val="16"/>
        </w:rPr>
        <w:lastRenderedPageBreak/>
        <w:t>Part C to Part B. The KDE’ s Division of IDEA Implementation and Preschool (DIIP) engaged with local preschool directors and directors of special education to identify and address problem solve transition barriers. The KDE engaged with local preschool directors and directors of special education to ensure noncompliance was corrected.</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59</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59</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The KDE collected data from LEAs using the end-of-year Preschool Program Performance Report. The KDE then reviewed transition data for noncompliance. The KDE validated the data through random desk audits, using data in IC and student records. LEAs also self-reported indicator 12 preschool transition data to the KDE, including the percentage level of noncompliance. The 59 LEAs who self-reported noncompliance conducted root cause analyses to determine why problem areas existed. LEAs were required to correct all instances of student-specific and systemic noncompliance. </w:t>
      </w:r>
      <w:r w:rsidRPr="00781112">
        <w:rPr>
          <w:rFonts w:cs="Arial"/>
          <w:color w:val="000000" w:themeColor="text1"/>
          <w:szCs w:val="16"/>
        </w:rPr>
        <w:br/>
      </w:r>
      <w:r w:rsidRPr="00781112">
        <w:rPr>
          <w:rFonts w:cs="Arial"/>
          <w:color w:val="000000" w:themeColor="text1"/>
          <w:szCs w:val="16"/>
        </w:rPr>
        <w:br/>
        <w:t>Results of the root cause analyses were varied and included:</w:t>
      </w:r>
      <w:r w:rsidRPr="00781112">
        <w:rPr>
          <w:rFonts w:cs="Arial"/>
          <w:color w:val="000000" w:themeColor="text1"/>
          <w:szCs w:val="16"/>
        </w:rPr>
        <w:br/>
      </w:r>
      <w:r w:rsidRPr="00781112">
        <w:rPr>
          <w:rFonts w:cs="Arial"/>
          <w:color w:val="000000" w:themeColor="text1"/>
          <w:szCs w:val="16"/>
        </w:rPr>
        <w:br/>
        <w:t>--The LEA was not able to locate the child and/or family during the transition process, but the student was known to continue elsewhere.</w:t>
      </w:r>
      <w:r w:rsidRPr="00781112">
        <w:rPr>
          <w:rFonts w:cs="Arial"/>
          <w:color w:val="000000" w:themeColor="text1"/>
          <w:szCs w:val="16"/>
        </w:rPr>
        <w:br/>
        <w:t xml:space="preserve">--The LEA was not able to meet timelines due to referrals being received less than 90 days before the child’s third birthday. </w:t>
      </w:r>
      <w:r w:rsidRPr="00781112">
        <w:rPr>
          <w:rFonts w:cs="Arial"/>
          <w:color w:val="000000" w:themeColor="text1"/>
          <w:szCs w:val="16"/>
        </w:rPr>
        <w:br/>
        <w:t xml:space="preserve">--The LEA was unable to locate the child and the child’s status is unknown. </w:t>
      </w:r>
      <w:r w:rsidRPr="00781112">
        <w:rPr>
          <w:rFonts w:cs="Arial"/>
          <w:color w:val="000000" w:themeColor="text1"/>
          <w:szCs w:val="16"/>
        </w:rPr>
        <w:br/>
        <w:t xml:space="preserve">--Inconsistent policies and procedures used by Part C and Part B service providers. </w:t>
      </w:r>
      <w:r w:rsidRPr="00781112">
        <w:rPr>
          <w:rFonts w:cs="Arial"/>
          <w:color w:val="000000" w:themeColor="text1"/>
          <w:szCs w:val="16"/>
        </w:rPr>
        <w:br/>
        <w:t xml:space="preserve">--Part B receiving LEAs were unable to exchange information in a timely manner, leading to a delay in transition services. </w:t>
      </w:r>
      <w:r w:rsidRPr="00781112">
        <w:rPr>
          <w:rFonts w:cs="Arial"/>
          <w:color w:val="000000" w:themeColor="text1"/>
          <w:szCs w:val="16"/>
        </w:rPr>
        <w:br/>
        <w:t>--COVID-19 impacts identified in the slippage section above.</w:t>
      </w:r>
      <w:r w:rsidRPr="00781112">
        <w:rPr>
          <w:rFonts w:cs="Arial"/>
          <w:color w:val="000000" w:themeColor="text1"/>
          <w:szCs w:val="16"/>
        </w:rPr>
        <w:br/>
      </w:r>
      <w:r w:rsidRPr="00781112">
        <w:rPr>
          <w:rFonts w:cs="Arial"/>
          <w:color w:val="000000" w:themeColor="text1"/>
          <w:szCs w:val="16"/>
        </w:rPr>
        <w:br/>
        <w:t xml:space="preserve">The LEAs corrected all noncompliant policies, procedures and practices. KDE and the RTCs provided technical assistance to the 59 LEAs identified as having noncompliance to ensure they met regulatory requirements. Activities included sending the LEAs correspondence from Part C partners regarding children ready for transition, providing professional learning opportunities, and offering regional trainings that included best practices for monitoring Part C to Part B transition. </w:t>
      </w:r>
      <w:r w:rsidRPr="00781112">
        <w:rPr>
          <w:rFonts w:cs="Arial"/>
          <w:color w:val="000000" w:themeColor="text1"/>
          <w:szCs w:val="16"/>
        </w:rPr>
        <w:br/>
      </w:r>
      <w:r w:rsidRPr="00781112">
        <w:rPr>
          <w:rFonts w:cs="Arial"/>
          <w:color w:val="000000" w:themeColor="text1"/>
          <w:szCs w:val="16"/>
        </w:rPr>
        <w:br/>
        <w:t xml:space="preserve">The KDE completed a review of updated data for each LEA with findings of noncompliance throughout the following school year. The KDE reviewed data in IC to ensure the regulatory requirements were met. The review included random checks of appropriate transition Admissions and Release Committee (ARC) documents to ensure that LEAs met timelines. </w:t>
      </w:r>
      <w:r w:rsidRPr="00781112">
        <w:rPr>
          <w:rFonts w:cs="Arial"/>
          <w:color w:val="000000" w:themeColor="text1"/>
          <w:szCs w:val="16"/>
        </w:rPr>
        <w:br/>
      </w:r>
      <w:r w:rsidRPr="00781112">
        <w:rPr>
          <w:rFonts w:cs="Arial"/>
          <w:color w:val="000000" w:themeColor="text1"/>
          <w:szCs w:val="16"/>
        </w:rPr>
        <w:br/>
        <w:t>The KDE determined that after the steps listed above were taken, all 59 LEAs were correctly implementing the regulatory requirements with 100% compliance.</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For FFY 2018, 59 LEAs were identified as having individual cases of noncompliant practices under indicator 12. The KDE reviewed all identified student files and issued student-specific corrections. </w:t>
      </w:r>
      <w:r w:rsidRPr="00781112">
        <w:rPr>
          <w:rFonts w:cs="Arial"/>
          <w:color w:val="000000" w:themeColor="text1"/>
          <w:szCs w:val="16"/>
        </w:rPr>
        <w:br/>
      </w:r>
      <w:r w:rsidRPr="00781112">
        <w:rPr>
          <w:rFonts w:cs="Arial"/>
          <w:color w:val="000000" w:themeColor="text1"/>
          <w:szCs w:val="16"/>
        </w:rPr>
        <w:br/>
        <w:t xml:space="preserve">The LEAs, with assistance from the Regional Special Education Cooperative and the KDE, reviewed student-specific items identified as noncompliant. The KDE required all student-level noncompliance to be corrected as soon as possible but not more than one year from the date of notification of the noncompliance. The LEAs were required to submit status reports to the KDE at least quarterly. </w:t>
      </w:r>
      <w:r w:rsidRPr="00781112">
        <w:rPr>
          <w:rFonts w:cs="Arial"/>
          <w:color w:val="000000" w:themeColor="text1"/>
          <w:szCs w:val="16"/>
        </w:rPr>
        <w:br/>
      </w:r>
      <w:r w:rsidRPr="00781112">
        <w:rPr>
          <w:rFonts w:cs="Arial"/>
          <w:color w:val="000000" w:themeColor="text1"/>
          <w:szCs w:val="16"/>
        </w:rPr>
        <w:br/>
        <w:t xml:space="preserve">The KDE provided guidance, technical assistance and reviewed the evidence submitted to verify the implementation and completion of student-specific corrections. The KDE reviewed the evidence and verified that all 59 LEAs had corrected each individual case of noncompliance. </w:t>
      </w:r>
      <w:r w:rsidRPr="00781112">
        <w:rPr>
          <w:rFonts w:cs="Arial"/>
          <w:color w:val="000000" w:themeColor="text1"/>
          <w:szCs w:val="16"/>
        </w:rPr>
        <w:br/>
      </w:r>
      <w:r w:rsidRPr="00781112">
        <w:rPr>
          <w:rFonts w:cs="Arial"/>
          <w:color w:val="000000" w:themeColor="text1"/>
          <w:szCs w:val="16"/>
        </w:rPr>
        <w:br/>
        <w:t>With verification of all updated data submitted as 100% compliant in the areas identified, the KDE reported the noncompliance as corrected. The KDE determined all 59 LEAs corrected all individual cases of noncompliance under OSEP Memorandum 09-02.</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6</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6</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 xml:space="preserve">The KDE collected data from LEAs using the end-of-year Preschool Program Performance Report. The KDE then reviewed transition data for noncompliance. The KDE validated the data through random desk audits, using data in IC  and student records. LEAs also self-reported indicator 12 preschool transition data to the KDE, including the percentage level of noncompliance. The six LEAs who self-reported noncompliance conducted root cause analyses to determine why problem areas existed.  LEAs were required to correct all instances of student-specific and systemic noncompliance. </w:t>
      </w:r>
      <w:r w:rsidRPr="00781112">
        <w:rPr>
          <w:rFonts w:cs="Arial"/>
          <w:color w:val="000000" w:themeColor="text1"/>
          <w:szCs w:val="16"/>
        </w:rPr>
        <w:br/>
      </w:r>
      <w:r w:rsidRPr="00781112">
        <w:rPr>
          <w:rFonts w:cs="Arial"/>
          <w:color w:val="000000" w:themeColor="text1"/>
          <w:szCs w:val="16"/>
        </w:rPr>
        <w:br/>
        <w:t>Results of the root cause analyses were varied and included:</w:t>
      </w:r>
      <w:r w:rsidRPr="00781112">
        <w:rPr>
          <w:rFonts w:cs="Arial"/>
          <w:color w:val="000000" w:themeColor="text1"/>
          <w:szCs w:val="16"/>
        </w:rPr>
        <w:br/>
      </w:r>
      <w:r w:rsidRPr="00781112">
        <w:rPr>
          <w:rFonts w:cs="Arial"/>
          <w:color w:val="000000" w:themeColor="text1"/>
          <w:szCs w:val="16"/>
        </w:rPr>
        <w:br/>
        <w:t>--The LEA was not able to locate the child and/or family during the transition process, but the student was known to continue elsewhere.</w:t>
      </w:r>
      <w:r w:rsidRPr="00781112">
        <w:rPr>
          <w:rFonts w:cs="Arial"/>
          <w:color w:val="000000" w:themeColor="text1"/>
          <w:szCs w:val="16"/>
        </w:rPr>
        <w:br/>
        <w:t xml:space="preserve">--The LEA was not able to meet timelines due to referrals being received less than 90 days before the child’s third birthday. </w:t>
      </w:r>
      <w:r w:rsidRPr="00781112">
        <w:rPr>
          <w:rFonts w:cs="Arial"/>
          <w:color w:val="000000" w:themeColor="text1"/>
          <w:szCs w:val="16"/>
        </w:rPr>
        <w:br/>
      </w:r>
      <w:r w:rsidRPr="00781112">
        <w:rPr>
          <w:rFonts w:cs="Arial"/>
          <w:color w:val="000000" w:themeColor="text1"/>
          <w:szCs w:val="16"/>
        </w:rPr>
        <w:lastRenderedPageBreak/>
        <w:t xml:space="preserve">--The LEA was unable to locate the child and the child’s status is unknown. </w:t>
      </w:r>
      <w:r w:rsidRPr="00781112">
        <w:rPr>
          <w:rFonts w:cs="Arial"/>
          <w:color w:val="000000" w:themeColor="text1"/>
          <w:szCs w:val="16"/>
        </w:rPr>
        <w:br/>
        <w:t xml:space="preserve">--Inconsistent policies and procedures used by  Part C and Part B service providers. </w:t>
      </w:r>
      <w:r w:rsidRPr="00781112">
        <w:rPr>
          <w:rFonts w:cs="Arial"/>
          <w:color w:val="000000" w:themeColor="text1"/>
          <w:szCs w:val="16"/>
        </w:rPr>
        <w:br/>
        <w:t xml:space="preserve">--Part B receiving LEAs were unable to exchange information in a timely manner, leading to a delay in transition services. </w:t>
      </w:r>
      <w:r w:rsidRPr="00781112">
        <w:rPr>
          <w:rFonts w:cs="Arial"/>
          <w:color w:val="000000" w:themeColor="text1"/>
          <w:szCs w:val="16"/>
        </w:rPr>
        <w:br/>
      </w:r>
      <w:r w:rsidRPr="00781112">
        <w:rPr>
          <w:rFonts w:cs="Arial"/>
          <w:color w:val="000000" w:themeColor="text1"/>
          <w:szCs w:val="16"/>
        </w:rPr>
        <w:br/>
        <w:t xml:space="preserve">The LEAs corrected all noncompliant policies, procedures and practices.  KDE and the RTCs provided technical assistance to the six LEAs identified as having noncompliance to ensure they met regulatory requirements. Activities included sending the LEAs correspondence from Part C partners regarding children ready for transition, providing professional learning opportunities, and offering regional trainings that included best practices for monitoring Part C to Part B transition. </w:t>
      </w:r>
      <w:r w:rsidRPr="00781112">
        <w:rPr>
          <w:rFonts w:cs="Arial"/>
          <w:color w:val="000000" w:themeColor="text1"/>
          <w:szCs w:val="16"/>
        </w:rPr>
        <w:br/>
      </w:r>
      <w:r w:rsidRPr="00781112">
        <w:rPr>
          <w:rFonts w:cs="Arial"/>
          <w:color w:val="000000" w:themeColor="text1"/>
          <w:szCs w:val="16"/>
        </w:rPr>
        <w:br/>
        <w:t xml:space="preserve">The KDE completed a review of updated data for each LEA with findings of noncompliance throughout the following school year.  The KDE reviewed data in IC to ensure the regulatory requirements were met.  The review included random checks of appropriate transition Admissions and Release Committee (ARC) documents to ensure that LEAs met timelines.  </w:t>
      </w:r>
      <w:r w:rsidRPr="00781112">
        <w:rPr>
          <w:rFonts w:cs="Arial"/>
          <w:color w:val="000000" w:themeColor="text1"/>
          <w:szCs w:val="16"/>
        </w:rPr>
        <w:br/>
      </w:r>
      <w:r w:rsidRPr="00781112">
        <w:rPr>
          <w:rFonts w:cs="Arial"/>
          <w:color w:val="000000" w:themeColor="text1"/>
          <w:szCs w:val="16"/>
        </w:rPr>
        <w:br/>
        <w:t>The KDE determined that after the steps listed above were taken, all six LEAs were correctly implementing the regulatory requirements with 100% compliance.</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 xml:space="preserve">For FFY 2018, six LEAs were identified as having individual cases of noncompliant practices under indicator 12. The KDE reviewed all identified student files and issued student-specific corrections. </w:t>
      </w:r>
      <w:r w:rsidRPr="00781112">
        <w:rPr>
          <w:rFonts w:cs="Arial"/>
          <w:color w:val="000000" w:themeColor="text1"/>
          <w:szCs w:val="16"/>
        </w:rPr>
        <w:br/>
      </w:r>
      <w:r w:rsidRPr="00781112">
        <w:rPr>
          <w:rFonts w:cs="Arial"/>
          <w:color w:val="000000" w:themeColor="text1"/>
          <w:szCs w:val="16"/>
        </w:rPr>
        <w:br/>
        <w:t xml:space="preserve">The LEAs, with assistance from the Regional Special Education Cooperative and the KDE, reviewed student-specific items identified as noncompliant. The KDE required all student-level noncompliance to be corrected as soon as possible but not more than one year from the date of notification of the noncompliance. The LEAs were required to submit status reports to the KDE at least quarterly. </w:t>
      </w:r>
      <w:r w:rsidRPr="00781112">
        <w:rPr>
          <w:rFonts w:cs="Arial"/>
          <w:color w:val="000000" w:themeColor="text1"/>
          <w:szCs w:val="16"/>
        </w:rPr>
        <w:br/>
      </w:r>
      <w:r w:rsidRPr="00781112">
        <w:rPr>
          <w:rFonts w:cs="Arial"/>
          <w:color w:val="000000" w:themeColor="text1"/>
          <w:szCs w:val="16"/>
        </w:rPr>
        <w:br/>
        <w:t xml:space="preserve">The KDE provided guidance, technical assistance and reviewed the evidence submitted to verify the implementation and completion of student-specific corrections. The KDE reviewed the evidence and verified that all six LEAs had corrected each individual case of noncompliance. </w:t>
      </w:r>
      <w:r w:rsidRPr="00781112">
        <w:rPr>
          <w:rFonts w:cs="Arial"/>
          <w:color w:val="000000" w:themeColor="text1"/>
          <w:szCs w:val="16"/>
        </w:rPr>
        <w:br/>
      </w:r>
      <w:r w:rsidRPr="00781112">
        <w:rPr>
          <w:rFonts w:cs="Arial"/>
          <w:color w:val="000000" w:themeColor="text1"/>
          <w:szCs w:val="16"/>
        </w:rPr>
        <w:br/>
        <w:t>With verification of all updated data submitted as 100% compliant in the areas identified, the KDE reported the noncompliance as corrected. The KDE determined all six LEAs corrected all individual cases of noncompliance under OSEP Memorandum 09-02.</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six uncorrected findings of noncompliance identified in FFY 2018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Correction of noncompliance explanations are included in the narratives above.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92.95%</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98.41%</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97.37%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99.40%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93.94%</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96.74%</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2,139</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2,263</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96.74%</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94.52%</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Eight LEAs self-reported noncompliance with the requirements of 34 CFR §300.320(b) and 300.321(b). Additionally, the KDE conducted a desk audit on districts that self-reported 100% compliance. Thirteen out of fifteen reviewed LEAs were found to be noncompliant with the requirements of 34 CFR §300.320(b) and 300.321(b). The 21 total noncompliant LEAs (representing 124 students) were notified in writing of the identified noncompliance and were required to correct this noncompliance as soon as possible, but not more than one year from identification. To understand the slippage that occurred in FFY 2020, root cause analysis activities were conducted at the LEA level. </w:t>
      </w:r>
      <w:r w:rsidRPr="00781112">
        <w:rPr>
          <w:rFonts w:cs="Arial"/>
          <w:color w:val="000000" w:themeColor="text1"/>
          <w:szCs w:val="16"/>
        </w:rPr>
        <w:br/>
      </w:r>
      <w:r w:rsidRPr="00781112">
        <w:rPr>
          <w:rFonts w:cs="Arial"/>
          <w:color w:val="000000" w:themeColor="text1"/>
          <w:szCs w:val="16"/>
        </w:rPr>
        <w:br/>
        <w:t>The KDE determined slippage can be attributed to LEA staff turnover and lack of ongoing monitoring at the LEA level. These data indicated a need for LEAs to examine more closely local level training and communication plans throughout the school year to ensure all staff, including staff who join the LEA later in the school year, receive indicator 13 training and information related to monitoring and local level data review processes. Targeted technical assistance was provided to the LEAs in the identified areas through the corrective action process.</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The KDE collects APR data for indicator 13 by requiring all LEAs to submit a self-assessment report containing randomly selected, child-specific data. The Part B Data Manager provides the self-assessment spreadsheet to all DoSEs to enter the indicator 13 data to be provided to the KDE. LEAs are instructed to randomly select 10% of students who are aged 16 and older with an IEP, identifying for review no fewer than 10 students and no more than 50 students. LEAs with 10 or fewer students aged 16 and older must send data for all students aged 16 and older. </w:t>
      </w:r>
      <w:r w:rsidRPr="00781112">
        <w:rPr>
          <w:rFonts w:cs="Arial"/>
          <w:color w:val="000000" w:themeColor="text1"/>
          <w:szCs w:val="16"/>
        </w:rPr>
        <w:br/>
      </w:r>
      <w:r w:rsidRPr="00781112">
        <w:rPr>
          <w:rFonts w:cs="Arial"/>
          <w:color w:val="000000" w:themeColor="text1"/>
          <w:szCs w:val="16"/>
        </w:rPr>
        <w:br/>
        <w:t xml:space="preserve">The KDE validates the self-reported data submitted by the LEA by completing a review of data. LEAs with identified noncompliance receive written notice of noncompliance and are issued a CAP. The CAP will address both student-specific and systemic noncompliance. Additionally, the KDE conducts desk audits for 10% of the LEAs that report 100% compliance to validate the self-reported data. The KDE randomly reviews 10% of students in the LEA aged 16 or older with an IEP. The KDE uses its Compliance Record Review Document, the data information system and student due process records to determine whether a student’s file is compliant with indicator 13. </w:t>
      </w:r>
      <w:r w:rsidRPr="00781112">
        <w:rPr>
          <w:rFonts w:cs="Arial"/>
          <w:color w:val="000000" w:themeColor="text1"/>
          <w:szCs w:val="16"/>
        </w:rPr>
        <w:br/>
      </w:r>
      <w:r w:rsidRPr="00781112">
        <w:rPr>
          <w:rFonts w:cs="Arial"/>
          <w:color w:val="000000" w:themeColor="text1"/>
          <w:szCs w:val="16"/>
        </w:rPr>
        <w:br/>
        <w:t xml:space="preserve">When the KDE finds, through the self-reported data and desk audits, noncompliance with indicator 13 under the IDEA, the LEA is notified in writing of noncompliance and a CAP is issued to the LEA.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The KDE has analyzed data and has not identified a known COVID-19 impact on the data for this indicator. However, the KDE will continue to review and analyze data to determine if an impact directly related to COVID-19 is present.</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29</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29</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For FFY 2019, 29 LEAs were found noncompliant under indicator 13. When noncompliance was identified by the KDE, a written Report of Findings was issued to the LEA. </w:t>
      </w:r>
      <w:r w:rsidRPr="00781112">
        <w:rPr>
          <w:rFonts w:cs="Arial"/>
          <w:color w:val="000000" w:themeColor="text1"/>
          <w:szCs w:val="16"/>
        </w:rPr>
        <w:br/>
      </w:r>
      <w:r w:rsidRPr="00781112">
        <w:rPr>
          <w:rFonts w:cs="Arial"/>
          <w:color w:val="000000" w:themeColor="text1"/>
          <w:szCs w:val="16"/>
        </w:rPr>
        <w:br/>
        <w:t xml:space="preserve">The LEAs, with assistance as needed from the Regional Special Education Cooperative and the KDE, reviewed student-specific and systemic noncompliance items identified in the Report of Findings and conducted  root cause analyses analysis to determine why problem areas existed. The results of the root cause analyses were utilized to develop meaningful CAPs with action steps to improve LEAs’ practices around transition. Training activities identified on the CAPs were provided by KDE- approved trainers. Prior to the training, the KDE reviewed the training materials to ensure all areas of noncompliance were sufficiently addressed within the training. </w:t>
      </w:r>
      <w:r w:rsidRPr="00781112">
        <w:rPr>
          <w:rFonts w:cs="Arial"/>
          <w:color w:val="000000" w:themeColor="text1"/>
          <w:szCs w:val="16"/>
        </w:rPr>
        <w:br/>
      </w:r>
      <w:r w:rsidRPr="00781112">
        <w:rPr>
          <w:rFonts w:cs="Arial"/>
          <w:color w:val="000000" w:themeColor="text1"/>
          <w:szCs w:val="16"/>
        </w:rPr>
        <w:br/>
        <w:t xml:space="preserve">The KDE required all noncompliance to be corrected as soon as possible but not more than one year from the date of initial notification of the noncompliance. The LEAs were required to submit CAP status reports to the KDE at least quarterly. </w:t>
      </w:r>
      <w:r w:rsidRPr="00781112">
        <w:rPr>
          <w:rFonts w:cs="Arial"/>
          <w:color w:val="000000" w:themeColor="text1"/>
          <w:szCs w:val="16"/>
        </w:rPr>
        <w:br/>
      </w:r>
      <w:r w:rsidRPr="00781112">
        <w:rPr>
          <w:rFonts w:cs="Arial"/>
          <w:color w:val="000000" w:themeColor="text1"/>
          <w:szCs w:val="16"/>
        </w:rPr>
        <w:br/>
        <w:t xml:space="preserve">To verify systemic compliance, the KDE completed a review of updated data through additional student due process records for all LEAs identified with any indicator 13 noncompliance. Additional records were verified as 100% compliant for all identified areas before the KDE determined the LEAs corrected all areas of noncompliance. </w:t>
      </w:r>
      <w:r w:rsidRPr="00781112">
        <w:rPr>
          <w:rFonts w:cs="Arial"/>
          <w:color w:val="000000" w:themeColor="text1"/>
          <w:szCs w:val="16"/>
        </w:rPr>
        <w:br/>
      </w:r>
      <w:r w:rsidRPr="00781112">
        <w:rPr>
          <w:rFonts w:cs="Arial"/>
          <w:color w:val="000000" w:themeColor="text1"/>
          <w:szCs w:val="16"/>
        </w:rPr>
        <w:br/>
        <w:t>With verification of CAP completion and all records verified as 100% compliant in the areas identified, the KDE reported the noncompliance as corrected and closed the CAP. At CAP closure, the KDE determined all 29 LEAs were correctly implementing the regulatory requirements.</w:t>
      </w:r>
      <w:r w:rsidRPr="00781112">
        <w:rPr>
          <w:rFonts w:cs="Arial"/>
          <w:color w:val="000000" w:themeColor="text1"/>
          <w:szCs w:val="16"/>
        </w:rPr>
        <w:br/>
      </w:r>
      <w:r w:rsidRPr="00781112">
        <w:rPr>
          <w:rFonts w:cs="Arial"/>
          <w:color w:val="000000" w:themeColor="text1"/>
          <w:szCs w:val="16"/>
        </w:rPr>
        <w:br/>
        <w:t>For FFY 2019, 14 LEAs were found noncompliant for indicator 13 through the desk audit, and 15 LEAs self-reported noncompliance for indicator 13. The KDE notified the LEAs in writing of the identified noncompliance and were required to correct this noncompliance as soon as possible, but not more than one year from identification. The LEAs, with assistance as needed from the Regional Special Education Cooperative and the KDE, reviewed student-specific and systemic noncompliance items identified in the Report of Findings and conducted root cause analyses to determine why problem areas existed. The results of the root cause analyses were utilized to develop meaningful CAPs with action steps to improve LEAs’ practices around transition. Training activities identified on the CAPs were provided by KDE approved trainers. Prior to the training, the KDE reviewed the training materials to ensure all areas of noncompliance were sufficiently addressed within the training.</w:t>
      </w:r>
      <w:r w:rsidRPr="00781112">
        <w:rPr>
          <w:rFonts w:cs="Arial"/>
          <w:color w:val="000000" w:themeColor="text1"/>
          <w:szCs w:val="16"/>
        </w:rPr>
        <w:br/>
      </w:r>
      <w:r w:rsidRPr="00781112">
        <w:rPr>
          <w:rFonts w:cs="Arial"/>
          <w:color w:val="000000" w:themeColor="text1"/>
          <w:szCs w:val="16"/>
        </w:rPr>
        <w:br/>
        <w:t>To verify the LEAs were correctly implementing the regulatory requirements for Indicator 13, a review of updated data was completed. Verification activities included data reviews and student record reviews. This review of updated data verified 100% compliance; the 29 LEAs were correctly implementing the specific regulatory requirements found in 34 CFR §300.320(b) and 300.321(b).</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For FFY 2019, 29 LEAs were identified as having noncompliant practices under Indicator 13. The KDE reviewed all identified student files. LEAs developed CAPs to address all noncompliance and included the correction of individual cases of noncompliance as part of the CAP activities. </w:t>
      </w:r>
      <w:r w:rsidRPr="00781112">
        <w:rPr>
          <w:rFonts w:cs="Arial"/>
          <w:color w:val="000000" w:themeColor="text1"/>
          <w:szCs w:val="16"/>
        </w:rPr>
        <w:br/>
      </w:r>
      <w:r w:rsidRPr="00781112">
        <w:rPr>
          <w:rFonts w:cs="Arial"/>
          <w:color w:val="000000" w:themeColor="text1"/>
          <w:szCs w:val="16"/>
        </w:rPr>
        <w:br/>
        <w:t xml:space="preserve">The LEAs, with assistance as needed from the Regional Special Education Cooperative and the KDE, reviewed student specific items identified in the Report of Findings. The KDE required all student level noncompliance to be corrected as soon as possible but not more than one year from the date of notification of the noncompliance. LEAs were required to submit CAP status reports to the KDE at least quarterly. LEAs scheduled meetings with IEP teams to review each student file identified with noncompliance to discuss and document correction of the noncompliance. </w:t>
      </w:r>
      <w:r w:rsidRPr="00781112">
        <w:rPr>
          <w:rFonts w:cs="Arial"/>
          <w:color w:val="000000" w:themeColor="text1"/>
          <w:szCs w:val="16"/>
        </w:rPr>
        <w:br/>
      </w:r>
      <w:r w:rsidRPr="00781112">
        <w:rPr>
          <w:rFonts w:cs="Arial"/>
          <w:color w:val="000000" w:themeColor="text1"/>
          <w:szCs w:val="16"/>
        </w:rPr>
        <w:br/>
        <w:t xml:space="preserve">The KDE provided guidance and technical assistance and reviewed evidence submitted by the LEAs to verify the implementation and completion of CAP activities. The KDE reported all individual cases of noncompliance had been corrected when the LEA corrected each individual case of noncompliance consistent with OSEP Memorandum 09-02. </w:t>
      </w:r>
      <w:r w:rsidRPr="00781112">
        <w:rPr>
          <w:rFonts w:cs="Arial"/>
          <w:color w:val="000000" w:themeColor="text1"/>
          <w:szCs w:val="16"/>
        </w:rPr>
        <w:br/>
      </w:r>
      <w:r w:rsidRPr="00781112">
        <w:rPr>
          <w:rFonts w:cs="Arial"/>
          <w:color w:val="000000" w:themeColor="text1"/>
          <w:szCs w:val="16"/>
        </w:rPr>
        <w:br/>
        <w:t xml:space="preserve">The KDE verified, through a record review, that each individual instance of noncompliance was corrected. </w:t>
      </w:r>
      <w:r w:rsidRPr="00781112">
        <w:rPr>
          <w:rFonts w:cs="Arial"/>
          <w:color w:val="000000" w:themeColor="text1"/>
          <w:szCs w:val="16"/>
        </w:rPr>
        <w:br/>
      </w:r>
      <w:r w:rsidRPr="00781112">
        <w:rPr>
          <w:rFonts w:cs="Arial"/>
          <w:color w:val="000000" w:themeColor="text1"/>
          <w:szCs w:val="16"/>
        </w:rPr>
        <w:br/>
        <w:t xml:space="preserve">The individual cases of noncompliance and the additional records reviewed were verified as 100% compliant for Indicator 13 before the KDE determined the LEA to have corrected all noncompliance. </w:t>
      </w:r>
      <w:r w:rsidRPr="00781112">
        <w:rPr>
          <w:rFonts w:cs="Arial"/>
          <w:color w:val="000000" w:themeColor="text1"/>
          <w:szCs w:val="16"/>
        </w:rPr>
        <w:br/>
      </w:r>
      <w:r w:rsidRPr="00781112">
        <w:rPr>
          <w:rFonts w:cs="Arial"/>
          <w:color w:val="000000" w:themeColor="text1"/>
          <w:szCs w:val="16"/>
        </w:rPr>
        <w:br/>
        <w:t>With all records submitted verified as 100% compliant in the areas identified, the KDE reported the noncompliance as corrected. The KDE determined all 29 LEAs corrected all individual cases of noncompliance consistent with OSEP Memorandum 09-02.</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Correction of noncompliance explanations are included in the narratives above.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25.50%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25.50%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25.50%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16.98%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18.02%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18.09%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17.96%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16.98%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17.77%</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55.40%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55.60%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55.80%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54.23%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60.94%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59.39%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59.51%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54.23%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52.19%</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66.10%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66.30%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66.50%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66.70%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69.96%</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69.76%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69.06%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68.87%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69.49%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69.76%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68.05%</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17.15%</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17.15%</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17.63%</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18.11%</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19.08%</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21.00%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53.75%</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53.75%</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54.16%</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54.56%</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55.38%</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57.00%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64.79%</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64.79%</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65.69%</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66.59%</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68.40%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72.00%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lastRenderedPageBreak/>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4,385</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2,536</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57.83%</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435</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928</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42</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238</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435</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2,536</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17.77%</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17.15%</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17.15%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1,363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2,536</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52.19%</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53.75%</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53.75%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1,643</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2,536</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68.05%</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64.79%</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64.79%</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55.20%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57.83%</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KDE is developing a tool for LEAs to collect student contact information prior to high school exit. The state also engaged in interviews with LEAs with very high or very low response rates to learn from them how support can best be offered to increase the response rate. During the reporting window, KDE provides regular updates to all LEAs regarding response rates.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overall response rate was 57.83%, which is slightly higher than the rate in the previous year. This represents 2536 respondents out of a total population of 4385 students aged 14-21 with IEPs who exited special education. When broken down by subgroup, nearly all respondent groups were within three percentage points of their population, indicating a highly representative sample. The four subgroups that were not representative of the populations were those who exited with regular diplomas (overrepresented by 4%), those who exited with alternate diplomas (underrepresented by 4%),  respondents from the Central Kentucky Region (overrepresented by 4%), and respondents from the Greater Louisville Region (underrepresented by 7%). All categories of race, gender and disability type were representative of the population.</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The National Post School Outcomes Center considers respondents to be representative of the population when the percentage of respondents in sub-categories are within three percentage points of their population category. KDE has full population data for students aged 14-21 with IEPs who exited special education and compared this to the demographics of respondents. One geographic region of the state was underrepresented while one was overrepresented. Students who dropped out were underrepresented and students exiting with regular diplomas were overrepresented. In all other areas (race/ethnicity, gender and disability category) respondents were representative of the population. See representativeness table below:</w:t>
      </w:r>
      <w:r w:rsidRPr="008D51F2">
        <w:br/>
        <w:t xml:space="preserve">Category                               Population %            Respondent %            Representativeness </w:t>
      </w:r>
      <w:r w:rsidRPr="008D51F2">
        <w:br/>
        <w:t xml:space="preserve"> </w:t>
      </w:r>
      <w:r w:rsidRPr="008D51F2">
        <w:br/>
        <w:t xml:space="preserve">RACE </w:t>
      </w:r>
      <w:r w:rsidRPr="008D51F2">
        <w:br/>
        <w:t xml:space="preserve">White…………………………………76%…………………78%…………….…… 2% </w:t>
      </w:r>
      <w:r w:rsidRPr="008D51F2">
        <w:br/>
      </w:r>
      <w:r w:rsidRPr="008D51F2">
        <w:lastRenderedPageBreak/>
        <w:t xml:space="preserve">Black…………………………………16%…………………14%………………… -2% </w:t>
      </w:r>
      <w:r w:rsidRPr="008D51F2">
        <w:br/>
        <w:t xml:space="preserve">Hispanic…………………………….…5%……………..……5%…………………..0% </w:t>
      </w:r>
      <w:r w:rsidRPr="008D51F2">
        <w:br/>
        <w:t xml:space="preserve"> </w:t>
      </w:r>
      <w:r w:rsidRPr="008D51F2">
        <w:br/>
        <w:t xml:space="preserve">GENDER </w:t>
      </w:r>
      <w:r w:rsidRPr="008D51F2">
        <w:br/>
        <w:t xml:space="preserve">Male…………………………….……68%…………….……68%………………… 0% </w:t>
      </w:r>
      <w:r w:rsidRPr="008D51F2">
        <w:br/>
        <w:t xml:space="preserve">Female……………….………………32%……………….…32%…………….…. 0% </w:t>
      </w:r>
      <w:r w:rsidRPr="008D51F2">
        <w:br/>
        <w:t xml:space="preserve"> </w:t>
      </w:r>
      <w:r w:rsidRPr="008D51F2">
        <w:br/>
        <w:t xml:space="preserve">EXIT MANNER </w:t>
      </w:r>
      <w:r w:rsidRPr="008D51F2">
        <w:br/>
        <w:t xml:space="preserve">Reg Diploma…………………………83%………………....87%………………. 4% </w:t>
      </w:r>
      <w:r w:rsidRPr="008D51F2">
        <w:br/>
        <w:t xml:space="preserve">Alt Diploma/Aged-Out………………10%………………....10%………………. 0% </w:t>
      </w:r>
      <w:r w:rsidRPr="008D51F2">
        <w:br/>
        <w:t xml:space="preserve">Dropped Out……………………….…7%………….………..3%…………….…  -4% </w:t>
      </w:r>
      <w:r w:rsidRPr="008D51F2">
        <w:br/>
        <w:t xml:space="preserve"> </w:t>
      </w:r>
      <w:r w:rsidRPr="008D51F2">
        <w:br/>
        <w:t xml:space="preserve">DISABILITY </w:t>
      </w:r>
      <w:r w:rsidRPr="008D51F2">
        <w:br/>
        <w:t xml:space="preserve">MMD/FMD……………….………….23%………….…..…..24%……………..… 1% </w:t>
      </w:r>
      <w:r w:rsidRPr="008D51F2">
        <w:br/>
        <w:t xml:space="preserve">SLD…………….……………………27%……….…..……..27%……………..…  0% </w:t>
      </w:r>
      <w:r w:rsidRPr="008D51F2">
        <w:br/>
        <w:t xml:space="preserve">EBD…………………..………….……9%……….……..……7%……………….. -2% </w:t>
      </w:r>
      <w:r w:rsidRPr="008D51F2">
        <w:br/>
        <w:t xml:space="preserve">AUT………………………..…….……9%…..…….…..……10%……………….. 1% </w:t>
      </w:r>
      <w:r w:rsidRPr="008D51F2">
        <w:br/>
        <w:t xml:space="preserve">OHI…………………………….…….24%………………… 24%………………… 0% </w:t>
      </w:r>
      <w:r w:rsidRPr="008D51F2">
        <w:br/>
        <w:t xml:space="preserve">SLI………………………..…….……..2%………………….. 2%………………… 0% </w:t>
      </w:r>
      <w:r w:rsidRPr="008D51F2">
        <w:br/>
        <w:t xml:space="preserve">Multiple…………………..…….……..3%………………….. 3%………………… 0% </w:t>
      </w:r>
      <w:r w:rsidRPr="008D51F2">
        <w:br/>
        <w:t xml:space="preserve"> </w:t>
      </w:r>
      <w:r w:rsidRPr="008D51F2">
        <w:br/>
        <w:t xml:space="preserve">REGION </w:t>
      </w:r>
      <w:r w:rsidRPr="008D51F2">
        <w:br/>
        <w:t xml:space="preserve">CKEC……………….………………15%…………………19%…………………   4% </w:t>
      </w:r>
      <w:r w:rsidRPr="008D51F2">
        <w:br/>
        <w:t xml:space="preserve">GRREC…………….……………….17%…………….…..17%………………….  0% </w:t>
      </w:r>
      <w:r w:rsidRPr="008D51F2">
        <w:br/>
        <w:t xml:space="preserve">KEDC…………………………………7%…………….……7%…………..……..   0% </w:t>
      </w:r>
      <w:r w:rsidRPr="008D51F2">
        <w:br/>
        <w:t xml:space="preserve">KVEC…………………………………7%…………….……8%………………....   1% </w:t>
      </w:r>
      <w:r w:rsidRPr="008D51F2">
        <w:br/>
        <w:t xml:space="preserve">NKCES………………………………..8%…………………9%………………….. 1% </w:t>
      </w:r>
      <w:r w:rsidRPr="008D51F2">
        <w:br/>
        <w:t xml:space="preserve">OVEC…………………………………8%…………………7%………………….. -1% </w:t>
      </w:r>
      <w:r w:rsidRPr="008D51F2">
        <w:br/>
        <w:t xml:space="preserve">SESC………………………………..13%…………..……15%…………………... 2% </w:t>
      </w:r>
      <w:r w:rsidRPr="008D51F2">
        <w:br/>
        <w:t xml:space="preserve">WKEC………………………………...9%…………………0%…………………..  1% </w:t>
      </w:r>
      <w:r w:rsidRPr="008D51F2">
        <w:br/>
        <w:t xml:space="preserve">GLEC……………………………..…15%…………………8%………………….. -7%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As noted in the above table, the FFY 2020 data is representative of the demographics of youth who exited secondary school with an IEP except in four instances. The data showed underrepresentation in one geographic region as well as the percentage of students who dropped out. Likewise, one geographic region showed an overrepresentation and students who exited with a regular diploma were also overrepresented. Though the rates of representativeness for categories of “student manner of exit” are not yet representative of the population, the representativeness has improved since FFY 2019. In all other areas (race/ethnicity, gender, disability category) respondents were representative of the population in FFY 2020. The KDE continues to work with regional special education cooperatives to develop and share strategies to support LEAs in targeting demographic categories which are underrepresented to encourage increased response rates.</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For indicator 14, the state used the representativeness calculator developed by the National Post School Outcomes Center. This method considers respondents to be representative of the population when the percentage of respondents in sub-categories are within three percentage points of their population category. The KDE has complete population data for students aged 14-21 with IEPs who exited special education with an IEP and compared this to demographics of respondents.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The data did reveal an impact from COVID-19 on Indicator 14. The response rate increased from the previous year and remained within the parameters of the last several years. Rates of competitive employment increased for respondents this year. There was a slight decrease in the rate of former students pursuing higher education (17.2%, down from 17.8%) and other postsecondary education (3.9%, down from 6.7%). The KDE asked whether those respondents who were not competitively employed or enrolled in higher education were unengaged in each manner due to the pandemic. Within the survey results, 8.5% indicated COVID-19 was a reason for lack of competitive employment, and 7.1% for higher education. </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lastRenderedPageBreak/>
        <w:t>As noted in the above table, the FFY 2020 data is representative of the demographics of youth who exited secondary school with an IEP except in four instances. The data showed underrepresentation in one geographic region as well as the percentage of students who dropped out. Likewise, one geographic region showed an overrepresentation and students who exited with a regular diploma were also overrepresented. Though the rates of representativeness for categories of “student manner of exit” are not yet representative of the population, the representativeness has improved since FFY 2019. In all other areas (race/ethnicity, gender, disability category) respondents were representative of the population in FFY 2020. The KDE continues to work with regional special education cooperatives to develop and share strategies to support LEAs in targeting demographic categories which are underrepresented to encourage increased response rates.</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w:t>
      </w:r>
      <w:r w:rsidRPr="00781112">
        <w:rPr>
          <w:rFonts w:cs="Arial"/>
          <w:color w:val="000000" w:themeColor="text1"/>
          <w:szCs w:val="16"/>
        </w:rPr>
        <w:lastRenderedPageBreak/>
        <w:t xml:space="preserve">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43B1695A" w14:textId="2970A905" w:rsidR="000A2C83" w:rsidRPr="00781112" w:rsidRDefault="000A2C83" w:rsidP="000A2C83">
      <w:pPr>
        <w:rPr>
          <w:rFonts w:cs="Arial"/>
          <w:color w:val="000000" w:themeColor="text1"/>
          <w:szCs w:val="16"/>
        </w:rPr>
      </w:pP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2017</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45.45%</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70.00%-80.00%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70.00%-80.00%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70.00% - 80.00%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70.00% - 80.00%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70.00%-80.00%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44.44%</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82.35%</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45.45%</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34.62%</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35.71%</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45.45%</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45.45%</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46.02%</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46.59%</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47.73%</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50.00%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35.71%</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45.45%</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 xml:space="preserve">The baseline was set to 2017 due to updates made to the location of the KDE’s dispute resolution webpage. Data collected in years following the location change show increased use of the dispute resolution processes by families of students with disabilities. </w:t>
      </w:r>
      <w:r w:rsidRPr="00781112">
        <w:rPr>
          <w:rFonts w:cs="Arial"/>
          <w:color w:val="000000" w:themeColor="text1"/>
          <w:szCs w:val="16"/>
        </w:rPr>
        <w:br/>
      </w:r>
      <w:r w:rsidRPr="00781112">
        <w:rPr>
          <w:rFonts w:cs="Arial"/>
          <w:color w:val="000000" w:themeColor="text1"/>
          <w:szCs w:val="16"/>
        </w:rPr>
        <w:br/>
        <w:t xml:space="preserve">As part of the response to COVID-19, the KDE updated guidance regarding dispute resolution processes available under the IDEA. Due to the prolonged temporary transition of the KDE to fully remote telework, updated provisions came into effect on March 16, 2020 to provide continuation of services for those parties involved in the dispute resolution process. Updated provisions can be found on the KDE dispute resolution webpage at https://education.ky.gov/specialed/Documents/COVIDDispResProcUpd.docx. </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2017, and OSEP accepts that revision.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The State reported fewer than ten resolution sessions held in FFY 2020. The State is not required to meet its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rFonts w:cs="Arial"/>
          <w:color w:val="000000" w:themeColor="text1"/>
          <w:szCs w:val="16"/>
        </w:rPr>
        <w:br/>
      </w:r>
      <w:r w:rsidRPr="00781112">
        <w:rPr>
          <w:rFonts w:cs="Arial"/>
          <w:color w:val="000000" w:themeColor="text1"/>
          <w:szCs w:val="16"/>
        </w:rPr>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rFonts w:cs="Arial"/>
          <w:color w:val="000000" w:themeColor="text1"/>
          <w:szCs w:val="16"/>
        </w:rPr>
        <w:br/>
      </w:r>
      <w:r w:rsidRPr="00781112">
        <w:rPr>
          <w:rFonts w:cs="Arial"/>
          <w:color w:val="000000" w:themeColor="text1"/>
          <w:szCs w:val="16"/>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rFonts w:cs="Arial"/>
          <w:color w:val="000000" w:themeColor="text1"/>
          <w:szCs w:val="16"/>
        </w:rPr>
        <w:br/>
      </w:r>
      <w:r w:rsidRPr="00781112">
        <w:rPr>
          <w:rFonts w:cs="Arial"/>
          <w:color w:val="000000" w:themeColor="text1"/>
          <w:szCs w:val="16"/>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rFonts w:cs="Arial"/>
          <w:color w:val="000000" w:themeColor="text1"/>
          <w:szCs w:val="16"/>
        </w:rPr>
        <w:br/>
      </w:r>
      <w:r w:rsidRPr="00781112">
        <w:rPr>
          <w:rFonts w:cs="Arial"/>
          <w:color w:val="000000" w:themeColor="text1"/>
          <w:szCs w:val="16"/>
        </w:rPr>
        <w:br/>
        <w:t xml:space="preserve">Following each target setting meeting, participating stakeholders were encouraged to broadly share the information presented and to provide any </w:t>
      </w:r>
      <w:r w:rsidRPr="00781112">
        <w:rPr>
          <w:rFonts w:cs="Arial"/>
          <w:color w:val="000000" w:themeColor="text1"/>
          <w:szCs w:val="16"/>
        </w:rPr>
        <w:lastRenderedPageBreak/>
        <w:t xml:space="preserve">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rFonts w:cs="Arial"/>
          <w:color w:val="000000" w:themeColor="text1"/>
          <w:szCs w:val="16"/>
        </w:rPr>
        <w:br/>
      </w:r>
      <w:r w:rsidRPr="00781112">
        <w:rPr>
          <w:rFonts w:cs="Arial"/>
          <w:color w:val="000000" w:themeColor="text1"/>
          <w:szCs w:val="16"/>
        </w:rPr>
        <w:br/>
        <w:t>Another avenue for capturing feedback was Kentucky’s State Advisory Panel for Exceptional Children (SAPEC) which provides guidance to the KDE with respect to special education and related services for students with disabilities in Kentucky.</w:t>
      </w:r>
      <w:r w:rsidRPr="00781112">
        <w:rPr>
          <w:rFonts w:cs="Arial"/>
          <w:color w:val="000000" w:themeColor="text1"/>
          <w:szCs w:val="16"/>
        </w:rPr>
        <w:br/>
      </w:r>
      <w:r w:rsidRPr="00781112">
        <w:rPr>
          <w:rFonts w:cs="Arial"/>
          <w:color w:val="000000" w:themeColor="text1"/>
          <w:szCs w:val="16"/>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rFonts w:cs="Arial"/>
          <w:color w:val="000000" w:themeColor="text1"/>
          <w:szCs w:val="16"/>
        </w:rPr>
        <w:br/>
      </w:r>
      <w:r w:rsidRPr="00781112">
        <w:rPr>
          <w:rFonts w:cs="Arial"/>
          <w:color w:val="000000" w:themeColor="text1"/>
          <w:szCs w:val="16"/>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rFonts w:cs="Arial"/>
          <w:color w:val="000000" w:themeColor="text1"/>
          <w:szCs w:val="16"/>
        </w:rPr>
        <w:br/>
        <w:t xml:space="preserve"> </w:t>
      </w:r>
      <w:r w:rsidRPr="00781112">
        <w:rPr>
          <w:rFonts w:cs="Arial"/>
          <w:color w:val="000000" w:themeColor="text1"/>
          <w:szCs w:val="16"/>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rFonts w:cs="Arial"/>
          <w:color w:val="000000" w:themeColor="text1"/>
          <w:szCs w:val="16"/>
        </w:rPr>
        <w:br/>
      </w:r>
      <w:r w:rsidRPr="00781112">
        <w:rPr>
          <w:rFonts w:cs="Arial"/>
          <w:color w:val="000000" w:themeColor="text1"/>
          <w:szCs w:val="16"/>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2017</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66.67%</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61.00%-85.00%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61.00%-85.00%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61.00%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61.00% - 85.00%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61.00%-85.00%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40.00%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37.50%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66.67%</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75.00%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66.67%</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66.67%</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67.71%</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68.75%</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70.84%</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75.00%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75.00%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66.67%</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baseline was set to 2017 due to updates made to the location of the KDE’s dispute resolution webpage. Data collected in years following the location change show increased use of the dispute resolution processes by families of students with disabilities.</w:t>
      </w:r>
      <w:r w:rsidRPr="00781112">
        <w:rPr>
          <w:rFonts w:cs="Arial"/>
          <w:color w:val="000000" w:themeColor="text1"/>
          <w:szCs w:val="16"/>
        </w:rPr>
        <w:br/>
      </w:r>
      <w:r w:rsidRPr="00781112">
        <w:rPr>
          <w:rFonts w:cs="Arial"/>
          <w:color w:val="000000" w:themeColor="text1"/>
          <w:szCs w:val="16"/>
        </w:rPr>
        <w:br/>
        <w:t xml:space="preserve">As part of the response to COVID-19, the KDE updated guidance regarding dispute resolution processes available under the IDEA. Due to prolonged temporary transition of the KDE to fully remote telework, updated provisions came into effect on March 16, 2020 to provide continuation of services for those parties involved in the dispute resolution process. Updated provisions can be found on the KDE dispute resolution webpage at https://education.ky.gov/specialed/Documents/COVIDDispResProcUpd.docx. </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lastRenderedPageBreak/>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2017, and OSEP accepts that revision.</w:t>
      </w:r>
      <w:r w:rsidRPr="00781112">
        <w:rPr>
          <w:rFonts w:cs="Arial"/>
          <w:color w:val="000000" w:themeColor="text1"/>
          <w:szCs w:val="16"/>
        </w:rPr>
        <w:br/>
      </w:r>
      <w:r w:rsidRPr="00781112">
        <w:rPr>
          <w:rFonts w:cs="Arial"/>
          <w:color w:val="000000" w:themeColor="text1"/>
          <w:szCs w:val="16"/>
        </w:rPr>
        <w:b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The State reported fewer than ten mediations held in FFY 2020. The State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 xml:space="preserve">To increase the percentage of students with disabilities performing at or above proficient in middle school math, specifically at the 8th grade level, with emphasis on reducing novice performance, by providing professional learning, technical assistance and support to elementary and middle school teachers around implementing, scaling and sustaining Positive Behavioral Interventions and Supports (PBIS) and evidence-based practices in math. </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Kentucky's Theory of Action may be found at https://education.ky.gov/specialed/excep/instresources/Documents/SSIPTheoryofAction.pdf.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7" w:name="_Hlk88409365"/>
      <w:r w:rsidRPr="00730C62">
        <w:rPr>
          <w:b/>
          <w:bCs/>
          <w:szCs w:val="16"/>
        </w:rPr>
        <w:t>just</w:t>
      </w:r>
      <w:r w:rsidR="006457D1">
        <w:rPr>
          <w:b/>
          <w:bCs/>
          <w:szCs w:val="16"/>
        </w:rPr>
        <w:t>i</w:t>
      </w:r>
      <w:r w:rsidRPr="00730C62">
        <w:rPr>
          <w:b/>
          <w:bCs/>
          <w:szCs w:val="16"/>
        </w:rPr>
        <w:t>fication</w:t>
      </w:r>
      <w:bookmarkEnd w:id="87"/>
      <w:r w:rsidRPr="00730C62">
        <w:rPr>
          <w:b/>
          <w:bCs/>
          <w:szCs w:val="16"/>
        </w:rPr>
        <w:t xml:space="preserve"> for the changes.</w:t>
      </w:r>
    </w:p>
    <w:p w14:paraId="168D53FB" w14:textId="164A8367" w:rsidR="00CF0910" w:rsidRDefault="00CF0910" w:rsidP="00CF0910">
      <w:r w:rsidRPr="00781112">
        <w:t xml:space="preserve">TZ Scale-Up-- </w:t>
      </w:r>
      <w:r w:rsidRPr="00781112">
        <w:br/>
        <w:t xml:space="preserve">Phase III:5 (p. 41) described plans for mutually selecting additional regions and districts to participate as a TZ during the summer of 2021. Based on feedback from stakeholders (regions, districts), this timeline was adjusted, due to the pandemic, to allow current TZs to focus on the competency drivers by providing virtual training and coaching. As in-person instruction resumed, scaling continued across the TZ. </w:t>
      </w:r>
      <w:r w:rsidRPr="00781112">
        <w:br/>
        <w:t xml:space="preserve">Cohort 1: mutually selected three additional Building Implementation Teams (BITs) </w:t>
      </w:r>
      <w:r w:rsidRPr="00781112">
        <w:br/>
        <w:t xml:space="preserve">Cohort 2: mutually selected four additional BITs in Spring 2021 </w:t>
      </w:r>
      <w:r w:rsidRPr="00781112">
        <w:br/>
        <w:t xml:space="preserve">Cohort 3: began the installation process with two District Implementation Teams (DITs) that were mutually selected during FFY19 and are installing BITs </w:t>
      </w:r>
      <w:r w:rsidRPr="00781112">
        <w:br/>
        <w:t xml:space="preserve">Cohort 4: One region mutually selected to join the TZ. This region is currently installing a RIT and will begin exploring with districts in Spring 2022. </w:t>
      </w:r>
      <w:r w:rsidRPr="00781112">
        <w:br/>
        <w:t xml:space="preserve"> </w:t>
      </w:r>
      <w:r w:rsidRPr="00781112">
        <w:br/>
        <w:t xml:space="preserve">State Management Team (SMT)-- </w:t>
      </w:r>
      <w:r w:rsidRPr="00781112">
        <w:br/>
        <w:t xml:space="preserve">The SMT, which consists of executive leaders within the KDE, adjusted meeting frequency and duration based on stakeholder feedback and State Capacity Assessment (SCA) data. Meeting monthly did not allow enough time between meetings to gather sufficient data to facilitate meaningful conversations. However, the SMT determined the team would like to increase the duration of meetings to review data, make decisions and support removing implementation barriers to impact the SiMR. </w:t>
      </w:r>
      <w:r w:rsidRPr="00781112">
        <w:br/>
        <w:t xml:space="preserve"> </w:t>
      </w:r>
      <w:r w:rsidRPr="00781112">
        <w:br/>
        <w:t xml:space="preserve">State Design Team (SDT)-- </w:t>
      </w:r>
      <w:r w:rsidRPr="00781112">
        <w:br/>
        <w:t>The SDT, which is a representative group of stakeholders from across the state, is continuing to co-create a PBIS Practice Profile. The team attempted to continue regular meetings. However, due to the ongoing pandemic the meeting schedule was adjusted. Once the PBIS Practice Profile is completed, team members will be repurposed to create the District Data Implementation Team. This team will focus on the development of behavior implementation data within the current data dashboard.</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8.26%</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lastRenderedPageBreak/>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8.26%</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10.41%</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12.56%</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14.70%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16.85%</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19.00%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Children with IEPs Scoring At or Above Proficient Against 8th Grade Level Math Achievement Standards</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Children with IEPs who Received a Valid Score and for whom a Proficiency Level was Assigned for the Regular Assessment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404</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4,893</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8.26%</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8.26%</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Same data as used for reporting to the Department under Title I of the ESEA using EDFacts file specifications FS175 and 178. </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SiMR uses the KSA data to measure the percentage of students with disabilities performing at or above proficiency in math at the eighth-grade level. Proficiency rate includes both children with IEPs enrolled for a full academic year and those not enrolled for a full academic year. The SiMR data and target are aligned with Indicator 3B for eighth-grade mathematics.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Capacity Assessments-- </w:t>
      </w:r>
      <w:r w:rsidRPr="00781112">
        <w:rPr>
          <w:color w:val="000000" w:themeColor="text1"/>
        </w:rPr>
        <w:br/>
        <w:t xml:space="preserve">Capacity Assessment data are used to inform the system of support at all levels (State, Region, District, School). Implementation teams use these data to develop/refine action plans to improve infrastructure to support the effective use of evidence-based practices (EBP). </w:t>
      </w:r>
      <w:r w:rsidRPr="00781112">
        <w:rPr>
          <w:color w:val="000000" w:themeColor="text1"/>
        </w:rPr>
        <w:br/>
        <w:t xml:space="preserve"> </w:t>
      </w:r>
      <w:r w:rsidRPr="00781112">
        <w:rPr>
          <w:color w:val="000000" w:themeColor="text1"/>
        </w:rPr>
        <w:br/>
        <w:t xml:space="preserve">Active Implementation Frameworks (AIF) Training Outcome Data-- </w:t>
      </w:r>
      <w:r w:rsidRPr="00781112">
        <w:rPr>
          <w:color w:val="000000" w:themeColor="text1"/>
        </w:rPr>
        <w:br/>
        <w:t xml:space="preserve">TZ implementation teams at the regional and district level receive training in implementation science fundamentals during the installation phase. A series of pre/post knowledge quizzes and post-training participation surveys are collected. </w:t>
      </w:r>
      <w:r w:rsidRPr="00781112">
        <w:rPr>
          <w:color w:val="000000" w:themeColor="text1"/>
        </w:rPr>
        <w:br/>
        <w:t xml:space="preserve"> </w:t>
      </w:r>
      <w:r w:rsidRPr="00781112">
        <w:rPr>
          <w:color w:val="000000" w:themeColor="text1"/>
        </w:rPr>
        <w:br/>
        <w:t xml:space="preserve">Evidence-Based Trainings Outcome Data-- </w:t>
      </w:r>
      <w:r w:rsidRPr="00781112">
        <w:rPr>
          <w:color w:val="000000" w:themeColor="text1"/>
        </w:rPr>
        <w:br/>
        <w:t xml:space="preserve">Districts are responsible for the provision of EBP trainings for administrators and teachers. DITs are encouraged to collect math training component worksheets that align training development to adult learning strategies and the Kentucky Math Practice Profile. Participants in the training complete the Math Training Efficacy survey. When appropriate, math trainings also include a pre/post knowledge assessment. </w:t>
      </w:r>
      <w:r w:rsidRPr="00781112">
        <w:rPr>
          <w:color w:val="000000" w:themeColor="text1"/>
        </w:rPr>
        <w:br/>
      </w:r>
      <w:r w:rsidRPr="00781112">
        <w:rPr>
          <w:color w:val="000000" w:themeColor="text1"/>
        </w:rPr>
        <w:br/>
        <w:t xml:space="preserve">EBP Fidelity Instrument Training Data-- </w:t>
      </w:r>
      <w:r w:rsidRPr="00781112">
        <w:rPr>
          <w:color w:val="000000" w:themeColor="text1"/>
        </w:rPr>
        <w:br/>
        <w:t xml:space="preserve">Kentucky supports the use of two teaching fidelity measures. Districts receive training and coaching when installing the Kentucky Mathematics Innovation Tool (KMIT) or the Observation Tool for Instructional Supports and Systems (OTISS) to normalize scoring within the TZ and to ensure districts’ inter-rater reliability. Post-training participant surveys are collected. </w:t>
      </w:r>
      <w:r w:rsidRPr="00781112">
        <w:rPr>
          <w:color w:val="000000" w:themeColor="text1"/>
        </w:rPr>
        <w:br/>
      </w:r>
      <w:r w:rsidRPr="00781112">
        <w:rPr>
          <w:color w:val="000000" w:themeColor="text1"/>
        </w:rPr>
        <w:br/>
        <w:t xml:space="preserve">EBP Fidelity Data (OTISS or KMIT)-- </w:t>
      </w:r>
      <w:r w:rsidRPr="00781112">
        <w:rPr>
          <w:color w:val="000000" w:themeColor="text1"/>
        </w:rPr>
        <w:br/>
        <w:t xml:space="preserve">In Kentucky, districts have the option to use the OTISS or the KMIT to measure fidelity of EBP implementation. As schools returned to in-person instruction in Fall 2021, regions were able to return to the original face-to-face observation infrastructure. </w:t>
      </w:r>
      <w:r w:rsidRPr="00781112">
        <w:rPr>
          <w:color w:val="000000" w:themeColor="text1"/>
        </w:rPr>
        <w:br/>
        <w:t xml:space="preserve"> </w:t>
      </w:r>
      <w:r w:rsidRPr="00781112">
        <w:rPr>
          <w:color w:val="000000" w:themeColor="text1"/>
        </w:rPr>
        <w:br/>
        <w:t xml:space="preserve">Student Mathematics Benchmark data (Universal Screener)-- </w:t>
      </w:r>
      <w:r w:rsidRPr="00781112">
        <w:rPr>
          <w:color w:val="000000" w:themeColor="text1"/>
        </w:rPr>
        <w:br/>
        <w:t xml:space="preserve">Districts are encouraged to submit benchmark data and analysis three times per year using a mathematics universal screener. Baseline data for Fall 2021 is being used to track progress within the TZ. Districts are expected to continue collection and analysis in Winter 2021 and Spring 2022. </w:t>
      </w:r>
      <w:r w:rsidRPr="00781112">
        <w:rPr>
          <w:color w:val="000000" w:themeColor="text1"/>
        </w:rPr>
        <w:br/>
        <w:t xml:space="preserve"> </w:t>
      </w:r>
      <w:r w:rsidRPr="00781112">
        <w:rPr>
          <w:color w:val="000000" w:themeColor="text1"/>
        </w:rPr>
        <w:br/>
        <w:t xml:space="preserve">Annual Linked Teaming Coaching Survey-- </w:t>
      </w:r>
      <w:r w:rsidRPr="00781112">
        <w:rPr>
          <w:color w:val="000000" w:themeColor="text1"/>
        </w:rPr>
        <w:br/>
        <w:t xml:space="preserve">The Annual Linked Teaming Coaching Survey is a common survey given to each level of the linked teaming infrastructure that is collected annually (Fall 2021) to assess the system of support. Of 365 survey requests sent out, 143 were returned for a 39% response rate.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 xml:space="preserve">Describe any data quality issues, unrelated to COVID-19, specific to the </w:t>
      </w:r>
      <w:proofErr w:type="spellStart"/>
      <w:r w:rsidRPr="00781112">
        <w:rPr>
          <w:rFonts w:cs="Arial"/>
          <w:b/>
          <w:bCs/>
        </w:rPr>
        <w:t>SiMR</w:t>
      </w:r>
      <w:proofErr w:type="spellEnd"/>
      <w:r w:rsidRPr="00781112">
        <w:rPr>
          <w:rFonts w:cs="Arial"/>
          <w:b/>
          <w:bCs/>
        </w:rPr>
        <w:t xml:space="preserve">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 xml:space="preserve">Previously called the Kentucky Performance Rating for Educational Progress, Kentucky students now take the KSA to meet federal and state testing requirements. The KSA was developed by Kentucky teachers, aligns to the Kentucky Academic Standards in each content area and is administered online with only a small percentage of accommodated students taking the assessment on paper. With the state-wide change in assessment, it is difficult for implementation teams to use longitudinal data for decision making. Teams will receive training and support on using additional data (benchmark, fidelity, capacity) to support decision making to impact the SiMR. Stakeholders considered the changes to the state assessment and the resetting of baseline data addresses this concern. </w:t>
      </w:r>
      <w:r w:rsidRPr="00781112">
        <w:rPr>
          <w:color w:val="000000" w:themeColor="text1"/>
        </w:rPr>
        <w:br/>
        <w:t xml:space="preserve"> </w:t>
      </w:r>
      <w:r w:rsidRPr="00781112">
        <w:rPr>
          <w:color w:val="000000" w:themeColor="text1"/>
        </w:rPr>
        <w:br/>
        <w:t xml:space="preserve">Several RIT members gave specific feedback on the Annual Linked Teaming Coaching Survey about changes to some data collection components and asking that the dashboards be more user-friendly. In response, the State Transformation Specialists (STSs) created a Data Dashboard Guidance document that was offered for initial draft review at the November 2021 All TZ Meeting. Also, the Annual Linked Teaming Coaching Survey results </w:t>
      </w:r>
      <w:r w:rsidRPr="00781112">
        <w:rPr>
          <w:color w:val="000000" w:themeColor="text1"/>
        </w:rPr>
        <w:lastRenderedPageBreak/>
        <w:t xml:space="preserve">included several BIT members commenting that some teachers were not receiving walkthrough data or consistent feedback on that data. The STSs shared this feedback with the RITs who plan to guide DITs in doing a root cause analysis of this concern during Spring 2022 meetings. </w:t>
      </w:r>
      <w:r w:rsidRPr="00781112">
        <w:rPr>
          <w:color w:val="000000" w:themeColor="text1"/>
        </w:rPr>
        <w:br/>
        <w:t xml:space="preserve"> </w:t>
      </w:r>
      <w:r w:rsidRPr="00781112">
        <w:rPr>
          <w:color w:val="000000" w:themeColor="text1"/>
        </w:rPr>
        <w:br/>
        <w:t xml:space="preserve">The Annual Linked Teaming Coaching Survey was collected in late-Fall of 2021, limiting the opportunity to fully unpack data results with all stakeholders. While some inconsistencies exist between the opinions of participants at each level of the linked-teaming infrastructure, consistency will be pursued through additional data analysis discussions and professional development at the All TZ meetings. </w:t>
      </w:r>
      <w:r w:rsidRPr="00781112">
        <w:rPr>
          <w:color w:val="000000" w:themeColor="text1"/>
        </w:rPr>
        <w:br/>
        <w:t xml:space="preserve"> </w:t>
      </w:r>
      <w:r w:rsidRPr="00781112">
        <w:rPr>
          <w:color w:val="000000" w:themeColor="text1"/>
        </w:rPr>
        <w:br/>
        <w:t xml:space="preserve">The smaller scope of TZ-based work limits the n-size of surveys, capacity assessments and fidelity measures. Generalizability of findings is inhibited by these small n-sizes. Successful rounds of scale-up have diminished the low n-size for many instruments and future trend analysis is expected to be more stable. </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KSA--  </w:t>
      </w:r>
      <w:r w:rsidRPr="00781112">
        <w:rPr>
          <w:color w:val="000000" w:themeColor="text1"/>
        </w:rPr>
        <w:br/>
        <w:t xml:space="preserve">For the 2020-2021 KSA, students were required to participate with a trained facilitator for the administration of the assessment. Participation on the KSA was lower due to COVID-19 and in-person testing requirements. Comparisons with previous years are not appropriate because of the number of test takers, changes to the assessment and modified instructional settings (See additional information in Section C for more details). To mitigate the impact of COVID-19 and in-person teaching requirements, the KDE released the KSA Administration Guidance 2020-2021 School Year (https://education.ky.gov/comm/Documents/2020-2021%20Assessment%20Guidance%20Document.pdf) to support districts in developing a plan to test students, including those participating in virtual learning. </w:t>
      </w:r>
      <w:r w:rsidRPr="00781112">
        <w:rPr>
          <w:color w:val="000000" w:themeColor="text1"/>
        </w:rPr>
        <w:br/>
      </w:r>
      <w:r w:rsidRPr="00781112">
        <w:rPr>
          <w:color w:val="000000" w:themeColor="text1"/>
        </w:rPr>
        <w:br/>
        <w:t xml:space="preserve">Training Data-- </w:t>
      </w:r>
      <w:r w:rsidRPr="00781112">
        <w:rPr>
          <w:color w:val="000000" w:themeColor="text1"/>
        </w:rPr>
        <w:br/>
        <w:t xml:space="preserve">Training data within the data dashboard is limited. Although there has been a focus on the competency drivers, staff shortages have hindered participation in the trainings offered to improve the use of EBP in the classroom. Teacher recruitment and retention has been affected by the COVID-19 pandemic. As a result, district operations have been impacted and staff have taken on additional duties. This has limited the ability to plan and collect training effectiveness data. To mitigate the impact of COVID-19, trainings have been postponed or adapted to accommodate the needs of districts due to the demands placed on them by the COVID-19 pandemic. These training adaptations have been conducted under the technical assistance of the linked-teaming infrastructure (primarily the RITs and DITs) to best ensure the continued use of EBPs. </w:t>
      </w:r>
      <w:r w:rsidRPr="00781112">
        <w:rPr>
          <w:color w:val="000000" w:themeColor="text1"/>
        </w:rPr>
        <w:br/>
        <w:t xml:space="preserve"> </w:t>
      </w:r>
      <w:r w:rsidRPr="00781112">
        <w:rPr>
          <w:color w:val="000000" w:themeColor="text1"/>
        </w:rPr>
        <w:br/>
        <w:t xml:space="preserve">Capacity data-- </w:t>
      </w:r>
      <w:r w:rsidRPr="00781112">
        <w:rPr>
          <w:color w:val="000000" w:themeColor="text1"/>
        </w:rPr>
        <w:br/>
        <w:t xml:space="preserve">On the Annual Linked Teaming Coaching Survey, many BIT members described barriers to school action plans. The survey was collected in the late Fall and captured the sentiments of teams at that time and are not representative of this entire SSIP phase. Evaluators analyzed participant responses and coded comments by theme. These themes help generate questions for the system of support. The most frequent theme of feedback was educators feeling overwhelmed: i.e., “There is so much going on this year that I feel like I can’t do anything really well.” Amid being overloaded, many participants expressed that schools can’t find the “time to plan and effectively implement” the SSIP strategies. A few BITs also shared that a lack of onsite instructional coaching support was a barrier. The ability of implementation teams across the linked teaming structure to schedule and conduct capacity assessments every six months has also been impacted. The SCA took an extra four months to collect, several Regional Capacity Assessments (RCA) were delayed and three districts and seven schools were unable to complete a capacity assessment during this phase. The state focused on teacher training and support, or the competency driver, to mitigate the impact of COVID-19 on the team’s capacity to support the implementation of EBPs. </w:t>
      </w:r>
      <w:r w:rsidRPr="00781112">
        <w:rPr>
          <w:color w:val="000000" w:themeColor="text1"/>
        </w:rPr>
        <w:br/>
        <w:t xml:space="preserve"> </w:t>
      </w:r>
      <w:r w:rsidRPr="00781112">
        <w:rPr>
          <w:color w:val="000000" w:themeColor="text1"/>
        </w:rPr>
        <w:br/>
        <w:t xml:space="preserve">Fidelity Measurement and Student Benchmarks Data-- </w:t>
      </w:r>
      <w:r w:rsidRPr="00781112">
        <w:rPr>
          <w:color w:val="000000" w:themeColor="text1"/>
        </w:rPr>
        <w:br/>
        <w:t xml:space="preserve">The BITs shared in the Annual Linked Teaming Coaching Survey several examples of the enduring impact of COVID-19 and the challenges they are facing. Several responses described increased absences of teachers and students this year: i.e., “I have 31 students just in one of my elementary classes. For two weeks, 16 of them were present because of quarantines.” A lack of substitute teachers has required BIT members to stay after school to do implementation work and limited opportunities to coach other teachers. BIT members stated that a growing number of students lack motivation and engagement, that students’ behavior problems are more severe, often “because of the lack of routine from the past 18 months” and that “the missed year of true schooling has been devastating to student mental health and their skills.” Quarantine of staff and students has negatively affected the collection of student benchmark data and teacher fidelity observations. Specifically, there was a large drop in late fall 2021 KMIT and OTISS data submissions. To mitigate the impact of COVID-19, the KDE is continuing to communicate the importance of data collection and analysis. To support quality data collection and analysis at each level of the system (state, region, district, school), the KDE developed a Data Dashboard Guidance document and is conducting usability testing to make improvements.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https://education.ky.gov/specialed/excep/instresources/Documents/KySSIPEvalPlan.pdf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Scale-up to Additional Regions, Districts and Schools – </w:t>
      </w:r>
      <w:r w:rsidRPr="00781112">
        <w:rPr>
          <w:color w:val="000000" w:themeColor="text1"/>
        </w:rPr>
        <w:br/>
        <w:t xml:space="preserve">The TZ includes a total of seven regions, 10 districts and 30 schools divided into four cohorts based on the year the region joined. </w:t>
      </w:r>
      <w:r w:rsidRPr="00781112">
        <w:rPr>
          <w:color w:val="000000" w:themeColor="text1"/>
        </w:rPr>
        <w:br/>
        <w:t xml:space="preserve"> </w:t>
      </w:r>
      <w:r w:rsidRPr="00781112">
        <w:rPr>
          <w:color w:val="000000" w:themeColor="text1"/>
        </w:rPr>
        <w:br/>
        <w:t xml:space="preserve">Cohort 1 Regions (n=2): Cohort 1 continued to focus on implementation drivers to build teacher competency and readiness before proceeding with scaling-up activities. Cohort 1 experienced a high rate of turnover at the district and building level. Cohort 1 regions have continued to focus on supporting new implementation team members. Three additional schools joined Cohort 1. One district chose to mutually deselect from the TZ due to staff turnover at the district and school level and the additional demands of the COVID-19 pandemic. </w:t>
      </w:r>
      <w:r w:rsidRPr="00781112">
        <w:rPr>
          <w:color w:val="000000" w:themeColor="text1"/>
        </w:rPr>
        <w:br/>
        <w:t xml:space="preserve">Cohort 2 Regions (n=3): Cohort 2 scaled to four new schools and maintained a focus on implementation drivers to build teacher capacity. A Cohort 2 region began collaboration with the RTCs to bridge support to preschool students. One district from Cohort 2 chose to mutually deselect from the TZ because of staff turnover and the uncertainties associated with the COVID-19 pandemic. </w:t>
      </w:r>
      <w:r w:rsidRPr="00781112">
        <w:rPr>
          <w:color w:val="000000" w:themeColor="text1"/>
        </w:rPr>
        <w:br/>
        <w:t xml:space="preserve">Cohort 3 Regions (n=1): Cohort 3 began installation activities with 2 districts and each district mutually selected with one school. Installation of training </w:t>
      </w:r>
      <w:r w:rsidRPr="00781112">
        <w:rPr>
          <w:color w:val="000000" w:themeColor="text1"/>
        </w:rPr>
        <w:lastRenderedPageBreak/>
        <w:t xml:space="preserve">and coaching for the first cohort of districts occurred and building-level teams were selected. </w:t>
      </w:r>
      <w:r w:rsidRPr="00781112">
        <w:rPr>
          <w:color w:val="000000" w:themeColor="text1"/>
        </w:rPr>
        <w:br/>
        <w:t xml:space="preserve">Cohort 4 Regions (n=1): An additional region mutually selected to participate as a TZ. The region focused on the installation of training and coaching from the state team. Cohort 4 completed two RCAs and used the results to action plan and continue building readiness to scale to districts in Spring 2022. </w:t>
      </w:r>
      <w:r w:rsidRPr="00781112">
        <w:rPr>
          <w:color w:val="000000" w:themeColor="text1"/>
        </w:rPr>
        <w:br/>
      </w:r>
      <w:r w:rsidRPr="00781112">
        <w:rPr>
          <w:color w:val="000000" w:themeColor="text1"/>
        </w:rPr>
        <w:br/>
        <w:t xml:space="preserve">Infrastructure Development – </w:t>
      </w:r>
      <w:r w:rsidRPr="00781112">
        <w:rPr>
          <w:color w:val="000000" w:themeColor="text1"/>
        </w:rPr>
        <w:br/>
        <w:t xml:space="preserve">SDT: The SDT reconvened in Spring 2021 with additional members as determined by the SMT and is comprised of stakeholders from across the state agency and regional partners with expertise in PBIS. The team continued to meet to develop a Practice Profile for PBIS. A draft was developed and team members gathered feedback from various stakeholder groups. The team used the stakeholder feedback to make adjustments and will finalize the Practice Profile in Spring 2022. </w:t>
      </w:r>
      <w:r w:rsidRPr="00781112">
        <w:rPr>
          <w:color w:val="000000" w:themeColor="text1"/>
        </w:rPr>
        <w:br/>
        <w:t xml:space="preserve"> </w:t>
      </w:r>
      <w:r w:rsidRPr="00781112">
        <w:rPr>
          <w:color w:val="000000" w:themeColor="text1"/>
        </w:rPr>
        <w:br/>
        <w:t xml:space="preserve">Decision Support Data Systems – </w:t>
      </w:r>
      <w:r w:rsidRPr="00781112">
        <w:rPr>
          <w:color w:val="000000" w:themeColor="text1"/>
        </w:rPr>
        <w:br/>
        <w:t xml:space="preserve">Data Dashboard: Usability testing of the automated Data Dashboard was conducted. Based on stakeholder feedback, the November regional All TZ meeting focused on use of the Data Dashboard and inputting data. A Data Dashboard guidance document was introduced to members of the All TZ to gather feedback. RIT members will replicate this data training with TZ districts. </w:t>
      </w:r>
      <w:r w:rsidRPr="00781112">
        <w:rPr>
          <w:color w:val="000000" w:themeColor="text1"/>
        </w:rPr>
        <w:br/>
        <w:t xml:space="preserve"> </w:t>
      </w:r>
      <w:r w:rsidRPr="00781112">
        <w:rPr>
          <w:color w:val="000000" w:themeColor="text1"/>
        </w:rPr>
        <w:br/>
        <w:t xml:space="preserve">The SSIP is aligned with the following non-SSIP Infrastructure Development activities: </w:t>
      </w:r>
      <w:r w:rsidRPr="00781112">
        <w:rPr>
          <w:color w:val="000000" w:themeColor="text1"/>
        </w:rPr>
        <w:br/>
      </w:r>
      <w:r w:rsidRPr="00781112">
        <w:rPr>
          <w:color w:val="000000" w:themeColor="text1"/>
        </w:rPr>
        <w:br/>
        <w:t xml:space="preserve">State Personnel Development Grant (SPDG) – </w:t>
      </w:r>
      <w:r w:rsidRPr="00781112">
        <w:rPr>
          <w:color w:val="000000" w:themeColor="text1"/>
        </w:rPr>
        <w:br/>
        <w:t xml:space="preserve">Early Childhood RTCs: The RTCs engaged in installation stage activities with districts mutually selected in the previous SSIP phase to support PBIS in the preschool setting through the Pyramid Model. All RTC members received fidelity measure training using the OTISS and obtained Inter-observer Agreement. Using the OTISS, classroom observations took place to provide coaching to teachers on the use of the Pyramid Model to support PBIS in the preschool classroom. </w:t>
      </w:r>
      <w:r w:rsidRPr="00781112">
        <w:rPr>
          <w:color w:val="000000" w:themeColor="text1"/>
        </w:rPr>
        <w:br/>
        <w:t xml:space="preserve"> </w:t>
      </w:r>
      <w:r w:rsidRPr="00781112">
        <w:rPr>
          <w:color w:val="000000" w:themeColor="text1"/>
        </w:rPr>
        <w:br/>
        <w:t xml:space="preserve">Kentucky Center for Mathematics (KCM): The KDE collaborated with KCM to develop the Mathematics Teaching Practices (MTP) Training Academy to focus on building teacher competency of EBPs in mathematics and further align the SPDG to support the SSIP and impact the SiMR. Through the online modules, elementary and middle school teachers engaged in using the eight MTPs, as identified by the National Council for Teachers of Mathematics, to improve student outcomes in mathematics and support the goals of the SiMR beyond the TZ. Nearly 100 teachers participated in the MTP Training Academy. Each of the participants developed a capstone project which demonstrated the use of the MTPs in the classroom. The stakeholders at KCM used the capstone projects to assess and communicate achievement. The professional development teachers received during the academy supports the achievement of the SiMR by ensuring more teachers can deliver high-quality mathematics instruction. The academy also helped to build readiness in additional buildings by exposing teachers to the eight MTPs which are used during fidelity observations in the TZ work.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Regional Infrastructure (Professional Development, technical assistance; Achievement of the SiMR, sustainability of systems improvement efforts, and scale-up)—</w:t>
      </w:r>
      <w:r w:rsidRPr="00781112">
        <w:rPr>
          <w:color w:val="000000" w:themeColor="text1"/>
        </w:rPr>
        <w:br/>
      </w:r>
      <w:r w:rsidRPr="00781112">
        <w:rPr>
          <w:color w:val="000000" w:themeColor="text1"/>
        </w:rPr>
        <w:br/>
        <w:t xml:space="preserve">On the Annual Linked Teaming Coaching survey, when asked about key RIT activities, the 20 participants focused on continuing past practices aimed at building implementation capacity, strengthening systems and continuous improvement: “[Our RIT has been engaged in] scaling district and school BITs, updating communication plans, RCA data for continuous improvement, and acclamation of new members with knowledge of systems.” Other members emphasized training activities to bolster teachers’ knowledge and skill around the math innovation. The pandemic had previously disrupted the consistency of implementation team meetings, technical assistance and coaching. While barriers remain, the majority of RIT members shared they had been actively engaged in district and school implementation meetings, providing technical assistance and systems coaching this year. </w:t>
      </w:r>
      <w:r w:rsidRPr="00781112">
        <w:rPr>
          <w:color w:val="000000" w:themeColor="text1"/>
        </w:rPr>
        <w:br/>
      </w:r>
      <w:r w:rsidRPr="00781112">
        <w:rPr>
          <w:color w:val="000000" w:themeColor="text1"/>
        </w:rPr>
        <w:br/>
        <w:t xml:space="preserve">Related to what has gone well in the current SSIP infrastructure/communication plan, RIT members agreed that communication across the system of support was an area of strength. This communication across the system of support has taken the form of engaging in professional learning communities, having regional monthly meetings, putting space on the agenda, giving timely responses or having “.... contact with teams at all levels.” Several noted support from the STSs: “The STSs are responsive to our communication in a timely manner. They always ask what barriers we have or what support we need.” Several RIT members also referenced the importance of data collection, data sharing and data use as crucial for “analysis and problem-solving.” </w:t>
      </w:r>
      <w:r w:rsidRPr="00781112">
        <w:rPr>
          <w:color w:val="000000" w:themeColor="text1"/>
        </w:rPr>
        <w:br/>
      </w:r>
      <w:r w:rsidRPr="00781112">
        <w:rPr>
          <w:color w:val="000000" w:themeColor="text1"/>
        </w:rPr>
        <w:br/>
        <w:t xml:space="preserve">The most successful elements of action plans, according to RIT opinion, have included the support of executive leadership, a focus at all levels to improving teacher practice, use of and expansion of implementation science, clear and consistent communication and coaching infrastructure development. Please see the “additional data that was collected that supports the decision to continue the ongoing use of each evidence-based practice” item for the District and Building Infrastructure information. </w:t>
      </w:r>
      <w:r w:rsidRPr="00781112">
        <w:rPr>
          <w:color w:val="000000" w:themeColor="text1"/>
        </w:rPr>
        <w:br/>
      </w:r>
      <w:r w:rsidRPr="00781112">
        <w:rPr>
          <w:color w:val="000000" w:themeColor="text1"/>
        </w:rPr>
        <w:br/>
        <w:t xml:space="preserve">Transformation Zone (TZ) Scale-up -- </w:t>
      </w:r>
      <w:r w:rsidRPr="00781112">
        <w:rPr>
          <w:color w:val="000000" w:themeColor="text1"/>
        </w:rPr>
        <w:br/>
        <w:t xml:space="preserve">During FFY 2020 one region and nine schools mutually selected to participate in the TZ. To support regions in scale-up activities, the STSs met monthly with RITs to provide professional development and technical assistance. Systems intervention training was completed with new TZ regions, districts and schools. Each TZ region reviewed implementation plans to renew focus on the use of infrastructure to support teachers during the pandemic. RITs focused on the sustainability of systems improvement efforts using the frameworks and infrastructure that has been put in place. The linked teaming structure allowed for barriers to be lifted throughout the system of support. </w:t>
      </w:r>
      <w:r w:rsidRPr="00781112">
        <w:rPr>
          <w:color w:val="000000" w:themeColor="text1"/>
        </w:rPr>
        <w:br/>
      </w:r>
      <w:r w:rsidRPr="00781112">
        <w:rPr>
          <w:color w:val="000000" w:themeColor="text1"/>
        </w:rPr>
        <w:br/>
        <w:t xml:space="preserve">Statewide scaling information was shared with TZ stakeholders at the November All TZ Meeting (see section C for details) to promote readiness for additional growth. Scaling up activities are an integral part of supporting the SiMR. </w:t>
      </w:r>
      <w:r w:rsidRPr="00781112">
        <w:rPr>
          <w:color w:val="000000" w:themeColor="text1"/>
        </w:rPr>
        <w:br/>
      </w:r>
      <w:r w:rsidRPr="00781112">
        <w:rPr>
          <w:color w:val="000000" w:themeColor="text1"/>
        </w:rPr>
        <w:br/>
        <w:t xml:space="preserve">Infrastructure Development – </w:t>
      </w:r>
      <w:r w:rsidRPr="00781112">
        <w:rPr>
          <w:color w:val="000000" w:themeColor="text1"/>
        </w:rPr>
        <w:br/>
        <w:t xml:space="preserve">SDT: The SDT shared a draft PBIS Practice Profile with stakeholders and collected feedback using a survey. Based on the feedback, the SDT made edits to the PBIS Practice Profile and will begin usability testing with select stakeholders in the TZ during FFY 21. The use of a PBIS Practice Profile supports professional development and technical assistance for teachers and coaches using PBIS in the classroom to support the SiMR. The PBIS Practice Profile will support the achievement of the SiMR by creating a tool to clearly describe the essential functions of PBIS in classrooms and operationalize the core components of PBIS. </w:t>
      </w:r>
      <w:r w:rsidRPr="00781112">
        <w:rPr>
          <w:color w:val="000000" w:themeColor="text1"/>
        </w:rPr>
        <w:br/>
      </w:r>
      <w:r w:rsidRPr="00781112">
        <w:rPr>
          <w:color w:val="000000" w:themeColor="text1"/>
        </w:rPr>
        <w:br/>
        <w:t xml:space="preserve">Outcomes -- </w:t>
      </w:r>
      <w:r w:rsidRPr="00781112">
        <w:rPr>
          <w:color w:val="000000" w:themeColor="text1"/>
        </w:rPr>
        <w:br/>
      </w:r>
      <w:r w:rsidRPr="00781112">
        <w:rPr>
          <w:color w:val="000000" w:themeColor="text1"/>
        </w:rPr>
        <w:lastRenderedPageBreak/>
        <w:t xml:space="preserve">These outcomes were positive evidence that the implementation teams from all levels of the linked system were able to continue and strengthen the core implementation activities of the SSIP. This was consistent with the SSIP meeting the Evaluation Plan project measures, specifically: </w:t>
      </w:r>
      <w:r w:rsidRPr="00781112">
        <w:rPr>
          <w:color w:val="000000" w:themeColor="text1"/>
        </w:rPr>
        <w:br/>
        <w:t xml:space="preserve">- T.2 100% of districts incorporate SSIP effective training development tools (i.e., SSIP Training Service Delivery Plans and the SSIP Training Fidelity Checklists) into their Mathematics Usable EBPs training process. </w:t>
      </w:r>
      <w:r w:rsidRPr="00781112">
        <w:rPr>
          <w:color w:val="000000" w:themeColor="text1"/>
        </w:rPr>
        <w:br/>
        <w:t xml:space="preserve">- T.3 80% of all SSIP EBP training sessions for teachers are trained with high fidelity to the core components of the Math Practice Profile. </w:t>
      </w:r>
      <w:r w:rsidRPr="00781112">
        <w:rPr>
          <w:color w:val="000000" w:themeColor="text1"/>
        </w:rPr>
        <w:br/>
        <w:t xml:space="preserve">- C.5 Each year, 80% of TZ coaches report the training and support they received had a moderate to large impact on their skills in adherence to the Coaching Practice Profile (an average of 3 and above on a 4-point Likert scale). </w:t>
      </w:r>
      <w:r w:rsidRPr="00781112">
        <w:rPr>
          <w:color w:val="000000" w:themeColor="text1"/>
        </w:rPr>
        <w:br/>
        <w:t xml:space="preserve">- C.6 Each year, 80% of Kentucky (Regional) Educational Cooperative Implementation Team members report that the KDE Implementation Team provided high quality supports to increase their implementation capacity. </w:t>
      </w:r>
      <w:r w:rsidRPr="00781112">
        <w:rPr>
          <w:color w:val="000000" w:themeColor="text1"/>
        </w:rPr>
        <w:br/>
        <w:t xml:space="preserve">- C.7 Each year, 80% of DIT members report that their Kentucky (Regional) Educational Cooperative Implementation Team provided high quality supports to increase their implementation capacity. </w:t>
      </w:r>
      <w:r w:rsidRPr="00781112">
        <w:rPr>
          <w:color w:val="000000" w:themeColor="text1"/>
        </w:rPr>
        <w:br/>
        <w:t xml:space="preserve">- C.8 Biennially, 80% of TZ buildings report that their District provided high quality supports to increase their implementation capacity. </w:t>
      </w:r>
      <w:r w:rsidRPr="00781112">
        <w:rPr>
          <w:color w:val="000000" w:themeColor="text1"/>
        </w:rPr>
        <w:br/>
        <w:t xml:space="preserve">- F.2 Each year, 80% of implementation teams (state, regional, district, and school) within the TZ(s) increase their capacity to implement SSIP Usable EBPs (including AIF) and or maintain a capacity score above 80%.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The KDE will continue to partner with the SISEP to support the use of active implementation within the linked teaming structure (State, Region, District, School). All planned activities will continue to support effective mathematics instruction to improve educational outcomes for students with disabilities. </w:t>
      </w:r>
      <w:r w:rsidRPr="00781112">
        <w:rPr>
          <w:color w:val="000000" w:themeColor="text1"/>
        </w:rPr>
        <w:br/>
        <w:t xml:space="preserve"> </w:t>
      </w:r>
      <w:r w:rsidRPr="00781112">
        <w:rPr>
          <w:color w:val="000000" w:themeColor="text1"/>
        </w:rPr>
        <w:br/>
        <w:t xml:space="preserve">Scale-up to Additional Regions, Districts and Schools – </w:t>
      </w:r>
      <w:r w:rsidRPr="00781112">
        <w:rPr>
          <w:color w:val="000000" w:themeColor="text1"/>
        </w:rPr>
        <w:br/>
        <w:t xml:space="preserve">Next Steps: TZs will build capacity throughout the linked teaming structure. </w:t>
      </w:r>
      <w:r w:rsidRPr="00781112">
        <w:rPr>
          <w:color w:val="000000" w:themeColor="text1"/>
        </w:rPr>
        <w:br/>
        <w:t xml:space="preserve">Anticipated outcomes: Mutually select additional regions to include all nine regions across the state. Scale to additional districts to participate in the TZ to impact progress toward the SiMR.  </w:t>
      </w:r>
      <w:r w:rsidRPr="00781112">
        <w:rPr>
          <w:color w:val="000000" w:themeColor="text1"/>
        </w:rPr>
        <w:br/>
        <w:t xml:space="preserve"> </w:t>
      </w:r>
      <w:r w:rsidRPr="00781112">
        <w:rPr>
          <w:color w:val="000000" w:themeColor="text1"/>
        </w:rPr>
        <w:br/>
        <w:t xml:space="preserve">Infrastructure Development – </w:t>
      </w:r>
      <w:r w:rsidRPr="00781112">
        <w:rPr>
          <w:color w:val="000000" w:themeColor="text1"/>
        </w:rPr>
        <w:br/>
        <w:t xml:space="preserve">Next steps: The SDT will complete a practice profile to clearly operationalize PBIS and conduct usability testing to identify improvements within the PBIS Practice Profile. </w:t>
      </w:r>
      <w:r w:rsidRPr="00781112">
        <w:rPr>
          <w:color w:val="000000" w:themeColor="text1"/>
        </w:rPr>
        <w:br/>
        <w:t xml:space="preserve">Anticipated outcomes: Integrate PBIS Implementation Data into the data dashboard to provide teams with the ability to analyze data and make connections to the impact on mathematics outcomes. </w:t>
      </w:r>
      <w:r w:rsidRPr="00781112">
        <w:rPr>
          <w:color w:val="000000" w:themeColor="text1"/>
        </w:rPr>
        <w:br/>
        <w:t xml:space="preserve"> </w:t>
      </w:r>
      <w:r w:rsidRPr="00781112">
        <w:rPr>
          <w:color w:val="000000" w:themeColor="text1"/>
        </w:rPr>
        <w:br/>
        <w:t xml:space="preserve">Decision Support Data Systems – </w:t>
      </w:r>
      <w:r w:rsidRPr="00781112">
        <w:rPr>
          <w:color w:val="000000" w:themeColor="text1"/>
        </w:rPr>
        <w:br/>
        <w:t xml:space="preserve">Next steps: Provide training and coaching support through the Data Dashboard Guidance document to improve sustainability of practices. </w:t>
      </w:r>
      <w:r w:rsidRPr="00781112">
        <w:rPr>
          <w:color w:val="000000" w:themeColor="text1"/>
        </w:rPr>
        <w:br/>
        <w:t xml:space="preserve">Anticipated outcomes: Increase in use of the Data Dashboard across the TZ.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Evidence-based Practices in Mathematics </w:t>
      </w:r>
      <w:r w:rsidRPr="00781112">
        <w:rPr>
          <w:color w:val="000000" w:themeColor="text1"/>
        </w:rPr>
        <w:br/>
        <w:t xml:space="preserve">Active Implementation Framework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EBPs in Mathematics-- </w:t>
      </w:r>
      <w:r w:rsidRPr="00781112">
        <w:rPr>
          <w:color w:val="000000" w:themeColor="text1"/>
        </w:rPr>
        <w:br/>
        <w:t xml:space="preserve">To meet the goals of the SiMR, the KDE supports districts and regions in the implementation of EBP in mathematics grounded in the eight MTPs using the Kentucky Mathematics Practice Profile. While the KDE does not mandate a specific EBP, districts use the hexagon tool to select a mathematics EBP that is aligned with the ESSA Levels of Evidence and best meets the needs of students. </w:t>
      </w:r>
      <w:r w:rsidRPr="00781112">
        <w:rPr>
          <w:color w:val="000000" w:themeColor="text1"/>
        </w:rPr>
        <w:br/>
        <w:t xml:space="preserve"> </w:t>
      </w:r>
      <w:r w:rsidRPr="00781112">
        <w:rPr>
          <w:color w:val="000000" w:themeColor="text1"/>
        </w:rPr>
        <w:br/>
        <w:t xml:space="preserve">Active Implementation Frameworks (AIF)- </w:t>
      </w:r>
      <w:r w:rsidRPr="00781112">
        <w:rPr>
          <w:color w:val="000000" w:themeColor="text1"/>
        </w:rPr>
        <w:br/>
        <w:t>In 2005, the National Implementation Research Network (NIRN) released a monograph that synthesized implementation research findings across a range of fields. Based on these findings, the evolving field of research and practice evidence, NIRN developed five overarching frameworks referred to as the AIFs. Implementation science, the multi-disciplinary study of methods and strategies to promote use of research findings in practice, seeks to address this by providing frameworks to guide creation of conditions and activities that facilitate use of EBP (https://nirn.fpg.unc.edu/module-1/rationale).</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 xml:space="preserve">The district-selected math EBP along with the Kentucky Mathematics Practice Profile support teacher practices in the classroom. The fidelity, training and coaching implementation data within the data dashboard is anchored in the eight MTP. DITs meet monthly to analyze the system of support for teachers to effectively implement EBPs. Districts and coaches use the results of the analysis to provide feedback and support to teachers to impact student outcomes in mathematics and support the SiMR. </w:t>
      </w:r>
      <w:r w:rsidRPr="00781112">
        <w:rPr>
          <w:color w:val="000000" w:themeColor="text1"/>
        </w:rPr>
        <w:br/>
        <w:t xml:space="preserve"> </w:t>
      </w:r>
      <w:r w:rsidRPr="00781112">
        <w:rPr>
          <w:color w:val="000000" w:themeColor="text1"/>
        </w:rPr>
        <w:br/>
        <w:t xml:space="preserve">AIF-- </w:t>
      </w:r>
      <w:r w:rsidRPr="00781112">
        <w:rPr>
          <w:color w:val="000000" w:themeColor="text1"/>
        </w:rPr>
        <w:br/>
        <w:t xml:space="preserve">The AIF are intended to impact the SiMR by providing support at each level of the system to increase effective implementation of EBP and achieve improved student outcomes. To accomplish these goals, the formula of success is used to put the frameworks in place by: </w:t>
      </w:r>
      <w:r w:rsidRPr="00781112">
        <w:rPr>
          <w:color w:val="000000" w:themeColor="text1"/>
        </w:rPr>
        <w:br/>
        <w:t xml:space="preserve">1. Usable Innovation: An EBP or program that is intended to improve results is chosen based on need, the best available evidence to achieve the specified goal and is operationalized to be teachable, learnable, doable and measurable. </w:t>
      </w:r>
      <w:r w:rsidRPr="00781112">
        <w:rPr>
          <w:color w:val="000000" w:themeColor="text1"/>
        </w:rPr>
        <w:br/>
        <w:t xml:space="preserve">2. Effective Implementation and Improvement: Teams receive training, coaching and feedback to effectively use the EBP and make improvements based on feedback. </w:t>
      </w:r>
      <w:r w:rsidRPr="00781112">
        <w:rPr>
          <w:color w:val="000000" w:themeColor="text1"/>
        </w:rPr>
        <w:br/>
        <w:t xml:space="preserve">3. Enabling Context: The team actively creates a hospitable environment to ensure an enabling context exists to support implementation and improvement in the use of the EBP. </w:t>
      </w:r>
      <w:r w:rsidRPr="00781112">
        <w:rPr>
          <w:color w:val="000000" w:themeColor="text1"/>
        </w:rPr>
        <w:br/>
        <w:t xml:space="preserve">4. Educationally Significant Outcomes: Successful implementation of the formula of success results in educationally significant outcomes.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lastRenderedPageBreak/>
        <w:t xml:space="preserve">The latest SCA was administered on November 19, 2021. The total score rose from 85.4% to 91.7% since February of 2021. The largest gain was seen in the Leadership domain (77.8 to 88.9%), but the state also reached 100% in the infrastructure domain. The Communication domain stayed consistent at 88.9%. State capacity has maintained a level above the SISEP recommended benchmark through two phases. </w:t>
      </w:r>
      <w:r w:rsidRPr="00781112">
        <w:rPr>
          <w:color w:val="000000" w:themeColor="text1"/>
        </w:rPr>
        <w:br/>
        <w:t xml:space="preserve"> </w:t>
      </w:r>
      <w:r w:rsidRPr="00781112">
        <w:rPr>
          <w:color w:val="000000" w:themeColor="text1"/>
        </w:rPr>
        <w:br/>
        <w:t xml:space="preserve">The most recent RCA for Phase III: 6 TZs showed that all six regions’ scores have grown or maintained a very high-capacity score during this phase. Two of these regions have not yet met SISEP’s recommended 80% benchmark but grew more than 5% within six-months. A seventh region took their original baseline assessment this year (23.2%). The Coaching and Stage-Based Functioning domains had the most demonstrated growth this year. </w:t>
      </w:r>
      <w:r w:rsidRPr="00781112">
        <w:rPr>
          <w:color w:val="000000" w:themeColor="text1"/>
        </w:rPr>
        <w:br/>
        <w:t xml:space="preserve"> </w:t>
      </w:r>
      <w:r w:rsidRPr="00781112">
        <w:rPr>
          <w:color w:val="000000" w:themeColor="text1"/>
        </w:rPr>
        <w:br/>
        <w:t xml:space="preserve">Seven of the ten districts conducted a District Capacity Assessment (DCA) this phase. Scheduling these assessments within the recommended six-month period has been an enduring challenge for the SSIP given that team members have multiple competing responsibilities and priorities within their districts. All districts showed increases in capacity (an average growth of 13.3%). District capacity was highest in the Data Systems domain (22%). </w:t>
      </w:r>
      <w:r w:rsidRPr="00781112">
        <w:rPr>
          <w:color w:val="000000" w:themeColor="text1"/>
        </w:rPr>
        <w:br/>
        <w:t xml:space="preserve"> </w:t>
      </w:r>
      <w:r w:rsidRPr="00781112">
        <w:rPr>
          <w:color w:val="000000" w:themeColor="text1"/>
        </w:rPr>
        <w:br/>
        <w:t xml:space="preserve">Six scale-up schools completed their baseline Drivers Best Practice Assessment (DBPA) capacity assessments this year, three are behind schedule, and two more will measure early next phase. Many of the pandemic barriers that paused capacity measurement outlined in the previous phase report have persisted in schools, but 15 of the 19 previous TZ schools were able to use the DBPA this year. Nine of these had a capacity score for both SSIP Phase 5 and 6, two-thirds saw capacity grow this year (average growth was 17% and average decline was 11%). Seven schools saw increased capacity in the Selection domain, five in the coaching domain, and five in Facilitative Administration. The domains of Coaching, Decision-Support Data System and Systems Intervention each had three schools show decreased capacity in the past year. For the six schools without a Phase III:5 capacity assessment, four showed gains since their most recent capacity measure (average growth was 15% and average decline was 15%). </w:t>
      </w:r>
      <w:r w:rsidRPr="00781112">
        <w:rPr>
          <w:color w:val="000000" w:themeColor="text1"/>
        </w:rPr>
        <w:br/>
        <w:t xml:space="preserve"> </w:t>
      </w:r>
      <w:r w:rsidRPr="00781112">
        <w:rPr>
          <w:color w:val="000000" w:themeColor="text1"/>
        </w:rPr>
        <w:br/>
        <w:t xml:space="preserve">In Kentucky, districts have the option to use the OTISS or the KMIT to measure fidelity of EBP implementation. The OTISS identifies highly effective, research based instructional practices being used during classroom instruction. The OTISS is comprised of seven items based on John Hattie’s (2009) work evaluating research behind factors that influence educational achievement (https://sisep.fpg.unc.edu/blog/observational-tool-instructional-supports-and-systems-empowering-teachers-instructional-leaders). The KMIT is based on the Kentucky Mathematics Practice Profile which was informed by the eight MTPs as identified by the National Council of Teachers of Mathematics. This data has been historically addressed in previous SSIP phases through project measure C.9: Each year, 80% of TZ School teacher implementation cadres increase their level of implementation and consistency of SSIP EBP instruction. SSIP evaluators usually look at annualized trends but had to modify the approach this phase because data from the two years was not comparable due to pandemic barriers previously discussed in SSIP Phase III:5 (https://education.ky.gov/specialed/excep/instresources/Documents/KY_SSIP_Phase_III.pdf). </w:t>
      </w:r>
      <w:r w:rsidRPr="00781112">
        <w:rPr>
          <w:color w:val="000000" w:themeColor="text1"/>
        </w:rPr>
        <w:br/>
      </w:r>
      <w:r w:rsidRPr="00781112">
        <w:rPr>
          <w:color w:val="000000" w:themeColor="text1"/>
        </w:rPr>
        <w:br/>
        <w:t xml:space="preserve">One TZ district chose to use the OTISS as a fidelity measure this year, eight of its schools restarted data collection this fall after pausing such activities due to pandemic barriers. The SSIP evaluators separated the 292 observations into an early fall (September and October) and a late fall window (November and December) to analyze early growth. Six schools have seen increased fidelity for the math EBP (average of 4%). Overall, the district average increased from 67.9 to 70.6%. The highest average implementation score this fall has been teachers communicating appropriate verbal and/or nonverbal positive feedback towards students (1.85 out of 2). A positive indicator of implementation teams using data to amend action plans, the lowest fidelity items in early fall were the two areas showing the greatest teacher growth in late fall (both increasing by more than 6%). </w:t>
      </w:r>
      <w:r w:rsidRPr="00781112">
        <w:rPr>
          <w:color w:val="000000" w:themeColor="text1"/>
        </w:rPr>
        <w:br/>
      </w:r>
      <w:r w:rsidRPr="00781112">
        <w:rPr>
          <w:color w:val="000000" w:themeColor="text1"/>
        </w:rPr>
        <w:br/>
        <w:t xml:space="preserve">Five TZ districts have chosen to use the KMIT as a fidelity measure, two were continuing implementation restarted in phase 5 (one beta-tested virtual observations last academic year and have returned to traditional observations) and three others are in early installation. All observations have returned to in-person administration. The SSIP evaluators separated the 532 observations into an early fall (September and October) and a late fall window (November and December) to analyze early growth; three baseline districts are not included because there was not a sufficient n-size in both windows. Seven schools have seen increased fidelity for math EBP (average of 15.3%). The five schools with decreased capacity (average -6.3%) are all scale-up schools this phase. Overall, the two-district average increased from 43.7 to 44.7%. The highest average implementation score this fall has been teachers using “real-world” engaging, high-cognitive-demand tasks that are approached and solved in multiple ways (1.28 out of 2).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Regions and districts receive training and coaching related to implementation science (the AIF) during the installation phase. One region and one district were engaged in installation phase activities during this reporting year. 56 implementation team members’ post-training surveys were collected, with an average of 99% of participants agreeing that the trainings met the expected training outcomes. 84% of participants rated their current knowledge level regarding the specific terms, frameworks, resources and materials discussed at these meetings at or above competent. One team member shared, “I feel optimistic about having a strong direction to fully implement.” The region demonstrated a 25% gain on their pre/post knowledge assessment. </w:t>
      </w:r>
      <w:r w:rsidRPr="00781112">
        <w:rPr>
          <w:color w:val="000000" w:themeColor="text1"/>
        </w:rPr>
        <w:br/>
      </w:r>
      <w:r w:rsidRPr="00781112">
        <w:rPr>
          <w:color w:val="000000" w:themeColor="text1"/>
        </w:rPr>
        <w:br/>
        <w:t xml:space="preserve">When installing the KMIT or the OTISS, districts receive training and coaching to normalize scoring across the TZ and to ensure district’s inter-rater reliability. Three districts engaged in KMIT training during Phase III, Year Six, with 100% of participants agreeing that the trainings met the expected training outcomes. A district team member shared, “This will be a great tool and process to lead us in the right direction for improvement. The practice scoring and follow-up discussions really enhanced my own learning.” </w:t>
      </w:r>
      <w:r w:rsidRPr="00781112">
        <w:rPr>
          <w:color w:val="000000" w:themeColor="text1"/>
        </w:rPr>
        <w:br/>
      </w:r>
      <w:r w:rsidRPr="00781112">
        <w:rPr>
          <w:color w:val="000000" w:themeColor="text1"/>
        </w:rPr>
        <w:br/>
        <w:t xml:space="preserve">Eleven schools from four districts provided math training component data for inclusion on the data dashboard. These math trainings used an average of three adult learning strategies, with the majority giving teachers opportunities to practice with the trainer. An average of seven of the eight math practices in the SSIP Math Practice Profile were incorporated into the trainings. 76 teachers and administrators completed the post-training Math Training Efficacy survey, with an average of 96% of participants agreeing that the trainings met the expected training outcomes. The participants were in highest agreement that the content would help them be more efficient and effective at meeting the mathematical needs of students. Four of the trainings included a pre/post knowledge assessment, with the average participant score rising from 7 to 73%. </w:t>
      </w:r>
      <w:r w:rsidRPr="00781112">
        <w:rPr>
          <w:color w:val="000000" w:themeColor="text1"/>
        </w:rPr>
        <w:br/>
      </w:r>
      <w:r w:rsidRPr="00781112">
        <w:rPr>
          <w:color w:val="000000" w:themeColor="text1"/>
        </w:rPr>
        <w:br/>
        <w:t xml:space="preserve">Seventeen schools have collected and shared Fall 2021 universal screening benchmark data for inclusion on the data dashboard. Currently the school average for students meeting benchmark is 25.5%, which is similar to the average of all fall benchmarks collected during previous phases (23.4%). Given previous pandemic barriers discussed in last year’s report, this will be the first spring in two years for measuring student growth using universal screening benchmark data. </w:t>
      </w:r>
      <w:r w:rsidRPr="00781112">
        <w:rPr>
          <w:color w:val="000000" w:themeColor="text1"/>
        </w:rPr>
        <w:br/>
      </w:r>
      <w:r w:rsidRPr="00781112">
        <w:rPr>
          <w:color w:val="000000" w:themeColor="text1"/>
        </w:rPr>
        <w:br/>
        <w:t xml:space="preserve">District Infrastructure data collected through the Annual Linked Teaming Coaching Survey-- </w:t>
      </w:r>
      <w:r w:rsidRPr="00781112">
        <w:rPr>
          <w:color w:val="000000" w:themeColor="text1"/>
        </w:rPr>
        <w:br/>
        <w:t xml:space="preserve">When asked on the Annual Linked Teaming Coaching survey about key DIT activities, the 42 participants focused on data activities, capacity building and teacher supports. Data collection has focused on teacher observations (OTISS and KMIT), capacity measurement at both the district and school levels and “using data to drive decisions.” Capacity building has included implementation meetings, installing new support activities, completing innovation/initiative inventories, creating templates for coaching and updating service delivery plans. Teachers have received adapted or modified ongoing mathematics professional development, fidelity observations, coaching and have participated in learning communities. </w:t>
      </w:r>
      <w:r w:rsidRPr="00781112">
        <w:rPr>
          <w:color w:val="000000" w:themeColor="text1"/>
        </w:rPr>
        <w:br/>
      </w:r>
      <w:r w:rsidRPr="00781112">
        <w:rPr>
          <w:color w:val="000000" w:themeColor="text1"/>
        </w:rPr>
        <w:br/>
      </w:r>
      <w:r w:rsidRPr="00781112">
        <w:rPr>
          <w:color w:val="000000" w:themeColor="text1"/>
        </w:rPr>
        <w:lastRenderedPageBreak/>
        <w:t xml:space="preserve">In response to survey items related to what has gone well in the current SSIP infrastructure/communication plan, participants primarily focused their responses on how strong the communication has been throughout the tiered support infrastructure, “We appreciate the coordination and communication between the state, regional, and local levels.” Several DIT members expressed that they had seen better communication across systems, “Communication is improving - with DIT members being more visible in the process.” Many DITs expressed that the clarity of both the communication and infrastructure plans was important to SSIP buy-in, “roles and responsibilities are clearly defined and mission is clear” and “[we have] improved understanding of purpose of the project and roles/responsibilities.” </w:t>
      </w:r>
      <w:r w:rsidRPr="00781112">
        <w:rPr>
          <w:color w:val="000000" w:themeColor="text1"/>
        </w:rPr>
        <w:br/>
      </w:r>
      <w:r w:rsidRPr="00781112">
        <w:rPr>
          <w:color w:val="000000" w:themeColor="text1"/>
        </w:rPr>
        <w:br/>
        <w:t>DITs most frequently cited coaching infrastructure as the most successful element of action plans this year. Districts responded that they felt coaching was improving through effective coaching strategies and coaching planning. DITs expressed they felt successful in supporting schools and were proud about existing schools improving instruction and new schools being onboarded. The gains this year were mostly attributed to collecting feedback, making data-based decisions and having “clear steps on the action plan and staff member responsible [to] understand their tasks to complete.”</w:t>
      </w:r>
      <w:r w:rsidRPr="00781112">
        <w:rPr>
          <w:color w:val="000000" w:themeColor="text1"/>
        </w:rPr>
        <w:br/>
        <w:t xml:space="preserve"> </w:t>
      </w:r>
      <w:r w:rsidRPr="00781112">
        <w:rPr>
          <w:color w:val="000000" w:themeColor="text1"/>
        </w:rPr>
        <w:br/>
        <w:t xml:space="preserve">School Infrastructure data collected through the Annual Linked Teaming Coaching Survey-- </w:t>
      </w:r>
      <w:r w:rsidRPr="00781112">
        <w:rPr>
          <w:color w:val="000000" w:themeColor="text1"/>
        </w:rPr>
        <w:br/>
        <w:t xml:space="preserve">When asked on the Annual Linked Teaming Coaching survey about key BIT activities, the 81 participants focused on the importance of implementation meetings, using data to make decisions, taking time to reflect during action planning and supporting teachers. Teacher observation walkthroughs were the activity most often written about on this year’s survey, “My coach has met with teacher teams to review KMIT and share expectations.” </w:t>
      </w:r>
      <w:r w:rsidRPr="00781112">
        <w:rPr>
          <w:color w:val="000000" w:themeColor="text1"/>
        </w:rPr>
        <w:br/>
      </w:r>
      <w:r w:rsidRPr="00781112">
        <w:rPr>
          <w:color w:val="000000" w:themeColor="text1"/>
        </w:rPr>
        <w:br/>
        <w:t xml:space="preserve">In identifying what has gone well in the current SSIP infrastructure/communication plan, many BIT members emphasized that communication was clear and consistent in their schools, “Consistent communication and clarity on expectations.” Responses made it clear that meeting together was important to being successful in implementation. School teams were pleased with the coaching they were receiving as well as the coaching they were supporting in the buildings, “I love that they are coming in the building to provide feedback” and “I appreciate the feedback and discussions with a coach to review the data.” BIT members shared a great deal about the data tools being used, the significant steps district teams have taken to streamline data sharing and the role of data when making decisions, “Love the walkthrough being sent as an email, I love the action plan specifics and how we are going to meet our goals” and “I appreciate how the data looks at systemic changes for our department/school versus teacher specific information.” </w:t>
      </w:r>
      <w:r w:rsidRPr="00781112">
        <w:rPr>
          <w:color w:val="000000" w:themeColor="text1"/>
        </w:rPr>
        <w:br/>
      </w:r>
      <w:r w:rsidRPr="00781112">
        <w:rPr>
          <w:color w:val="000000" w:themeColor="text1"/>
        </w:rPr>
        <w:br/>
        <w:t xml:space="preserve">When asked what they thought were the most successful elements of action plans this year, responses were highly evident of successful implementation both in the building and in the classroom. Communication is improved, action planning is strategic, some schools are seeing all staff embrace the work and “teachers have begun to attempt to implement [math EBP] activities and concepts.” The majority of BIT members expressed attributes consistent with well-functioning and collegial meetings that are focused on continuous improvement through “unity and commitment to the plan.” One BIT member shared, “teachers having feedback in the discussion and Coaches being able to help teachers”, while another wrote “teachers are making the changes that are being suggested and seeing the results in their walkthrough data.”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Regions will continue to provide training and coaching to districts on the effective implementation of the AIF and math EBP. Districts will collect fidelity data to inform the system of support for teachers. The KDE will continue emphasizing the use of the AIFs, which includes the SSIP universal EBP resources and supporting regions to add additional districts and schools to work toward achieving the goals of the SiMR. The KDE anticipates seeing an improvement in implementation team capacity assessment scores and improved evidence of EBP fidelity in the classroom KMIT and OTISS, which will lead to better student outcomes in the TZ regions.</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As part of the stakeholder engagement process, the KDE reached out to and engaged with a broad range of stakeholders. The KDE held multiple stakeholder engagement meetings. To accommodate for COVID-19 and to ensure the health and safety of staff and participants, meetings were held virtually. Virtual participation allowed for a broader range of stakeholder participation with representation from the various geographic regions of the state. Stakeholder groups included a wide variety of participants – parents of students with disabilities, Kentucky’s parent training and information center staff, educators, LEA administrators, state agency partners, disability-focused advocates, affiliated agency staff and disability organizations. Selection criteria of stakeholders was designed to ensure feedback was solicited from a representative group. This included consideration of urban and rural, diverse ethnicities, disabilities and socioeconomic backgrounds.</w:t>
      </w:r>
      <w:r w:rsidRPr="00781112">
        <w:rPr>
          <w:color w:val="000000" w:themeColor="text1"/>
        </w:rPr>
        <w:br/>
      </w:r>
      <w:r w:rsidRPr="00781112">
        <w:rPr>
          <w:color w:val="000000" w:themeColor="text1"/>
        </w:rPr>
        <w:br/>
        <w:t xml:space="preserve">Prior to stakeholder engagement meetings, the KDE contracted with a statistician to analyze historical indicator data and to develop visual representations of the data. As part of this work, the KDE developed a proposal of three potential targets for each indicator which were rigorous and achievable mathematically. </w:t>
      </w:r>
      <w:r w:rsidRPr="00781112">
        <w:rPr>
          <w:color w:val="000000" w:themeColor="text1"/>
        </w:rPr>
        <w:br/>
      </w:r>
      <w:r w:rsidRPr="00781112">
        <w:rPr>
          <w:color w:val="000000" w:themeColor="text1"/>
        </w:rPr>
        <w:br/>
        <w:t xml:space="preserve">Stakeholder engagement meetings were organized to support the process for obtaining input and advice. An impartial facilitator led a whole group explanation of the indicators before breaking stakeholders into more targeted groups separated by content (indicators). Impartial facilitators and data experts assisted stakeholders as they reviewed and provided feedback for each indicator. An assigned notetaker documented stakeholder input during discussions. During stakeholder engagement meetings, participants were provided with Kentucky’s historical indicator data and the projections for where the state would be in FFY 2025 if all things stayed the same. Stakeholders were provided with an overview of the advantages and disadvantages of predictive models as well as an overview of the approach to target setting. Stakeholders were told they would be selecting the end target (FFY 2025) for a given indicator and that the   state would then calculate intervening targets. </w:t>
      </w:r>
      <w:r w:rsidRPr="00781112">
        <w:rPr>
          <w:color w:val="000000" w:themeColor="text1"/>
        </w:rPr>
        <w:br/>
      </w:r>
      <w:r w:rsidRPr="00781112">
        <w:rPr>
          <w:color w:val="000000" w:themeColor="text1"/>
        </w:rPr>
        <w:br/>
        <w:t xml:space="preserve">Stakeholders were provided with three potential targets for each indicator and worked collaboratively to recommend a target. Additionally, stakeholders were given the opportunity to propose a target outside of the three potential targets initially provided. In several instances, stakeholders utilized this opportunity to recommend other targets for consideration. As part of the discussion around data, stakeholders engaged with the KDE in conversations about evaluating Kentucky’s progress on each indicator. Additionally, stakeholders discussed barriers for each indicator along with suggested improvement ideas and strategies to mitigate any identified barriers. During the conclusion of each stakeholder engagement meeting, participants engaged in a whole group discussion and summary of the input from the targeted group discussions. </w:t>
      </w:r>
      <w:r w:rsidRPr="00781112">
        <w:rPr>
          <w:color w:val="000000" w:themeColor="text1"/>
        </w:rPr>
        <w:br/>
      </w:r>
      <w:r w:rsidRPr="00781112">
        <w:rPr>
          <w:color w:val="000000" w:themeColor="text1"/>
        </w:rPr>
        <w:br/>
        <w:t xml:space="preserve">Following each target setting meeting, participating stakeholders were encouraged to broadly share the information presented and to provide any feedback received to the KDE. To provide the opportunity for broader stakeholder engagement the KDE created and distributed surveys on the public reporting website. Stakeholders choosing to participate in the survey were provided the opportunity to engage with the KDE on the evaluation of progress, potential barriers and suggested improvement strategies. This allowed for more extensive input from a larger and more diverse group of individuals throughout the state. The KDE was able to examine input data when considering proposed targets and planning improvement activities. </w:t>
      </w:r>
      <w:r w:rsidRPr="00781112">
        <w:rPr>
          <w:color w:val="000000" w:themeColor="text1"/>
        </w:rPr>
        <w:br/>
      </w:r>
      <w:r w:rsidRPr="00781112">
        <w:rPr>
          <w:color w:val="000000" w:themeColor="text1"/>
        </w:rPr>
        <w:lastRenderedPageBreak/>
        <w:br/>
        <w:t>Another avenue for capturing feedback was Kentucky’s State Advisory Panel for Exceptional Children (SAPEC) which provides guidance to the KDE with respect to special education and related services for students with disabilities in Kentucky.</w:t>
      </w:r>
      <w:r w:rsidRPr="00781112">
        <w:rPr>
          <w:color w:val="000000" w:themeColor="text1"/>
        </w:rPr>
        <w:br/>
      </w:r>
      <w:r w:rsidRPr="00781112">
        <w:rPr>
          <w:color w:val="000000" w:themeColor="text1"/>
        </w:rPr>
        <w:br/>
        <w:t xml:space="preserve">The SAPEC meets a minimum of quarterly, and each meeting includes an open forum in which the public is invited to participate. The SAPEC intentionally schedules open forum meetings that will be accessible for parents and families to attend. The Panel has established family and parent engagement as a priority and continues to seek parent friendly locations for upcoming open forums and meetings. </w:t>
      </w:r>
      <w:r w:rsidRPr="00781112">
        <w:rPr>
          <w:color w:val="000000" w:themeColor="text1"/>
        </w:rPr>
        <w:br/>
      </w:r>
      <w:r w:rsidRPr="00781112">
        <w:rPr>
          <w:color w:val="000000" w:themeColor="text1"/>
        </w:rPr>
        <w:br/>
        <w:t xml:space="preserve">The KDE engaged the SAPEC to discuss target setting. The SAPEC was provided with historical data and provided the targets proposed by the stakeholder group for each indicator. The SAPEC also engaged with target setting related to the SSIP and the SiMR. Results Driven Accountability and previous SiMR targets were discussed. The proposed potential new SiMR targets and the change in alignment to Indicator 3B 8th grade mathematics was presented. Members of the SAPEC shared no concerns with alignment to Indicator 3B 8th grade mathematics. </w:t>
      </w:r>
      <w:r w:rsidRPr="00781112">
        <w:rPr>
          <w:color w:val="000000" w:themeColor="text1"/>
        </w:rPr>
        <w:br/>
        <w:t xml:space="preserve"> </w:t>
      </w:r>
      <w:r w:rsidRPr="00781112">
        <w:rPr>
          <w:color w:val="000000" w:themeColor="text1"/>
        </w:rPr>
        <w:br/>
        <w:t xml:space="preserve">Another stakeholder engagement activity occurred with regional partners serving LEAs. The All Transformation Zone (All TZ) consists of Regional Implementation Teams (RITs) from across the state. RIT members were invited to join biannual meetings and provide feedback to the KDE regarding the implementation of activities to support the SiMR. At an All TZ meeting, the KDE shared the proposed alignment for the SiMR targets (2020-2025 targets). Members of the All TZ indicated the proposed SiMR target is rigorous and achievable, and the KDE should consider aligning to Indicator 3B 8th grade mathematics. </w:t>
      </w:r>
      <w:r w:rsidRPr="00781112">
        <w:rPr>
          <w:color w:val="000000" w:themeColor="text1"/>
        </w:rPr>
        <w:br/>
      </w:r>
      <w:r w:rsidRPr="00781112">
        <w:rPr>
          <w:color w:val="000000" w:themeColor="text1"/>
        </w:rPr>
        <w:br/>
        <w:t>Prior to setting SPP targets, the KDE considered input and feedback from all stakeholder engagement activities. The statistician supported the selection of targets for intervening years based on the stakeholder’s recommended target for FFY 2025. The new targets were distributed and posted on KDE’s public reporting webpage located at https://education.ky.gov/specialed/excep/IDEA/Pages/Public-Reporting-of-IDEA-B-Data.aspx.</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As described in Phase II, the KDE uses a Linked Teaming Structure consisting of implementation teams at all levels of the system (state, region, district and school) to create an “enabling context” or a system that effectively removes barriers to achieving the goals of the SiMR. </w:t>
      </w:r>
      <w:r w:rsidRPr="00781112">
        <w:rPr>
          <w:color w:val="000000" w:themeColor="text1"/>
        </w:rPr>
        <w:br/>
        <w:t xml:space="preserve"> </w:t>
      </w:r>
      <w:r w:rsidRPr="00781112">
        <w:rPr>
          <w:color w:val="000000" w:themeColor="text1"/>
        </w:rPr>
        <w:br/>
        <w:t xml:space="preserve">The KDE also uses a Practice Policy Communication Cycle. This allows barriers encountered in practice to be rapidly communicated through the linked teaming structure to the highest level required for a solution. Stakeholder input reaches multiple levels of the system to inform practice and influence policy. (https://sisep.fpg.unc.edu/news/sisep-enotes-may-2015) </w:t>
      </w:r>
      <w:r w:rsidRPr="00781112">
        <w:rPr>
          <w:color w:val="000000" w:themeColor="text1"/>
        </w:rPr>
        <w:br/>
        <w:t xml:space="preserve"> </w:t>
      </w:r>
      <w:r w:rsidRPr="00781112">
        <w:rPr>
          <w:color w:val="000000" w:themeColor="text1"/>
        </w:rPr>
        <w:br/>
        <w:t xml:space="preserve">Stakeholder activities within reporting period-- </w:t>
      </w:r>
      <w:r w:rsidRPr="00781112">
        <w:rPr>
          <w:color w:val="000000" w:themeColor="text1"/>
        </w:rPr>
        <w:br/>
        <w:t xml:space="preserve">During District Data Integration Team meetings, KDE Data Managers, KDE Technology Staff and STSs determined how to update the Data Dashboard based on needs reported from stakeholders throughout the linked teaming structure. Meetings were held virtually as needed. </w:t>
      </w:r>
      <w:r w:rsidRPr="00781112">
        <w:rPr>
          <w:color w:val="000000" w:themeColor="text1"/>
        </w:rPr>
        <w:br/>
      </w:r>
      <w:r w:rsidRPr="00781112">
        <w:rPr>
          <w:color w:val="000000" w:themeColor="text1"/>
        </w:rPr>
        <w:br/>
        <w:t xml:space="preserve">The All TZ Meetings continued to be held virtually. Based on feedback from regional partners, meetings were held biannually (May and November). During the May meeting, usability testing team updates were provided to regional partners. Feedback was collected through online surveys and used during future usability testing team meetings. The STSs also shared the updated regional implementation plan and data requirements. A feedback survey was sent to participants following the meeting. The November All TZ meeting focused on gathering feedback on the SiMR target alignment, the use of data, rationales for data pieces and the Data Dashboard Guidance document. A feedback survey was sent to participants following the meeting. </w:t>
      </w:r>
      <w:r w:rsidRPr="00781112">
        <w:rPr>
          <w:color w:val="000000" w:themeColor="text1"/>
        </w:rPr>
        <w:br/>
      </w:r>
      <w:r w:rsidRPr="00781112">
        <w:rPr>
          <w:color w:val="000000" w:themeColor="text1"/>
        </w:rPr>
        <w:br/>
        <w:t xml:space="preserve">RIT meetings were held on a virtual platform every month. During meetings, implementation celebrations and barriers were shared. The STSs also provided training and coaching on the AIF. </w:t>
      </w:r>
      <w:r w:rsidRPr="00781112">
        <w:rPr>
          <w:color w:val="000000" w:themeColor="text1"/>
        </w:rPr>
        <w:br/>
      </w:r>
      <w:r w:rsidRPr="00781112">
        <w:rPr>
          <w:color w:val="000000" w:themeColor="text1"/>
        </w:rPr>
        <w:br/>
        <w:t xml:space="preserve">Usability Testing teams meet monthly, or as needed, to engage in Plan-Do-Study-Act cycles. The teams are composed of regional TZ partners who serve as liaisons between the team and respective regional cooperatives. During this phase, the team members took the practice profiles to the RITs to obtain feedback. Based on the provided feedback, adjustments were made to the tools. </w:t>
      </w:r>
      <w:r w:rsidRPr="00781112">
        <w:rPr>
          <w:color w:val="000000" w:themeColor="text1"/>
        </w:rPr>
        <w:br/>
      </w:r>
      <w:r w:rsidRPr="00781112">
        <w:rPr>
          <w:color w:val="000000" w:themeColor="text1"/>
        </w:rPr>
        <w:br/>
        <w:t xml:space="preserve">The 2021 Kentucky Council for Exceptional Children Conference was held in-person and open to special education teachers, DoSEs and regional cooperative staff. During the conference, a session was offered to share the MTPs Training Academy and show how the academy supports the SiMR through professional learning. </w:t>
      </w:r>
      <w:r w:rsidRPr="00781112">
        <w:rPr>
          <w:color w:val="000000" w:themeColor="text1"/>
        </w:rPr>
        <w:br/>
      </w:r>
      <w:r w:rsidRPr="00781112">
        <w:rPr>
          <w:color w:val="000000" w:themeColor="text1"/>
        </w:rPr>
        <w:br/>
        <w:t xml:space="preserve">The SDT held virtual meetings monthly, or as needed, to develop a PBIS Practice Profile and identify behavior strategies to impact the goal of the SiMR. The team consists of cross agency representatives as well as regional partners. </w:t>
      </w:r>
      <w:r w:rsidRPr="00781112">
        <w:rPr>
          <w:color w:val="000000" w:themeColor="text1"/>
        </w:rPr>
        <w:br/>
      </w:r>
      <w:r w:rsidRPr="00781112">
        <w:rPr>
          <w:color w:val="000000" w:themeColor="text1"/>
        </w:rPr>
        <w:br/>
        <w:t xml:space="preserve">2021 SISEP Active States Forum was held virtually in June. The forum is held annually and includes STSs and implementation team members from SISEP Active States. During the conference, the KDE presented on scale-up during COVID-19 and the consultancy protocol. </w:t>
      </w:r>
      <w:r w:rsidRPr="00781112">
        <w:rPr>
          <w:color w:val="000000" w:themeColor="text1"/>
        </w:rPr>
        <w:br/>
      </w:r>
      <w:r w:rsidRPr="00781112">
        <w:rPr>
          <w:color w:val="000000" w:themeColor="text1"/>
        </w:rPr>
        <w:br/>
        <w:t xml:space="preserve">SISEP Active States Community of Practice is composed of STSs and implementation team members from SISEP Active states. The meetings are held each quarter. Meeting topics included Cultivating Leadership and Fidelity Data. </w:t>
      </w:r>
      <w:r w:rsidRPr="00781112">
        <w:rPr>
          <w:color w:val="000000" w:themeColor="text1"/>
        </w:rPr>
        <w:br/>
      </w:r>
      <w:r w:rsidRPr="00781112">
        <w:rPr>
          <w:color w:val="000000" w:themeColor="text1"/>
        </w:rPr>
        <w:br/>
        <w:t xml:space="preserve">The SAPEC has a variety of members including parents and educators of students with disabilities. The panel meets quarterly with a SSIP update given annually. </w:t>
      </w:r>
      <w:r w:rsidRPr="00781112">
        <w:rPr>
          <w:color w:val="000000" w:themeColor="text1"/>
        </w:rPr>
        <w:br/>
      </w:r>
      <w:r w:rsidRPr="00781112">
        <w:rPr>
          <w:color w:val="000000" w:themeColor="text1"/>
        </w:rPr>
        <w:br/>
        <w:t xml:space="preserve">The Annual Linked Teaming Coaching Survey is a common survey given to each level of the linked teaming infrastructure annually (Fall 2021) to assess the system of support. The SSIP Evaluators provide a report to the SMT.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 xml:space="preserve">The Annual Linked Teaming Coaching survey allowed for feedback on the current SSIP infrastructure/communication plan. The RITs shared that the lasting impacts of the COVID-19 pandemic have been quite challenging for their districts and schools. One respondent said, “We thought this year would be better than last year, but we repeatedly hear that it is actually worse for educators as far as stress and workload.” One school team has had to keep teachers after school ends to conduct SSIP work because they cannot find substitute teachers to provide coverage during the day. Many RIT members shared concerns that scale-up will be stunted because of teacher fatigue and personnel shortages, “District’s teachers are overloaded with their duties. There is a shortage of teachers, and the district cannot locate teachers to hire.” </w:t>
      </w:r>
      <w:r w:rsidRPr="00781112">
        <w:rPr>
          <w:color w:val="000000" w:themeColor="text1"/>
        </w:rPr>
        <w:br/>
      </w:r>
      <w:r w:rsidRPr="00781112">
        <w:rPr>
          <w:color w:val="000000" w:themeColor="text1"/>
        </w:rPr>
        <w:lastRenderedPageBreak/>
        <w:br/>
        <w:t xml:space="preserve">In terms of what teams identified as confusing in the current SSIP infrastructure/communication plan, DIT members had nothing to share on the Annual Linked Teaming Coaching survey except for concerns that were pandemic related. “At this time, I don't believe anything is confusing and we understand what is going on. In our last DIT meeting, we were able to communicate the need for coaching strategies and our timeline was adjusted.” Several participants expressed their excitement that they were able to begin meeting again and tackle action planning after COVID-19 had halted so much of the work last year. Yet, the DITs shared that the lasting impacts of the COVID-19 pandemic have been very hard on their districts and schools, “The pandemic has set us back, but we are reengaging.”  According to respondents, the hardest thing to overcome has been carving out time for SSIP activities as all educators deal with an “overwhelming amount of change.” </w:t>
      </w:r>
      <w:r w:rsidRPr="00781112">
        <w:rPr>
          <w:color w:val="000000" w:themeColor="text1"/>
        </w:rPr>
        <w:br/>
      </w:r>
      <w:r w:rsidRPr="00781112">
        <w:rPr>
          <w:color w:val="000000" w:themeColor="text1"/>
        </w:rPr>
        <w:br/>
        <w:t xml:space="preserve">BIT responses to the Annual Linked Teaming Coaching survey item related to what has been confusing in the current SSIP infrastructure/communication plan included a few topics (expressed by three to five members) such as obstacles feeling comfortable with the SSIP language/acronyms, challenges related to team turnover and that the “end goal” isn’t well defined. </w:t>
      </w:r>
      <w:r w:rsidRPr="00781112">
        <w:rPr>
          <w:color w:val="000000" w:themeColor="text1"/>
        </w:rPr>
        <w:br/>
      </w:r>
      <w:r w:rsidRPr="00781112">
        <w:rPr>
          <w:color w:val="000000" w:themeColor="text1"/>
        </w:rPr>
        <w:br/>
        <w:t xml:space="preserve">To address the concerns expressed by stakeholders, the state used the competency driver to support teachers. A focus was placed on staff selection to ensure the higher than usual rates of implementation team member turnover did not significantly impact the progress and support available to teachers. The KDE worked with RITs on coaching service delivery plans so teachers would have access to quality feedback as students returned to the classroom. The SMT will continue to follow up on all larger systems barriers throughout the TZ. The state also continued to work with regions on scaling so when districts were ready, the AIF could continue to be used to support districts and teachers.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An anticipated barrier for the SiMR includes changes to the state-wide assessment that is used to measure growth toward the SiMR. The Office of Assessment and Accountability (OAA) within the KDE has indicated these changes may impact the ability of future tests to be compared to those administered in previous years. To address this barrier, support will be provided to RITs and DITs on developing a plan for analyzing benchmark data. Teams will also receive training on triangulating multiple forms of data (benchmark, fidelity, training) for decision making to address possible state-wide assessment gaps in student outcomes. </w:t>
      </w:r>
      <w:r w:rsidRPr="00781112">
        <w:rPr>
          <w:color w:val="000000" w:themeColor="text1"/>
        </w:rPr>
        <w:br/>
        <w:t xml:space="preserve"> </w:t>
      </w:r>
      <w:r w:rsidRPr="00781112">
        <w:rPr>
          <w:color w:val="000000" w:themeColor="text1"/>
        </w:rPr>
        <w:br/>
        <w:t xml:space="preserve">An additional anticipated barrier is the impact of COVID-19 fatigue on the continued participation of some TZ members. Since the onset of the COVID-19 pandemic, two districts have mutually deselected and one district chose to pause the TZ to focus on COVID-19-specific barriers. Additionally, TZ regions have faced challenges during exploration with districts reporting a lack of capacity to commit to the TZ work. To address this barrier, regions will provide professional learning opportunities focused on implementation drivers and leveraging the Linked Teaming Structure to support overcoming challenges.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The KSA is the measure used for the SiMR. In FFY 2020, the KDE’s OAA took into consideration the limited amount of in-person instructional time students had and worked internally and with test vendors to provide flexible testing windows and to reduce the amount of time for assessment administration where possible. The KDE also requested and was granted a waiver for the 2020-2021 school year of accountability and school identification requirements in the ESEA of 1965. Remote proctoring with students taking assessments at home without a trained administrator was not an option on state assessments for the 2020-2021 school year. </w:t>
      </w:r>
      <w:r w:rsidRPr="00781112">
        <w:rPr>
          <w:color w:val="000000" w:themeColor="text1"/>
        </w:rPr>
        <w:br/>
      </w:r>
      <w:r w:rsidRPr="00781112">
        <w:rPr>
          <w:color w:val="000000" w:themeColor="text1"/>
        </w:rPr>
        <w:br/>
        <w:t>Due to the requirement that students test in person; the data collected is not representative of those students who were unable to attend in person during the testing window. The most important reason for administering state assessments in FFY 2020 was to gain a clearer picture of the pandemic’s impact on student learning, including for the most vulnerable groups. (https://education.ky.gov/comm/Documents/2020-2021%20Assessment%20Guidance%20Document.pdf)</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and OSEP accepts that revision.</w:t>
      </w:r>
      <w:r w:rsidRPr="00781112">
        <w:rPr>
          <w:color w:val="000000" w:themeColor="text1"/>
        </w:rPr>
        <w:br/>
      </w:r>
      <w:r w:rsidRPr="00781112">
        <w:rPr>
          <w:color w:val="000000" w:themeColor="text1"/>
        </w:rPr>
        <w:br/>
        <w:t>The State provided targets for FFYs 2020 through 2025 for this indicator, and OSEP accepts those targets.</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Veronica Sullivan</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Director, Division of IDEA Implementation and Preschool </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Veronica.sullivan@education.ky.gov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(502) 564-4970</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10:47:26 AM</w:t>
      </w:r>
    </w:p>
    <w:p w14:paraId="596B3C30" w14:textId="7F94DEE4" w:rsidR="00755AF7" w:rsidRDefault="00755AF7" w:rsidP="00EE4B59">
      <w:pPr>
        <w:rPr>
          <w:rFonts w:cs="Arial"/>
          <w:color w:val="000000" w:themeColor="text1"/>
          <w:szCs w:val="16"/>
        </w:rPr>
      </w:pPr>
    </w:p>
    <w:p w14:paraId="6B101447" w14:textId="77777777" w:rsidR="008A3469" w:rsidRDefault="008A3469">
      <w:pPr>
        <w:spacing w:before="0" w:after="200" w:line="276" w:lineRule="auto"/>
        <w:rPr>
          <w:rFonts w:eastAsiaTheme="majorEastAsia" w:cstheme="majorBidi"/>
          <w:b/>
          <w:bCs/>
          <w:color w:val="000000" w:themeColor="text1"/>
          <w:sz w:val="20"/>
          <w:szCs w:val="28"/>
        </w:rPr>
      </w:pPr>
      <w:r>
        <w:rPr>
          <w:color w:val="000000" w:themeColor="text1"/>
        </w:rPr>
        <w:br w:type="page"/>
      </w:r>
    </w:p>
    <w:p w14:paraId="30D6B79A" w14:textId="625ED4A1" w:rsidR="0086208A" w:rsidRDefault="0086208A" w:rsidP="0086208A">
      <w:pPr>
        <w:pStyle w:val="Heading1"/>
        <w:rPr>
          <w:color w:val="000000" w:themeColor="text1"/>
        </w:rPr>
      </w:pPr>
      <w:r>
        <w:rPr>
          <w:color w:val="000000" w:themeColor="text1"/>
        </w:rPr>
        <w:lastRenderedPageBreak/>
        <w:t>ED Attachments</w:t>
      </w:r>
    </w:p>
    <w:p w14:paraId="7F9E0D55" w14:textId="77777777" w:rsidR="0086208A" w:rsidRPr="0086208A" w:rsidRDefault="0086208A" w:rsidP="0086208A"/>
    <w:p w14:paraId="0D37CD96" w14:textId="23AF926C" w:rsidR="0086208A" w:rsidRPr="00781112" w:rsidRDefault="0086208A" w:rsidP="00EE4B59">
      <w:pPr>
        <w:rPr>
          <w:rFonts w:cs="Arial"/>
          <w:color w:val="000000" w:themeColor="text1"/>
          <w:szCs w:val="16"/>
        </w:rPr>
      </w:pPr>
      <w:r>
        <w:rPr>
          <w:rFonts w:cs="Arial"/>
          <w:color w:val="000000" w:themeColor="text1"/>
          <w:szCs w:val="16"/>
        </w:rPr>
        <w:object w:dxaOrig="1540" w:dyaOrig="997" w14:anchorId="0D425BC3">
          <v:shape id="_x0000_i1026" type="#_x0000_t75" alt="KY-B-Dispute-Resolution-2020-21" style="width:77.15pt;height:51.45pt" o:ole="">
            <v:imagedata r:id="rId12" o:title=""/>
          </v:shape>
          <o:OLEObject Type="Embed" ProgID="Acrobat.Document.DC" ShapeID="_x0000_i1026" DrawAspect="Icon" ObjectID="_1726414090" r:id="rId13"/>
        </w:object>
      </w:r>
      <w:r w:rsidR="00072493">
        <w:rPr>
          <w:rFonts w:cs="Arial"/>
          <w:color w:val="000000" w:themeColor="text1"/>
          <w:szCs w:val="16"/>
        </w:rPr>
        <w:object w:dxaOrig="1579" w:dyaOrig="1022" w14:anchorId="6D19A9AF">
          <v:shape id="_x0000_i1030" type="#_x0000_t75" alt="KY-2022DataRubricPartB&#10;" style="width:77.15pt;height:51.45pt" o:ole="">
            <v:imagedata r:id="rId14" o:title=""/>
          </v:shape>
          <o:OLEObject Type="Embed" ProgID="Excel.Sheet.12" ShapeID="_x0000_i1030" DrawAspect="Icon" ObjectID="_1726414091" r:id="rId15"/>
        </w:object>
      </w:r>
      <w:r w:rsidR="00EA28A4">
        <w:rPr>
          <w:rFonts w:cs="Arial"/>
          <w:color w:val="000000" w:themeColor="text1"/>
          <w:szCs w:val="16"/>
        </w:rPr>
        <w:object w:dxaOrig="1579" w:dyaOrig="1022" w14:anchorId="2C8A1516">
          <v:shape id="_x0000_i1028" type="#_x0000_t75" alt="ky-resultsmatrix-2022b&#10;" style="width:77.15pt;height:51.45pt" o:ole="">
            <v:imagedata r:id="rId16" o:title=""/>
          </v:shape>
          <o:OLEObject Type="Embed" ProgID="Acrobat.Document.DC" ShapeID="_x0000_i1028" DrawAspect="Icon" ObjectID="_1726414092" r:id="rId17"/>
        </w:object>
      </w:r>
    </w:p>
    <w:sectPr w:rsidR="0086208A"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1599" w14:textId="77777777" w:rsidR="00EA3D4D" w:rsidRDefault="00EA3D4D" w:rsidP="000802F7">
      <w:pPr>
        <w:spacing w:before="0" w:after="0"/>
      </w:pPr>
      <w:r>
        <w:separator/>
      </w:r>
    </w:p>
  </w:endnote>
  <w:endnote w:type="continuationSeparator" w:id="0">
    <w:p w14:paraId="66CA72CF" w14:textId="77777777" w:rsidR="00EA3D4D" w:rsidRDefault="00EA3D4D" w:rsidP="000802F7">
      <w:pPr>
        <w:spacing w:before="0" w:after="0"/>
      </w:pPr>
      <w:r>
        <w:continuationSeparator/>
      </w:r>
    </w:p>
  </w:endnote>
  <w:endnote w:type="continuationNotice" w:id="1">
    <w:p w14:paraId="387A7C2E" w14:textId="77777777" w:rsidR="00EA3D4D" w:rsidRDefault="00EA3D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C8A0" w14:textId="77777777" w:rsidR="00EA3D4D" w:rsidRDefault="00EA3D4D" w:rsidP="000802F7">
      <w:pPr>
        <w:spacing w:before="0" w:after="0"/>
      </w:pPr>
      <w:r>
        <w:separator/>
      </w:r>
    </w:p>
  </w:footnote>
  <w:footnote w:type="continuationSeparator" w:id="0">
    <w:p w14:paraId="43FDE405" w14:textId="77777777" w:rsidR="00EA3D4D" w:rsidRDefault="00EA3D4D" w:rsidP="000802F7">
      <w:pPr>
        <w:spacing w:before="0" w:after="0"/>
      </w:pPr>
      <w:r>
        <w:continuationSeparator/>
      </w:r>
    </w:p>
  </w:footnote>
  <w:footnote w:type="continuationNotice" w:id="1">
    <w:p w14:paraId="6205C862" w14:textId="77777777" w:rsidR="00EA3D4D" w:rsidRDefault="00EA3D4D">
      <w:pPr>
        <w:spacing w:before="0" w:after="0"/>
      </w:pPr>
    </w:p>
  </w:footnote>
  <w:footnote w:id="2">
    <w:p w14:paraId="3F9719FA" w14:textId="4E0ABEBD" w:rsidR="0086208A" w:rsidRPr="0086208A" w:rsidRDefault="0086208A">
      <w:pPr>
        <w:pStyle w:val="FootnoteText"/>
        <w:rPr>
          <w:sz w:val="16"/>
          <w:szCs w:val="16"/>
        </w:rPr>
      </w:pPr>
      <w:r w:rsidRPr="0086208A">
        <w:rPr>
          <w:rStyle w:val="FootnoteReference"/>
          <w:sz w:val="16"/>
          <w:szCs w:val="16"/>
        </w:rPr>
        <w:footnoteRef/>
      </w:r>
      <w:r w:rsidRPr="0086208A">
        <w:rPr>
          <w:sz w:val="16"/>
          <w:szCs w:val="16"/>
        </w:rPr>
        <w:t xml:space="preserve"> Prior to the FFY 2020 submission, the State used a different data source to report data under this indicator.</w:t>
      </w:r>
    </w:p>
  </w:footnote>
  <w:footnote w:id="3">
    <w:p w14:paraId="1340CA0D" w14:textId="68FAF2F6" w:rsidR="00E86999" w:rsidRPr="00E86999" w:rsidRDefault="00E86999" w:rsidP="00E86999">
      <w:pPr>
        <w:spacing w:before="0" w:after="0"/>
        <w:rPr>
          <w:rFonts w:eastAsia="Times New Roman" w:cs="Arial"/>
          <w:color w:val="000000"/>
          <w:szCs w:val="16"/>
        </w:rPr>
      </w:pPr>
      <w:r>
        <w:rPr>
          <w:rStyle w:val="FootnoteReference"/>
        </w:rPr>
        <w:footnoteRef/>
      </w:r>
      <w:r>
        <w:t xml:space="preserve"> </w:t>
      </w:r>
      <w:r w:rsidRPr="00E86999">
        <w:rPr>
          <w:rFonts w:eastAsia="Times New Roman" w:cs="Arial"/>
          <w:color w:val="000000"/>
          <w:szCs w:val="16"/>
        </w:rPr>
        <w:t>Percentage blurred due to privacy protection</w:t>
      </w:r>
    </w:p>
  </w:footnote>
  <w:footnote w:id="4">
    <w:p w14:paraId="0DEA3A7A" w14:textId="77777777" w:rsidR="00E86999" w:rsidRPr="00E86999" w:rsidRDefault="00E86999" w:rsidP="00E86999">
      <w:pPr>
        <w:spacing w:before="0" w:after="0"/>
        <w:rPr>
          <w:rFonts w:eastAsia="Times New Roman" w:cs="Arial"/>
          <w:color w:val="000000"/>
          <w:szCs w:val="16"/>
        </w:rPr>
      </w:pPr>
      <w:r>
        <w:rPr>
          <w:rStyle w:val="FootnoteReference"/>
        </w:rPr>
        <w:footnoteRef/>
      </w:r>
      <w:r>
        <w:t xml:space="preserve"> </w:t>
      </w:r>
      <w:r w:rsidRPr="00E86999">
        <w:rPr>
          <w:rFonts w:eastAsia="Times New Roman" w:cs="Arial"/>
          <w:color w:val="000000"/>
          <w:szCs w:val="16"/>
        </w:rPr>
        <w:t>Percentage blurred due to privacy protection</w:t>
      </w:r>
    </w:p>
  </w:footnote>
  <w:footnote w:id="5">
    <w:p w14:paraId="0B3E3697" w14:textId="183C479D" w:rsidR="0086208A" w:rsidRPr="0086208A" w:rsidRDefault="0086208A">
      <w:pPr>
        <w:pStyle w:val="FootnoteText"/>
        <w:rPr>
          <w:sz w:val="16"/>
          <w:szCs w:val="16"/>
        </w:rPr>
      </w:pPr>
      <w:r w:rsidRPr="0086208A">
        <w:rPr>
          <w:rStyle w:val="FootnoteReference"/>
          <w:sz w:val="16"/>
          <w:szCs w:val="16"/>
        </w:rPr>
        <w:footnoteRef/>
      </w:r>
      <w:r w:rsidRPr="0086208A">
        <w:rPr>
          <w:sz w:val="16"/>
          <w:szCs w:val="16"/>
        </w:rPr>
        <w:t xml:space="preserve"> 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5pt;height:20.5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264325">
    <w:abstractNumId w:val="23"/>
  </w:num>
  <w:num w:numId="2" w16cid:durableId="1013144436">
    <w:abstractNumId w:val="11"/>
  </w:num>
  <w:num w:numId="3" w16cid:durableId="1451511610">
    <w:abstractNumId w:val="21"/>
  </w:num>
  <w:num w:numId="4" w16cid:durableId="1405377579">
    <w:abstractNumId w:val="25"/>
  </w:num>
  <w:num w:numId="5" w16cid:durableId="859589361">
    <w:abstractNumId w:val="0"/>
  </w:num>
  <w:num w:numId="6" w16cid:durableId="633676339">
    <w:abstractNumId w:val="16"/>
  </w:num>
  <w:num w:numId="7" w16cid:durableId="318970138">
    <w:abstractNumId w:val="8"/>
  </w:num>
  <w:num w:numId="8" w16cid:durableId="1480154201">
    <w:abstractNumId w:val="10"/>
  </w:num>
  <w:num w:numId="9" w16cid:durableId="885993652">
    <w:abstractNumId w:val="12"/>
  </w:num>
  <w:num w:numId="10" w16cid:durableId="1797259766">
    <w:abstractNumId w:val="14"/>
  </w:num>
  <w:num w:numId="11" w16cid:durableId="521482850">
    <w:abstractNumId w:val="18"/>
  </w:num>
  <w:num w:numId="12" w16cid:durableId="888227485">
    <w:abstractNumId w:val="20"/>
  </w:num>
  <w:num w:numId="13" w16cid:durableId="1354576046">
    <w:abstractNumId w:val="9"/>
  </w:num>
  <w:num w:numId="14" w16cid:durableId="1193375948">
    <w:abstractNumId w:val="15"/>
  </w:num>
  <w:num w:numId="15" w16cid:durableId="117377718">
    <w:abstractNumId w:val="13"/>
  </w:num>
  <w:num w:numId="16" w16cid:durableId="10881138">
    <w:abstractNumId w:val="22"/>
  </w:num>
  <w:num w:numId="17" w16cid:durableId="388112288">
    <w:abstractNumId w:val="2"/>
  </w:num>
  <w:num w:numId="18" w16cid:durableId="2053462710">
    <w:abstractNumId w:val="7"/>
  </w:num>
  <w:num w:numId="19" w16cid:durableId="965738948">
    <w:abstractNumId w:val="1"/>
  </w:num>
  <w:num w:numId="20" w16cid:durableId="1532450991">
    <w:abstractNumId w:val="19"/>
  </w:num>
  <w:num w:numId="21" w16cid:durableId="1052774361">
    <w:abstractNumId w:val="24"/>
  </w:num>
  <w:num w:numId="22" w16cid:durableId="2084644378">
    <w:abstractNumId w:val="6"/>
  </w:num>
  <w:num w:numId="23" w16cid:durableId="1342009046">
    <w:abstractNumId w:val="3"/>
  </w:num>
  <w:num w:numId="24" w16cid:durableId="371655465">
    <w:abstractNumId w:val="4"/>
  </w:num>
  <w:num w:numId="25" w16cid:durableId="194387424">
    <w:abstractNumId w:val="5"/>
  </w:num>
  <w:num w:numId="26" w16cid:durableId="156055127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493"/>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47ED"/>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513"/>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08A"/>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469"/>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D5E"/>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3E9F"/>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6999"/>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8A4"/>
    <w:rsid w:val="00EA2918"/>
    <w:rsid w:val="00EA2C74"/>
    <w:rsid w:val="00EA355A"/>
    <w:rsid w:val="00EA3D4D"/>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29400311">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89bf3613-0818-48da-aadf-73420b6d0357"/>
    <ds:schemaRef ds:uri="http://schemas.microsoft.com/office/2006/metadata/properties"/>
  </ds:schemaRefs>
</ds:datastoreItem>
</file>

<file path=customXml/itemProps2.xml><?xml version="1.0" encoding="utf-8"?>
<ds:datastoreItem xmlns:ds="http://schemas.openxmlformats.org/officeDocument/2006/customXml" ds:itemID="{F9010E00-F8A7-48DC-A463-206EA2512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98</Pages>
  <Words>69202</Words>
  <Characters>394457</Characters>
  <Application>Microsoft Office Word</Application>
  <DocSecurity>0</DocSecurity>
  <Lines>3287</Lines>
  <Paragraphs>925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2022-08-09T18:05:00Z</dcterms:created>
  <dcterms:modified xsi:type="dcterms:W3CDTF">2022-10-04T22:42:00Z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909f23a3-110f-4a04-abbe-3e4fee1403c0</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