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Kansas</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286</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The reauthorization of the Individuals with Disabilities Education Improvement Act (IDEIA, 2004) expanded the accountability requirements of the state education agency (SEA) and districts in the areas of compliance with the law; performance of students with exceptionalities; and the timely, accurate, and reliable reporting of data. As a result of the reauthorization of IDEIA, 2004, increased accountability at the state and local level, and changes in the Office of Special Education Programs’ (OSEP) monitoring priorities, Kansas shifted from a Focused Monitoring System to the Kansas Integrated Accountability System (KIAS). The KIAS is in alignment with IDEIA (2004) general supervision requirements, Results Driven Accountability (RDA) as outlined by OSEP, the Elementary and Secondary Education Act as revised by </w:t>
      </w:r>
      <w:proofErr w:type="gramStart"/>
      <w:r w:rsidRPr="005C29F8">
        <w:rPr>
          <w:rFonts w:cs="Arial"/>
          <w:color w:val="000000" w:themeColor="text1"/>
          <w:szCs w:val="16"/>
        </w:rPr>
        <w:t>the Every</w:t>
      </w:r>
      <w:proofErr w:type="gramEnd"/>
      <w:r w:rsidRPr="005C29F8">
        <w:rPr>
          <w:rFonts w:cs="Arial"/>
          <w:color w:val="000000" w:themeColor="text1"/>
          <w:szCs w:val="16"/>
        </w:rPr>
        <w:t xml:space="preserve"> Student Succeeds Act, and state statutes and regulations. The KIAS is an integrated continuous process involving data collection, data verification, district corrective action, reporting, and incentives and sanctions. The KIAS includes the following components of General Supervision: performance reports; fiscal management; integrated on- and off-site monitoring activities; effective policies and procedures; data on processes and results; improvement, correction, </w:t>
      </w:r>
      <w:proofErr w:type="gramStart"/>
      <w:r w:rsidRPr="005C29F8">
        <w:rPr>
          <w:rFonts w:cs="Arial"/>
          <w:color w:val="000000" w:themeColor="text1"/>
          <w:szCs w:val="16"/>
        </w:rPr>
        <w:t>incentives</w:t>
      </w:r>
      <w:proofErr w:type="gramEnd"/>
      <w:r w:rsidRPr="005C29F8">
        <w:rPr>
          <w:rFonts w:cs="Arial"/>
          <w:color w:val="000000" w:themeColor="text1"/>
          <w:szCs w:val="16"/>
        </w:rPr>
        <w:t xml:space="preserve"> and sanctions; resolution; targeted technical assistance; and professional development. </w:t>
      </w:r>
      <w:r w:rsidRPr="005C29F8">
        <w:rPr>
          <w:rFonts w:cs="Arial"/>
          <w:color w:val="000000" w:themeColor="text1"/>
          <w:szCs w:val="16"/>
        </w:rPr>
        <w:br/>
      </w:r>
      <w:r w:rsidRPr="005C29F8">
        <w:rPr>
          <w:rFonts w:cs="Arial"/>
          <w:color w:val="000000" w:themeColor="text1"/>
          <w:szCs w:val="16"/>
        </w:rPr>
        <w:br/>
        <w:t>The KIAS is designed to ensure both state and district compliance with the federal special education requirements and improved academic, behavioral, and social outcomes for students with disabilities.</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The mechanism that Kansas has in place to ensure the timely delivery of statewide high quality, evidenced-based technical assistance and support to districts is the Kansas Technical Assistance System Network (TASN). The TASN providers include staff from KSDE Early Childhood and Special Education and Title Services Teams, IDEA Parent Training and Information Center (PTI), Kansas Parent Information Resource Center (KPIRC), State Personnel Development Grant (SPDG), contractual partners, as well as field-based staff. The TASN is a dynamic system of delivery that supports KSDE-identified initiatives and priorities that cut across technical assistance, professional learning, accountability, monitoring, governance, and quality standards aligned with the Kansas SPP/APR. The KSDE SETS leadership team provides oversight of TASN ensuring timely and quality technical assistance. All technical assistance and professional learning provided by TASN is directed by standard operating principles. The principles include implementation science and the Learning Forward Standards for Professional Learning with a focus on scaling-up of effective implementation of evidence-based practices by districts to improve the educational results and functional outcomes for students with disabilities. </w:t>
      </w:r>
      <w:r w:rsidRPr="005C29F8">
        <w:rPr>
          <w:rFonts w:cs="Arial"/>
          <w:color w:val="000000" w:themeColor="text1"/>
          <w:szCs w:val="16"/>
        </w:rPr>
        <w:br/>
      </w:r>
      <w:r w:rsidRPr="005C29F8">
        <w:rPr>
          <w:rFonts w:cs="Arial"/>
          <w:color w:val="000000" w:themeColor="text1"/>
          <w:szCs w:val="16"/>
        </w:rPr>
        <w:br/>
        <w:t xml:space="preserve">Multiple funding sources assist districts in expanding services, improving educator skills, and providing quality professional development based on needs identified through analysis of statewide data. Federal investments include IDEA VI-B funds, ESEA Title I </w:t>
      </w:r>
      <w:proofErr w:type="gramStart"/>
      <w:r w:rsidRPr="005C29F8">
        <w:rPr>
          <w:rFonts w:cs="Arial"/>
          <w:color w:val="000000" w:themeColor="text1"/>
          <w:szCs w:val="16"/>
        </w:rPr>
        <w:t>funds</w:t>
      </w:r>
      <w:proofErr w:type="gramEnd"/>
      <w:r w:rsidRPr="005C29F8">
        <w:rPr>
          <w:rFonts w:cs="Arial"/>
          <w:color w:val="000000" w:themeColor="text1"/>
          <w:szCs w:val="16"/>
        </w:rPr>
        <w:t xml:space="preserve">, school improvement, and State Personnel Development Grant funding. </w:t>
      </w:r>
      <w:r w:rsidRPr="005C29F8">
        <w:rPr>
          <w:rFonts w:cs="Arial"/>
          <w:color w:val="000000" w:themeColor="text1"/>
          <w:szCs w:val="16"/>
        </w:rPr>
        <w:br/>
      </w:r>
      <w:r w:rsidRPr="005C29F8">
        <w:rPr>
          <w:rFonts w:cs="Arial"/>
          <w:color w:val="000000" w:themeColor="text1"/>
          <w:szCs w:val="16"/>
        </w:rPr>
        <w:br/>
        <w:t>More TASN information is available at https://www.ksdetasn.org.</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The mechanisms Kansas has in place to ensure that service providers at the state and local level have the skills to effectively deliver services to improve results for students with disabilities are primarily provided through the Technical Assistance System Network (TASN). The TASN activities are directed by KSDE initiatives, including the Kansas SPP/APR with input and feedback from various stakeholder data, and the number of requests for targeted professional development in a specific area of need. </w:t>
      </w:r>
      <w:r w:rsidRPr="005C29F8">
        <w:rPr>
          <w:rFonts w:cs="Arial"/>
          <w:color w:val="000000" w:themeColor="text1"/>
          <w:szCs w:val="16"/>
        </w:rPr>
        <w:br/>
      </w:r>
      <w:r w:rsidRPr="005C29F8">
        <w:rPr>
          <w:rFonts w:cs="Arial"/>
          <w:color w:val="000000" w:themeColor="text1"/>
          <w:szCs w:val="16"/>
        </w:rPr>
        <w:br/>
        <w:t xml:space="preserve">The KSDE ensures the knowledge and skills to scale up capacity of the TASN providers through continuous professional learning opportunities focused on the Learning Forward Professional Learning Standards which incorporate adult learning principles and implementation science. Kansas utilizes the national technical assistance centers and OSEP for professional development, guidance, and collaboration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continually improve educational results and functional outcomes for students with disabilities. </w:t>
      </w:r>
      <w:r w:rsidRPr="005C29F8">
        <w:rPr>
          <w:rFonts w:cs="Arial"/>
          <w:color w:val="000000" w:themeColor="text1"/>
          <w:szCs w:val="16"/>
        </w:rPr>
        <w:br/>
      </w:r>
      <w:r w:rsidRPr="005C29F8">
        <w:rPr>
          <w:rFonts w:cs="Arial"/>
          <w:color w:val="000000" w:themeColor="text1"/>
          <w:szCs w:val="16"/>
        </w:rPr>
        <w:br/>
        <w:t xml:space="preserve">The identification of needs and selection of strategies is informed through the use of data in the </w:t>
      </w:r>
      <w:proofErr w:type="spellStart"/>
      <w:proofErr w:type="gramStart"/>
      <w:r w:rsidRPr="005C29F8">
        <w:rPr>
          <w:rFonts w:cs="Arial"/>
          <w:color w:val="000000" w:themeColor="text1"/>
          <w:szCs w:val="16"/>
        </w:rPr>
        <w:t>self correcting</w:t>
      </w:r>
      <w:proofErr w:type="spellEnd"/>
      <w:proofErr w:type="gramEnd"/>
      <w:r w:rsidRPr="005C29F8">
        <w:rPr>
          <w:rFonts w:cs="Arial"/>
          <w:color w:val="000000" w:themeColor="text1"/>
          <w:szCs w:val="16"/>
        </w:rPr>
        <w:t xml:space="preserve"> feedback loop. Strategies to improve educational results and functional outcomes for students with disabilities are designed using the implementation drivers focused on staff selection, training, coaching, and evaluation to ensure effective implementation of evidence-based practices. </w:t>
      </w:r>
      <w:r w:rsidRPr="005C29F8">
        <w:rPr>
          <w:rFonts w:cs="Arial"/>
          <w:color w:val="000000" w:themeColor="text1"/>
          <w:szCs w:val="16"/>
        </w:rPr>
        <w:br/>
      </w:r>
      <w:r w:rsidRPr="005C29F8">
        <w:rPr>
          <w:rFonts w:cs="Arial"/>
          <w:color w:val="000000" w:themeColor="text1"/>
          <w:szCs w:val="16"/>
        </w:rPr>
        <w:br/>
        <w:t>Multiple funding sources assist in expanding services, improving educator skills, and providing quality professional development based on needs identified through analysis of statewide data. Federal investments include IDEA VI-B, ESEA Title I, and State Personnel Development Grant funding.</w:t>
      </w:r>
      <w:r w:rsidRPr="005C29F8">
        <w:rPr>
          <w:rFonts w:cs="Arial"/>
          <w:color w:val="000000" w:themeColor="text1"/>
          <w:szCs w:val="16"/>
        </w:rPr>
        <w:br/>
      </w:r>
      <w:r w:rsidRPr="005C29F8">
        <w:rPr>
          <w:rFonts w:cs="Arial"/>
          <w:color w:val="000000" w:themeColor="text1"/>
          <w:szCs w:val="16"/>
        </w:rPr>
        <w:br/>
        <w:t>More TASN information is at https://www.ksdetasn.org.</w:t>
      </w:r>
    </w:p>
    <w:p w14:paraId="0D25C7E9" w14:textId="5F221B54" w:rsidR="00AF5649" w:rsidRPr="005C29F8" w:rsidRDefault="00AF5649" w:rsidP="004369B2">
      <w:pPr>
        <w:rPr>
          <w:color w:val="000000" w:themeColor="text1"/>
        </w:rPr>
      </w:pPr>
      <w:r w:rsidRPr="005C29F8">
        <w:rPr>
          <w:b/>
          <w:color w:val="000000" w:themeColor="text1"/>
        </w:rPr>
        <w:lastRenderedPageBreak/>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The mechanism for soliciting broad stakeholder input on targets in the Kansas SPP/APR was through six established statewide groups. These groups along with KSDE staff met on multiple occasions to develop, provide continuous feedback based on data collection systems, review progress, identify root causes and propose revisions on targets if needed. These groups include: (1) The Special Education Advisory Council (SEAC); (2) Kansas Assessment Advisory Council (KAAC); (3) The State Interagency Coordinating Council (SICC); (4) Technical Assistance System Network (TASN) providers; (5) the ESEA Advisory Council; and (6) the Kansas School Mental Health Advisory Council. These groups include representatives from parent organizations, multiple state agencies, school districts, higher education, and advocacy organizations.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Kansas reports annually to the public on the performance of each district on the targets in the Kansas SPP/APR no later than 120 days following the submission of the APR as required by 34 C.F.R. § 300.602(b)(1)(</w:t>
      </w:r>
      <w:proofErr w:type="spellStart"/>
      <w:r w:rsidRPr="005C29F8">
        <w:rPr>
          <w:rFonts w:cs="Arial"/>
          <w:color w:val="000000" w:themeColor="text1"/>
          <w:szCs w:val="16"/>
        </w:rPr>
        <w:t>i</w:t>
      </w:r>
      <w:proofErr w:type="spellEnd"/>
      <w:r w:rsidRPr="005C29F8">
        <w:rPr>
          <w:rFonts w:cs="Arial"/>
          <w:color w:val="000000" w:themeColor="text1"/>
          <w:szCs w:val="16"/>
        </w:rPr>
        <w:t xml:space="preserve">)(A). The FFY 2018 performance of each district on the indicator targets is available to the public at the KSDE website, datacentral.ksde.org/sped_rpts.aspx. A complete copy of the FFY 2018 SPP/APR and other related documents are available at the KSDE website https://www.ksde.org/Agency/Division-of-Learning-Services/Early-Childhood-Special-Education-and-Title-Services/SpecialEducation, https://www.ksde.org/Default.aspx?tabid=520 and OSEP’s State Performance Plans (SPP) Letters and Annual Performance Report (APR) </w:t>
      </w:r>
      <w:proofErr w:type="gramStart"/>
      <w:r w:rsidRPr="005C29F8">
        <w:rPr>
          <w:rFonts w:cs="Arial"/>
          <w:color w:val="000000" w:themeColor="text1"/>
          <w:szCs w:val="16"/>
        </w:rPr>
        <w:t>Letters</w:t>
      </w:r>
      <w:proofErr w:type="gramEnd"/>
      <w:r w:rsidRPr="005C29F8">
        <w:rPr>
          <w:rFonts w:cs="Arial"/>
          <w:color w:val="000000" w:themeColor="text1"/>
          <w:szCs w:val="16"/>
        </w:rPr>
        <w:t xml:space="preserve"> page https://sites.ed.gov/idea/files/ks-b-sppapr-2018-19.doc. Dissemination of public reports is through direct distribution and notification of availability on the KSDE website through electronic media including listservs to ensure public awareness.</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2005</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85.70%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81.00%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82.00%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83.00%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84.00%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85.75%</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76.71%</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77.29%</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77.52%</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78.37%</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80.02%</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85.75%</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48021B19" w:rsidR="00866B4D" w:rsidRPr="005C29F8" w:rsidRDefault="00873DAC" w:rsidP="00A018D4">
            <w:pPr>
              <w:jc w:val="center"/>
              <w:rPr>
                <w:rFonts w:cs="Arial"/>
                <w:color w:val="000000" w:themeColor="text1"/>
                <w:szCs w:val="16"/>
              </w:rPr>
            </w:pPr>
            <w:r>
              <w:rPr>
                <w:rFonts w:cs="Arial"/>
                <w:color w:val="000000" w:themeColor="text1"/>
                <w:szCs w:val="16"/>
              </w:rPr>
              <w:t>*</w:t>
            </w:r>
            <w:bookmarkStart w:id="3" w:name="_Ref78284513"/>
            <w:r w:rsidR="00D06FF8">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4,705</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761AD988" w:rsidR="00866B4D" w:rsidRPr="005C29F8" w:rsidRDefault="002B7490" w:rsidP="00A018D4">
            <w:pPr>
              <w:jc w:val="center"/>
              <w:rPr>
                <w:rFonts w:cs="Arial"/>
                <w:color w:val="000000" w:themeColor="text1"/>
                <w:szCs w:val="16"/>
              </w:rPr>
            </w:pPr>
            <w:r w:rsidRPr="005C29F8">
              <w:rPr>
                <w:rFonts w:cs="Arial"/>
                <w:color w:val="000000" w:themeColor="text1"/>
                <w:szCs w:val="16"/>
              </w:rPr>
              <w:t>78.4%</w:t>
            </w:r>
            <w:bookmarkStart w:id="4" w:name="_Ref78284518"/>
            <w:r w:rsidR="002C47F6">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34BBCE3F" w:rsidR="0098478C" w:rsidRPr="005C29F8" w:rsidRDefault="00873DAC" w:rsidP="00A018D4">
            <w:pPr>
              <w:jc w:val="center"/>
              <w:rPr>
                <w:rFonts w:cs="Arial"/>
                <w:color w:val="000000" w:themeColor="text1"/>
                <w:szCs w:val="16"/>
              </w:rPr>
            </w:pPr>
            <w:r>
              <w:rPr>
                <w:rFonts w:cs="Arial"/>
                <w:color w:val="000000" w:themeColor="text1"/>
                <w:szCs w:val="16"/>
              </w:rPr>
              <w:t>*</w:t>
            </w:r>
            <w:r w:rsidR="002C47F6" w:rsidRPr="002C47F6">
              <w:rPr>
                <w:rFonts w:cs="Arial"/>
                <w:color w:val="000000" w:themeColor="text1"/>
                <w:szCs w:val="16"/>
                <w:vertAlign w:val="superscript"/>
              </w:rPr>
              <w:fldChar w:fldCharType="begin"/>
            </w:r>
            <w:r w:rsidR="002C47F6" w:rsidRPr="002C47F6">
              <w:rPr>
                <w:rFonts w:cs="Arial"/>
                <w:color w:val="000000" w:themeColor="text1"/>
                <w:szCs w:val="16"/>
                <w:vertAlign w:val="superscript"/>
              </w:rPr>
              <w:instrText xml:space="preserve"> NOTEREF _Ref78284513 \h </w:instrText>
            </w:r>
            <w:r w:rsidR="002C47F6">
              <w:rPr>
                <w:rFonts w:cs="Arial"/>
                <w:color w:val="000000" w:themeColor="text1"/>
                <w:szCs w:val="16"/>
                <w:vertAlign w:val="superscript"/>
              </w:rPr>
              <w:instrText xml:space="preserve"> \* MERGEFORMAT </w:instrText>
            </w:r>
            <w:r w:rsidR="002C47F6" w:rsidRPr="002C47F6">
              <w:rPr>
                <w:rFonts w:cs="Arial"/>
                <w:color w:val="000000" w:themeColor="text1"/>
                <w:szCs w:val="16"/>
                <w:vertAlign w:val="superscript"/>
              </w:rPr>
            </w:r>
            <w:r w:rsidR="002C47F6" w:rsidRPr="002C47F6">
              <w:rPr>
                <w:rFonts w:cs="Arial"/>
                <w:color w:val="000000" w:themeColor="text1"/>
                <w:szCs w:val="16"/>
                <w:vertAlign w:val="superscript"/>
              </w:rPr>
              <w:fldChar w:fldCharType="separate"/>
            </w:r>
            <w:r w:rsidR="002C47F6" w:rsidRPr="002C47F6">
              <w:rPr>
                <w:rFonts w:cs="Arial"/>
                <w:color w:val="000000" w:themeColor="text1"/>
                <w:szCs w:val="16"/>
                <w:vertAlign w:val="superscript"/>
              </w:rPr>
              <w:t>1</w:t>
            </w:r>
            <w:r w:rsidR="002C47F6" w:rsidRPr="002C47F6">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4,705</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80.02%</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85.75%</w:t>
            </w:r>
          </w:p>
        </w:tc>
        <w:tc>
          <w:tcPr>
            <w:tcW w:w="633" w:type="pct"/>
            <w:shd w:val="clear" w:color="auto" w:fill="auto"/>
          </w:tcPr>
          <w:p w14:paraId="4A53AF2D" w14:textId="23E427D9" w:rsidR="0098478C" w:rsidRPr="005C29F8" w:rsidRDefault="002B7490" w:rsidP="00A018D4">
            <w:pPr>
              <w:jc w:val="center"/>
              <w:rPr>
                <w:rFonts w:cs="Arial"/>
                <w:color w:val="000000" w:themeColor="text1"/>
                <w:szCs w:val="16"/>
              </w:rPr>
            </w:pPr>
            <w:r w:rsidRPr="005C29F8">
              <w:rPr>
                <w:rFonts w:cs="Arial"/>
                <w:color w:val="000000" w:themeColor="text1"/>
                <w:szCs w:val="16"/>
              </w:rPr>
              <w:t>78.4%</w:t>
            </w:r>
            <w:r w:rsidR="002C47F6" w:rsidRPr="002C47F6">
              <w:rPr>
                <w:rFonts w:cs="Arial"/>
                <w:color w:val="000000" w:themeColor="text1"/>
                <w:szCs w:val="16"/>
                <w:vertAlign w:val="superscript"/>
              </w:rPr>
              <w:fldChar w:fldCharType="begin"/>
            </w:r>
            <w:r w:rsidR="002C47F6" w:rsidRPr="002C47F6">
              <w:rPr>
                <w:rFonts w:cs="Arial"/>
                <w:color w:val="000000" w:themeColor="text1"/>
                <w:szCs w:val="16"/>
                <w:vertAlign w:val="superscript"/>
              </w:rPr>
              <w:instrText xml:space="preserve"> NOTEREF _Ref78284518 \h </w:instrText>
            </w:r>
            <w:r w:rsidR="002C47F6">
              <w:rPr>
                <w:rFonts w:cs="Arial"/>
                <w:color w:val="000000" w:themeColor="text1"/>
                <w:szCs w:val="16"/>
                <w:vertAlign w:val="superscript"/>
              </w:rPr>
              <w:instrText xml:space="preserve"> \* MERGEFORMAT </w:instrText>
            </w:r>
            <w:r w:rsidR="002C47F6" w:rsidRPr="002C47F6">
              <w:rPr>
                <w:rFonts w:cs="Arial"/>
                <w:color w:val="000000" w:themeColor="text1"/>
                <w:szCs w:val="16"/>
                <w:vertAlign w:val="superscript"/>
              </w:rPr>
            </w:r>
            <w:r w:rsidR="002C47F6" w:rsidRPr="002C47F6">
              <w:rPr>
                <w:rFonts w:cs="Arial"/>
                <w:color w:val="000000" w:themeColor="text1"/>
                <w:szCs w:val="16"/>
                <w:vertAlign w:val="superscript"/>
              </w:rPr>
              <w:fldChar w:fldCharType="separate"/>
            </w:r>
            <w:r w:rsidR="002C47F6" w:rsidRPr="002C47F6">
              <w:rPr>
                <w:rFonts w:cs="Arial"/>
                <w:color w:val="000000" w:themeColor="text1"/>
                <w:szCs w:val="16"/>
                <w:vertAlign w:val="superscript"/>
              </w:rPr>
              <w:t>2</w:t>
            </w:r>
            <w:r w:rsidR="002C47F6" w:rsidRPr="002C47F6">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8A148EF" w14:textId="201EE2DF" w:rsidR="00120808" w:rsidRPr="005C29F8" w:rsidRDefault="00120808" w:rsidP="004369B2">
      <w:pPr>
        <w:rPr>
          <w:b/>
          <w:color w:val="000000" w:themeColor="text1"/>
        </w:rPr>
      </w:pPr>
      <w:r w:rsidRPr="005C29F8">
        <w:rPr>
          <w:b/>
          <w:color w:val="000000" w:themeColor="text1"/>
        </w:rPr>
        <w:t>Provide reasons for slippage, if applicable</w:t>
      </w:r>
    </w:p>
    <w:p w14:paraId="57093C7C" w14:textId="103154AB" w:rsidR="002D145D" w:rsidRDefault="002B7490" w:rsidP="00AD3C71">
      <w:pPr>
        <w:rPr>
          <w:rFonts w:cs="Arial"/>
          <w:color w:val="000000" w:themeColor="text1"/>
          <w:szCs w:val="16"/>
        </w:rPr>
      </w:pPr>
      <w:r w:rsidRPr="005C29F8">
        <w:rPr>
          <w:rFonts w:cs="Arial"/>
          <w:color w:val="000000" w:themeColor="text1"/>
          <w:szCs w:val="16"/>
        </w:rPr>
        <w:t>An examination of state-level data for this indicator did not provide a clear indication of specific factors to account for the slippage. Slippage on this indicator is attributed to annual variance in data. Compared to FFY 2014-2017, FFY 2019 shows continued improvement.</w:t>
      </w:r>
    </w:p>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The Kansas State Department of Education (KSDE) established minimum graduation requirements for all students to receive a regular diploma. These requirements are the same for students with IEPs. The requirements are as follows:</w:t>
      </w:r>
      <w:r w:rsidRPr="005C29F8">
        <w:rPr>
          <w:rFonts w:cs="Arial"/>
          <w:color w:val="000000" w:themeColor="text1"/>
          <w:szCs w:val="16"/>
        </w:rPr>
        <w:br/>
        <w:t>overall 21 units of credit</w:t>
      </w:r>
      <w:r w:rsidRPr="005C29F8">
        <w:rPr>
          <w:rFonts w:cs="Arial"/>
          <w:color w:val="000000" w:themeColor="text1"/>
          <w:szCs w:val="16"/>
        </w:rPr>
        <w:br/>
        <w:t>4 units of English Language Arts</w:t>
      </w:r>
      <w:r w:rsidRPr="005C29F8">
        <w:rPr>
          <w:rFonts w:cs="Arial"/>
          <w:color w:val="000000" w:themeColor="text1"/>
          <w:szCs w:val="16"/>
        </w:rPr>
        <w:br/>
        <w:t>3 units of History/Government (</w:t>
      </w:r>
      <w:proofErr w:type="gramStart"/>
      <w:r w:rsidRPr="005C29F8">
        <w:rPr>
          <w:rFonts w:cs="Arial"/>
          <w:color w:val="000000" w:themeColor="text1"/>
          <w:szCs w:val="16"/>
        </w:rPr>
        <w:t>i.e.</w:t>
      </w:r>
      <w:proofErr w:type="gramEnd"/>
      <w:r w:rsidRPr="005C29F8">
        <w:rPr>
          <w:rFonts w:cs="Arial"/>
          <w:color w:val="000000" w:themeColor="text1"/>
          <w:szCs w:val="16"/>
        </w:rPr>
        <w:t xml:space="preserve"> World History, United States History, United States Government, Concepts of Economics, Geography, and Kansas History and Kansas Government)</w:t>
      </w:r>
      <w:r w:rsidRPr="005C29F8">
        <w:rPr>
          <w:rFonts w:cs="Arial"/>
          <w:color w:val="000000" w:themeColor="text1"/>
          <w:szCs w:val="16"/>
        </w:rPr>
        <w:br/>
        <w:t>3 units of Mathematics</w:t>
      </w:r>
      <w:r w:rsidRPr="005C29F8">
        <w:rPr>
          <w:rFonts w:cs="Arial"/>
          <w:color w:val="000000" w:themeColor="text1"/>
          <w:szCs w:val="16"/>
        </w:rPr>
        <w:br/>
        <w:t>3 units of Science</w:t>
      </w:r>
      <w:r w:rsidRPr="005C29F8">
        <w:rPr>
          <w:rFonts w:cs="Arial"/>
          <w:color w:val="000000" w:themeColor="text1"/>
          <w:szCs w:val="16"/>
        </w:rPr>
        <w:br/>
        <w:t>1 unit of Physical Education</w:t>
      </w:r>
      <w:r w:rsidRPr="005C29F8">
        <w:rPr>
          <w:rFonts w:cs="Arial"/>
          <w:color w:val="000000" w:themeColor="text1"/>
          <w:szCs w:val="16"/>
        </w:rPr>
        <w:br/>
        <w:t>6 units of Electives</w:t>
      </w:r>
      <w:r w:rsidRPr="005C29F8">
        <w:rPr>
          <w:rFonts w:cs="Arial"/>
          <w:color w:val="000000" w:themeColor="text1"/>
          <w:szCs w:val="16"/>
        </w:rPr>
        <w:br/>
        <w:t>1 unit of Fine Arts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2009</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2.46%</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2.42%</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2.40%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2.40%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2.38%</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2.32%</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2.72%</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2.75%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2.57%</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2.66%</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2.36%</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2.32%</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3,327</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lastRenderedPageBreak/>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64</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742</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10</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 xml:space="preserve">For FFY 2019 Kansas chose the OSEP Option 2 using the same data source and measurement that was used for the FFY 2018 APR submitted in February 2020. The measurement for students with IEPs in Grades 9-12 is a single year dropout rate calculation. The calculation for Kansas is: (Number of Grade 9-12 Special Education Dropouts/Total Grade 9-12 Special Education Enrollment </w:t>
      </w:r>
      <w:proofErr w:type="gramStart"/>
      <w:r w:rsidRPr="005C29F8">
        <w:rPr>
          <w:rFonts w:cs="Arial"/>
          <w:color w:val="000000" w:themeColor="text1"/>
          <w:szCs w:val="16"/>
          <w:shd w:val="clear" w:color="auto" w:fill="FFFFFF"/>
        </w:rPr>
        <w:t>Count)*</w:t>
      </w:r>
      <w:proofErr w:type="gramEnd"/>
      <w:r w:rsidRPr="005C29F8">
        <w:rPr>
          <w:rFonts w:cs="Arial"/>
          <w:color w:val="000000" w:themeColor="text1"/>
          <w:szCs w:val="16"/>
          <w:shd w:val="clear" w:color="auto" w:fill="FFFFFF"/>
        </w:rPr>
        <w:t xml:space="preserve">100. The source of Special Education Dropouts is Education Data Exchange Network (EDEN) Table N032. The source of Special Education Enrollment Count is the Kansas Individual Data on Students (KIDS) system End of Year Accountability (EOYA) and EXIT data. The KIDS EOYA and EXIT data are the data source for EDEN Dropout Table N032. </w:t>
      </w:r>
      <w:r w:rsidRPr="005C29F8">
        <w:rPr>
          <w:rFonts w:cs="Arial"/>
          <w:color w:val="000000" w:themeColor="text1"/>
          <w:szCs w:val="16"/>
          <w:shd w:val="clear" w:color="auto" w:fill="FFFFFF"/>
        </w:rPr>
        <w:br/>
        <w:t>The dropout calculation for students with IEPs is the same calculation used for all students under ESEA.</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883"/>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458</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18,171</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2.36%</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2.32%</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2.52%</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An examination of state-level data for this indicator did not provide a clear indication of specific factors to account for the slippage. Slippage on this indicator is attributed to annual variance in data. Compared to FFY 2014-2017, FFY 2019 shows continued improvement.</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Any student who leaves school and does not enroll in another school or program that culminates in a high school diploma. The students reported by the LEA as exiting under the following exit categories count as a dropout: discontinued schooling, moved within the United States -not known to be continuing, unknown, transfer to GED completion program, and transfer to a juvenile or adult </w:t>
      </w:r>
      <w:proofErr w:type="gramStart"/>
      <w:r w:rsidRPr="005C29F8">
        <w:rPr>
          <w:rFonts w:cs="Arial"/>
          <w:color w:val="000000" w:themeColor="text1"/>
          <w:szCs w:val="16"/>
          <w:shd w:val="clear" w:color="auto" w:fill="FFFFFF"/>
        </w:rPr>
        <w:t>correctional facility</w:t>
      </w:r>
      <w:proofErr w:type="gramEnd"/>
      <w:r w:rsidRPr="005C29F8">
        <w:rPr>
          <w:rFonts w:cs="Arial"/>
          <w:color w:val="000000" w:themeColor="text1"/>
          <w:szCs w:val="16"/>
          <w:shd w:val="clear" w:color="auto" w:fill="FFFFFF"/>
        </w:rPr>
        <w:t xml:space="preserve"> where educational services are not provided. Also, any unresolved exits are counted in the dropout category.</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98.32%</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98.32%</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98.32%</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98.32%</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98.34%</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97.10%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98.43%</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97.78%</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97.03%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97.68%</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97.88%</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98.31%</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98.31%</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98.31%</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98.31%</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98.33%</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97.20%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98.43%</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97.74%</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97.01%</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97.88%</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97.83%</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98.34%</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98.33%</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B7490" w:rsidP="002D145D">
      <w:pPr>
        <w:rPr>
          <w:rFonts w:cs="Arial"/>
          <w:color w:val="000000" w:themeColor="text1"/>
          <w:szCs w:val="16"/>
        </w:rPr>
      </w:pPr>
      <w:r w:rsidRPr="005C29F8">
        <w:rPr>
          <w:rFonts w:cs="Arial"/>
          <w:color w:val="000000" w:themeColor="text1"/>
          <w:szCs w:val="16"/>
        </w:rPr>
        <w:t>Over the past year, numerous meetings have taken place with broad representation of stakeholders to discuss and make decisions regarding Kansas State assessment procedures such as setting targets and how to report results. Kansas stakeholders include the Kansas State Board of Education (KSBE), Council of Superintendents, curriculum leaders, Kansas Assessment Advisory Council (KAAC), SEAC and ESEA advisory councils.</w:t>
      </w: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97.88%</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98.34%</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97.83%</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98.33%</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lastRenderedPageBreak/>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 xml:space="preserve">In accordance with 34 CFR §300.160(f), Kansas reports all assessment data for all students (both general education and students receiving special education services) in the same manner so that data are consistent. Kansas information on performance and participation of students with disabilities is located in two </w:t>
      </w:r>
      <w:proofErr w:type="gramStart"/>
      <w:r w:rsidRPr="005C29F8">
        <w:rPr>
          <w:rFonts w:cs="Arial"/>
          <w:color w:val="000000" w:themeColor="text1"/>
          <w:szCs w:val="16"/>
        </w:rPr>
        <w:t>places;</w:t>
      </w:r>
      <w:proofErr w:type="gramEnd"/>
      <w:r w:rsidRPr="005C29F8">
        <w:rPr>
          <w:rFonts w:cs="Arial"/>
          <w:color w:val="000000" w:themeColor="text1"/>
          <w:szCs w:val="16"/>
        </w:rPr>
        <w:t xml:space="preserve"> (1) The Building Report Card https://ksreportcard.ksde.org/default.aspx, and (2) The SPP/APR District Report https://datacentral.ksde.org/sped_rpts.aspx.</w:t>
      </w: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The Kansas State Department of Education (KSDE) does not have statewide assessment data to report in the FFY19 SPP/APR due to the impact </w:t>
      </w:r>
      <w:proofErr w:type="gramStart"/>
      <w:r w:rsidRPr="005C29F8">
        <w:rPr>
          <w:rFonts w:cs="Arial"/>
          <w:color w:val="000000" w:themeColor="text1"/>
          <w:szCs w:val="16"/>
        </w:rPr>
        <w:t>of  COVID</w:t>
      </w:r>
      <w:proofErr w:type="gramEnd"/>
      <w:r w:rsidRPr="005C29F8">
        <w:rPr>
          <w:rFonts w:cs="Arial"/>
          <w:color w:val="000000" w:themeColor="text1"/>
          <w:szCs w:val="16"/>
        </w:rPr>
        <w:t xml:space="preserve">-19 on this data collection as test administration did not occur. Prior to the spring test administration window, the Governor for the State of Kansas closed school buildings due to COVID-19, per Executive Order # 20-07. The U.S. Department of Education, pursuant to authority under section 8401(b) of the Elementary and Secondary Education Act (ESEA), waived Kansas’ statewide assessment, </w:t>
      </w:r>
      <w:proofErr w:type="gramStart"/>
      <w:r w:rsidRPr="005C29F8">
        <w:rPr>
          <w:rFonts w:cs="Arial"/>
          <w:color w:val="000000" w:themeColor="text1"/>
          <w:szCs w:val="16"/>
        </w:rPr>
        <w:t>accountability</w:t>
      </w:r>
      <w:proofErr w:type="gramEnd"/>
      <w:r w:rsidRPr="005C29F8">
        <w:rPr>
          <w:rFonts w:cs="Arial"/>
          <w:color w:val="000000" w:themeColor="text1"/>
          <w:szCs w:val="16"/>
        </w:rPr>
        <w:t xml:space="preserve"> and reporting requirements in the ESEA for the 2019-2020 school year due to widespread school building closures related to COVID-19. No mitigating measures were available due to the timing of the Governor’s order nor required due to the U.S. Department of Education waiver.</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15.36%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15.36%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16.96%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18.56%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20.74%</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15.36%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15.36%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15.39%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14.20%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13.63%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13.73%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10.85%</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10.85%</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11.75%</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12.65%</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14.47%</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10.85%</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10.85%</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11.61%</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11.35%</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10.84%</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11.04%</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20.74%</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14.47%</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B7490" w:rsidP="002D145D">
      <w:pPr>
        <w:rPr>
          <w:rFonts w:cs="Arial"/>
          <w:color w:val="000000" w:themeColor="text1"/>
          <w:szCs w:val="16"/>
        </w:rPr>
      </w:pPr>
      <w:r w:rsidRPr="005C29F8">
        <w:rPr>
          <w:rFonts w:cs="Arial"/>
          <w:color w:val="000000" w:themeColor="text1"/>
          <w:szCs w:val="16"/>
        </w:rPr>
        <w:t>Over the past year, numerous meetings have taken place with broad representation of stakeholders to discuss and make decisions regarding Kansas State assessment procedures such as setting targets and how to report results. Kansas stakeholders include the Kansas State Board of Education (KSBE), Council of Superintendents, curriculum leaders, Kansas Assessment Advisory Council (KAAC), SEAC and ESEA advisory councils.</w:t>
      </w: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13.73%</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20.74%</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11.04%</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14.47%</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 xml:space="preserve">In accordance with 34 CFR §300.160(f), Kansas reports all assessment data for all students (both general education and students receiving special education services) in the same manner so that data are consistent. Kansas information on performance and participation of students with disabilities is located in two </w:t>
      </w:r>
      <w:proofErr w:type="gramStart"/>
      <w:r w:rsidRPr="00DD3719">
        <w:rPr>
          <w:rFonts w:cs="Arial"/>
          <w:color w:val="000000" w:themeColor="text1"/>
          <w:szCs w:val="16"/>
          <w:shd w:val="clear" w:color="auto" w:fill="FFFFFF"/>
        </w:rPr>
        <w:t>places;</w:t>
      </w:r>
      <w:proofErr w:type="gramEnd"/>
      <w:r w:rsidRPr="00DD3719">
        <w:rPr>
          <w:rFonts w:cs="Arial"/>
          <w:color w:val="000000" w:themeColor="text1"/>
          <w:szCs w:val="16"/>
          <w:shd w:val="clear" w:color="auto" w:fill="FFFFFF"/>
        </w:rPr>
        <w:t xml:space="preserve"> (1) The Building Report Card https://ksreportcard.ksde.org/default.aspx, and (2) The SPP/APR District Report https://datacentral.ksde.org/sped_rpts.aspx.</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The Kansas State Department of Education (KSDE) does not have statewide assessment data to report in the FFY19 SPP/APR due to the impact of COVID-19 on this data collection as test administration did not occur. Prior to the spring test administration window, the Governor for the State of Kansas closed school buildings due to COVID-19, per Executive Order # 20-07. The U.S. Department of Education, pursuant to authority under section 8401(b) of the Elementary and Secondary Education Act (ESEA), waived Kansas’ statewide assessment, </w:t>
      </w:r>
      <w:proofErr w:type="gramStart"/>
      <w:r w:rsidRPr="005C29F8">
        <w:rPr>
          <w:rFonts w:cs="Arial"/>
          <w:color w:val="000000" w:themeColor="text1"/>
          <w:szCs w:val="16"/>
          <w:shd w:val="clear" w:color="auto" w:fill="FFFFFF"/>
        </w:rPr>
        <w:t>accountability</w:t>
      </w:r>
      <w:proofErr w:type="gramEnd"/>
      <w:r w:rsidRPr="005C29F8">
        <w:rPr>
          <w:rFonts w:cs="Arial"/>
          <w:color w:val="000000" w:themeColor="text1"/>
          <w:szCs w:val="16"/>
          <w:shd w:val="clear" w:color="auto" w:fill="FFFFFF"/>
        </w:rPr>
        <w:t xml:space="preserve"> and reporting requirements in the ESEA for the 2019-2020 school year due to widespread school building closures related to COVID-19. No mitigating measures were available due to the timing of the Governor’s order nor required due to the U.S. Department of Education waiver.</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0.70%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0.70%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0.70%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As the result of multiple meetings, broad representative stakeholders provided input and feedback on the indicator status and results.</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lastRenderedPageBreak/>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0</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286</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Definition of Significant Discrepancy: The Kansas definition of significant discrepancy for suspension and expulsion is any district that suspends at least 10 special education students and suspends 5% or more of its special education population for more than 10 days. </w:t>
      </w:r>
      <w:r w:rsidRPr="005C29F8">
        <w:rPr>
          <w:rFonts w:cs="Arial"/>
          <w:color w:val="000000" w:themeColor="text1"/>
          <w:szCs w:val="16"/>
        </w:rPr>
        <w:br/>
        <w:t>Methodology: The State determines that a district had a significant discrepancy by comparing the suspension/expulsion rates for students with IEPs among districts in the State. The State calculates the rates of suspensions and expulsions greater than 10 days in a school year for students with IEPs for each district within the State.</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Kansas did not identify a district with a significant discrepancy and is not required to do the review under 34 C.F.R. § 300.170(b). To select an accurate answer Kansas would need an N/A option.</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0.35%</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0.35%</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0.35%</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286</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Definition of Significant Discrepancy: The Kansas definition of significant discrepancy for suspension and expulsion is any district that suspends at least 10 special education students of a given race or ethnicity and suspends 5% or more of students with IEPs of a given race or ethnicity for more than 10 days. </w:t>
      </w:r>
      <w:r w:rsidRPr="005C29F8">
        <w:rPr>
          <w:rFonts w:cs="Arial"/>
          <w:color w:val="000000" w:themeColor="text1"/>
          <w:szCs w:val="16"/>
        </w:rPr>
        <w:br/>
      </w:r>
      <w:r w:rsidRPr="005C29F8">
        <w:rPr>
          <w:rFonts w:cs="Arial"/>
          <w:color w:val="000000" w:themeColor="text1"/>
          <w:szCs w:val="16"/>
        </w:rPr>
        <w:br/>
        <w:t>Methodology: The state determines that a district had a significant discrepancy by comparing suspension/expulsion rates for students with IEPs among districts in the State. The State calculates the rates of suspensions and expulsions greater than 10 days in a school year for students with IEPs for each district within the State.</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Kansas did not identify a district with a significant discrepancy and is not required to do the review under 34 C.F.R. § 300.170(b). To select an accurate answer Kansas would need an N/A option.</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lastRenderedPageBreak/>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68.00%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70.25%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69.32%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68.91%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68.93%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68.47%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68.83%</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7.35%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7.35%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7.34%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7.32%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7.30%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7.04%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6.72%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6.97%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7.41%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7.26%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7.12%</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2.46%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2.43%</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2.32%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2.34%</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68,468</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48,101</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4,818</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1,272</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130</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108</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48,101</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68,468</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68.83%</w:t>
            </w:r>
          </w:p>
        </w:tc>
        <w:tc>
          <w:tcPr>
            <w:tcW w:w="565" w:type="pct"/>
            <w:shd w:val="clear" w:color="auto" w:fill="auto"/>
            <w:vAlign w:val="center"/>
          </w:tcPr>
          <w:p w14:paraId="497D8B9F" w14:textId="585C0A39"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70.25%</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4,818</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68,468</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7.12%</w:t>
            </w:r>
          </w:p>
        </w:tc>
        <w:tc>
          <w:tcPr>
            <w:tcW w:w="565" w:type="pct"/>
            <w:shd w:val="clear" w:color="auto" w:fill="auto"/>
            <w:vAlign w:val="center"/>
          </w:tcPr>
          <w:p w14:paraId="02F3CF00" w14:textId="6A81B00C"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7.04%</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1,510</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68,468</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2.34%</w:t>
            </w:r>
          </w:p>
        </w:tc>
        <w:tc>
          <w:tcPr>
            <w:tcW w:w="565" w:type="pct"/>
            <w:shd w:val="clear" w:color="auto" w:fill="auto"/>
            <w:vAlign w:val="center"/>
          </w:tcPr>
          <w:p w14:paraId="10D1478E" w14:textId="0F36466F"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2.21%</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The state transitioned to reporting five-year-old children in kindergarten in FS002 for its SY 2019-20 submission under IDEA section 618. Therefore, the state has revised the baseline for this indicator, using data from FFY 2019, and removed FFY 2019 targets.</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38.40%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38.50%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38.75%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38.91%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39.00%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40.14%</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37.76%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37.23%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37.79%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37.90%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38.74%</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33.21%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32.75%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32.50%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31.99%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31.75%</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36.96%</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34.04%</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33.53%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34.92%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34.58%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32.15%</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9,091</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3,649</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3,345</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15</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3,649</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9,091</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38.74%</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40.14%</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3,360</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9,091</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32.15%</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36.96%</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The state transitioned to reporting five-year-old children in kindergarten in FS002 for its SY 2019-20 submission under IDEA section 618. Therefore, the state has revised the baseline for this indicator, using data from FFY 2019, and removed FFY 2019 targets.</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86.65%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86.75%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87.00%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85.93%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87.74%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88.13%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89.42%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90.68%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88.56%</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66.40%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66.40%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66.60%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66.80%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67.00%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65.16%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65.61%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65.52%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63.34%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65.94%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63.37%</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86.45%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86.45%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86.47%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86.49%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86.50%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86.38%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86.78%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87.53%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89.67%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89.06%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89.69%</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63.50%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63.75%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63.60%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63.90%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63.31%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61.79%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63.03%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62.25%</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87.60%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88.00%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86.24%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87.66%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88.61%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88.77%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90.56%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89.94%</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78.80%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78.80%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79.25%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79.50%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76.79%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77.89%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77.62%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75.76%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78.02%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77.25%</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87.00%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67.00%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86.50%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64.00%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88.00%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79.50%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4,278</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9</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0.21%</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325</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7.60%</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1,297</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30.32%</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1,590</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37.17%</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1,057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24.71%</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2,887</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3,221</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88.56%</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87.00%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89.63%</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w:t>
            </w:r>
            <w:r w:rsidRPr="005C29F8">
              <w:rPr>
                <w:rFonts w:cs="Arial"/>
                <w:color w:val="000000" w:themeColor="text1"/>
                <w:szCs w:val="16"/>
              </w:rPr>
              <w:lastRenderedPageBreak/>
              <w:t xml:space="preserve">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2,647</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4,278</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63.37%</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67.00%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61.87%</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0.07%</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399</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9.33%</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1,300</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30.39%</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1,543</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36.07%</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1,033</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24.15%</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2,843</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3,245</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89.69%</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87.61%</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2,576</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4,278</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62.25%</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60.22%</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0.16%</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266</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6.22%</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764</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17.86%</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1,726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40.35%</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1,515</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35.41%</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2,490</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2,763</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89.94%</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88.00%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90.12%</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lastRenderedPageBreak/>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3,241</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4,278</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77.25%</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75.76%</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KSDE is in the process of examining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factors that may have contributed to the decrease in performance on this target including school building closures and change in instructional delivery models due to the COVID-19 interruption, staff turnover at the local level, and increased requests for technical assistance with data entry. </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KSDE is in the process of examining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factors that may have contributed to the decrease in performance on this target including school building closures and change in instructional delivery models due to the COVID-19 interruption, staff turnover at the local level, and increased requests for technical assistance with data entry.</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KSDE is in the process of examining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factors that may have contributed to the decrease in performance on this target including school building closures and change in instructional delivery models due to the COVID-19 interruption, staff turnover at the local level, and increased requests for technical assistance with data entry.</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Instruments used to gather data for this indicator are:</w:t>
      </w:r>
      <w:r w:rsidRPr="005C29F8">
        <w:rPr>
          <w:rFonts w:cs="Arial"/>
          <w:color w:val="000000" w:themeColor="text1"/>
          <w:szCs w:val="16"/>
        </w:rPr>
        <w:br/>
      </w:r>
      <w:r w:rsidRPr="005C29F8">
        <w:rPr>
          <w:rFonts w:cs="Arial"/>
          <w:color w:val="000000" w:themeColor="text1"/>
          <w:szCs w:val="16"/>
        </w:rPr>
        <w:br/>
        <w:t>At least one of the following curriculum-based assessments must be used in conjunction with information obtained through record review, interview, observation, screening, parent input, and additional tests to complete the COSF:</w:t>
      </w:r>
      <w:r w:rsidRPr="005C29F8">
        <w:rPr>
          <w:rFonts w:cs="Arial"/>
          <w:color w:val="000000" w:themeColor="text1"/>
          <w:szCs w:val="16"/>
        </w:rPr>
        <w:br/>
      </w:r>
      <w:r w:rsidRPr="005C29F8">
        <w:rPr>
          <w:rFonts w:cs="Arial"/>
          <w:color w:val="000000" w:themeColor="text1"/>
          <w:szCs w:val="16"/>
        </w:rPr>
        <w:br/>
        <w:t>AEPS, Carolina Curriculum for Infants and Toddlers/Preschoolers with Special Needs, Child Observation Record, Creative Curriculum (Teaching Strategies Gold), Hawaii Early Learning Profile (HELP), Individual Growth and Development Indicators (IGDI), Transdisciplinary Play-Based Assessment (TPBA), and Work Sampling System.</w:t>
      </w:r>
      <w:r w:rsidRPr="005C29F8">
        <w:rPr>
          <w:rFonts w:cs="Arial"/>
          <w:color w:val="000000" w:themeColor="text1"/>
          <w:szCs w:val="16"/>
        </w:rPr>
        <w:br/>
      </w:r>
      <w:r w:rsidRPr="005C29F8">
        <w:rPr>
          <w:rFonts w:cs="Arial"/>
          <w:color w:val="000000" w:themeColor="text1"/>
          <w:szCs w:val="16"/>
        </w:rPr>
        <w:br/>
        <w:t>Procedures used to gather data for this indicator are:</w:t>
      </w:r>
      <w:r w:rsidRPr="005C29F8">
        <w:rPr>
          <w:rFonts w:cs="Arial"/>
          <w:color w:val="000000" w:themeColor="text1"/>
          <w:szCs w:val="16"/>
        </w:rPr>
        <w:br/>
      </w:r>
      <w:r w:rsidRPr="005C29F8">
        <w:rPr>
          <w:rFonts w:cs="Arial"/>
          <w:color w:val="000000" w:themeColor="text1"/>
          <w:szCs w:val="16"/>
        </w:rPr>
        <w:br/>
        <w:t>COSF data are entered into the Outcomes Web System (OWS) application. Automated verification checks were developed within the OWS application to ensure reliable data. These verification checks ensure data entry user accurately completes the content required for each data element at the time of data entry. Targeted training was held across the state to reinforce the use of the decision tree in the rating process and additional information about comparison to typically developing students was provided. Training impact is demonstrated by the actual data showing the districts are rating children with increased inter-rater reliability and thus, have a consistent understanding of the child's functional outcomes compared to typically developing peers.</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proposed targets.</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33.00%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66.25%</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66.40%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66.50%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73.37%</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82.98%</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71.25%</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60.32%</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69.94%</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66.50%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328</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454</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69.94%</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66.50%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72.25%</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lastRenderedPageBreak/>
        <w:t>8,681</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5.23%</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sampling methodology includes ages 3–21. The previously approved OSEP sampling plan and methodology has not changed.</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The results are reliable and valid because a stratified representative sample of parents is selected to complete the survey. Care is taken to ensure that the strata are mutually exclusive. Every element in the population is assigned to only one stratum. The strata are also collectively exhaustive: no population element is excluded. This ensures the representativeness of the sample by reducing sampling error. Each year, the representativeness of the surveys is assessed by examining the demographic characteristics of the children of the parents who responded to the survey to the demographic characteristics of the entire sample. This is done to determine if any groups are under- or over-represented. Generally, this comparison indicates the results are representative by race/ethnicity, age of student, and disability.</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Although differences in response rates by race/ethnicity and primary disability exist, the results are representative of the state. First, there are no differences in response rates by age and parents of students of all race/ethnicities and of all primary disabilities responded to the survey. Second, parents from LEAs across the state </w:t>
      </w:r>
      <w:proofErr w:type="gramStart"/>
      <w:r w:rsidRPr="005C29F8">
        <w:rPr>
          <w:rFonts w:cs="Arial"/>
          <w:color w:val="000000" w:themeColor="text1"/>
          <w:szCs w:val="16"/>
        </w:rPr>
        <w:t>responded;</w:t>
      </w:r>
      <w:proofErr w:type="gramEnd"/>
      <w:r w:rsidRPr="005C29F8">
        <w:rPr>
          <w:rFonts w:cs="Arial"/>
          <w:color w:val="000000" w:themeColor="text1"/>
          <w:szCs w:val="16"/>
        </w:rPr>
        <w:t xml:space="preserve"> so, results are representative by geography. Third, while there are differences in response rates by race/ethnicity and primary disability, there are no significant differences in the positivity of responses by race/ethnicity. Fourth, although parents of students with a learning disability were less likely to respond than parents of students with other disabilities, results indicated no significant differences in the positivity of survey responses by primary disability. </w:t>
      </w:r>
      <w:r w:rsidRPr="005C29F8">
        <w:rPr>
          <w:rFonts w:cs="Arial"/>
          <w:color w:val="000000" w:themeColor="text1"/>
          <w:szCs w:val="16"/>
        </w:rPr>
        <w:br/>
        <w:t xml:space="preserve"> </w:t>
      </w:r>
      <w:r w:rsidRPr="005C29F8">
        <w:rPr>
          <w:rFonts w:cs="Arial"/>
          <w:color w:val="000000" w:themeColor="text1"/>
          <w:szCs w:val="16"/>
        </w:rPr>
        <w:br/>
        <w:t>Even though results are representative, the Kansas State Department of Education (KSDE) intends to increase the response rate of all parents. In fact, the response rate increased 1.21 percentage points from 2018-19 to 2019-20. Further, the number of respondents in each of the represented ethnicities increased from 2018-19 to 2019-20. KSDE is working to continue these trends. Some activities that KSDE is doing in 2019-20 are the following:</w:t>
      </w:r>
      <w:r w:rsidRPr="005C29F8">
        <w:rPr>
          <w:rFonts w:cs="Arial"/>
          <w:color w:val="000000" w:themeColor="text1"/>
          <w:szCs w:val="16"/>
        </w:rPr>
        <w:br/>
        <w:t>• Extending the deadline of the survey;</w:t>
      </w:r>
      <w:r w:rsidRPr="005C29F8">
        <w:rPr>
          <w:rFonts w:cs="Arial"/>
          <w:color w:val="000000" w:themeColor="text1"/>
          <w:szCs w:val="16"/>
        </w:rPr>
        <w:br/>
        <w:t xml:space="preserve">• Requesting feedback from other districts who had high response rates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what is working for them; and</w:t>
      </w:r>
      <w:r w:rsidRPr="005C29F8">
        <w:rPr>
          <w:rFonts w:cs="Arial"/>
          <w:color w:val="000000" w:themeColor="text1"/>
          <w:szCs w:val="16"/>
        </w:rPr>
        <w:br/>
        <w:t>• Asking districts for actions that KSDE and/or districts could take to increase the response rate of parents of non-white students with disabilities as well as students with specific learning disabilities.</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128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158</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 xml:space="preserve">Definition of Disproportionate Representation: A district is identified as having disproportionate representation if that district meets the following two-year criteria for racial and ethnic groups in special education and related services. </w:t>
      </w:r>
      <w:r w:rsidRPr="005C29F8">
        <w:rPr>
          <w:rFonts w:cs="Arial"/>
          <w:color w:val="000000" w:themeColor="text1"/>
          <w:szCs w:val="16"/>
        </w:rPr>
        <w:br/>
        <w:t>Year 1</w:t>
      </w:r>
      <w:r w:rsidRPr="005C29F8">
        <w:rPr>
          <w:rFonts w:cs="Arial"/>
          <w:color w:val="000000" w:themeColor="text1"/>
          <w:szCs w:val="16"/>
        </w:rPr>
        <w:br/>
        <w:t>Overrepresentation –The district must have:</w:t>
      </w:r>
      <w:r w:rsidRPr="005C29F8">
        <w:rPr>
          <w:rFonts w:cs="Arial"/>
          <w:color w:val="000000" w:themeColor="text1"/>
          <w:szCs w:val="16"/>
        </w:rPr>
        <w:br/>
        <w:t>At least 30 students of a racial and ethnic group in the district; At least 10 students of a racial and ethnic group in special education and related services; At least 10 students in the comparison group in special education and related services; and A weighted risk ratio &gt;3.00.</w:t>
      </w:r>
      <w:r w:rsidRPr="005C29F8">
        <w:rPr>
          <w:rFonts w:cs="Arial"/>
          <w:color w:val="000000" w:themeColor="text1"/>
          <w:szCs w:val="16"/>
        </w:rPr>
        <w:br/>
        <w:t xml:space="preserve">Year 2 </w:t>
      </w:r>
      <w:r w:rsidRPr="005C29F8">
        <w:rPr>
          <w:rFonts w:cs="Arial"/>
          <w:color w:val="000000" w:themeColor="text1"/>
          <w:szCs w:val="16"/>
        </w:rPr>
        <w:br/>
        <w:t>Overrepresentation -The district must have:</w:t>
      </w:r>
      <w:r w:rsidRPr="005C29F8">
        <w:rPr>
          <w:rFonts w:cs="Arial"/>
          <w:color w:val="000000" w:themeColor="text1"/>
          <w:szCs w:val="16"/>
        </w:rPr>
        <w:br/>
        <w:t>At least 30 students of a racial and ethnic group in the district; At least 30 students of a racial and ethnic group in special education and related services At least 30 students in the comparison group in special education and related services; and A weighted risk ratio &gt;3.00.</w:t>
      </w:r>
      <w:r w:rsidRPr="005C29F8">
        <w:rPr>
          <w:rFonts w:cs="Arial"/>
          <w:color w:val="000000" w:themeColor="text1"/>
          <w:szCs w:val="16"/>
        </w:rPr>
        <w:br/>
      </w:r>
      <w:r w:rsidRPr="005C29F8">
        <w:rPr>
          <w:rFonts w:cs="Arial"/>
          <w:color w:val="000000" w:themeColor="text1"/>
          <w:szCs w:val="16"/>
        </w:rPr>
        <w:br/>
        <w:t xml:space="preserve">Methodology </w:t>
      </w:r>
      <w:r w:rsidRPr="005C29F8">
        <w:rPr>
          <w:rFonts w:cs="Arial"/>
          <w:color w:val="000000" w:themeColor="text1"/>
          <w:szCs w:val="16"/>
        </w:rPr>
        <w:br/>
        <w:t xml:space="preserve">The Kansas State Department of Education (KSDE) provides each district with a final risk ratio for overrepresentation. If a district has a final risk ratio &gt;3.00, the following is implemented: </w:t>
      </w:r>
      <w:r w:rsidRPr="005C29F8">
        <w:rPr>
          <w:rFonts w:cs="Arial"/>
          <w:color w:val="000000" w:themeColor="text1"/>
          <w:szCs w:val="16"/>
        </w:rPr>
        <w:br/>
        <w:t>Year 1 –</w:t>
      </w:r>
      <w:r w:rsidRPr="005C29F8">
        <w:rPr>
          <w:rFonts w:cs="Arial"/>
          <w:color w:val="000000" w:themeColor="text1"/>
          <w:szCs w:val="16"/>
        </w:rPr>
        <w:br/>
        <w:t>KSDE team reviews the submitted information and verifies the year one data calculation.</w:t>
      </w:r>
      <w:r w:rsidRPr="005C29F8">
        <w:rPr>
          <w:rFonts w:cs="Arial"/>
          <w:color w:val="000000" w:themeColor="text1"/>
          <w:szCs w:val="16"/>
        </w:rPr>
        <w:br/>
        <w:t>Year 2 –</w:t>
      </w:r>
      <w:r w:rsidRPr="005C29F8">
        <w:rPr>
          <w:rFonts w:cs="Arial"/>
          <w:color w:val="000000" w:themeColor="text1"/>
          <w:szCs w:val="16"/>
        </w:rPr>
        <w:br/>
        <w:t xml:space="preserve">KSDE team verifies the year two data calculation and identifies the district as having disproportionate representation accordingly. District completes and submits the required Kansas Self-Assessment Tool: Review district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specific to the identified race and ethnic group to determine if the identified IDEIA practices occur. KSDE team reviews submitted information to determine whether the disproportionate representation is due to inappropriate identification.</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No disproportionate representation was identified.</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Notes on Calculation Method: </w:t>
      </w:r>
      <w:proofErr w:type="spellStart"/>
      <w:r w:rsidRPr="005C29F8">
        <w:rPr>
          <w:rFonts w:cs="Arial"/>
          <w:color w:val="000000" w:themeColor="text1"/>
          <w:szCs w:val="16"/>
        </w:rPr>
        <w:t>Westat’s</w:t>
      </w:r>
      <w:proofErr w:type="spellEnd"/>
      <w:r w:rsidRPr="005C29F8">
        <w:rPr>
          <w:rFonts w:cs="Arial"/>
          <w:color w:val="000000" w:themeColor="text1"/>
          <w:szCs w:val="16"/>
        </w:rPr>
        <w:t xml:space="preserve"> technical guidance notes: “When risk ratios are based on small numbers, minor variations in the number of students in either the racial/ethnic group or the comparison group can produce dramatic changes in the size of the risk ratio. Furthermore, it is impossible to calculate risk ratios if there are no students in the comparison group (</w:t>
      </w:r>
      <w:proofErr w:type="gramStart"/>
      <w:r w:rsidRPr="005C29F8">
        <w:rPr>
          <w:rFonts w:cs="Arial"/>
          <w:color w:val="000000" w:themeColor="text1"/>
          <w:szCs w:val="16"/>
        </w:rPr>
        <w:t>i.e.</w:t>
      </w:r>
      <w:proofErr w:type="gramEnd"/>
      <w:r w:rsidRPr="005C29F8">
        <w:rPr>
          <w:rFonts w:cs="Arial"/>
          <w:color w:val="000000" w:themeColor="text1"/>
          <w:szCs w:val="16"/>
        </w:rPr>
        <w:t xml:space="preserve"> the risk for the comparison group cannot be calculated) or if none of the students in the comparison group receives special education and related services.” While Kansas has two large urban centers with large minority populations, it also has </w:t>
      </w:r>
      <w:proofErr w:type="gramStart"/>
      <w:r w:rsidRPr="005C29F8">
        <w:rPr>
          <w:rFonts w:cs="Arial"/>
          <w:color w:val="000000" w:themeColor="text1"/>
          <w:szCs w:val="16"/>
        </w:rPr>
        <w:t>a large number of</w:t>
      </w:r>
      <w:proofErr w:type="gramEnd"/>
      <w:r w:rsidRPr="005C29F8">
        <w:rPr>
          <w:rFonts w:cs="Arial"/>
          <w:color w:val="000000" w:themeColor="text1"/>
          <w:szCs w:val="16"/>
        </w:rPr>
        <w:t xml:space="preserve"> very small districts (the district median size is only 560 students). This results in </w:t>
      </w:r>
      <w:proofErr w:type="gramStart"/>
      <w:r w:rsidRPr="005C29F8">
        <w:rPr>
          <w:rFonts w:cs="Arial"/>
          <w:color w:val="000000" w:themeColor="text1"/>
          <w:szCs w:val="16"/>
        </w:rPr>
        <w:t>fairly frequent</w:t>
      </w:r>
      <w:proofErr w:type="gramEnd"/>
      <w:r w:rsidRPr="005C29F8">
        <w:rPr>
          <w:rFonts w:cs="Arial"/>
          <w:color w:val="000000" w:themeColor="text1"/>
          <w:szCs w:val="16"/>
        </w:rPr>
        <w:t xml:space="preserve"> cases where the non-White groups are very small or missing entirely. It also means there are districts where there are just two sizable ethnic groups. These are the very conditions that </w:t>
      </w:r>
      <w:proofErr w:type="spellStart"/>
      <w:r w:rsidRPr="005C29F8">
        <w:rPr>
          <w:rFonts w:cs="Arial"/>
          <w:color w:val="000000" w:themeColor="text1"/>
          <w:szCs w:val="16"/>
        </w:rPr>
        <w:t>Westat’s</w:t>
      </w:r>
      <w:proofErr w:type="spellEnd"/>
      <w:r w:rsidRPr="005C29F8">
        <w:rPr>
          <w:rFonts w:cs="Arial"/>
          <w:color w:val="000000" w:themeColor="text1"/>
          <w:szCs w:val="16"/>
        </w:rPr>
        <w:t xml:space="preserve"> technical guidance warns will produce unreliable or distorted weighted risk ratios. Due to these issues, Kansas uses the following process to calculate a “final” risk ratio which is either a weighted risk ratio or risk ratio. In order to calculate a final risk ratio, a district must have:</w:t>
      </w:r>
      <w:r w:rsidRPr="005C29F8">
        <w:rPr>
          <w:rFonts w:cs="Arial"/>
          <w:color w:val="000000" w:themeColor="text1"/>
          <w:szCs w:val="16"/>
        </w:rPr>
        <w:br/>
        <w:t>-at least 30 students of a race/ethnicity;</w:t>
      </w:r>
      <w:r w:rsidRPr="005C29F8">
        <w:rPr>
          <w:rFonts w:cs="Arial"/>
          <w:color w:val="000000" w:themeColor="text1"/>
          <w:szCs w:val="16"/>
        </w:rPr>
        <w:br/>
        <w:t>-at least 10 students of a specific race/ethnicity in special education and related services;</w:t>
      </w:r>
      <w:r w:rsidRPr="005C29F8">
        <w:rPr>
          <w:rFonts w:cs="Arial"/>
          <w:color w:val="000000" w:themeColor="text1"/>
          <w:szCs w:val="16"/>
        </w:rPr>
        <w:br/>
        <w:t xml:space="preserve">-a minimum of 10 special education students in the comparison group If the comparison group does not have students with disabilities in a “prominent” racial/ethnic group (Hispanics, Blacks, and Whites), the risk ratio is used. </w:t>
      </w:r>
      <w:r w:rsidRPr="005C29F8">
        <w:rPr>
          <w:rFonts w:cs="Arial"/>
          <w:color w:val="000000" w:themeColor="text1"/>
          <w:szCs w:val="16"/>
        </w:rPr>
        <w:br/>
        <w:t>When a weighted risk ratio is used in these conditions, the weighted risk ratio often has a very extreme value which is purely a function of the “large” weighting of the small numbers of students in the prominent racial/ethnic groups.</w:t>
      </w:r>
      <w:r w:rsidRPr="005C29F8">
        <w:rPr>
          <w:rFonts w:cs="Arial"/>
          <w:color w:val="000000" w:themeColor="text1"/>
          <w:szCs w:val="16"/>
        </w:rPr>
        <w:br/>
        <w:t>If the comparison group has at least one special education student in each of the prominent racial/ethnic groups, then a weighted risk ratio is used. See above measurement box for methodology for identifying districts as having disproportionate representation of racial and ethnic groups in special education and related services that is the result of inappropriate identification.</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194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92</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Definition of Disproportionate Representation: A district is identified as having disproportionate representation if that district meets the following two-year criteria for racial and ethnic groups in special education and related services. </w:t>
      </w:r>
      <w:r w:rsidRPr="005C29F8">
        <w:rPr>
          <w:rFonts w:cs="Arial"/>
          <w:color w:val="000000" w:themeColor="text1"/>
          <w:szCs w:val="16"/>
        </w:rPr>
        <w:br/>
        <w:t>Year 1</w:t>
      </w:r>
      <w:r w:rsidRPr="005C29F8">
        <w:rPr>
          <w:rFonts w:cs="Arial"/>
          <w:color w:val="000000" w:themeColor="text1"/>
          <w:szCs w:val="16"/>
        </w:rPr>
        <w:br/>
        <w:t>Overrepresentation – The district must have:</w:t>
      </w:r>
      <w:r w:rsidRPr="005C29F8">
        <w:rPr>
          <w:rFonts w:cs="Arial"/>
          <w:color w:val="000000" w:themeColor="text1"/>
          <w:szCs w:val="16"/>
        </w:rPr>
        <w:br/>
        <w:t>At least 30 students of a racial and ethnic group in the district; At least 10 students of a racial and ethnic group in special education and related services; At least 10 students in the comparison group in special education and related services; and A weighted risk ratio &gt;3.00.</w:t>
      </w:r>
      <w:r w:rsidRPr="005C29F8">
        <w:rPr>
          <w:rFonts w:cs="Arial"/>
          <w:color w:val="000000" w:themeColor="text1"/>
          <w:szCs w:val="16"/>
        </w:rPr>
        <w:br/>
        <w:t xml:space="preserve">Year 2 </w:t>
      </w:r>
      <w:r w:rsidRPr="005C29F8">
        <w:rPr>
          <w:rFonts w:cs="Arial"/>
          <w:color w:val="000000" w:themeColor="text1"/>
          <w:szCs w:val="16"/>
        </w:rPr>
        <w:br/>
        <w:t>Overrepresentation – The district must have:</w:t>
      </w:r>
      <w:r w:rsidRPr="005C29F8">
        <w:rPr>
          <w:rFonts w:cs="Arial"/>
          <w:color w:val="000000" w:themeColor="text1"/>
          <w:szCs w:val="16"/>
        </w:rPr>
        <w:br/>
        <w:t>At least 30 students of a racial and ethnic group in the district; At least 30 students of a racial and ethnic group in special education and related services At least 30 students in the comparison group in special education and related services; and A weighted risk ratio &gt;3.00.</w:t>
      </w:r>
      <w:r w:rsidRPr="005C29F8">
        <w:rPr>
          <w:rFonts w:cs="Arial"/>
          <w:color w:val="000000" w:themeColor="text1"/>
          <w:szCs w:val="16"/>
        </w:rPr>
        <w:br/>
      </w:r>
      <w:r w:rsidRPr="005C29F8">
        <w:rPr>
          <w:rFonts w:cs="Arial"/>
          <w:color w:val="000000" w:themeColor="text1"/>
          <w:szCs w:val="16"/>
        </w:rPr>
        <w:br/>
        <w:t xml:space="preserve">Methodology </w:t>
      </w:r>
      <w:r w:rsidRPr="005C29F8">
        <w:rPr>
          <w:rFonts w:cs="Arial"/>
          <w:color w:val="000000" w:themeColor="text1"/>
          <w:szCs w:val="16"/>
        </w:rPr>
        <w:br/>
        <w:t xml:space="preserve">The Kansas State Department of Education (KSDE) provides each district with a final risk ratio for overrepresentation. If a district has a final risk ratio &gt;3.00, the following is implemented: </w:t>
      </w:r>
      <w:r w:rsidRPr="005C29F8">
        <w:rPr>
          <w:rFonts w:cs="Arial"/>
          <w:color w:val="000000" w:themeColor="text1"/>
          <w:szCs w:val="16"/>
        </w:rPr>
        <w:br/>
        <w:t>Year 1 –</w:t>
      </w:r>
      <w:r w:rsidRPr="005C29F8">
        <w:rPr>
          <w:rFonts w:cs="Arial"/>
          <w:color w:val="000000" w:themeColor="text1"/>
          <w:szCs w:val="16"/>
        </w:rPr>
        <w:br/>
        <w:t>KSDE team reviews the submitted information and verifies the year one data calculation.</w:t>
      </w:r>
      <w:r w:rsidRPr="005C29F8">
        <w:rPr>
          <w:rFonts w:cs="Arial"/>
          <w:color w:val="000000" w:themeColor="text1"/>
          <w:szCs w:val="16"/>
        </w:rPr>
        <w:br/>
        <w:t>Year 2 –</w:t>
      </w:r>
      <w:r w:rsidRPr="005C29F8">
        <w:rPr>
          <w:rFonts w:cs="Arial"/>
          <w:color w:val="000000" w:themeColor="text1"/>
          <w:szCs w:val="16"/>
        </w:rPr>
        <w:br/>
        <w:t xml:space="preserve">KSDE team verifies the Year 2 data calculation and identifies the district as having disproportionate representation accordingly. District completes and submits the required Kansas Self-Assessment Tool: Review district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specific to the identified race and ethnic group to determine if the identified IDEIA practices occur. KSDE team reviews submitted information to determine whether the disproportionate representation is due to inappropriate identification.</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KSDE notifies the district that it has disproportionate representation and provides the district with the required Kansas Self-Assessment Tool. This tool requires the district to review its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specific to the identified racial and ethnic group and disability category. The district completes and submits the Kansas Self-Assessment Tool data to KSDE and the KSDE team reviews submitted information to determine whether the disproportionate representation is due to inappropriate identification.</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Notes on Calculation Method: </w:t>
      </w:r>
      <w:proofErr w:type="spellStart"/>
      <w:r w:rsidRPr="005C29F8">
        <w:rPr>
          <w:rFonts w:cs="Arial"/>
          <w:color w:val="000000" w:themeColor="text1"/>
          <w:szCs w:val="16"/>
        </w:rPr>
        <w:t>Westat’s</w:t>
      </w:r>
      <w:proofErr w:type="spellEnd"/>
      <w:r w:rsidRPr="005C29F8">
        <w:rPr>
          <w:rFonts w:cs="Arial"/>
          <w:color w:val="000000" w:themeColor="text1"/>
          <w:szCs w:val="16"/>
        </w:rPr>
        <w:t xml:space="preserve"> technical guidance notes: “When risk ratios are based on small numbers, minor variations in the number of students in either the racial/ethnic group or the comparison group can produce dramatic changes in the size of the risk ratio. Furthermore, it is impossible to calculate risk ratios if there are no students in the comparison group (</w:t>
      </w:r>
      <w:proofErr w:type="gramStart"/>
      <w:r w:rsidRPr="005C29F8">
        <w:rPr>
          <w:rFonts w:cs="Arial"/>
          <w:color w:val="000000" w:themeColor="text1"/>
          <w:szCs w:val="16"/>
        </w:rPr>
        <w:t>i.e.</w:t>
      </w:r>
      <w:proofErr w:type="gramEnd"/>
      <w:r w:rsidRPr="005C29F8">
        <w:rPr>
          <w:rFonts w:cs="Arial"/>
          <w:color w:val="000000" w:themeColor="text1"/>
          <w:szCs w:val="16"/>
        </w:rPr>
        <w:t xml:space="preserve"> the risk for the comparison group cannot be calculated) or if none of the students in the comparison group receives special education and related services.” While Kansas has two large urban centers with large minority populations, it also has </w:t>
      </w:r>
      <w:proofErr w:type="gramStart"/>
      <w:r w:rsidRPr="005C29F8">
        <w:rPr>
          <w:rFonts w:cs="Arial"/>
          <w:color w:val="000000" w:themeColor="text1"/>
          <w:szCs w:val="16"/>
        </w:rPr>
        <w:t>a large number of</w:t>
      </w:r>
      <w:proofErr w:type="gramEnd"/>
      <w:r w:rsidRPr="005C29F8">
        <w:rPr>
          <w:rFonts w:cs="Arial"/>
          <w:color w:val="000000" w:themeColor="text1"/>
          <w:szCs w:val="16"/>
        </w:rPr>
        <w:t xml:space="preserve"> very small districts (the district median size is only 560 students). This results in </w:t>
      </w:r>
      <w:proofErr w:type="gramStart"/>
      <w:r w:rsidRPr="005C29F8">
        <w:rPr>
          <w:rFonts w:cs="Arial"/>
          <w:color w:val="000000" w:themeColor="text1"/>
          <w:szCs w:val="16"/>
        </w:rPr>
        <w:t>fairly frequent</w:t>
      </w:r>
      <w:proofErr w:type="gramEnd"/>
      <w:r w:rsidRPr="005C29F8">
        <w:rPr>
          <w:rFonts w:cs="Arial"/>
          <w:color w:val="000000" w:themeColor="text1"/>
          <w:szCs w:val="16"/>
        </w:rPr>
        <w:t xml:space="preserve"> cases where the non-White groups are very small or missing entirely. It also means there are districts where there are just two sizable ethnic groups. These are the very conditions that </w:t>
      </w:r>
      <w:proofErr w:type="spellStart"/>
      <w:r w:rsidRPr="005C29F8">
        <w:rPr>
          <w:rFonts w:cs="Arial"/>
          <w:color w:val="000000" w:themeColor="text1"/>
          <w:szCs w:val="16"/>
        </w:rPr>
        <w:t>Westat’s</w:t>
      </w:r>
      <w:proofErr w:type="spellEnd"/>
      <w:r w:rsidRPr="005C29F8">
        <w:rPr>
          <w:rFonts w:cs="Arial"/>
          <w:color w:val="000000" w:themeColor="text1"/>
          <w:szCs w:val="16"/>
        </w:rPr>
        <w:t xml:space="preserve"> technical guidance warns will produce unreliable or distorted weighted risk ratios. Due to these issues, Kansas uses the following process to calculate a “final” risk ratio which is either a weighted risk ratio or risk ratio. In order to calculate a final risk ratio, a district must have:</w:t>
      </w:r>
      <w:r w:rsidRPr="005C29F8">
        <w:rPr>
          <w:rFonts w:cs="Arial"/>
          <w:color w:val="000000" w:themeColor="text1"/>
          <w:szCs w:val="16"/>
        </w:rPr>
        <w:br/>
        <w:t>-at least 30 students of a race/ethnicity;</w:t>
      </w:r>
      <w:r w:rsidRPr="005C29F8">
        <w:rPr>
          <w:rFonts w:cs="Arial"/>
          <w:color w:val="000000" w:themeColor="text1"/>
          <w:szCs w:val="16"/>
        </w:rPr>
        <w:br/>
        <w:t>-at least 10 students of a specific race/ethnicity in special education and related services;</w:t>
      </w:r>
      <w:r w:rsidRPr="005C29F8">
        <w:rPr>
          <w:rFonts w:cs="Arial"/>
          <w:color w:val="000000" w:themeColor="text1"/>
          <w:szCs w:val="16"/>
        </w:rPr>
        <w:br/>
        <w:t xml:space="preserve">-a minimum of 10 special education students in the comparison group If the comparison group does not have students with disabilities in a “prominent” racial/ethnic group (Hispanics, Blacks, and Whites), the risk ratio is used. </w:t>
      </w:r>
      <w:r w:rsidRPr="005C29F8">
        <w:rPr>
          <w:rFonts w:cs="Arial"/>
          <w:color w:val="000000" w:themeColor="text1"/>
          <w:szCs w:val="16"/>
        </w:rPr>
        <w:br/>
        <w:t>When a weighted risk ratio is used in these conditions, the weighted risk ratio often has a very extreme value which is purely a function of the “large” weighting of the small numbers of students in the prominent racial/ethnic groups.</w:t>
      </w:r>
      <w:r w:rsidRPr="005C29F8">
        <w:rPr>
          <w:rFonts w:cs="Arial"/>
          <w:color w:val="000000" w:themeColor="text1"/>
          <w:szCs w:val="16"/>
        </w:rPr>
        <w:br/>
        <w:t>If the comparison group has at least one special education student in each of the prominent racial/ethnic groups, then a weighted risk ratio is used. See above measurement box for methodology for identifying districts as having disproportionate representation of racial and ethnic groups in special education and related services that is the result of inappropriate identification.</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98.40%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99.58%</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99.86%</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99.74%</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99.66%</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99.78%</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2,642</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2,630</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99.78%</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99.55%</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12</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Range of days beyond timeline 1 to 110 school days. Reasons for delay: Difficulty scheduling meeting, school building closures due to COVID-19 interruption, and staff error.</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The State’s timeline for initial evaluations is 60 school days. The State exception is if the parent consents in writing to extend the timeline. K.A.R. 91-40-8(f).</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The Kansas State Department of Education (KSDE) collects Eligible and Not Eligible Initial Evaluations in an authenticated database system. The districts were required to report the actual number of days for each Initial Evaluation in the random sample. If the Initial Evaluation extended beyond the state established timeline, the district was required to report a reason the Initial Evaluation went beyond the timeline.</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All findings of noncompliance for FFY 2018 were corrected and correction verified within one year of notification of noncompliance. The KSDE has verified, based on review of updated student file data submitted, that each district with a finding of noncompliance reflected in the FFY 2018 data reported for this indicator is correctly implementing the regulatory requirements and has achieved 100% compliance on updated data consistent with OSEP Memorandum 09-02.</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All findings of noncompliance for FFY 2018 were corrected and correction verified within one year of notification of noncompliance. The KSDE has verified through a review of data submitted in an authenticated database system that each district with a finding of noncompliance reflected in the FFY 2018 data reported for this indicator has corrected each individual case of noncompliance unless the child is no longer within the jurisdiction of the district or LEA consistent with OSEP Memorandum 09-02.</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72.00%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99.89%</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99.85%</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99.52%</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99.69%</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99.87%</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2,433</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39</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2,267</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87</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36</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2,267</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2,271</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99.87%</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99.82%</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4</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Range of Days beyond the third birthday: 11-35</w:t>
      </w:r>
      <w:r w:rsidRPr="005C29F8">
        <w:rPr>
          <w:bCs/>
          <w:color w:val="000000" w:themeColor="text1"/>
        </w:rPr>
        <w:br/>
        <w:t xml:space="preserve">Reasons for Delay:  </w:t>
      </w:r>
      <w:r w:rsidRPr="005C29F8">
        <w:rPr>
          <w:bCs/>
          <w:color w:val="000000" w:themeColor="text1"/>
        </w:rPr>
        <w:br/>
        <w:t>School building closures due to COVID-19 interruption</w:t>
      </w:r>
      <w:r w:rsidRPr="005C29F8">
        <w:rPr>
          <w:bCs/>
          <w:color w:val="000000" w:themeColor="text1"/>
        </w:rPr>
        <w:br/>
        <w:t>Staff Error</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Kansas State Department of Education (KSDE) collects transition data from Part C to Part B in an authenticated database system. The districts were required to verify that the IEP was in place by the child's third birthday. If the IEP extended past the third birthday the district was required to state reasons for the delay. KSDE reviews the reasons and determines if the criteria for the exception category is met or if the action was completed even though late.</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All findings of noncompliance for FFY 2018 were corrected and correction verified within one year of notification of noncompliance. The (KSDE) verified, based on a review of updated student file data submitted on children transitioning from Part C to Part B data that each district with a finding of noncompliance reflected in the FFY 2018 data reported for this indicator is correctly implementing the regulatory requirement and has achieved 100% compliance on updated data consistent with the OSEP Memorandum 09-02.</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All findings of noncompliance for FFY 2018 were corrected and correction verified within one year of notification of noncompliance. The (KSDE) has verified through a review of data submitted in an authenticated database system that each district with a finding of noncompliance reflected in the FFY 2018 data reported for this indicator has corrected each individual case of noncompliance unless the child is no longer within the jurisdiction of the district or LEA consistent with the OSEP Memorandum 09-02.</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99.84%</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99.73%</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99.74%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99.33%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99.52%</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99.15%</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2,459</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2,464</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99.15%</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99.80%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The KSDE uses the National Technical Assistance Center on Transition (NTACT) Checklist to collect data in an authenticated database system.</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States may, but are not required to, include youth beginning at that younger age in its data for this indicator. Kansas is not including data from youth younger than 16.</w:t>
      </w:r>
    </w:p>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6</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6</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All findings of noncompliance for FFY 2018 were corrected and correction verified within one year of notification of noncompliance. The KSDE has verified based on a review of updated data in an authenticated database system that each district (including juvenile and adult correction facilities, and state schools) with a finding of noncompliance reflected in the FFY 2018 data reported for this indicator is correctly implementing the regulatory </w:t>
      </w:r>
      <w:proofErr w:type="gramStart"/>
      <w:r w:rsidRPr="005C29F8">
        <w:rPr>
          <w:rFonts w:cs="Arial"/>
          <w:color w:val="000000" w:themeColor="text1"/>
          <w:szCs w:val="16"/>
        </w:rPr>
        <w:t>requirements, and</w:t>
      </w:r>
      <w:proofErr w:type="gramEnd"/>
      <w:r w:rsidRPr="005C29F8">
        <w:rPr>
          <w:rFonts w:cs="Arial"/>
          <w:color w:val="000000" w:themeColor="text1"/>
          <w:szCs w:val="16"/>
        </w:rPr>
        <w:t xml:space="preserve"> has achieved 100% compliance consistent with the OSEP Memorandum 09-02.</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All findings of noncompliance for FFY 2018 were corrected and correction verified within one year of notification of noncompliance. The KSDE has verified through a review of data submitted in an authenticated database system that each district (including juvenile and adult correction facilities and state schools) with a finding of noncompliance reflected in the FFY 2018 data reported for this indicator has corrected each individual case of noncompliance unless the child is no longer within the jurisdiction of the district or LEA consistent with the OSEP Memorandum 09-02.</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35.50%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41.00%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48.65%</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48.60%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36.43%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28.25%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42.67%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32.32%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29.78%</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63.20%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65.60%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69.60%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72.65%</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72.60%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63.93%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54.25%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62.21%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56.10%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59.25%</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74.59%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76.59%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79.09%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81.09%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83.30%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83.20%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77.14%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67.75%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72.96%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75.55%</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48.65%</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72.65%</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83.30%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387</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137</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98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40</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lastRenderedPageBreak/>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137</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387</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29.78%</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48.65%</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35.40%</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235</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387</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59.25%</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72.65%</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60.72%</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284</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387</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75.55%</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83.30%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73.39%</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 xml:space="preserve">An examination of state-level data for this indicator suggests the slippage may be attributed to the COVID-19 interruption, which has affected access to other postsecondary settings, possibly making it less likely students are participating. It also affected employment. Nearly 22% of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reported being laid off from a job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COVID-19 and 38% reported a reduction in work hours.</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 xml:space="preserve">The design of the sampling methodology will yield valid and reliable estimates because Kansas districts are categorized into cohorts using a stratified random sampling method. Each cohort is representative in terms of size, race, ethnicity, free/reduced lunch, </w:t>
      </w:r>
      <w:proofErr w:type="gramStart"/>
      <w:r w:rsidRPr="005C29F8">
        <w:rPr>
          <w:rFonts w:cs="Arial"/>
          <w:color w:val="000000" w:themeColor="text1"/>
          <w:szCs w:val="16"/>
        </w:rPr>
        <w:t>disability</w:t>
      </w:r>
      <w:proofErr w:type="gramEnd"/>
      <w:r w:rsidRPr="005C29F8">
        <w:rPr>
          <w:rFonts w:cs="Arial"/>
          <w:color w:val="000000" w:themeColor="text1"/>
          <w:szCs w:val="16"/>
        </w:rPr>
        <w:t xml:space="preserve"> and geographical location. The cohort surveyed each year is inclusive of all eligible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from the districts within each cohort.</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2B69D90" w14:textId="5E1DCBBF" w:rsidTr="0033429D">
        <w:tc>
          <w:tcPr>
            <w:tcW w:w="3849" w:type="pct"/>
            <w:shd w:val="clear" w:color="auto" w:fill="auto"/>
          </w:tcPr>
          <w:p w14:paraId="63C2C96F" w14:textId="52AEB004" w:rsidR="00212954" w:rsidRPr="005C29F8" w:rsidRDefault="003805D3" w:rsidP="008E31C4">
            <w:pPr>
              <w:rPr>
                <w:rFonts w:cs="Arial"/>
                <w:color w:val="000000" w:themeColor="text1"/>
                <w:szCs w:val="16"/>
              </w:rPr>
            </w:pPr>
            <w:r w:rsidRPr="005C29F8">
              <w:rPr>
                <w:rFonts w:cs="Arial"/>
                <w:color w:val="000000" w:themeColor="text1"/>
                <w:szCs w:val="16"/>
              </w:rPr>
              <w:t>If yes, attach a copy of the survey</w:t>
            </w:r>
          </w:p>
        </w:tc>
        <w:tc>
          <w:tcPr>
            <w:tcW w:w="1151" w:type="pct"/>
            <w:shd w:val="clear" w:color="auto" w:fill="auto"/>
          </w:tcPr>
          <w:p w14:paraId="381E41E4" w14:textId="6628A613" w:rsidR="00212954" w:rsidRPr="005C29F8" w:rsidRDefault="00212954" w:rsidP="00A018D4">
            <w:pPr>
              <w:jc w:val="center"/>
              <w:rPr>
                <w:rFonts w:cs="Arial"/>
                <w:color w:val="000000" w:themeColor="text1"/>
                <w:szCs w:val="16"/>
              </w:rPr>
            </w:pP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representativeness of the responses was examined using statistical significance testing to determine if one group was over-represented or under-represented in the response rate. The representativeness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14 results was analyzed by examining the demographic characteristics of gender, race/ethnicity, primary disability, and type of </w:t>
      </w:r>
      <w:proofErr w:type="spellStart"/>
      <w:r w:rsidRPr="005C29F8">
        <w:rPr>
          <w:rFonts w:cs="Arial"/>
          <w:color w:val="000000" w:themeColor="text1"/>
          <w:szCs w:val="16"/>
        </w:rPr>
        <w:t>exiter</w:t>
      </w:r>
      <w:proofErr w:type="spellEnd"/>
      <w:r w:rsidRPr="005C29F8">
        <w:rPr>
          <w:rFonts w:cs="Arial"/>
          <w:color w:val="000000" w:themeColor="text1"/>
          <w:szCs w:val="16"/>
        </w:rPr>
        <w:t xml:space="preserve"> to determine if one group was more likely to respond than another group. This analysis showed that differences in response rates are present, however, KSDE believes the results are generally representative of the state. First, there were no significant differences by gender, race/ethnicity, or primary disability, so KSDE is confident that the results are representative of all demographics. Second,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from districts across the state </w:t>
      </w:r>
      <w:proofErr w:type="gramStart"/>
      <w:r w:rsidRPr="005C29F8">
        <w:rPr>
          <w:rFonts w:cs="Arial"/>
          <w:color w:val="000000" w:themeColor="text1"/>
          <w:szCs w:val="16"/>
        </w:rPr>
        <w:t>responded;</w:t>
      </w:r>
      <w:proofErr w:type="gramEnd"/>
      <w:r w:rsidRPr="005C29F8">
        <w:rPr>
          <w:rFonts w:cs="Arial"/>
          <w:color w:val="000000" w:themeColor="text1"/>
          <w:szCs w:val="16"/>
        </w:rPr>
        <w:t xml:space="preserve"> so, results are representative by geography. Although students who had dropped out were less likely to respond than students who graduated, there were no significant differences in the results between graduates and drop-outs, or the differences were so minor that they would have had little impact on the overall state rates. KSDE wants to continue to increase the response rate of all </w:t>
      </w:r>
      <w:proofErr w:type="spellStart"/>
      <w:r w:rsidRPr="005C29F8">
        <w:rPr>
          <w:rFonts w:cs="Arial"/>
          <w:color w:val="000000" w:themeColor="text1"/>
          <w:szCs w:val="16"/>
        </w:rPr>
        <w:lastRenderedPageBreak/>
        <w:t>exiters</w:t>
      </w:r>
      <w:proofErr w:type="spellEnd"/>
      <w:r w:rsidRPr="005C29F8">
        <w:rPr>
          <w:rFonts w:cs="Arial"/>
          <w:color w:val="000000" w:themeColor="text1"/>
          <w:szCs w:val="16"/>
        </w:rPr>
        <w:t xml:space="preserve">, in particular, those of students who </w:t>
      </w:r>
      <w:proofErr w:type="gramStart"/>
      <w:r w:rsidRPr="005C29F8">
        <w:rPr>
          <w:rFonts w:cs="Arial"/>
          <w:color w:val="000000" w:themeColor="text1"/>
          <w:szCs w:val="16"/>
        </w:rPr>
        <w:t>dropped-out</w:t>
      </w:r>
      <w:proofErr w:type="gramEnd"/>
      <w:r w:rsidRPr="005C29F8">
        <w:rPr>
          <w:rFonts w:cs="Arial"/>
          <w:color w:val="000000" w:themeColor="text1"/>
          <w:szCs w:val="16"/>
        </w:rPr>
        <w:t xml:space="preserve"> (KSDE doubled the response rate over the past three years). The strategies KSDE will use to increase response rates are (1) encourage districts to do their own calls, (2) email a link to the survey to non-respondents, and (3) send out a text blast to non-respondents.</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08A7C7AD" w14:textId="674BEAD3" w:rsidR="00BC314C" w:rsidRDefault="00BC314C" w:rsidP="00BC314C">
      <w:pPr>
        <w:pStyle w:val="Heading2"/>
        <w:rPr>
          <w:rFonts w:cs="Arial"/>
          <w:color w:val="000000"/>
          <w:shd w:val="clear" w:color="auto" w:fill="FFFFFF"/>
        </w:rPr>
      </w:pPr>
      <w:r w:rsidRPr="0033429D">
        <w:t xml:space="preserve">14 - </w:t>
      </w:r>
      <w:r w:rsidR="00264EF4" w:rsidRPr="00264EF4">
        <w:rPr>
          <w:rFonts w:cs="Arial"/>
          <w:color w:val="000000"/>
          <w:shd w:val="clear" w:color="auto" w:fill="FFFFFF"/>
        </w:rPr>
        <w:t>State Attachments</w:t>
      </w:r>
    </w:p>
    <w:p w14:paraId="667C9F21" w14:textId="55F1A634" w:rsidR="00264EF4" w:rsidRDefault="00264EF4" w:rsidP="00264EF4"/>
    <w:p w14:paraId="32820457" w14:textId="77777777" w:rsidR="00264EF4" w:rsidRPr="00264EF4" w:rsidRDefault="00264EF4" w:rsidP="00264EF4"/>
    <w:p w14:paraId="1ADD288B" w14:textId="7EF5E87E" w:rsidR="00102FA3" w:rsidRPr="005C29F8" w:rsidRDefault="00F75528">
      <w:pPr>
        <w:spacing w:before="0" w:after="200" w:line="276" w:lineRule="auto"/>
        <w:rPr>
          <w:rFonts w:eastAsiaTheme="majorEastAsia" w:cs="Arial"/>
          <w:b/>
          <w:bCs/>
          <w:color w:val="000000" w:themeColor="text1"/>
          <w:szCs w:val="16"/>
        </w:rPr>
      </w:pPr>
      <w:r>
        <w:rPr>
          <w:rFonts w:cs="Arial"/>
          <w:color w:val="000000" w:themeColor="text1"/>
          <w:szCs w:val="16"/>
        </w:rPr>
        <w:object w:dxaOrig="1541" w:dyaOrig="998" w14:anchorId="7C000BDB">
          <v:shape id="_x0000_i1033" type="#_x0000_t75" alt="KSi14 Protocol 2020_AC_rev " style="width:77.25pt;height:50.25pt" o:ole="">
            <v:imagedata r:id="rId12" o:title=""/>
          </v:shape>
          <o:OLEObject Type="Embed" ProgID="Acrobat.Document.DC" ShapeID="_x0000_i1033" DrawAspect="Icon" ObjectID="_1689406085" r:id="rId13"/>
        </w:object>
      </w:r>
      <w:r w:rsidR="00102FA3"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35.00%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37.00% - 40.00%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37.00% - 40.00%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37.00% - 40.00%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37.00% - 40.00%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37.00% - 40.00%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55.56%</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37.00%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40.00%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37.50%</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As a result of multiple meetings, broad representative stakeholders provided input and feedback on the indicator status and results.</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2013</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75.00%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70.00% - 80.00%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70.00% - 80.00%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70.00% - 80.00%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70.00% - 80.00%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77.00% - 80.00%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87.50%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76.19%</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90.91%</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77.00%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lastRenderedPageBreak/>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90.91%</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745E4676" w14:textId="4738F7CF" w:rsidR="00532394" w:rsidRDefault="00A36987"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6F87A679" w14:textId="176BE508" w:rsidR="00A36987" w:rsidRDefault="006F3711" w:rsidP="00A36987">
      <w:r>
        <w:object w:dxaOrig="1541" w:dyaOrig="998" w14:anchorId="5E272544">
          <v:shape id="_x0000_i1027" type="#_x0000_t75" alt="FFY2019 KS Year 5 SSIP Report 11192020-508" style="width:77.25pt;height:50.25pt" o:ole="">
            <v:imagedata r:id="rId14" o:title=""/>
          </v:shape>
          <o:OLEObject Type="Embed" ProgID="Acrobat.Document.DC" ShapeID="_x0000_i1027" DrawAspect="Icon" ObjectID="_1689406086" r:id="rId15"/>
        </w:object>
      </w:r>
    </w:p>
    <w:p w14:paraId="25248A94" w14:textId="77777777" w:rsidR="00A36987" w:rsidRPr="00A36987" w:rsidRDefault="00A36987" w:rsidP="00A36987"/>
    <w:p w14:paraId="667597E0" w14:textId="77777777" w:rsidR="006F3711" w:rsidRDefault="006F3711">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213E19EF"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Kerry Haag</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Assistant Director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khaag@ksde.org</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7852490123</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850531A"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04/27/</w:t>
      </w:r>
      <w:proofErr w:type="gramStart"/>
      <w:r w:rsidRPr="006879FA">
        <w:rPr>
          <w:rFonts w:cs="Arial"/>
          <w:color w:val="000000" w:themeColor="text1"/>
          <w:szCs w:val="16"/>
        </w:rPr>
        <w:t>21  6:33:19</w:t>
      </w:r>
      <w:proofErr w:type="gramEnd"/>
      <w:r w:rsidRPr="006879FA">
        <w:rPr>
          <w:rFonts w:cs="Arial"/>
          <w:color w:val="000000" w:themeColor="text1"/>
          <w:szCs w:val="16"/>
        </w:rPr>
        <w:t xml:space="preserve"> PM</w:t>
      </w:r>
    </w:p>
    <w:p w14:paraId="4C90E768" w14:textId="6E0A6E40" w:rsidR="006F3711" w:rsidRDefault="006F3711" w:rsidP="000657F0">
      <w:pPr>
        <w:autoSpaceDE w:val="0"/>
        <w:autoSpaceDN w:val="0"/>
        <w:adjustRightInd w:val="0"/>
        <w:rPr>
          <w:rFonts w:cs="Arial"/>
          <w:color w:val="000000" w:themeColor="text1"/>
          <w:szCs w:val="16"/>
        </w:rPr>
      </w:pPr>
    </w:p>
    <w:p w14:paraId="7E7A6B11" w14:textId="77777777" w:rsidR="006F3711" w:rsidRDefault="006F3711" w:rsidP="000657F0">
      <w:pPr>
        <w:autoSpaceDE w:val="0"/>
        <w:autoSpaceDN w:val="0"/>
        <w:adjustRightInd w:val="0"/>
        <w:rPr>
          <w:rFonts w:cs="Arial"/>
          <w:color w:val="000000" w:themeColor="text1"/>
          <w:szCs w:val="16"/>
        </w:rPr>
      </w:pPr>
    </w:p>
    <w:p w14:paraId="42FC761B" w14:textId="77777777" w:rsidR="006F3711" w:rsidRDefault="006F3711">
      <w:pPr>
        <w:spacing w:before="0" w:after="200" w:line="276" w:lineRule="auto"/>
        <w:rPr>
          <w:rFonts w:cs="Arial"/>
          <w:color w:val="000000" w:themeColor="text1"/>
          <w:szCs w:val="16"/>
        </w:rPr>
      </w:pPr>
      <w:r>
        <w:rPr>
          <w:rFonts w:cs="Arial"/>
          <w:color w:val="000000" w:themeColor="text1"/>
          <w:szCs w:val="16"/>
        </w:rPr>
        <w:br w:type="page"/>
      </w:r>
    </w:p>
    <w:p w14:paraId="2134758D" w14:textId="396A6DA0" w:rsidR="006F3711" w:rsidRPr="005C29F8" w:rsidRDefault="006F3711" w:rsidP="00AB16BD">
      <w:pPr>
        <w:pStyle w:val="Heading1"/>
      </w:pPr>
      <w:r>
        <w:lastRenderedPageBreak/>
        <w:t xml:space="preserve">ED Attachments </w:t>
      </w:r>
    </w:p>
    <w:p w14:paraId="596B3C30" w14:textId="1DA78F66" w:rsidR="00755AF7" w:rsidRPr="005C29F8" w:rsidRDefault="00EB1B1C" w:rsidP="00EE4B59">
      <w:pPr>
        <w:rPr>
          <w:rFonts w:cs="Arial"/>
          <w:color w:val="000000" w:themeColor="text1"/>
          <w:szCs w:val="16"/>
        </w:rPr>
      </w:pPr>
      <w:r>
        <w:rPr>
          <w:rFonts w:cs="Arial"/>
          <w:color w:val="000000" w:themeColor="text1"/>
          <w:szCs w:val="16"/>
        </w:rPr>
        <w:object w:dxaOrig="1541" w:dyaOrig="998" w14:anchorId="3D70624E">
          <v:shape id="_x0000_i1035" type="#_x0000_t75" alt="ks-resultsmatrix-2021b" style="width:77.25pt;height:50.25pt" o:ole="">
            <v:imagedata r:id="rId16" o:title=""/>
          </v:shape>
          <o:OLEObject Type="Embed" ProgID="Acrobat.Document.DC" ShapeID="_x0000_i1035" DrawAspect="Icon" ObjectID="_1689406087" r:id="rId17"/>
        </w:object>
      </w:r>
      <w:r w:rsidR="00AB16BD">
        <w:rPr>
          <w:rFonts w:cs="Arial"/>
          <w:color w:val="000000" w:themeColor="text1"/>
          <w:szCs w:val="16"/>
        </w:rPr>
        <w:tab/>
      </w:r>
      <w:r w:rsidR="00450B2A">
        <w:rPr>
          <w:rFonts w:cs="Arial"/>
          <w:color w:val="000000" w:themeColor="text1"/>
          <w:szCs w:val="16"/>
        </w:rPr>
        <w:object w:dxaOrig="1541" w:dyaOrig="998" w14:anchorId="1F68A326">
          <v:shape id="_x0000_i1029" type="#_x0000_t75" alt="KS-2021DataRubricPartB" style="width:77.25pt;height:50.25pt" o:ole="">
            <v:imagedata r:id="rId18" o:title=""/>
          </v:shape>
          <o:OLEObject Type="Embed" ProgID="Excel.Sheet.12" ShapeID="_x0000_i1029" DrawAspect="Icon" ObjectID="_1689406088" r:id="rId19"/>
        </w:object>
      </w:r>
      <w:r w:rsidR="00247D15">
        <w:rPr>
          <w:rFonts w:cs="Arial"/>
          <w:color w:val="000000" w:themeColor="text1"/>
          <w:szCs w:val="16"/>
        </w:rPr>
        <w:tab/>
      </w:r>
      <w:r w:rsidR="005C3EF1">
        <w:rPr>
          <w:rFonts w:cs="Arial"/>
          <w:color w:val="000000" w:themeColor="text1"/>
          <w:szCs w:val="16"/>
        </w:rPr>
        <w:object w:dxaOrig="1541" w:dyaOrig="998" w14:anchorId="6D97D83D">
          <v:shape id="_x0000_i1030" type="#_x0000_t75" alt="KS-B-Dispute-Resolution-2019-20" style="width:77.25pt;height:50.25pt" o:ole="">
            <v:imagedata r:id="rId20" o:title=""/>
          </v:shape>
          <o:OLEObject Type="Embed" ProgID="Acrobat.Document.DC" ShapeID="_x0000_i1030" DrawAspect="Icon" ObjectID="_1689406089" r:id="rId21"/>
        </w:object>
      </w:r>
    </w:p>
    <w:sectPr w:rsidR="00755AF7" w:rsidRPr="005C29F8" w:rsidSect="00651E83">
      <w:footerReference w:type="default" r:id="rId2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3BB48" w14:textId="77777777" w:rsidR="00156027" w:rsidRDefault="00156027" w:rsidP="000802F7">
      <w:pPr>
        <w:spacing w:before="0" w:after="0"/>
      </w:pPr>
      <w:r>
        <w:separator/>
      </w:r>
    </w:p>
  </w:endnote>
  <w:endnote w:type="continuationSeparator" w:id="0">
    <w:p w14:paraId="4721661D" w14:textId="77777777" w:rsidR="00156027" w:rsidRDefault="00156027" w:rsidP="000802F7">
      <w:pPr>
        <w:spacing w:before="0" w:after="0"/>
      </w:pPr>
      <w:r>
        <w:continuationSeparator/>
      </w:r>
    </w:p>
  </w:endnote>
  <w:endnote w:type="continuationNotice" w:id="1">
    <w:p w14:paraId="16FD4F31" w14:textId="77777777" w:rsidR="00156027" w:rsidRDefault="001560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846D5" w14:textId="77777777" w:rsidR="00156027" w:rsidRDefault="00156027" w:rsidP="000802F7">
      <w:pPr>
        <w:spacing w:before="0" w:after="0"/>
      </w:pPr>
      <w:r>
        <w:separator/>
      </w:r>
    </w:p>
  </w:footnote>
  <w:footnote w:type="continuationSeparator" w:id="0">
    <w:p w14:paraId="39CFE023" w14:textId="77777777" w:rsidR="00156027" w:rsidRDefault="00156027" w:rsidP="000802F7">
      <w:pPr>
        <w:spacing w:before="0" w:after="0"/>
      </w:pPr>
      <w:r>
        <w:continuationSeparator/>
      </w:r>
    </w:p>
  </w:footnote>
  <w:footnote w:type="continuationNotice" w:id="1">
    <w:p w14:paraId="1B5D6276" w14:textId="77777777" w:rsidR="00156027" w:rsidRDefault="00156027">
      <w:pPr>
        <w:spacing w:before="0" w:after="0"/>
      </w:pPr>
    </w:p>
  </w:footnote>
  <w:footnote w:id="2">
    <w:p w14:paraId="08E703A2" w14:textId="150F945D" w:rsidR="00D06FF8" w:rsidRPr="002C47F6" w:rsidRDefault="00D06FF8">
      <w:pPr>
        <w:pStyle w:val="FootnoteText"/>
        <w:rPr>
          <w:sz w:val="16"/>
          <w:szCs w:val="16"/>
        </w:rPr>
      </w:pPr>
      <w:r w:rsidRPr="002C47F6">
        <w:rPr>
          <w:rStyle w:val="FootnoteReference"/>
          <w:sz w:val="16"/>
          <w:szCs w:val="16"/>
        </w:rPr>
        <w:footnoteRef/>
      </w:r>
      <w:r w:rsidRPr="002C47F6">
        <w:rPr>
          <w:sz w:val="16"/>
          <w:szCs w:val="16"/>
        </w:rPr>
        <w:t xml:space="preserve"> </w:t>
      </w:r>
      <w:r w:rsidR="0077758D" w:rsidRPr="002C47F6">
        <w:rPr>
          <w:sz w:val="16"/>
          <w:szCs w:val="16"/>
        </w:rPr>
        <w:t>Data suppressed due to privacy protection</w:t>
      </w:r>
    </w:p>
  </w:footnote>
  <w:footnote w:id="3">
    <w:p w14:paraId="7F181B68" w14:textId="633A4455" w:rsidR="002C47F6" w:rsidRDefault="002C47F6">
      <w:pPr>
        <w:pStyle w:val="FootnoteText"/>
      </w:pPr>
      <w:r w:rsidRPr="002C47F6">
        <w:rPr>
          <w:rStyle w:val="FootnoteReference"/>
          <w:sz w:val="16"/>
          <w:szCs w:val="16"/>
        </w:rPr>
        <w:footnoteRef/>
      </w:r>
      <w:r w:rsidRPr="002C47F6">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9"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027"/>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47D15"/>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4EF4"/>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47F6"/>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7C6"/>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546A"/>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B2A"/>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394"/>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3EF1"/>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4BE"/>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71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58D"/>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0966"/>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3DAC"/>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6987"/>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0F43"/>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16BD"/>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2E5E"/>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314C"/>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6FF8"/>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B1C"/>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528"/>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0E441046-A0FE-4033-8A4E-BB5032367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ffcb171c-5eb6-4b7e-bff7-850b4441ed9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dd23999d-55bb-4b1f-885e-83712e5c49df"/>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53</Pages>
  <Words>22791</Words>
  <Characters>129911</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16</cp:revision>
  <cp:lastPrinted>2014-08-19T16:56:00Z</cp:lastPrinted>
  <dcterms:created xsi:type="dcterms:W3CDTF">2021-07-22T19:28:00Z</dcterms:created>
  <dcterms:modified xsi:type="dcterms:W3CDTF">2021-08-02T14:23:00Z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2bc75a88-2589-41b6-817a-dc64ea2616a7</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