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Kansas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286</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reauthorization of the Individuals with Disabilities Education Improvement Act (IDEIA, 2004) expanded the accountability requirements of the state education agency (SEA) and districts in the areas of compliance with the law; performance of students with exceptionalities; and the timely, accurate, and reliable reporting of data. As a result of the reauthorization of IDEIA, 2004, increased accountability at the state and local level, and changes in the Office of Special Education Programs’ (OSEP) monitoring priorities, Kansas shifted from a Focused Monitoring System to the Kansas Integrated Accountability System (KIAS). The KIAS is in alignment with IDEIA (2004) general supervision requirements, Results Driven Accountability (RDA) as outlined by OSEP, the Elementary and Secondary Education Act as revised by the Every Student Succeeds Act, and state statutes and regulations. The KIAS is an integrated continuous process involving data collection, data verification, district corrective action, reporting, and incentives and sanctions. The KIAS includes the following components of General Supervision: performance reports; fiscal management; integrated on- and off-site monitoring activities; effective policies and procedures; data on processes and results; improvement, correction, incentives and sanctions; resolution; targeted technical assistance; and professional development. </w:t>
      </w:r>
      <w:r w:rsidRPr="00781112">
        <w:rPr>
          <w:rFonts w:cs="Arial"/>
          <w:color w:val="000000" w:themeColor="text1"/>
          <w:szCs w:val="16"/>
        </w:rPr>
        <w:br/>
      </w:r>
      <w:r w:rsidRPr="00781112">
        <w:rPr>
          <w:rFonts w:cs="Arial"/>
          <w:color w:val="000000" w:themeColor="text1"/>
          <w:szCs w:val="16"/>
        </w:rPr>
        <w:br/>
        <w:t>The KIAS is designed to ensure both state and district compliance with the federal special education requirements and improved academic, behavioral, and social outcomes for students with disabilities.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mechanism that Kansas has in place to ensure the timely delivery of statewide high quality, evidenced-based technical assistance and support to districts is the Kansas Technical Assistance System Network (TASN). TASN provides districts a wide array of no or low-cost support and evidence-based professional development that is essential to increasing adult capacity, preventing educational inequity, and establishing inclusive, safe and supportive learning environments. </w:t>
      </w:r>
      <w:r w:rsidRPr="00781112">
        <w:rPr>
          <w:rFonts w:cs="Arial"/>
          <w:color w:val="000000" w:themeColor="text1"/>
          <w:szCs w:val="16"/>
        </w:rPr>
        <w:br/>
      </w:r>
      <w:r w:rsidRPr="00781112">
        <w:rPr>
          <w:rFonts w:cs="Arial"/>
          <w:color w:val="000000" w:themeColor="text1"/>
          <w:szCs w:val="16"/>
        </w:rPr>
        <w:br/>
        <w:t xml:space="preserve"> The TASN is a dynamic system of delivery that supports KSDE-identified initiatives and priorities that cut across technical assistance, professional learning, accountability, monitoring, governance, and quality standards aligned with the Kansas SPP/APR. The KSDE SETS leadership team provides oversight of TASN ensuring timely and quality technical assistance. All technical assistance and professional learning provided by TASN is directed by standard operating principles. The principles include implementation science and the Learning Forward Standards for Professional Learning with a focus on scaling-up of effective implementation of evidence-based practices by districts to improve the educational results and functional outcomes for students with disabilities. The TASN evidence-based professional development priorities include flexible services, resources and supports for general and special education teachers, paraprofessionals, family members, administrators, and support service professionals. </w:t>
      </w:r>
      <w:r w:rsidRPr="00781112">
        <w:rPr>
          <w:rFonts w:cs="Arial"/>
          <w:color w:val="000000" w:themeColor="text1"/>
          <w:szCs w:val="16"/>
        </w:rPr>
        <w:br/>
      </w:r>
      <w:r w:rsidRPr="00781112">
        <w:rPr>
          <w:rFonts w:cs="Arial"/>
          <w:color w:val="000000" w:themeColor="text1"/>
          <w:szCs w:val="16"/>
        </w:rPr>
        <w:br/>
        <w:t xml:space="preserve">The TASN providers include staff from KSDE Early Childhood and Special Education and Title Services Teams, IDEA Parent Training and Information Center (PTI), Kansas Parent Information Resource Center (KPIRC), State Personnel Development Grant (SPDG), contractual partners, as well as field-based staff. Multiple funding sources assist districts in expanding services, improving educator skills, and providing quality professional development based on needs identified through analysis of statewide data. Federal investments include IDEA VI-B, ESEA Title I, school improvement, and State Personnel Development Grant funding. </w:t>
      </w:r>
      <w:r w:rsidRPr="00781112">
        <w:rPr>
          <w:rFonts w:cs="Arial"/>
          <w:color w:val="000000" w:themeColor="text1"/>
          <w:szCs w:val="16"/>
        </w:rPr>
        <w:br/>
      </w:r>
      <w:r w:rsidRPr="00781112">
        <w:rPr>
          <w:rFonts w:cs="Arial"/>
          <w:color w:val="000000" w:themeColor="text1"/>
          <w:szCs w:val="16"/>
        </w:rPr>
        <w:br/>
        <w:t>More TASN information is available at www.ksdetasn.org.</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The mechanisms Kansas has in place to ensure that service providers at the state and local level have the skills to effectively deliver services to improve results for students with disabilities are primarily provided through the Technical Assistance System Network (TASN). Identified TASN priorities make available the evidence-based professional development that is essential to increasing adult capacity, preventing educational inequity, and establishing inclusive, safe and supportive learning environments.  TASN activities are directed by KSDE initiatives, including the Kansas SPP/APR with input and feedback from various stakeholder data, and the number of requests for targeted professional development in a specific area of need. </w:t>
      </w:r>
      <w:r w:rsidRPr="00781112">
        <w:rPr>
          <w:rFonts w:cs="Arial"/>
          <w:color w:val="000000" w:themeColor="text1"/>
          <w:szCs w:val="16"/>
        </w:rPr>
        <w:br/>
      </w:r>
      <w:r w:rsidRPr="00781112">
        <w:rPr>
          <w:rFonts w:cs="Arial"/>
          <w:color w:val="000000" w:themeColor="text1"/>
          <w:szCs w:val="16"/>
        </w:rPr>
        <w:br/>
        <w:t xml:space="preserve"> The KSDE ensures TASN providers have the skills to effectively provide services that improve results for children with disabilities through continuous professional learning opportunities focused on the Learning Forward Professional Learning Standards which incorporate adult learning principles and implementation science. Kansas utilizes the national technical assistance centers and OSEP for professional development, guidance, and collaboration in order to continually improve educational results and functional outcomes for students with disabilities. </w:t>
      </w:r>
      <w:r w:rsidRPr="00781112">
        <w:rPr>
          <w:rFonts w:cs="Arial"/>
          <w:color w:val="000000" w:themeColor="text1"/>
          <w:szCs w:val="16"/>
        </w:rPr>
        <w:br/>
        <w:t xml:space="preserve">The identification of needs and selection of strategies are informed through the use of data from self correcting feedback loops. Strategies to improve educational results and functional outcomes for students with disabilities are designed using the implementation drivers focused on staff selection, training, coaching, and evaluation to ensure effective implementation of evidence-based practices.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Multiple funding sources assist in expanding services, improving educator skills, and providing quality professional development based on needs identified through analysis of statewide data. Federal investments include IDEA VI-B, ESEA Title I, and State Personnel Development Grant funding. </w:t>
      </w:r>
      <w:r w:rsidRPr="00781112">
        <w:rPr>
          <w:rFonts w:cs="Arial"/>
          <w:color w:val="000000" w:themeColor="text1"/>
          <w:szCs w:val="16"/>
        </w:rPr>
        <w:br/>
      </w:r>
      <w:r w:rsidRPr="00781112">
        <w:rPr>
          <w:rFonts w:cs="Arial"/>
          <w:color w:val="000000" w:themeColor="text1"/>
          <w:szCs w:val="16"/>
        </w:rPr>
        <w:br/>
        <w:t>More TASN information is at www.ksdetasn.org.</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3,199</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Kansas provided several opportunities through multiple methods for Kansas parents to engage in setting targets, analyzing data, developing improvement strategies, and evaluating progress. Kansas State Department of Education (KSDE) staff held a meeting with all Kansas parent training and information center staff (Families Together) to review the learning materials designed to build stakeholder capacity, review the historical and trend data visualizations, and solicit feedback not just through the stakeholder feedback survey, but also through open discussion. The most valuable part of this meeting, for KSDE staff, was the guidance Families Together provided on connecting and engaging with families, not just in the upcoming stakeholder meetings for families, but on the SPP/APR on an ongoing basis. Families Together hosted multiple parent meetings and provided an opportunity to share on this topic during the keynote presentation at its annual statewide family conference. The parent meetings were held during the traditional lunch hour and in the evening to provide families with the opportunity to attend a meeting that fit their schedule. KSDE staff reviewed the learning materials designed to build stakeholder capacity and historical and trend data visualizations. KSDE staff encouraged families to provide feedback via the stakeholder feedback survey and through open discussion at these meetings. KSDE staff encouraged families to share their stories, within the context of relevant indicators, because that is valuable information that can be used to develop improvement strategies and evaluate progress. Families Together provided an opportunity for KSDE staff to share the learning materials designed to build stakeholder capacity and historical and trend data visualizations with a group of individuals training to be education advocates. The group mainly consisted of foster parents and also included several retired special educators.</w:t>
      </w:r>
      <w:r w:rsidRPr="00781112">
        <w:rPr>
          <w:color w:val="000000" w:themeColor="text1"/>
          <w:szCs w:val="16"/>
        </w:rPr>
        <w:br/>
      </w:r>
      <w:r w:rsidRPr="00781112">
        <w:rPr>
          <w:color w:val="000000" w:themeColor="text1"/>
          <w:szCs w:val="16"/>
        </w:rPr>
        <w:br/>
        <w:t>Kansas described how parent members of the State Advisory Panel were engaged in this process, through multiple meetings, in the above Broad Stakeholder Input section. Parents from local and statewide advocacy groups were included in the stakeholder information distribution, as described in the above Broad Stakeholder Input section. As part of requesting stakeholder feedback, Kansas provided its 1-800 number as an option for stakeholders to provide feedback via a voice recording if they did not have access to the internet to take the stakeholder feedback survey or just wanted another medium to share their story and their input.</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To build the capacity of diverse groups of parents to support the development of implementation activities designed to improve outcomes for children with disabilities, Kansas created clear and consistent learning materials about all SPP/APR indicators with changes that included requirements for target setting, requirements for each indicator, the data source for each indicator, historical data for each indicator, proposed improvement strategies, </w:t>
      </w:r>
      <w:r w:rsidRPr="00781112">
        <w:rPr>
          <w:color w:val="000000" w:themeColor="text1"/>
          <w:szCs w:val="16"/>
        </w:rPr>
        <w:lastRenderedPageBreak/>
        <w:t>information on the impact of COVID-19 on the indicator data when relevant, proposed targets for each indicator, and information on how targets were determined. To give stakeholders the opportunity to analyze indicator data in an interactive way, Kansas created a Tableau Public site with data visualizations for each results indicator that provided detailed information on historical data and its comparison to state targets, an interactive data visualization that allowed stakeholders to select the baseline year and proposed targets to see the comparison to historical data and projected future trends, and proposed targets. To collect stakeholder input, Kansas primarily used an online survey to collect feedback on the proposed targets and demographic information on the respondents. Kansas also provided an opportunity for an open-ended response on each indicator where stakeholders could share narrative feedback on suggested improvement strategies, evaluating progress, and the opportunity to share their story within the context of that indicator.</w:t>
      </w:r>
      <w:r w:rsidRPr="00781112">
        <w:rPr>
          <w:color w:val="000000" w:themeColor="text1"/>
          <w:szCs w:val="16"/>
        </w:rPr>
        <w:br/>
      </w:r>
      <w:r w:rsidRPr="00781112">
        <w:rPr>
          <w:color w:val="000000" w:themeColor="text1"/>
          <w:szCs w:val="16"/>
        </w:rPr>
        <w:br/>
        <w:t>Additionally, the live, virtual parent meetings and in-person education advocate meeting provided the opportunity for KSDE staff to share information and dialogue with families about the development of implementation activities designed to improve outcomes for children with disabilities. These are important conversations that must continue on a regular basis to inform KSDE as it works to further adjust the systems it has in place to improve outcomes for children with disabilities.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mechanisms Kansas employed for soliciting public input for setting targets, analyzing data, developing improvement strategies, and evaluating progress are described above, in the Broad Stakeholder Input section. Kansas officially sought public input from mid-March 2021 through mid-September 2021. Kansas recognizes the importance of continuing to solicit public input on proposed targets and to engage stakeholders in analyzing data, developing improvement strategies, and evaluating progress and will continue to do this throughout the remaining SPP/APR cycle. In the Spring and Summer of 2022 additional public input on setting new targets for Indicators 2, 8, 14 and 17 will occur based upon results of revised data collection methodologies.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To make the results of the target setting, data analysis, development of the improvement strategies, and evaluation of progress available to the public, Kansas utilized a similar learning pathway that it designed to seek diverse stakeholder input. Kansas created clear and consistent information to assist stakeholders in understanding the SPP/APR requirements, the final targets, and proposed improvement strategies; provided historical and projected data, including continuing to provide the opportunity for stakeholders to interact with created data visualizations to consider the impact of changing targets; and the results of targeted feedback on the proposed targets. The survey results were posted, along with aggregate demographic information on survey respondents.</w:t>
      </w:r>
      <w:r w:rsidRPr="00781112">
        <w:rPr>
          <w:color w:val="000000" w:themeColor="text1"/>
          <w:szCs w:val="16"/>
        </w:rPr>
        <w:br/>
      </w:r>
      <w:r w:rsidRPr="00781112">
        <w:rPr>
          <w:color w:val="000000" w:themeColor="text1"/>
          <w:szCs w:val="16"/>
        </w:rPr>
        <w:br/>
        <w:t>Kansas distributed information on this learning pathway sharing the results with the public broadly including, but not limited to: the five established statewide groups referenced earlier;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Kansas reports annually to the public on the performance of each district on the targets in the Kansas SPP/APR no later than 120 days following the submission of the APR as required by 34 C.F.R. § 300.602(b)(1)(i)(A). The FFY 2019 performance of each district on the indicator targets is available to the public at the KSDE website, datacentral.ksde.org/sped_rpts.aspx. A complete copy of the FFY 2019 SPP/APR and other related documents are available at the KSDE website, http://www.ksde.org/Default.aspx?tabid=520 and OSEP’s State Performance Plans (SPP) Letters and Annual Performance Report (APR) Letters page, https://sites.ed.gov/idea/files/KS-B-SPPAPR-FFY19.docx. Dissemination of public reports is through direct distribution and notification of availability on the KSDE website through electronic media including listservs to ensure public awareness.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A8DE075" w:rsidR="005E59DB" w:rsidRPr="00781112" w:rsidRDefault="005E59DB" w:rsidP="00B65C2C">
      <w:pPr>
        <w:rPr>
          <w:b/>
          <w:color w:val="000000" w:themeColor="text1"/>
        </w:rPr>
      </w:pPr>
      <w:r w:rsidRPr="00781112">
        <w:rPr>
          <w:b/>
          <w:color w:val="000000" w:themeColor="text1"/>
        </w:rPr>
        <w:t>Historical Data</w:t>
      </w:r>
      <w:r w:rsidR="00977892">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84.54%</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82.00%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83.00%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85.75%</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85.75%</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77.29%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77.52%</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78.37%</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80.02%</w:t>
            </w:r>
          </w:p>
        </w:tc>
        <w:tc>
          <w:tcPr>
            <w:tcW w:w="834" w:type="pct"/>
            <w:tcBorders>
              <w:bottom w:val="single" w:sz="4" w:space="0" w:color="auto"/>
            </w:tcBorders>
            <w:shd w:val="clear" w:color="auto" w:fill="auto"/>
            <w:vAlign w:val="center"/>
          </w:tcPr>
          <w:p w14:paraId="3C2AFA14" w14:textId="36CC8F35" w:rsidR="007F24E2" w:rsidRPr="00781112" w:rsidRDefault="002B7490" w:rsidP="00E0321D">
            <w:pPr>
              <w:jc w:val="center"/>
              <w:rPr>
                <w:rFonts w:cs="Arial"/>
                <w:color w:val="000000" w:themeColor="text1"/>
                <w:szCs w:val="16"/>
              </w:rPr>
            </w:pPr>
            <w:r w:rsidRPr="00781112">
              <w:rPr>
                <w:rFonts w:cs="Arial"/>
                <w:color w:val="000000" w:themeColor="text1"/>
                <w:szCs w:val="16"/>
              </w:rPr>
              <w:t>78.4%</w:t>
            </w:r>
            <w:r w:rsidR="00A265F6">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84.54%</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81.00%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81.90%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82.80%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83.70%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84.75%</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 xml:space="preserve">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w:t>
      </w:r>
      <w:r w:rsidRPr="00781112">
        <w:rPr>
          <w:rFonts w:cs="Arial"/>
          <w:color w:val="000000" w:themeColor="text1"/>
          <w:szCs w:val="16"/>
        </w:rPr>
        <w:lastRenderedPageBreak/>
        <w:t>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3,434</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55</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573</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3,434</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4,062</w:t>
            </w:r>
          </w:p>
        </w:tc>
        <w:tc>
          <w:tcPr>
            <w:tcW w:w="541" w:type="pct"/>
            <w:shd w:val="clear" w:color="auto" w:fill="auto"/>
          </w:tcPr>
          <w:p w14:paraId="02406DF0" w14:textId="6A2F776B" w:rsidR="0098478C" w:rsidRPr="00781112" w:rsidRDefault="00A265F6" w:rsidP="00A018D4">
            <w:pPr>
              <w:jc w:val="center"/>
              <w:rPr>
                <w:rFonts w:cs="Arial"/>
                <w:color w:val="000000" w:themeColor="text1"/>
                <w:szCs w:val="16"/>
              </w:rPr>
            </w:pPr>
            <w:r w:rsidRPr="00781112">
              <w:rPr>
                <w:rFonts w:cs="Arial"/>
                <w:color w:val="000000" w:themeColor="text1"/>
                <w:szCs w:val="16"/>
              </w:rPr>
              <w:t>78.4%</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84.54%</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84.54%</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Kansas State Department of Education (KSDE) established minimum graduation requirements for all students to receive a regular diploma. These requirements are the same for students with IEPs. The requirements are as follows:</w:t>
      </w:r>
      <w:r w:rsidRPr="00781112">
        <w:rPr>
          <w:rFonts w:cs="Arial"/>
          <w:color w:val="000000" w:themeColor="text1"/>
          <w:szCs w:val="16"/>
        </w:rPr>
        <w:br/>
        <w:t>overall 21 units of credit</w:t>
      </w:r>
      <w:r w:rsidRPr="00781112">
        <w:rPr>
          <w:rFonts w:cs="Arial"/>
          <w:color w:val="000000" w:themeColor="text1"/>
          <w:szCs w:val="16"/>
        </w:rPr>
        <w:br/>
        <w:t>4 units of English Language Arts</w:t>
      </w:r>
      <w:r w:rsidRPr="00781112">
        <w:rPr>
          <w:rFonts w:cs="Arial"/>
          <w:color w:val="000000" w:themeColor="text1"/>
          <w:szCs w:val="16"/>
        </w:rPr>
        <w:br/>
        <w:t>3 units of History/Government (i.e. World History, United States History, United States Government, Concepts of Economics, Geography, and Kansas History and Kansas Government)</w:t>
      </w:r>
      <w:r w:rsidRPr="00781112">
        <w:rPr>
          <w:rFonts w:cs="Arial"/>
          <w:color w:val="000000" w:themeColor="text1"/>
          <w:szCs w:val="16"/>
        </w:rPr>
        <w:br/>
        <w:t>3 units of Mathematics</w:t>
      </w:r>
      <w:r w:rsidRPr="00781112">
        <w:rPr>
          <w:rFonts w:cs="Arial"/>
          <w:color w:val="000000" w:themeColor="text1"/>
          <w:szCs w:val="16"/>
        </w:rPr>
        <w:br/>
        <w:t>3 units of Science</w:t>
      </w:r>
      <w:r w:rsidRPr="00781112">
        <w:rPr>
          <w:rFonts w:cs="Arial"/>
          <w:color w:val="000000" w:themeColor="text1"/>
          <w:szCs w:val="16"/>
        </w:rPr>
        <w:br/>
        <w:t>1 unit of Physical Education</w:t>
      </w:r>
      <w:r w:rsidRPr="00781112">
        <w:rPr>
          <w:rFonts w:cs="Arial"/>
          <w:color w:val="000000" w:themeColor="text1"/>
          <w:szCs w:val="16"/>
        </w:rPr>
        <w:br/>
        <w:t>6 units of Electives</w:t>
      </w:r>
      <w:r w:rsidRPr="00781112">
        <w:rPr>
          <w:rFonts w:cs="Arial"/>
          <w:color w:val="000000" w:themeColor="text1"/>
          <w:szCs w:val="16"/>
        </w:rPr>
        <w:br/>
        <w:t>1 unit of Fine Arts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lastRenderedPageBreak/>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2009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2.46%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2.40%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2.40%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2.38%</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2.32%</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2.32%</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2.75%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2.57%</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2.66%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2.36%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2.52%</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2.32%</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2.30%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2.30%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2.30%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2.30%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2.30%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 xml:space="preserve">The five established statewide groups met with KSDE staff on multiple occasions to develop, provide continuous feedback based on data collection and </w:t>
      </w:r>
      <w:r w:rsidRPr="00781112">
        <w:rPr>
          <w:rFonts w:cs="Arial"/>
          <w:color w:val="000000" w:themeColor="text1"/>
          <w:szCs w:val="16"/>
        </w:rPr>
        <w:lastRenderedPageBreak/>
        <w:t>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2</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3,434</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55</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573</w:t>
            </w:r>
          </w:p>
        </w:tc>
      </w:tr>
    </w:tbl>
    <w:p w14:paraId="7CE42756" w14:textId="445D9372" w:rsidR="00654A4B" w:rsidRPr="00781112" w:rsidRDefault="00654A4B" w:rsidP="004369B2">
      <w:pPr>
        <w:rPr>
          <w:color w:val="000000" w:themeColor="text1"/>
        </w:rPr>
      </w:pPr>
    </w:p>
    <w:p w14:paraId="5F523C2B" w14:textId="45088C60" w:rsidR="00944C45" w:rsidRPr="00781112" w:rsidRDefault="00944C45" w:rsidP="004369B2">
      <w:pPr>
        <w:rPr>
          <w:b/>
          <w:color w:val="000000" w:themeColor="text1"/>
        </w:rPr>
      </w:pPr>
      <w:r w:rsidRPr="00781112">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781112" w:rsidRDefault="00944C45" w:rsidP="004369B2">
      <w:pPr>
        <w:rPr>
          <w:color w:val="000000" w:themeColor="text1"/>
        </w:rPr>
      </w:pPr>
      <w:r w:rsidRPr="00781112">
        <w:rPr>
          <w:color w:val="000000" w:themeColor="text1"/>
        </w:rPr>
        <w:t>NO</w:t>
      </w:r>
    </w:p>
    <w:p w14:paraId="5230F2BA" w14:textId="48082C5C" w:rsidR="0051170F" w:rsidRPr="00781112" w:rsidRDefault="0051170F" w:rsidP="0051170F">
      <w:pPr>
        <w:rPr>
          <w:rFonts w:cs="Arial"/>
          <w:b/>
          <w:color w:val="000000" w:themeColor="text1"/>
          <w:szCs w:val="16"/>
        </w:rPr>
      </w:pPr>
      <w:r w:rsidRPr="00781112">
        <w:rPr>
          <w:rFonts w:cs="Arial"/>
          <w:b/>
          <w:color w:val="000000" w:themeColor="text1"/>
          <w:szCs w:val="16"/>
        </w:rPr>
        <w:t>Use a different calculation methodology (yes/no)</w:t>
      </w:r>
    </w:p>
    <w:p w14:paraId="7C9AA806" w14:textId="5DCA8C43" w:rsidR="0051170F" w:rsidRPr="00781112" w:rsidRDefault="0051170F" w:rsidP="0051170F">
      <w:pPr>
        <w:rPr>
          <w:rFonts w:cs="Arial"/>
          <w:color w:val="000000" w:themeColor="text1"/>
          <w:szCs w:val="16"/>
        </w:rPr>
      </w:pPr>
      <w:r w:rsidRPr="00781112">
        <w:rPr>
          <w:rFonts w:cs="Arial"/>
          <w:color w:val="000000" w:themeColor="text1"/>
          <w:szCs w:val="16"/>
        </w:rPr>
        <w:t>YES</w:t>
      </w:r>
    </w:p>
    <w:p w14:paraId="3E73D84E" w14:textId="7D3E0CBD" w:rsidR="0051170F" w:rsidRPr="00781112" w:rsidRDefault="0051170F" w:rsidP="004369B2">
      <w:pPr>
        <w:rPr>
          <w:b/>
          <w:color w:val="000000" w:themeColor="text1"/>
        </w:rPr>
      </w:pPr>
      <w:r w:rsidRPr="00781112">
        <w:rPr>
          <w:rFonts w:cs="Arial"/>
          <w:b/>
          <w:color w:val="000000" w:themeColor="text1"/>
          <w:szCs w:val="16"/>
        </w:rPr>
        <w:t>Change numerator description in data table (yes/no)</w:t>
      </w:r>
    </w:p>
    <w:p w14:paraId="4010191C" w14:textId="0957938D" w:rsidR="00944C45" w:rsidRPr="00781112" w:rsidRDefault="0051170F" w:rsidP="00212954">
      <w:pPr>
        <w:rPr>
          <w:rFonts w:cs="Arial"/>
          <w:color w:val="000000" w:themeColor="text1"/>
          <w:szCs w:val="16"/>
        </w:rPr>
      </w:pPr>
      <w:r w:rsidRPr="00781112">
        <w:rPr>
          <w:rFonts w:cs="Arial"/>
          <w:color w:val="000000" w:themeColor="text1"/>
          <w:szCs w:val="16"/>
        </w:rPr>
        <w:t>NO</w:t>
      </w:r>
    </w:p>
    <w:p w14:paraId="7FC447FC" w14:textId="55411AE4" w:rsidR="0051170F" w:rsidRPr="00781112" w:rsidRDefault="0051170F" w:rsidP="00212954">
      <w:pPr>
        <w:rPr>
          <w:rFonts w:cs="Arial"/>
          <w:b/>
          <w:color w:val="000000" w:themeColor="text1"/>
          <w:szCs w:val="16"/>
        </w:rPr>
      </w:pPr>
      <w:r w:rsidRPr="00781112">
        <w:rPr>
          <w:rFonts w:cs="Arial"/>
          <w:b/>
          <w:color w:val="000000" w:themeColor="text1"/>
          <w:szCs w:val="16"/>
        </w:rPr>
        <w:t>Change denominator description in data table (yes/no)</w:t>
      </w:r>
    </w:p>
    <w:p w14:paraId="3DB180DC" w14:textId="5DA93E34" w:rsidR="0051170F" w:rsidRPr="00781112" w:rsidRDefault="0051170F" w:rsidP="00212954">
      <w:pPr>
        <w:rPr>
          <w:rFonts w:cs="Arial"/>
          <w:color w:val="000000" w:themeColor="text1"/>
          <w:szCs w:val="16"/>
        </w:rPr>
      </w:pPr>
      <w:r w:rsidRPr="00781112">
        <w:rPr>
          <w:rFonts w:cs="Arial"/>
          <w:color w:val="000000" w:themeColor="text1"/>
          <w:szCs w:val="16"/>
        </w:rPr>
        <w:t>YES</w:t>
      </w:r>
    </w:p>
    <w:p w14:paraId="21474394" w14:textId="40432B1A" w:rsidR="00FF244B" w:rsidRPr="00781112" w:rsidRDefault="0083500D" w:rsidP="004369B2">
      <w:pPr>
        <w:rPr>
          <w:b/>
          <w:color w:val="000000" w:themeColor="text1"/>
        </w:rPr>
      </w:pPr>
      <w:r w:rsidRPr="00781112">
        <w:rPr>
          <w:b/>
          <w:color w:val="000000" w:themeColor="text1"/>
        </w:rPr>
        <w:t xml:space="preserve">If use a different calculation methodology is yes, provide an explanation of the different calculation methodology </w:t>
      </w:r>
    </w:p>
    <w:p w14:paraId="363E1724" w14:textId="1F2E7EE3" w:rsidR="00A869E9" w:rsidRPr="00781112" w:rsidRDefault="002B7490" w:rsidP="000E33D0">
      <w:pPr>
        <w:rPr>
          <w:rFonts w:cs="Arial"/>
          <w:color w:val="000000" w:themeColor="text1"/>
          <w:szCs w:val="16"/>
          <w:shd w:val="clear" w:color="auto" w:fill="FFFFFF"/>
        </w:rPr>
      </w:pPr>
      <w:bookmarkStart w:id="7" w:name="_Hlk494379356"/>
      <w:r w:rsidRPr="00781112">
        <w:rPr>
          <w:rFonts w:cs="Arial"/>
          <w:color w:val="000000" w:themeColor="text1"/>
          <w:szCs w:val="16"/>
          <w:shd w:val="clear" w:color="auto" w:fill="FFFFFF"/>
        </w:rPr>
        <w:t xml:space="preserve">For FFY 2020 Kansas chose the OSEP Option 2 using the same data source and measurement that was used for the FFY 2019 APR submitted in February 2021. The measurement for students with IEPs in Grades 9-12 is a single year dropout rate calculation. The calculation for Kansas is: (Number of Grade 9-12 Special Education Dropouts/Total Grade 9-12 Special Education Enrollment Count)*100. The source of Special Education Dropouts is Education Data Exchange Network (EDEN) Table N032. The source of Special Education Enrollment Count is the Kansas Individual Data on Students (KIDS) system End of Year Accountability (EOYA) and EXIT data. The KIDS EOYA and EXIT data are the data source for EDEN Dropout Table N032. </w:t>
      </w:r>
      <w:r w:rsidRPr="00781112">
        <w:rPr>
          <w:rFonts w:cs="Arial"/>
          <w:color w:val="000000" w:themeColor="text1"/>
          <w:szCs w:val="16"/>
          <w:shd w:val="clear" w:color="auto" w:fill="FFFFFF"/>
        </w:rPr>
        <w:br/>
        <w:t>The dropout calculation for students with IEPs is the same calculation used for all students under ESEA.</w:t>
      </w:r>
    </w:p>
    <w:p w14:paraId="6A9FCB17" w14:textId="22AC7EEF" w:rsidR="00E22454" w:rsidRPr="00781112" w:rsidRDefault="0051170F" w:rsidP="000E33D0">
      <w:pPr>
        <w:rPr>
          <w:rFonts w:cs="Arial"/>
          <w:color w:val="000000" w:themeColor="text1"/>
          <w:szCs w:val="16"/>
        </w:rPr>
      </w:pPr>
      <w:r w:rsidRPr="00781112" w:rsidDel="0051170F">
        <w:rPr>
          <w:color w:val="000000" w:themeColor="text1"/>
        </w:rPr>
        <w:t xml:space="preserve"> </w:t>
      </w:r>
    </w:p>
    <w:p w14:paraId="36990D6B" w14:textId="432224BE" w:rsidR="007F337D" w:rsidRPr="00781112" w:rsidRDefault="00F6415A" w:rsidP="004369B2">
      <w:pPr>
        <w:rPr>
          <w:color w:val="000000" w:themeColor="text1"/>
        </w:rPr>
      </w:pPr>
      <w:bookmarkStart w:id="8" w:name="_Toc392159265"/>
      <w:bookmarkEnd w:id="7"/>
      <w:r w:rsidRPr="00781112">
        <w:rPr>
          <w:b/>
          <w:color w:val="000000" w:themeColor="text1"/>
        </w:rPr>
        <w:t>FFY 2020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937"/>
        <w:gridCol w:w="1088"/>
      </w:tblGrid>
      <w:tr w:rsidR="005C29F8" w:rsidRPr="00781112" w14:paraId="503F69A4" w14:textId="77777777" w:rsidTr="00DF4C35">
        <w:trPr>
          <w:trHeight w:val="359"/>
        </w:trPr>
        <w:tc>
          <w:tcPr>
            <w:tcW w:w="1854" w:type="dxa"/>
            <w:shd w:val="clear" w:color="auto" w:fill="auto"/>
            <w:vAlign w:val="bottom"/>
          </w:tcPr>
          <w:p w14:paraId="28A49B6A" w14:textId="2038C0A9" w:rsidR="00B6413B" w:rsidRPr="00310357" w:rsidRDefault="002B7490" w:rsidP="0051170F">
            <w:pPr>
              <w:jc w:val="center"/>
              <w:rPr>
                <w:rFonts w:cs="Arial"/>
                <w:b/>
                <w:bCs/>
                <w:color w:val="000000" w:themeColor="text1"/>
                <w:szCs w:val="16"/>
              </w:rPr>
            </w:pPr>
            <w:r w:rsidRPr="00310357">
              <w:rPr>
                <w:rFonts w:cs="Arial"/>
                <w:b/>
                <w:bCs/>
                <w:color w:val="000000" w:themeColor="text1"/>
                <w:szCs w:val="16"/>
              </w:rPr>
              <w:lastRenderedPageBreak/>
              <w:t>Number of youth with IEPs (ages 14-21) who exited special education due to dropping out</w:t>
            </w:r>
          </w:p>
        </w:tc>
        <w:tc>
          <w:tcPr>
            <w:tcW w:w="2086" w:type="dxa"/>
            <w:shd w:val="clear" w:color="auto" w:fill="auto"/>
            <w:vAlign w:val="bottom"/>
          </w:tcPr>
          <w:p w14:paraId="4DEAE74E" w14:textId="35A24CDB" w:rsidR="007F337D" w:rsidRPr="00310357" w:rsidRDefault="002B7490" w:rsidP="001F692C">
            <w:pPr>
              <w:jc w:val="center"/>
              <w:rPr>
                <w:rFonts w:cs="Arial"/>
                <w:b/>
                <w:bCs/>
                <w:color w:val="000000" w:themeColor="text1"/>
                <w:szCs w:val="16"/>
              </w:rPr>
            </w:pPr>
            <w:r w:rsidRPr="00310357">
              <w:rPr>
                <w:rFonts w:cs="Arial"/>
                <w:b/>
                <w:bCs/>
                <w:color w:val="000000" w:themeColor="text1"/>
                <w:szCs w:val="16"/>
              </w:rPr>
              <w:t>Total Grade 9-12 Special Education Enrollment Count</w:t>
            </w:r>
          </w:p>
        </w:tc>
        <w:tc>
          <w:tcPr>
            <w:tcW w:w="1211" w:type="dxa"/>
            <w:shd w:val="clear" w:color="auto" w:fill="auto"/>
            <w:vAlign w:val="bottom"/>
          </w:tcPr>
          <w:p w14:paraId="47B88536" w14:textId="79085D74" w:rsidR="007F337D" w:rsidRPr="00781112" w:rsidRDefault="00F6415A" w:rsidP="001F692C">
            <w:pPr>
              <w:jc w:val="center"/>
              <w:rPr>
                <w:rFonts w:cs="Arial"/>
                <w:b/>
                <w:color w:val="000000" w:themeColor="text1"/>
                <w:szCs w:val="16"/>
              </w:rPr>
            </w:pPr>
            <w:r w:rsidRPr="00781112">
              <w:rPr>
                <w:rFonts w:cs="Arial"/>
                <w:b/>
                <w:color w:val="000000" w:themeColor="text1"/>
                <w:szCs w:val="16"/>
              </w:rPr>
              <w:t>FFY 2019 Data</w:t>
            </w:r>
          </w:p>
        </w:tc>
        <w:tc>
          <w:tcPr>
            <w:tcW w:w="0" w:type="auto"/>
            <w:shd w:val="clear" w:color="auto" w:fill="auto"/>
            <w:vAlign w:val="bottom"/>
          </w:tcPr>
          <w:p w14:paraId="0CDB3559" w14:textId="50F62D37" w:rsidR="007F337D" w:rsidRPr="00781112" w:rsidRDefault="00F6415A" w:rsidP="001F692C">
            <w:pPr>
              <w:jc w:val="center"/>
              <w:rPr>
                <w:rFonts w:cs="Arial"/>
                <w:b/>
                <w:color w:val="000000" w:themeColor="text1"/>
                <w:szCs w:val="16"/>
              </w:rPr>
            </w:pPr>
            <w:r w:rsidRPr="00781112">
              <w:rPr>
                <w:rFonts w:cs="Arial"/>
                <w:b/>
                <w:color w:val="000000" w:themeColor="text1"/>
                <w:szCs w:val="16"/>
              </w:rPr>
              <w:t>FFY 2020 Target</w:t>
            </w:r>
          </w:p>
        </w:tc>
        <w:tc>
          <w:tcPr>
            <w:tcW w:w="0" w:type="auto"/>
            <w:shd w:val="clear" w:color="auto" w:fill="auto"/>
            <w:vAlign w:val="bottom"/>
          </w:tcPr>
          <w:p w14:paraId="509A4ACF" w14:textId="0F317D69" w:rsidR="007F337D" w:rsidRPr="00781112" w:rsidRDefault="00F6415A" w:rsidP="001F692C">
            <w:pPr>
              <w:jc w:val="center"/>
              <w:rPr>
                <w:rFonts w:cs="Arial"/>
                <w:b/>
                <w:color w:val="000000" w:themeColor="text1"/>
                <w:szCs w:val="16"/>
              </w:rPr>
            </w:pPr>
            <w:r w:rsidRPr="00781112">
              <w:rPr>
                <w:rFonts w:cs="Arial"/>
                <w:b/>
                <w:color w:val="000000" w:themeColor="text1"/>
                <w:szCs w:val="16"/>
              </w:rPr>
              <w:t>FFY 2020 Data</w:t>
            </w:r>
          </w:p>
        </w:tc>
        <w:tc>
          <w:tcPr>
            <w:tcW w:w="0" w:type="auto"/>
            <w:shd w:val="clear" w:color="auto" w:fill="auto"/>
            <w:vAlign w:val="bottom"/>
          </w:tcPr>
          <w:p w14:paraId="4A34B8DF" w14:textId="77777777" w:rsidR="007F337D" w:rsidRPr="00781112" w:rsidRDefault="007F337D" w:rsidP="001F692C">
            <w:pPr>
              <w:jc w:val="center"/>
              <w:rPr>
                <w:rFonts w:cs="Arial"/>
                <w:b/>
                <w:color w:val="000000" w:themeColor="text1"/>
                <w:szCs w:val="16"/>
              </w:rPr>
            </w:pPr>
            <w:r w:rsidRPr="00781112">
              <w:rPr>
                <w:rFonts w:cs="Arial"/>
                <w:b/>
                <w:color w:val="000000" w:themeColor="text1"/>
                <w:szCs w:val="16"/>
              </w:rPr>
              <w:t>Status</w:t>
            </w:r>
          </w:p>
        </w:tc>
        <w:tc>
          <w:tcPr>
            <w:tcW w:w="0" w:type="auto"/>
            <w:shd w:val="clear" w:color="auto" w:fill="auto"/>
            <w:vAlign w:val="bottom"/>
          </w:tcPr>
          <w:p w14:paraId="63A51C66" w14:textId="77777777" w:rsidR="007F337D" w:rsidRPr="00781112" w:rsidRDefault="007F337D" w:rsidP="001F692C">
            <w:pPr>
              <w:jc w:val="center"/>
              <w:rPr>
                <w:rFonts w:cs="Arial"/>
                <w:b/>
                <w:color w:val="000000" w:themeColor="text1"/>
                <w:szCs w:val="16"/>
              </w:rPr>
            </w:pPr>
            <w:r w:rsidRPr="00781112">
              <w:rPr>
                <w:rFonts w:cs="Arial"/>
                <w:b/>
                <w:color w:val="000000" w:themeColor="text1"/>
                <w:szCs w:val="16"/>
              </w:rPr>
              <w:t>Slippage</w:t>
            </w:r>
          </w:p>
        </w:tc>
      </w:tr>
      <w:tr w:rsidR="005C29F8" w:rsidRPr="00781112" w14:paraId="72961044" w14:textId="77777777" w:rsidTr="00DF4C35">
        <w:trPr>
          <w:trHeight w:val="366"/>
        </w:trPr>
        <w:tc>
          <w:tcPr>
            <w:tcW w:w="1854" w:type="dxa"/>
            <w:shd w:val="clear" w:color="auto" w:fill="auto"/>
            <w:vAlign w:val="center"/>
          </w:tcPr>
          <w:p w14:paraId="2BC4AAB2" w14:textId="50CBDBA3" w:rsidR="00CD5D37" w:rsidRPr="00781112" w:rsidRDefault="002B7490" w:rsidP="00A018D4">
            <w:pPr>
              <w:jc w:val="center"/>
              <w:rPr>
                <w:rFonts w:cs="Arial"/>
                <w:color w:val="000000" w:themeColor="text1"/>
                <w:szCs w:val="16"/>
              </w:rPr>
            </w:pPr>
            <w:r w:rsidRPr="00781112">
              <w:rPr>
                <w:rFonts w:cs="Arial"/>
                <w:color w:val="000000" w:themeColor="text1"/>
                <w:szCs w:val="16"/>
              </w:rPr>
              <w:t>477</w:t>
            </w:r>
          </w:p>
        </w:tc>
        <w:tc>
          <w:tcPr>
            <w:tcW w:w="2086" w:type="dxa"/>
            <w:shd w:val="clear" w:color="auto" w:fill="auto"/>
            <w:vAlign w:val="center"/>
          </w:tcPr>
          <w:p w14:paraId="32D53AA4" w14:textId="55BC4A70" w:rsidR="00CD5D37" w:rsidRPr="00781112" w:rsidRDefault="002B7490" w:rsidP="00A018D4">
            <w:pPr>
              <w:jc w:val="center"/>
              <w:rPr>
                <w:rFonts w:cs="Arial"/>
                <w:color w:val="000000" w:themeColor="text1"/>
                <w:szCs w:val="16"/>
              </w:rPr>
            </w:pPr>
            <w:r w:rsidRPr="00781112">
              <w:rPr>
                <w:rFonts w:cs="Arial"/>
                <w:color w:val="000000" w:themeColor="text1"/>
                <w:szCs w:val="16"/>
              </w:rPr>
              <w:t>23,800</w:t>
            </w:r>
          </w:p>
        </w:tc>
        <w:tc>
          <w:tcPr>
            <w:tcW w:w="1211" w:type="dxa"/>
            <w:shd w:val="clear" w:color="auto" w:fill="auto"/>
          </w:tcPr>
          <w:p w14:paraId="39378676" w14:textId="2E9734C1" w:rsidR="00CD5D37" w:rsidRPr="00781112" w:rsidRDefault="002B7490" w:rsidP="00A018D4">
            <w:pPr>
              <w:jc w:val="center"/>
              <w:rPr>
                <w:rFonts w:cs="Arial"/>
                <w:color w:val="000000" w:themeColor="text1"/>
                <w:szCs w:val="16"/>
              </w:rPr>
            </w:pPr>
            <w:r w:rsidRPr="00781112">
              <w:rPr>
                <w:rFonts w:cs="Arial"/>
                <w:color w:val="000000" w:themeColor="text1"/>
                <w:szCs w:val="16"/>
              </w:rPr>
              <w:t>2.52%</w:t>
            </w:r>
          </w:p>
        </w:tc>
        <w:tc>
          <w:tcPr>
            <w:tcW w:w="0" w:type="auto"/>
            <w:shd w:val="clear" w:color="auto" w:fill="auto"/>
          </w:tcPr>
          <w:p w14:paraId="222E3163" w14:textId="1A781E00" w:rsidR="00CD5D37" w:rsidRPr="00781112" w:rsidRDefault="002B7490" w:rsidP="00A018D4">
            <w:pPr>
              <w:jc w:val="center"/>
              <w:rPr>
                <w:rFonts w:cs="Arial"/>
                <w:color w:val="000000" w:themeColor="text1"/>
                <w:szCs w:val="16"/>
              </w:rPr>
            </w:pPr>
            <w:r w:rsidRPr="00781112">
              <w:rPr>
                <w:rFonts w:cs="Arial"/>
                <w:color w:val="000000" w:themeColor="text1"/>
                <w:szCs w:val="16"/>
              </w:rPr>
              <w:t>2.32%</w:t>
            </w:r>
          </w:p>
        </w:tc>
        <w:tc>
          <w:tcPr>
            <w:tcW w:w="0" w:type="auto"/>
            <w:shd w:val="clear" w:color="auto" w:fill="auto"/>
          </w:tcPr>
          <w:p w14:paraId="6129789B" w14:textId="45194B09" w:rsidR="00CD5D37"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0" w:type="auto"/>
            <w:shd w:val="clear" w:color="auto" w:fill="auto"/>
          </w:tcPr>
          <w:p w14:paraId="0F04C3C1" w14:textId="3380934A" w:rsidR="00CD5D37"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0" w:type="auto"/>
            <w:shd w:val="clear" w:color="auto" w:fill="auto"/>
          </w:tcPr>
          <w:p w14:paraId="44D676BD" w14:textId="669F473C" w:rsidR="00CD5D37"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Any student who leaves school and does not enroll in another school or program that culminates in a high school diploma. The students reported by the LEA as exiting under the following exit categories count as a dropout: discontinued schooling, moved within the United States - not known to be continuing, unknown, transfer to GED completion program, and transfer to a juvenile or adult correctional facility where educational services are not provided. Also, any unresolved exits are counted in the dropout category.</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9" w:name="_Toc382082362"/>
      <w:bookmarkStart w:id="10" w:name="_Toc392159270"/>
      <w:bookmarkStart w:id="11" w:name="_Toc365403651"/>
      <w:bookmarkEnd w:id="8"/>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93.05%</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89.14%</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84.38%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93.98%</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89.85%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85.23%</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5,042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4,508</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4,234</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2,367</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1,910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1,586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2,034</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1,826</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1,738</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312</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294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258</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5,866</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5,024</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4,509</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2,397</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1,988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1,594</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2,802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2,232</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1,989</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lastRenderedPageBreak/>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314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294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260</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4,713</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5,042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93.47%</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4,030</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4,508</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89.40%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3,582</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4,234</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84.60%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5,513</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5,866</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93.98%</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4,514</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5,024</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89.85%</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3,843</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4,509</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85.23%</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Kansas reported to the public on the statewide assessments of children with disabilities in accordance with 34 CFR § 300.160(f).  To view this data, please go to the Kansas Building Report Card – Participation Summary Report, located at https://ksreportcard.ksde.org/part_details.aspx?org_no=State&amp;rptType=3 .  In the box “Select Organization”, choose a school, district, or State Totals.  In the box “Selections”, choose a subject, ELA, math or science,  from the dropdown on the right and an option for All Assessments, General with Accommodations, and DLM.</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9"/>
      <w:bookmarkEnd w:id="10"/>
    </w:p>
    <w:p w14:paraId="66C662B8" w14:textId="77777777" w:rsidR="007C3C89" w:rsidRPr="00781112" w:rsidRDefault="007C3C89" w:rsidP="00A018D4">
      <w:pPr>
        <w:rPr>
          <w:color w:val="000000" w:themeColor="text1"/>
          <w:szCs w:val="20"/>
        </w:rPr>
      </w:pPr>
      <w:bookmarkStart w:id="12"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2"/>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21.45%</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6.45%</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6.02%</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13.16%</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4.76%</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3.32%</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21.45%</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21.45%</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21.81%</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22.16%</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22.52%</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22.87%</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6.45%</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6.45%</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6.57%</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6.70%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6.82%</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6.94%</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6.02%</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6.02%</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6.22%</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6.43%</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6.63%</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6.83%</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13.16%</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13.16%</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13.31%</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13.46%</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13.61%</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13.76%</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4.76%</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4.76%</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4.90%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5.05%</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5.19%</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5.33%</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3.32%</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3.32%</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3.41%</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3.50%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3.58%</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3.67%</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lastRenderedPageBreak/>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3"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4,401</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3,736</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3,324</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794</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222</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180</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150</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19</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20</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5,199</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4,220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3,583</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583</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179</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104</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 xml:space="preserve">c. Children with IEPs in regular assessment with accommodations scored at or </w:t>
            </w:r>
            <w:r w:rsidRPr="00781112">
              <w:rPr>
                <w:rFonts w:cs="Arial"/>
                <w:szCs w:val="16"/>
                <w:shd w:val="clear" w:color="auto" w:fill="FFFFFF"/>
              </w:rPr>
              <w:lastRenderedPageBreak/>
              <w:t>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lastRenderedPageBreak/>
              <w:t>101</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22</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15</w:t>
            </w:r>
          </w:p>
        </w:tc>
      </w:tr>
      <w:bookmarkEnd w:id="13"/>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944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4,401</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21.45%</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21.45%</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241</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3,736</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6.45%</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6.45%</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200</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3,324</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6.02%</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6.02%</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684</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5,199</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13.16%</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13.16%</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201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4,220</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4.76%</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4.76%</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119</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3,583</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3.32%</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3.32%</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In accordance with 34 CFR §300.160(f), Kansas reports all assessment data for all students (both general education and students receiving special education services) in the same manner so that data are consistent. Kansas information on performance and participation of students with disabilities is located in two places; (1) The Building Report Card http://ksreportcard.ksde.org/default.aspx and (2) The SPP/APR District Report https://datacentral.ksde.org/sped_rpts.aspx.</w:t>
      </w:r>
    </w:p>
    <w:p w14:paraId="2BE473B4" w14:textId="77777777" w:rsidR="00053391" w:rsidRPr="00781112" w:rsidRDefault="00053391" w:rsidP="004369B2">
      <w:pPr>
        <w:rPr>
          <w:b/>
          <w:color w:val="000000" w:themeColor="text1"/>
        </w:rPr>
      </w:pPr>
      <w:bookmarkStart w:id="14" w:name="_Toc382082367"/>
      <w:bookmarkStart w:id="15"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4"/>
      <w:bookmarkEnd w:id="15"/>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6" w:name="_Toc384383330"/>
      <w:bookmarkStart w:id="17" w:name="_Toc392159282"/>
      <w:bookmarkStart w:id="18"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43.91%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22.11%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15.89%</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19.75%</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10.54%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14.23%</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43.91%</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43.91%</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45.53%</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47.14%</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48.76%</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50.37%</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22.11%</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22.11%</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22.83%</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23.55%</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24.26%</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24.98%</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15.89%</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15.89%</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16.82%</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17.74%</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18.67%</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19.60%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19.75%</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19.75%</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20.26%</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20.77%</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21.27%</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21.78%</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10.54%</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10.54%</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11.13%</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11.71%</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12.30%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12.89%</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14.23%</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14.23%</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14.41%</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14.59%</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14.77%</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14.95%</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312</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294</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258</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137</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65</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41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314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294</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260</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62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31</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37</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lastRenderedPageBreak/>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137</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312</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43.91%</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43.91%</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65</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294</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22.11%</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22.11%</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41</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258</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15.89%</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15.89%</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62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314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19.75%</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19.75%</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31</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294</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10.54%</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10.54%</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260</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14.23%</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14.23%</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In accordance with 34 CFR §300.160(f), Kansas reports all assessment data for all students (both general education and students receiving special education services) in the same manner so that data are consistent. Kansas information on performance and participation of students with disabilities is located in two places; (1) The Building Report Card http://ksreportcard.ksde.org/default.aspx and (2) The SPP/APR District Report https://datacentral.ksde.org/sped_rpts.aspx.</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26.06</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17.74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21.22</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19.25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15.51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16.73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26.06</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26.06</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25.65</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25.25</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24.84</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24.43</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17.74</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17.74</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17.28</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16.82</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16.35</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15.89</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21.22</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21.22</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20.91</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20.61</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20.30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19.99</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19.25</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19.25</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19.07</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18.88</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18.69</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18.51</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15.51</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15.51</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15.32</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15.14</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14.95</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14.76</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16.73</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16.73</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16.64</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16.55</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16.45</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16.36</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 xml:space="preserve">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w:t>
      </w:r>
      <w:r w:rsidRPr="00781112">
        <w:rPr>
          <w:rFonts w:cs="Arial"/>
          <w:color w:val="000000" w:themeColor="text1"/>
          <w:szCs w:val="16"/>
        </w:rPr>
        <w:lastRenderedPageBreak/>
        <w:t>(1)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30,572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32,552</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30,490</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4,401</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3,736</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3,324</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14,225</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7,831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8,232</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300</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45</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74</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794</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222</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180</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150</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19</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20</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31,956</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33,328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31,095</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lastRenderedPageBreak/>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5,199</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4,220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3,583</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10,141</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6,683</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6,178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215</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72</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57</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583</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179</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104</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101</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22</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15</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21.45%</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47.51%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26.06</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26.06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6.45%</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24.20%</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17.74</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17.74</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6.02%</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27.24%</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21.22</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21.22</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13.16%</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32.41%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19.25</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19.25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4.76%</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20.27%</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15.51</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15.51</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3.32%</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20.05%</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16.73</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16.73</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6"/>
      <w:bookmarkEnd w:id="17"/>
    </w:p>
    <w:p w14:paraId="6B24B370" w14:textId="77777777" w:rsidR="006E5AE4" w:rsidRPr="00781112" w:rsidRDefault="006E5AE4" w:rsidP="00A018D4">
      <w:pPr>
        <w:rPr>
          <w:color w:val="000000" w:themeColor="text1"/>
          <w:szCs w:val="20"/>
        </w:rPr>
      </w:pPr>
      <w:bookmarkStart w:id="19" w:name="_Toc384383331"/>
      <w:bookmarkStart w:id="20"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1" w:name="_Toc384383332"/>
      <w:bookmarkStart w:id="22" w:name="_Toc392159284"/>
      <w:bookmarkEnd w:id="19"/>
      <w:bookmarkEnd w:id="20"/>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2020</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0.70%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0.70%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0.70%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0.70%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0.70%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0.70%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1"/>
      <w:bookmarkEnd w:id="22"/>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266</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Definition of Significant Discrepancy: The Kansas definition of significant discrepancy for suspension and expulsion is any district that suspends at least 10 special education students and suspends 2% or more of its special education population for more than 10 days. </w:t>
      </w:r>
      <w:r w:rsidRPr="00781112">
        <w:rPr>
          <w:rFonts w:cs="Arial"/>
          <w:color w:val="000000" w:themeColor="text1"/>
          <w:szCs w:val="16"/>
        </w:rPr>
        <w:br/>
        <w:t>Methodology: The State determines that a district had a significant discrepancy by comparing the suspension/expulsion rates for students with IEPs among districts in the State. The State calculates the rates of suspensions and expulsions greater than 10 days in a school year for students with IEPs for each district within the State.</w:t>
      </w:r>
    </w:p>
    <w:p w14:paraId="47F07052" w14:textId="77777777" w:rsidR="00BB504D" w:rsidRPr="00781112" w:rsidRDefault="00BB504D" w:rsidP="004369B2">
      <w:pPr>
        <w:rPr>
          <w:b/>
          <w:color w:val="000000" w:themeColor="text1"/>
        </w:rPr>
      </w:pPr>
      <w:bookmarkStart w:id="23" w:name="_Toc384383334"/>
      <w:bookmarkStart w:id="24"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KSDE changed the baseline due to the methodology change.  After stakeholder input and public comment and hearing, KSDE changed the definition of significant discrepancy from any district that suspends at least 10 special education students of a given race or ethnicity and suspends 5% or more of students with IEPs of a given race or ethnicity for more than 10 days to any district that suspends at least 10 special education students of a given race or ethnicity and suspends 2% or more of students with IEPs of a given race or ethnicity for more than 10 days.</w:t>
      </w:r>
    </w:p>
    <w:bookmarkEnd w:id="23"/>
    <w:bookmarkEnd w:id="24"/>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lastRenderedPageBreak/>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Kansas did not identify a district with a significant discrepancy and is not required to do the review under 34 C.F.R. § 300.170(b). To select an accurate answer Kansas would need an N/A option.</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5" w:name="_Toc381956335"/>
      <w:bookmarkStart w:id="26" w:name="_Toc384383336"/>
      <w:bookmarkStart w:id="27"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5"/>
      <w:bookmarkEnd w:id="26"/>
      <w:bookmarkEnd w:id="27"/>
    </w:p>
    <w:p w14:paraId="1BA30D93" w14:textId="77777777" w:rsidR="008637F8" w:rsidRPr="00781112" w:rsidRDefault="008637F8" w:rsidP="00A018D4">
      <w:pPr>
        <w:rPr>
          <w:color w:val="000000" w:themeColor="text1"/>
          <w:szCs w:val="20"/>
        </w:rPr>
      </w:pPr>
      <w:bookmarkStart w:id="28" w:name="_Toc384383338"/>
      <w:bookmarkStart w:id="29"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2020</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0.35%</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0.35%</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8"/>
      <w:bookmarkEnd w:id="29"/>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266</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0"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Definition of Significant Discrepancy: The Kansas definition of significant discrepancy for suspension and expulsion is any district that suspends at least 10 special education students of a given race or ethnicity and suspends 2% or more of students with IEPs of a given race or ethnicity for more than 10 days. </w:t>
      </w:r>
      <w:r w:rsidRPr="00781112">
        <w:rPr>
          <w:rFonts w:cs="Arial"/>
          <w:color w:val="000000" w:themeColor="text1"/>
          <w:szCs w:val="16"/>
        </w:rPr>
        <w:br/>
      </w:r>
      <w:r w:rsidRPr="00781112">
        <w:rPr>
          <w:rFonts w:cs="Arial"/>
          <w:color w:val="000000" w:themeColor="text1"/>
          <w:szCs w:val="16"/>
        </w:rPr>
        <w:br/>
        <w:t>Methodology: The state determines that a district had a significant discrepancy by comparing suspension/expulsion rates for students with IEPs among districts in the State. The State calculates the rates of suspensions and expulsions greater than 10 days in a school year for students with IEPs for each district within the State.</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KSDE changed the baseline due to the methodology change.  After stakeholder input and public comment and hearing, KSDE changed the definition of significant discrepancy from any district that suspends at least 10 special education students of a given race or ethnicity and suspends 5% or more of students with IEPs of a given race or ethnicity for more than 10 days to any district that suspends at least 10 special education students of a given race or ethnicity and suspends 2% or more of students with IEPs of a given race or ethnicity for more than 10 days.</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Kansas did not identify a district with a significant discrepancy and is not required to do the review under 34 C.F.R. § 300.170(b). To select an accurate answer Kansas would need an N/A option.</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1"/>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8"/>
      <w:bookmarkEnd w:id="30"/>
    </w:p>
    <w:p w14:paraId="52AD89A1" w14:textId="77777777" w:rsidR="00775845" w:rsidRPr="00781112" w:rsidRDefault="00775845" w:rsidP="00A018D4">
      <w:pPr>
        <w:rPr>
          <w:color w:val="000000" w:themeColor="text1"/>
          <w:szCs w:val="20"/>
        </w:rPr>
      </w:pPr>
      <w:bookmarkStart w:id="31"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1"/>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BB7BC9">
            <w:pPr>
              <w:jc w:val="center"/>
              <w:rPr>
                <w:rFonts w:cs="Arial"/>
                <w:color w:val="000000" w:themeColor="text1"/>
                <w:szCs w:val="16"/>
              </w:rPr>
            </w:pP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70.25%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68.91%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68.93%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68.47%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68.83%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70.25%</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7.35%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7.34%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BB7BC9">
            <w:pPr>
              <w:jc w:val="center"/>
              <w:rPr>
                <w:rFonts w:cs="Arial"/>
                <w:color w:val="000000" w:themeColor="text1"/>
                <w:szCs w:val="16"/>
              </w:rPr>
            </w:pP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7.04%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6.97%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7.41%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7.26%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7.12%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7.04%</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BB7BC9">
            <w:pPr>
              <w:jc w:val="center"/>
              <w:rPr>
                <w:rFonts w:cs="Arial"/>
                <w:color w:val="000000" w:themeColor="text1"/>
                <w:szCs w:val="16"/>
              </w:rPr>
            </w:pP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2.21%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70.50%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70.75%</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71.00%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71.25%</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71.50%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71.75%</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7.02%</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7.00%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7.00%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7.00%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7.00%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6.95%</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2.20%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2.19%</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2.18%</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2.17%</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2.16%</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2.15%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t>
      </w:r>
      <w:r w:rsidRPr="00781112">
        <w:rPr>
          <w:rFonts w:cs="Arial"/>
          <w:color w:val="000000" w:themeColor="text1"/>
          <w:szCs w:val="16"/>
        </w:rPr>
        <w:lastRenderedPageBreak/>
        <w:t xml:space="preserve">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68,488</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49,570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4,397</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1,101</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104</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131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49,570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68,488</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70.25%</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72.38%</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4,397</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68,488</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7.04%</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7.02%</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6.42%</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lastRenderedPageBreak/>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1,336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68,488</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2.21%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1.95%</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2"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2"/>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38.50%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38.75%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38.91%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37.23%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37.79%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37.90%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38.74%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40.14%</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32.75%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32.50%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31.99%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31.75%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33.53%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34.92%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34.58%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32.15%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36.96%</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lastRenderedPageBreak/>
        <w:br/>
        <w:t>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40.14%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36.96%</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1.98%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37.36%</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38.33%</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39.30%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40.27%</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41.24%</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42.21%</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39.36%</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38.10%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36.84%</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35.58%</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34.32%</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33.06%</w:t>
            </w:r>
          </w:p>
        </w:tc>
      </w:tr>
    </w:tbl>
    <w:p w14:paraId="27170CED" w14:textId="772C81FC" w:rsidR="00E428BD" w:rsidRDefault="00E428BD" w:rsidP="004369B2">
      <w:pPr>
        <w:rPr>
          <w:color w:val="000000" w:themeColor="text1"/>
        </w:rPr>
      </w:pPr>
      <w:bookmarkStart w:id="33" w:name="_Toc382082378"/>
      <w:bookmarkStart w:id="34"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1.98%</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1.96%</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1.94%</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1.92%</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1.90%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1.88%</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2,579</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3,833</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1,383</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7,795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885</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1,502</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525</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2,912</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1,159</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1,429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455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3,043</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25</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lastRenderedPageBreak/>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82</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46</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26</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154</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2,912</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7,795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40.14%</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37.36%</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37.36%</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3,068</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7,795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36.96%</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39.36%</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39.36%</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154</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7,795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1.98%</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1.98%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established baseline for Indicator 6C, and OSEP accepts the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3"/>
      <w:bookmarkEnd w:id="34"/>
    </w:p>
    <w:p w14:paraId="1404DCF9" w14:textId="77777777" w:rsidR="00531E54" w:rsidRPr="00781112" w:rsidRDefault="00531E54" w:rsidP="00A018D4">
      <w:pPr>
        <w:rPr>
          <w:color w:val="000000" w:themeColor="text1"/>
          <w:szCs w:val="20"/>
        </w:rPr>
      </w:pPr>
      <w:bookmarkStart w:id="35"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5"/>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86.65%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86.75%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85.93%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88.13%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89.42%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90.68%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88.56%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89.63%</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66.40%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66.60%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65.16%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65.52%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63.34%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65.94%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63.37%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61.87%</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86.45%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86.47%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86.49%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86.50%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86.38%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87.53%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89.67%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89.06%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89.69%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87.61%</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63.75%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63.60%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63.31%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61.79%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63.03%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62.25%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60.22%</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87.40%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87.60%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87.80%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88.00%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86.24%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88.61%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88.77%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90.56%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89.94%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90.12%</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78.80%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79.25%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76.79%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77.62%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75.76%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78.02%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77.25%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75.76%</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89.63%</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89.63%</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89.90%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90.17%</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90.44%</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90.71%</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61.87%</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61.87%</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62.70%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63.53%</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64.36%</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65.19%</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86.50%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86.50%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86.72%</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86.94%</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87.16%</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87.38%</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62.25%</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62.25%</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62.59%</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62.93%</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63.27%</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63.61%</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90.12%</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90.12%</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90.36%</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90.60%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90.84%</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91.08%</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75.76%</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75.76%</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76.03%</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76.30%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76.57%</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76.84%</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3,754</w:t>
      </w:r>
    </w:p>
    <w:p w14:paraId="6AF5CF56" w14:textId="77777777" w:rsidR="00A80FEB" w:rsidRPr="00781112" w:rsidRDefault="00A80FEB" w:rsidP="004369B2">
      <w:pPr>
        <w:rPr>
          <w:color w:val="000000" w:themeColor="text1"/>
        </w:rPr>
      </w:pPr>
      <w:r w:rsidRPr="00781112">
        <w:rPr>
          <w:b/>
          <w:color w:val="000000" w:themeColor="text1"/>
        </w:rPr>
        <w:lastRenderedPageBreak/>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7</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0.19%</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307</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8.18%</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1,106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29.46%</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1,396</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37.19%</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938</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24.99%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2,502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2,816</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89.63%</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89.63%</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88.85%</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2,334</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3,754</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61.87%</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61.87%</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62.17%</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0.21%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306</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8.15%</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1,150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30.63%</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1,358</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36.17%</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932</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24.83%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2,508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2,822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87.61%</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88.87%</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w:t>
            </w:r>
            <w:r w:rsidRPr="00781112">
              <w:rPr>
                <w:rFonts w:cs="Arial"/>
                <w:color w:val="000000" w:themeColor="text1"/>
                <w:szCs w:val="16"/>
              </w:rPr>
              <w:lastRenderedPageBreak/>
              <w:t xml:space="preserve">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2,290</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3,754</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60.22%</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62.25%</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0.24%</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245</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6.53%</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676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18.01%</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1,507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40.14%</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1,317</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35.08%</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2,183</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2,437</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90.12%</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90.12%</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89.58%</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2,824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3,754</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75.76%</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75.76%</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75.23%</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6" w:name="_Toc382082381"/>
      <w:bookmarkStart w:id="37"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Instruments used to gather data for this indicator are:</w:t>
      </w:r>
      <w:r w:rsidRPr="00781112">
        <w:rPr>
          <w:rFonts w:cs="Arial"/>
          <w:color w:val="000000" w:themeColor="text1"/>
          <w:szCs w:val="16"/>
        </w:rPr>
        <w:br/>
      </w:r>
      <w:r w:rsidRPr="00781112">
        <w:rPr>
          <w:rFonts w:cs="Arial"/>
          <w:color w:val="000000" w:themeColor="text1"/>
          <w:szCs w:val="16"/>
        </w:rPr>
        <w:br/>
        <w:t>At least one of the following curriculum-based assessments must be used in conjunction with information obtained through record review, interview, observation, screening, parent input, and additional tests to complete the COSF:</w:t>
      </w:r>
      <w:r w:rsidRPr="00781112">
        <w:rPr>
          <w:rFonts w:cs="Arial"/>
          <w:color w:val="000000" w:themeColor="text1"/>
          <w:szCs w:val="16"/>
        </w:rPr>
        <w:br/>
      </w:r>
      <w:r w:rsidRPr="00781112">
        <w:rPr>
          <w:rFonts w:cs="Arial"/>
          <w:color w:val="000000" w:themeColor="text1"/>
          <w:szCs w:val="16"/>
        </w:rPr>
        <w:br/>
        <w:t>AEPS, Carolina Curriculum for Infants and Toddlers/Preschoolers with Special Needs, Child Observation Record, Creative Curriculum (Teaching Strategies Gold), Hawaii Early Learning Profile (HELP), Individual Growth and Development Indicators (IGDI), Transdisciplinary Play-Based Assessment (TPBA), and Work Sampling System.</w:t>
      </w:r>
      <w:r w:rsidRPr="00781112">
        <w:rPr>
          <w:rFonts w:cs="Arial"/>
          <w:color w:val="000000" w:themeColor="text1"/>
          <w:szCs w:val="16"/>
        </w:rPr>
        <w:br/>
      </w:r>
      <w:r w:rsidRPr="00781112">
        <w:rPr>
          <w:rFonts w:cs="Arial"/>
          <w:color w:val="000000" w:themeColor="text1"/>
          <w:szCs w:val="16"/>
        </w:rPr>
        <w:br/>
        <w:t>Procedures used to gather data for this indicator are:</w:t>
      </w:r>
      <w:r w:rsidRPr="00781112">
        <w:rPr>
          <w:rFonts w:cs="Arial"/>
          <w:color w:val="000000" w:themeColor="text1"/>
          <w:szCs w:val="16"/>
        </w:rPr>
        <w:br/>
      </w:r>
      <w:r w:rsidRPr="00781112">
        <w:rPr>
          <w:rFonts w:cs="Arial"/>
          <w:color w:val="000000" w:themeColor="text1"/>
          <w:szCs w:val="16"/>
        </w:rPr>
        <w:br/>
        <w:t>COSF data are entered into the Outcomes Web System (OWS) application. Automated verification checks were developed within the OWS application to ensure reliable data. These verification checks ensure data entry user accurately completes the content required for each data element at the time of data entry. Targeted training was held across the state to reinforce the use of the decision tree in the rating process and additional information about comparison to typically developing students was provided. Training impact is demonstrated by the actual data showing the districts are rating children with increased inter-rater reliability and thus, have a consistent understanding of the child's functional outcomes compared to typically developing peers.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6"/>
      <w:bookmarkEnd w:id="37"/>
    </w:p>
    <w:p w14:paraId="66FBCA03" w14:textId="77777777" w:rsidR="00B654C1" w:rsidRPr="00781112" w:rsidRDefault="00B654C1" w:rsidP="00A018D4">
      <w:pPr>
        <w:rPr>
          <w:color w:val="000000" w:themeColor="text1"/>
          <w:szCs w:val="20"/>
        </w:rPr>
      </w:pPr>
      <w:bookmarkStart w:id="38"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9"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9"/>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40"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40"/>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8"/>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 xml:space="preserve">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w:t>
      </w:r>
      <w:r w:rsidRPr="00781112">
        <w:rPr>
          <w:rFonts w:cs="Arial"/>
          <w:color w:val="000000" w:themeColor="text1"/>
          <w:szCs w:val="16"/>
        </w:rPr>
        <w:lastRenderedPageBreak/>
        <w:t>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33.00%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66.25%</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66.40%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66.50%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66.50%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82.98%</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71.25%</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60.32%</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69.94%</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72.25%</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66.50%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66.60%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66.70%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66.80%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66.90%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67.00%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998</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1,274</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72.25%</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66.50%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78.34%</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sampling methodology includes ages 3–21. The previously approved OSEP sampling plan and methodology has not changed.</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5,851</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21.77%</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1"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5.23%</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21.77%</w:t>
            </w:r>
          </w:p>
        </w:tc>
      </w:tr>
      <w:bookmarkEnd w:id="41"/>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response rate increased 16.54 percentage points from 2019-20 to 2020-21. Further, the number of respondents in each of the represented ethnicities increased from 2019-20 to 2020-21. KSDE is working to continue these trends. Some activities that KSDE has implemented for FFY 2021 to improve response rate include: </w:t>
      </w:r>
      <w:r w:rsidRPr="0061205F">
        <w:rPr>
          <w:rFonts w:cs="Arial"/>
          <w:bCs/>
          <w:color w:val="000000" w:themeColor="text1"/>
          <w:szCs w:val="16"/>
        </w:rPr>
        <w:br/>
        <w:t>- Modified survey timelines to increase participation;</w:t>
      </w:r>
      <w:r w:rsidRPr="0061205F">
        <w:rPr>
          <w:rFonts w:cs="Arial"/>
          <w:bCs/>
          <w:color w:val="000000" w:themeColor="text1"/>
          <w:szCs w:val="16"/>
        </w:rPr>
        <w:br/>
        <w:t>- Changing from a sampling methodology to a census;</w:t>
      </w:r>
      <w:r w:rsidRPr="0061205F">
        <w:rPr>
          <w:rFonts w:cs="Arial"/>
          <w:bCs/>
          <w:color w:val="000000" w:themeColor="text1"/>
          <w:szCs w:val="16"/>
        </w:rPr>
        <w:br/>
        <w:t>- Solicited feedback from LEA Communities of Practice, Special Education Advisory Council (SEAC), &amp; Kansas Integrated Accountability System (KIAS) Stakeholder group; and</w:t>
      </w:r>
      <w:r w:rsidRPr="0061205F">
        <w:rPr>
          <w:rFonts w:cs="Arial"/>
          <w:bCs/>
          <w:color w:val="000000" w:themeColor="text1"/>
          <w:szCs w:val="16"/>
        </w:rPr>
        <w:br/>
        <w:t>- Asking districts for actions that KSDE and/or districts could take to increase the response rate of parents of non-white students with disabilities as well as students with specific learning disabilities.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lastRenderedPageBreak/>
        <w:t xml:space="preserve">Describe the analysis </w:t>
      </w:r>
      <w:bookmarkStart w:id="42" w:name="_Hlk81486999"/>
      <w:r w:rsidRPr="0061205F">
        <w:rPr>
          <w:rFonts w:cs="Arial"/>
          <w:b/>
          <w:color w:val="000000" w:themeColor="text1"/>
          <w:szCs w:val="16"/>
        </w:rPr>
        <w:t>of the response rate including any nonresponse bias that was identified,</w:t>
      </w:r>
      <w:bookmarkEnd w:id="42"/>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response rate increased from 5.23% in FFY 2019 to 21.77% in FFY 2020. An increase response rate decreases the possibility that nonresponse bias is present. </w:t>
      </w:r>
      <w:r>
        <w:rPr>
          <w:rFonts w:cs="Arial"/>
          <w:szCs w:val="16"/>
        </w:rPr>
        <w:br/>
      </w:r>
      <w:r>
        <w:rPr>
          <w:rFonts w:cs="Arial"/>
          <w:szCs w:val="16"/>
        </w:rPr>
        <w:br/>
        <w:t>Significant differences were found in response rates by race/ethnicity, disability, and grade of the child. In terms of race/ethnicity, parents of White students (response rate=22%) and parents of American Indian students (response rate=34%) were more likely to respond than parents of Hispanic students (response rate=13%). In terms of disability, parents of students with a Learning Disability were less likely to respond (response rate=12%) than parents of students with a Developmental Delay (response rate=16%) or parents of students with a Speech/Language Impairment (response rate=21%) or parents of students with Autism (response rate=37%). In terms of grade, parents of students in Preschool were less likely to respond (response rate=13%) than parents of students in grades 7-12 (response rate=22%).</w:t>
      </w:r>
      <w:r>
        <w:rPr>
          <w:rFonts w:cs="Arial"/>
          <w:szCs w:val="16"/>
        </w:rPr>
        <w:br/>
      </w:r>
      <w:r>
        <w:rPr>
          <w:rFonts w:cs="Arial"/>
          <w:szCs w:val="16"/>
        </w:rPr>
        <w:br/>
        <w:t xml:space="preserve">Although there are significant differences in the response rates between race/ethnicity, disability, and grade, there were no significant differences in the parent involvement percentage itself. Because nonresponse bias measures the differences in opinions between respondents and non-respondents in meaningful ways, such as the positivity of responses, and there were no significant differences in the positivity of responses between groups for those that did respond, Kansas concludes that nonresponse bias is not present. Furthermore, there was no significant difference in response positivity between those that responded to the survey earlier in the collection window and those parents that responded later in the collection window.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br/>
        <w:t>The State used statistical significance testing of response rate to determine if one group was over-or under-represented. The survey sample was such that if all disaggregated groups have the same response rate, then by definition, the disaggregated groups are representative of the population. On the other hand, if disaggregated groups have differing response rates, the disaggregated groups will not be representative of the population in terms of racial/ethnic make-up.</w:t>
      </w:r>
      <w:r w:rsidRPr="000A2B9F">
        <w:rPr>
          <w:b w:val="0"/>
          <w:bCs/>
          <w:color w:val="000000" w:themeColor="text1"/>
        </w:rPr>
        <w:br/>
      </w:r>
      <w:r w:rsidRPr="000A2B9F">
        <w:rPr>
          <w:b w:val="0"/>
          <w:bCs/>
          <w:color w:val="000000" w:themeColor="text1"/>
        </w:rPr>
        <w:br/>
        <w:t>No significant differences exist in the parent involvement percentages between these groups of parents, but a few differences in response rates between groups of parents by race/ethnicity, disability, and grade are present. The overall results are representative of the State despite the differences in response rates. Parents of White students and American Indian students had a similar parent involvement percentage as parents of Hispanic students.  Furthermore, parents from a wide range of districts from across the state responded to the survey. Thus, the demographics represent all racial/ethnic groups, all disability categories, and all grade levels and reflect the population of parents in terms of geographic distribution.</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Modified survey timelines to increase participation; Changing from a sampling methodology to a census; Solicited feedback from LEA Communities of Practice, Special Education Advisory Council (SEAC), &amp; Kansas Integrated Accountability System (KIAS) Stakeholder group; and Asking districts for actions that KSDE and/or districts could take to increase the response rate of parents of non-white students with disabilities as well as students with specific learning disabilities.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Statistical significance testing of response rate was used to determine representativeness with a threshold of p&lt;0.05.</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The results are reliable and valid because a stratified representative sample of parents is selected to complete the survey. Care is taken to ensure that the strata are mutually exclusive. Every element in the population is assigned to only one stratum. The strata are also collectively exhaustive: no population element is excluded. This ensures the representativeness of the sample by reducing sampling error. Each year, the representativeness of the surveys is assessed by examining the demographic characteristics of the children of the parents who responded to the survey to the demographic characteristics of the entire sample. This is done to determine if any groups are under- or over-represented. Generally, this comparison indicates the results are representative by race/ethnicity, age of student, and disability.</w:t>
      </w:r>
      <w:r w:rsidRPr="00781112">
        <w:rPr>
          <w:rFonts w:cs="Arial"/>
          <w:color w:val="000000" w:themeColor="text1"/>
          <w:szCs w:val="16"/>
        </w:rPr>
        <w:br/>
      </w:r>
      <w:r w:rsidRPr="00781112">
        <w:rPr>
          <w:rFonts w:cs="Arial"/>
          <w:color w:val="000000" w:themeColor="text1"/>
          <w:szCs w:val="16"/>
        </w:rPr>
        <w:br/>
        <w:t xml:space="preserve">Kansas used a simple stratified random sample for the Indicator 8 Parent Engagement Survey for all years through FFY2020. Three strata were established using district size, Small (&lt;299), Medium (300-1,724), and Large (1,725-49,999) to ensure representativeness of districts in the state. Statewide sampling was used on an annual basis giving all districts and parents equal opportunity to be randomly selected. No districts in Kansas have more than 50,000 students. </w:t>
      </w:r>
      <w:r w:rsidRPr="00781112">
        <w:rPr>
          <w:rFonts w:cs="Arial"/>
          <w:color w:val="000000" w:themeColor="text1"/>
          <w:szCs w:val="16"/>
        </w:rPr>
        <w:br/>
        <w:t>The annual sample size was calculated at a .95 right-sided confident interval, a margin of error of .05, with oversampling to address design effect and historical return rates.</w:t>
      </w:r>
      <w:r w:rsidRPr="00781112">
        <w:rPr>
          <w:rFonts w:cs="Arial"/>
          <w:color w:val="000000" w:themeColor="text1"/>
          <w:szCs w:val="16"/>
        </w:rPr>
        <w:br/>
        <w:t xml:space="preserve">All students included in the December 1 count are included in the sample population. Districts are stratified based on size, and random number assignment to each student in each strata is used to generate the simple stratified random sample. The simple stratified random sample methodology should eliminate selection basis. </w:t>
      </w:r>
      <w:r w:rsidRPr="00781112">
        <w:rPr>
          <w:rFonts w:cs="Arial"/>
          <w:color w:val="000000" w:themeColor="text1"/>
          <w:szCs w:val="16"/>
        </w:rPr>
        <w:br/>
        <w:t>The state attempts to prevent missing data by first describing precisely what the State needs to collect, providing technical assistance and then following up with school districts to request missing data.  The completeness of data collection will improve after the first year and will continue to improve as long as requirements remain unchanged. All issues of confidentiality will be handled by in accordance with the rules and procedures in FERPA.  The Department will also guard against divulging personally identifiable information by not reporting results when there are less than five students for whom data are available or when those results can be easily calculated based on other data provided.</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reported that sampling was used to collect data for this indicator and that the previously approved sampling plan had not changed. In order to report data for this indicator using sampling for the FFY 2020-2025 SPP/APR, the State was required to submit its sampling plan to OSEP and provide data consistent with the approved sampling plan. The State provided information about its process for sampling in its narrative; however, the State did not submit its sampling plan, as required.</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With the FFY 2021 APR, the State must submit its sampling plan and provide data consistent with the approved sampling plan.</w:t>
      </w:r>
      <w:r w:rsidRPr="00781112">
        <w:rPr>
          <w:rFonts w:cs="Arial"/>
          <w:color w:val="000000" w:themeColor="text1"/>
          <w:szCs w:val="16"/>
        </w:rPr>
        <w:br/>
      </w:r>
      <w:r w:rsidRPr="00781112">
        <w:rPr>
          <w:rFonts w:cs="Arial"/>
          <w:color w:val="000000" w:themeColor="text1"/>
          <w:szCs w:val="16"/>
        </w:rPr>
        <w:b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3" w:name="_Toc384383343"/>
      <w:bookmarkStart w:id="44"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5" w:name="_Toc384383344"/>
      <w:bookmarkStart w:id="46" w:name="_Toc392159312"/>
      <w:bookmarkEnd w:id="43"/>
      <w:bookmarkEnd w:id="44"/>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5"/>
      <w:bookmarkEnd w:id="46"/>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281</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7" w:name="_Hlk494459610"/>
      <w:r w:rsidRPr="00781112">
        <w:rPr>
          <w:rFonts w:cs="Arial"/>
          <w:color w:val="000000" w:themeColor="text1"/>
          <w:szCs w:val="16"/>
        </w:rPr>
        <w:t xml:space="preserve">Definition of Disproportionate Representation: A district is identified as having disproportionate representation if that district meets the following two-year criteria for racial and ethnic groups in special education and related services. </w:t>
      </w:r>
      <w:r w:rsidRPr="00781112">
        <w:rPr>
          <w:rFonts w:cs="Arial"/>
          <w:color w:val="000000" w:themeColor="text1"/>
          <w:szCs w:val="16"/>
        </w:rPr>
        <w:br/>
        <w:t>Year 1</w:t>
      </w:r>
      <w:r w:rsidRPr="00781112">
        <w:rPr>
          <w:rFonts w:cs="Arial"/>
          <w:color w:val="000000" w:themeColor="text1"/>
          <w:szCs w:val="16"/>
        </w:rPr>
        <w:br/>
        <w:t>Overrepresentation –The district must have:</w:t>
      </w:r>
      <w:r w:rsidRPr="00781112">
        <w:rPr>
          <w:rFonts w:cs="Arial"/>
          <w:color w:val="000000" w:themeColor="text1"/>
          <w:szCs w:val="16"/>
        </w:rPr>
        <w:br/>
        <w:t>At least 30 students of the target racial and ethnic group in the district; At least 10 students of the target racial and ethnic group in the category being evaluated; At least 10 students in the comparison group in special education and related services; and a final risk ratio &gt;= 3.00 in the category being evaluated, except for the category of speech &amp; language which must be &gt;= 4.50.</w:t>
      </w:r>
      <w:r w:rsidRPr="00781112">
        <w:rPr>
          <w:rFonts w:cs="Arial"/>
          <w:color w:val="000000" w:themeColor="text1"/>
          <w:szCs w:val="16"/>
        </w:rPr>
        <w:br/>
        <w:t xml:space="preserve">Year 2 </w:t>
      </w:r>
      <w:r w:rsidRPr="00781112">
        <w:rPr>
          <w:rFonts w:cs="Arial"/>
          <w:color w:val="000000" w:themeColor="text1"/>
          <w:szCs w:val="16"/>
        </w:rPr>
        <w:br/>
        <w:t>Overrepresentation -The district must have:</w:t>
      </w:r>
      <w:r w:rsidRPr="00781112">
        <w:rPr>
          <w:rFonts w:cs="Arial"/>
          <w:color w:val="000000" w:themeColor="text1"/>
          <w:szCs w:val="16"/>
        </w:rPr>
        <w:br/>
        <w:t>At least 30 students of the target racial and ethnic group in the district; at least 10 students of the target racial and ethnic group in the category being evaluated; at least 10 students in the comparison group in special education and related services; and a final risk ratio &gt;=3.00 in the category being evaluated, except for the category of speech &amp; language which must be &gt;= 4.50.</w:t>
      </w:r>
      <w:r w:rsidRPr="00781112">
        <w:rPr>
          <w:rFonts w:cs="Arial"/>
          <w:color w:val="000000" w:themeColor="text1"/>
          <w:szCs w:val="16"/>
        </w:rPr>
        <w:br/>
      </w:r>
      <w:r w:rsidRPr="00781112">
        <w:rPr>
          <w:rFonts w:cs="Arial"/>
          <w:color w:val="000000" w:themeColor="text1"/>
          <w:szCs w:val="16"/>
        </w:rPr>
        <w:br/>
        <w:t xml:space="preserve">Methodology </w:t>
      </w:r>
      <w:r w:rsidRPr="00781112">
        <w:rPr>
          <w:rFonts w:cs="Arial"/>
          <w:color w:val="000000" w:themeColor="text1"/>
          <w:szCs w:val="16"/>
        </w:rPr>
        <w:br/>
        <w:t xml:space="preserve">The Kansas State Department of Education (KSDE) provides each district with a final risk ratio for overrepresentation. If a district has a final risk ratio &gt;=3.00 in the category being evaluated except for the category of speech &amp; language which must be &gt;= 4.50, the following is implemented: </w:t>
      </w:r>
      <w:r w:rsidRPr="00781112">
        <w:rPr>
          <w:rFonts w:cs="Arial"/>
          <w:color w:val="000000" w:themeColor="text1"/>
          <w:szCs w:val="16"/>
        </w:rPr>
        <w:br/>
        <w:t>Year 1 –</w:t>
      </w:r>
      <w:r w:rsidRPr="00781112">
        <w:rPr>
          <w:rFonts w:cs="Arial"/>
          <w:color w:val="000000" w:themeColor="text1"/>
          <w:szCs w:val="16"/>
        </w:rPr>
        <w:br/>
        <w:t>KSDE team reviews the submitted information and verifies the year one data calculation. KSDE notifies the district of the data calculation and encourages the district to seek technical assistance to address the numeric discrepancy through a root cause analysis and action planning.</w:t>
      </w:r>
      <w:r w:rsidRPr="00781112">
        <w:rPr>
          <w:rFonts w:cs="Arial"/>
          <w:color w:val="000000" w:themeColor="text1"/>
          <w:szCs w:val="16"/>
        </w:rPr>
        <w:br/>
        <w:t>Year 2 –</w:t>
      </w:r>
      <w:r w:rsidRPr="00781112">
        <w:rPr>
          <w:rFonts w:cs="Arial"/>
          <w:color w:val="000000" w:themeColor="text1"/>
          <w:szCs w:val="16"/>
        </w:rPr>
        <w:br/>
        <w:t>KSDE team verifies the year two data calculation and identifies the district as having disproportionate representation accordingly. District completes and submits the required Kansas Self-Assessment Tool: review district policies, practices and procedures specific to the identified race and ethnic group to determine if the identified IDEA procedures occur and completes a root cause analysis. KSDE team reviews submitted information to determine whether the disproportionate representation is due to inappropriate identification.</w:t>
      </w:r>
    </w:p>
    <w:bookmarkEnd w:id="47"/>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KSDE notifies the district that it has disproportionate representation and provides the district with the required Kansas Self-Assessment Tool. KSDE requires the district to use this tool to review its policies, practices and procedures specific to the identified racial and ethnic group and disability category. The district completes the Kansas Self-Assessment Tool and submits it to KSDE along with supporting data and the KSDE team reviews submitted information to determine whether the disproportionate representation is due to inappropriate identification.</w:t>
      </w:r>
    </w:p>
    <w:p w14:paraId="3B71A72A" w14:textId="77777777" w:rsidR="00DF1529" w:rsidRPr="00781112" w:rsidRDefault="00DF1529" w:rsidP="00DF1529">
      <w:pPr>
        <w:rPr>
          <w:rFonts w:cs="Arial"/>
          <w:b/>
          <w:color w:val="000000" w:themeColor="text1"/>
          <w:szCs w:val="16"/>
        </w:rPr>
      </w:pPr>
      <w:bookmarkStart w:id="48" w:name="_Toc381956337"/>
      <w:bookmarkStart w:id="49" w:name="_Toc384383347"/>
      <w:bookmarkStart w:id="50"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Risk Ratio: Within a USD, the risk ratio answers the question “What is the risk of children from a target racial/ethnic group found within a subcategory as compared to the risk of children from all the Comparison racial/ethnic group found within a subcategory within the USD?”</w:t>
      </w:r>
      <w:r w:rsidRPr="00781112">
        <w:rPr>
          <w:rFonts w:cs="Arial"/>
          <w:color w:val="000000" w:themeColor="text1"/>
          <w:szCs w:val="16"/>
        </w:rPr>
        <w:br/>
        <w:t>Risk Ratio Calculation Steps:</w:t>
      </w:r>
      <w:r w:rsidRPr="00781112">
        <w:rPr>
          <w:rFonts w:cs="Arial"/>
          <w:color w:val="000000" w:themeColor="text1"/>
          <w:szCs w:val="16"/>
        </w:rPr>
        <w:br/>
        <w:t>1. District Target Group Risk=(Cell Data: # in Target Race/Ethnicity Group within Category/Subcategory)/(N Data: # in Target Groups)</w:t>
      </w:r>
      <w:r w:rsidRPr="00781112">
        <w:rPr>
          <w:rFonts w:cs="Arial"/>
          <w:color w:val="000000" w:themeColor="text1"/>
          <w:szCs w:val="16"/>
        </w:rPr>
        <w:br/>
      </w:r>
      <w:r w:rsidRPr="00781112">
        <w:rPr>
          <w:rFonts w:cs="Arial"/>
          <w:color w:val="000000" w:themeColor="text1"/>
          <w:szCs w:val="16"/>
        </w:rPr>
        <w:br/>
        <w:t>2. District Comparison Group Risk=(Cell Data: # in all Other Race/Ethnicities Group within Category/Subcategory)/(N Data: # in all Other Race/Ethnicities Group )</w:t>
      </w:r>
      <w:r w:rsidRPr="00781112">
        <w:rPr>
          <w:rFonts w:cs="Arial"/>
          <w:color w:val="000000" w:themeColor="text1"/>
          <w:szCs w:val="16"/>
        </w:rPr>
        <w:br/>
      </w:r>
      <w:r w:rsidRPr="00781112">
        <w:rPr>
          <w:rFonts w:cs="Arial"/>
          <w:color w:val="000000" w:themeColor="text1"/>
          <w:szCs w:val="16"/>
        </w:rPr>
        <w:br/>
        <w:t>3. Risk Ratio=(District Target Group Risk)/(District Comparison Group Risk)</w:t>
      </w:r>
      <w:r w:rsidRPr="00781112">
        <w:rPr>
          <w:rFonts w:cs="Arial"/>
          <w:color w:val="000000" w:themeColor="text1"/>
          <w:szCs w:val="16"/>
        </w:rPr>
        <w:br/>
      </w:r>
      <w:r w:rsidRPr="00781112">
        <w:rPr>
          <w:rFonts w:cs="Arial"/>
          <w:color w:val="000000" w:themeColor="text1"/>
          <w:szCs w:val="16"/>
        </w:rPr>
        <w:br/>
        <w:t>Alternate Risk Ratio: Within a USD, the risk ratio answers the question “What is the risk of children from a target racial/ethnic group found within a subcategory as compared to the risk of children from all the Comparison racial/ethnic group found within a subcategory within the state?”</w:t>
      </w:r>
      <w:r w:rsidRPr="00781112">
        <w:rPr>
          <w:rFonts w:cs="Arial"/>
          <w:color w:val="000000" w:themeColor="text1"/>
          <w:szCs w:val="16"/>
        </w:rPr>
        <w:br/>
        <w:t>Alternate Risk Ratio Calculation Steps:</w:t>
      </w:r>
      <w:r w:rsidRPr="00781112">
        <w:rPr>
          <w:rFonts w:cs="Arial"/>
          <w:color w:val="000000" w:themeColor="text1"/>
          <w:szCs w:val="16"/>
        </w:rPr>
        <w:br/>
        <w:t>1. District Target Group Risk=(Cell Data: # in Target Race/Ethnicity Group within Category/Subcategory)/(N Data: # in Target Groups )</w:t>
      </w:r>
      <w:r w:rsidRPr="00781112">
        <w:rPr>
          <w:rFonts w:cs="Arial"/>
          <w:color w:val="000000" w:themeColor="text1"/>
          <w:szCs w:val="16"/>
        </w:rPr>
        <w:br/>
      </w:r>
      <w:r w:rsidRPr="00781112">
        <w:rPr>
          <w:rFonts w:cs="Arial"/>
          <w:color w:val="000000" w:themeColor="text1"/>
          <w:szCs w:val="16"/>
        </w:rPr>
        <w:br/>
        <w:t>2. State Comparison Group Risk=(Cell Data: # in the state for all Other Race/Ethnicities Group within Category/Subcategory)/(N Data: # in the state for all Other Race/Ethnicities Group )</w:t>
      </w:r>
      <w:r w:rsidRPr="00781112">
        <w:rPr>
          <w:rFonts w:cs="Arial"/>
          <w:color w:val="000000" w:themeColor="text1"/>
          <w:szCs w:val="16"/>
        </w:rPr>
        <w:br/>
      </w:r>
      <w:r w:rsidRPr="00781112">
        <w:rPr>
          <w:rFonts w:cs="Arial"/>
          <w:color w:val="000000" w:themeColor="text1"/>
          <w:szCs w:val="16"/>
        </w:rPr>
        <w:br/>
        <w:t>3. Alternate Risk Ratio=(District Target Group Risk)/(State Comparison Group Risk)</w:t>
      </w:r>
      <w:r w:rsidRPr="00781112">
        <w:rPr>
          <w:rFonts w:cs="Arial"/>
          <w:color w:val="000000" w:themeColor="text1"/>
          <w:szCs w:val="16"/>
        </w:rPr>
        <w:br/>
      </w:r>
      <w:r w:rsidRPr="00781112">
        <w:rPr>
          <w:rFonts w:cs="Arial"/>
          <w:color w:val="000000" w:themeColor="text1"/>
          <w:szCs w:val="16"/>
        </w:rPr>
        <w:br/>
        <w:t xml:space="preserve">Risk Ratio: Risk Ratio is reported for each district, disability group and race/ethnicity combination regardless of whether the Risk Ratio Cell Size and N </w:t>
      </w:r>
      <w:r w:rsidRPr="00781112">
        <w:rPr>
          <w:rFonts w:cs="Arial"/>
          <w:color w:val="000000" w:themeColor="text1"/>
          <w:szCs w:val="16"/>
        </w:rPr>
        <w:lastRenderedPageBreak/>
        <w:t>Size requirements are met.</w:t>
      </w:r>
      <w:r w:rsidRPr="00781112">
        <w:rPr>
          <w:rFonts w:cs="Arial"/>
          <w:color w:val="000000" w:themeColor="text1"/>
          <w:szCs w:val="16"/>
        </w:rPr>
        <w:br/>
      </w:r>
      <w:r w:rsidRPr="00781112">
        <w:rPr>
          <w:rFonts w:cs="Arial"/>
          <w:color w:val="000000" w:themeColor="text1"/>
          <w:szCs w:val="16"/>
        </w:rPr>
        <w:br/>
        <w:t>Alternate Risk Ratio: Alternate Risk Ratio is reported for each district, disability group and race/ethnicity combination regardless of whether the Risk Ratio Cell Size and N Size requirements are met.</w:t>
      </w:r>
      <w:r w:rsidRPr="00781112">
        <w:rPr>
          <w:rFonts w:cs="Arial"/>
          <w:color w:val="000000" w:themeColor="text1"/>
          <w:szCs w:val="16"/>
        </w:rPr>
        <w:br/>
      </w:r>
      <w:r w:rsidRPr="00781112">
        <w:rPr>
          <w:rFonts w:cs="Arial"/>
          <w:color w:val="000000" w:themeColor="text1"/>
          <w:szCs w:val="16"/>
        </w:rPr>
        <w:br/>
        <w:t xml:space="preserve">Final Risk Ratio: The Final Risk Ratio is either the Risk Ratio, the Alternate Risk Ratio or there is no Final Risk Ratio. </w:t>
      </w:r>
      <w:r w:rsidRPr="00781112">
        <w:rPr>
          <w:rFonts w:cs="Arial"/>
          <w:color w:val="000000" w:themeColor="text1"/>
          <w:szCs w:val="16"/>
        </w:rPr>
        <w:br/>
      </w:r>
      <w:r w:rsidRPr="00781112">
        <w:rPr>
          <w:rFonts w:cs="Arial"/>
          <w:color w:val="000000" w:themeColor="text1"/>
          <w:szCs w:val="16"/>
        </w:rPr>
        <w:tab/>
        <w:t xml:space="preserve">If the Risk Ratio Cell Size and N Size requirements are met for the Target and Comparison groups, the Risk Ratio is the Final Risk Ratio. </w:t>
      </w:r>
      <w:r w:rsidRPr="00781112">
        <w:rPr>
          <w:rFonts w:cs="Arial"/>
          <w:color w:val="000000" w:themeColor="text1"/>
          <w:szCs w:val="16"/>
        </w:rPr>
        <w:br/>
        <w:t>If either the Risk Ratio Cell Size and N Size Target and Comparison group requirements are not met, the Alternate Risk Ratio is used as the Final Risk Ratio if the Alternate Risk Ratio Cell Size and N Size Target and Comparison group requirements are met.</w:t>
      </w:r>
      <w:r w:rsidRPr="00781112">
        <w:rPr>
          <w:rFonts w:cs="Arial"/>
          <w:color w:val="000000" w:themeColor="text1"/>
          <w:szCs w:val="16"/>
        </w:rPr>
        <w:br/>
        <w:t>There is no Final Risk Ratio if the Risk Ratio Cell Size or N Size Target or Comparison group requirements are not met, or if neither the Alternate Risk Ratio Cell Size or N Size Target nor Comparison group requirements are not met.</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8"/>
      <w:bookmarkEnd w:id="49"/>
      <w:bookmarkEnd w:id="50"/>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1" w:name="_Toc384383348"/>
      <w:bookmarkStart w:id="52"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3" w:name="_Toc384383349"/>
      <w:bookmarkStart w:id="54" w:name="_Toc392159317"/>
      <w:bookmarkEnd w:id="51"/>
      <w:bookmarkEnd w:id="52"/>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3"/>
      <w:bookmarkEnd w:id="54"/>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5" w:name="_Hlk20258880"/>
      <w:r w:rsidRPr="00781112">
        <w:rPr>
          <w:rFonts w:cs="Arial"/>
          <w:color w:val="000000" w:themeColor="text1"/>
          <w:szCs w:val="16"/>
        </w:rPr>
        <w:t>YES</w:t>
      </w:r>
    </w:p>
    <w:bookmarkEnd w:id="55"/>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257</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Definition of Disproportionate Representation: A district is identified as having disproportionate representation if that district meets the following two-year criteria for racial and ethnic groups in special education and related services. </w:t>
      </w:r>
      <w:r w:rsidRPr="00781112">
        <w:rPr>
          <w:rFonts w:cs="Arial"/>
          <w:color w:val="000000" w:themeColor="text1"/>
          <w:szCs w:val="16"/>
        </w:rPr>
        <w:br/>
        <w:t>Year 1 -</w:t>
      </w:r>
      <w:r w:rsidRPr="00781112">
        <w:rPr>
          <w:rFonts w:cs="Arial"/>
          <w:color w:val="000000" w:themeColor="text1"/>
          <w:szCs w:val="16"/>
        </w:rPr>
        <w:br/>
        <w:t>Overrepresentation –The district must have:</w:t>
      </w:r>
      <w:r w:rsidRPr="00781112">
        <w:rPr>
          <w:rFonts w:cs="Arial"/>
          <w:color w:val="000000" w:themeColor="text1"/>
          <w:szCs w:val="16"/>
        </w:rPr>
        <w:br/>
        <w:t>At least 30 students of the target racial and ethnic group in the district; At least 10 students of the target racial and ethnic group in the category being evaluated; At least 10 students in the comparison group in special education and related services; and a final risk ratio &gt;=3.00 in the category being evaluated, except for the category of speech &amp; language which must be &gt;= 4.50.</w:t>
      </w:r>
      <w:r w:rsidRPr="00781112">
        <w:rPr>
          <w:rFonts w:cs="Arial"/>
          <w:color w:val="000000" w:themeColor="text1"/>
          <w:szCs w:val="16"/>
        </w:rPr>
        <w:br/>
        <w:t>Year 2 -</w:t>
      </w:r>
      <w:r w:rsidRPr="00781112">
        <w:rPr>
          <w:rFonts w:cs="Arial"/>
          <w:color w:val="000000" w:themeColor="text1"/>
          <w:szCs w:val="16"/>
        </w:rPr>
        <w:br/>
        <w:t>Overrepresentation -The district must have:</w:t>
      </w:r>
      <w:r w:rsidRPr="00781112">
        <w:rPr>
          <w:rFonts w:cs="Arial"/>
          <w:color w:val="000000" w:themeColor="text1"/>
          <w:szCs w:val="16"/>
        </w:rPr>
        <w:br/>
        <w:t>At least 30 students of the target racial and ethnic group in the district; at least 10 students of the target racial and ethnic group in the category being evaluated; at least 10 students in the comparison group in special education and related services; and a final risk ratio &gt;=3.00 in the category being evaluated, except for the category of speech &amp; language which must be &gt;= 4.50.</w:t>
      </w:r>
      <w:r w:rsidRPr="00781112">
        <w:rPr>
          <w:rFonts w:cs="Arial"/>
          <w:color w:val="000000" w:themeColor="text1"/>
          <w:szCs w:val="16"/>
        </w:rPr>
        <w:br/>
      </w:r>
      <w:r w:rsidRPr="00781112">
        <w:rPr>
          <w:rFonts w:cs="Arial"/>
          <w:color w:val="000000" w:themeColor="text1"/>
          <w:szCs w:val="16"/>
        </w:rPr>
        <w:br/>
        <w:t xml:space="preserve">Methodology </w:t>
      </w:r>
      <w:r w:rsidRPr="00781112">
        <w:rPr>
          <w:rFonts w:cs="Arial"/>
          <w:color w:val="000000" w:themeColor="text1"/>
          <w:szCs w:val="16"/>
        </w:rPr>
        <w:br/>
        <w:t xml:space="preserve">The Kansas State Department of Education (KSDE) provides each district with a final risk ratio for overrepresentation. If a district has a final risk ratio &gt;=3.00 in the category being evaluated except for the category of speech &amp; language which must be &gt;= 4.50, the following is implemented: </w:t>
      </w:r>
      <w:r w:rsidRPr="00781112">
        <w:rPr>
          <w:rFonts w:cs="Arial"/>
          <w:color w:val="000000" w:themeColor="text1"/>
          <w:szCs w:val="16"/>
        </w:rPr>
        <w:br/>
        <w:t>Year 1 –</w:t>
      </w:r>
      <w:r w:rsidRPr="00781112">
        <w:rPr>
          <w:rFonts w:cs="Arial"/>
          <w:color w:val="000000" w:themeColor="text1"/>
          <w:szCs w:val="16"/>
        </w:rPr>
        <w:br/>
        <w:t>KSDE team reviews the submitted information and verifies the year one data calculation. KSDE notifies the district of the data calculation and encourages the district to seek technical assistance to address the numeric discrepancy through a root cause analysis and action planning.</w:t>
      </w:r>
      <w:r w:rsidRPr="00781112">
        <w:rPr>
          <w:rFonts w:cs="Arial"/>
          <w:color w:val="000000" w:themeColor="text1"/>
          <w:szCs w:val="16"/>
        </w:rPr>
        <w:br/>
        <w:t>Year 2 –</w:t>
      </w:r>
      <w:r w:rsidRPr="00781112">
        <w:rPr>
          <w:rFonts w:cs="Arial"/>
          <w:color w:val="000000" w:themeColor="text1"/>
          <w:szCs w:val="16"/>
        </w:rPr>
        <w:br/>
        <w:t>KSDE team verifies the year two data calculation and identifies the district as having disproportionate representation accordingly. District completes and submits the required Kansas Self-Assessment Tool: Review district policies, practices and procedures specific to the identified race and ethnic group to determine if the identified IDEA procedures occur and completes a root cause analysis. KSDE team reviews submitted information to determine whether the disproportionate representation is due to inappropriate identification.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KSDE notifies the district that it has disproportionate representation and provides the district with the required Kansas Self-Assessment Tool. This tool requires the district to review its policies, practices and procedures specific to the identified racial and ethnic group and disability category. The district completes the Kansas Self-Assessment Tool and submits it to KSDE along with supporting data and the KSDE team reviews submitted information to determine whether the disproportionate representation is due to inappropriate identification.</w:t>
      </w:r>
    </w:p>
    <w:p w14:paraId="1FCF1BF3" w14:textId="77777777" w:rsidR="00DF1529" w:rsidRPr="00781112" w:rsidRDefault="00DF1529" w:rsidP="00DF1529">
      <w:pPr>
        <w:rPr>
          <w:rFonts w:cs="Arial"/>
          <w:b/>
          <w:color w:val="000000" w:themeColor="text1"/>
          <w:szCs w:val="16"/>
        </w:rPr>
      </w:pPr>
      <w:bookmarkStart w:id="56" w:name="_Toc381956338"/>
      <w:bookmarkStart w:id="57" w:name="_Toc384383352"/>
      <w:bookmarkStart w:id="58"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Risk Ratio: Within a USD, the risk ratio answers the question “What is the risk of children from a target racial/ethnic group found within a subcategory as compared to the risk of children from all the Comparison racial/ethnic group found within a subcategory within the USD?”</w:t>
      </w:r>
      <w:r w:rsidRPr="00781112">
        <w:rPr>
          <w:rFonts w:cs="Arial"/>
          <w:color w:val="000000" w:themeColor="text1"/>
          <w:szCs w:val="16"/>
        </w:rPr>
        <w:br/>
        <w:t>Risk Ratio Calculation Steps:</w:t>
      </w:r>
      <w:r w:rsidRPr="00781112">
        <w:rPr>
          <w:rFonts w:cs="Arial"/>
          <w:color w:val="000000" w:themeColor="text1"/>
          <w:szCs w:val="16"/>
        </w:rPr>
        <w:br/>
        <w:t>1. District Target Group Risk=(Cell Data: # in Target Race/Ethnicity Group within Category/Subcategory)/(N Data: # in Target Groups )</w:t>
      </w:r>
      <w:r w:rsidRPr="00781112">
        <w:rPr>
          <w:rFonts w:cs="Arial"/>
          <w:color w:val="000000" w:themeColor="text1"/>
          <w:szCs w:val="16"/>
        </w:rPr>
        <w:br/>
      </w:r>
      <w:r w:rsidRPr="00781112">
        <w:rPr>
          <w:rFonts w:cs="Arial"/>
          <w:color w:val="000000" w:themeColor="text1"/>
          <w:szCs w:val="16"/>
        </w:rPr>
        <w:br/>
        <w:t>2. District Comparison Group Risk=(Cell Data: # in all Other Race/Ethnicities Group within Category/Subcategory)/(N Data: # in all Other Race/Ethnicities Group )</w:t>
      </w:r>
      <w:r w:rsidRPr="00781112">
        <w:rPr>
          <w:rFonts w:cs="Arial"/>
          <w:color w:val="000000" w:themeColor="text1"/>
          <w:szCs w:val="16"/>
        </w:rPr>
        <w:br/>
      </w:r>
      <w:r w:rsidRPr="00781112">
        <w:rPr>
          <w:rFonts w:cs="Arial"/>
          <w:color w:val="000000" w:themeColor="text1"/>
          <w:szCs w:val="16"/>
        </w:rPr>
        <w:br/>
        <w:t>3. Risk Ratio=(District Target Group Risk)/(District Comparison Group Risk)</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Alternate Risk Ratio: Within a USD, the risk ratio answers the question “What is the risk of children from a target racial/ethnic group found within a subcategory as compared to the risk of children from all the Comparison racial/ethnic group found within a subcategory within the state?”</w:t>
      </w:r>
      <w:r w:rsidRPr="00781112">
        <w:rPr>
          <w:rFonts w:cs="Arial"/>
          <w:color w:val="000000" w:themeColor="text1"/>
          <w:szCs w:val="16"/>
        </w:rPr>
        <w:br/>
        <w:t>Alternate Risk Ratio Calculation Steps:</w:t>
      </w:r>
      <w:r w:rsidRPr="00781112">
        <w:rPr>
          <w:rFonts w:cs="Arial"/>
          <w:color w:val="000000" w:themeColor="text1"/>
          <w:szCs w:val="16"/>
        </w:rPr>
        <w:br/>
        <w:t>1. District Target Group Risk=(Cell Data: # in Target Race/Ethnicity Group within Category/Subcategory)/(N Data: # in Target Groups )</w:t>
      </w:r>
      <w:r w:rsidRPr="00781112">
        <w:rPr>
          <w:rFonts w:cs="Arial"/>
          <w:color w:val="000000" w:themeColor="text1"/>
          <w:szCs w:val="16"/>
        </w:rPr>
        <w:br/>
      </w:r>
      <w:r w:rsidRPr="00781112">
        <w:rPr>
          <w:rFonts w:cs="Arial"/>
          <w:color w:val="000000" w:themeColor="text1"/>
          <w:szCs w:val="16"/>
        </w:rPr>
        <w:br/>
        <w:t>2. State Comparison Group Risk=(Cell Data: # in the state for all Other Race/Ethnicities Group within Category/Subcategory)/(N Data: # in the state for all Other Race/Ethnicities Group )</w:t>
      </w:r>
      <w:r w:rsidRPr="00781112">
        <w:rPr>
          <w:rFonts w:cs="Arial"/>
          <w:color w:val="000000" w:themeColor="text1"/>
          <w:szCs w:val="16"/>
        </w:rPr>
        <w:br/>
      </w:r>
      <w:r w:rsidRPr="00781112">
        <w:rPr>
          <w:rFonts w:cs="Arial"/>
          <w:color w:val="000000" w:themeColor="text1"/>
          <w:szCs w:val="16"/>
        </w:rPr>
        <w:br/>
        <w:t>3. Alternate Risk Ratio=(District Target Group Risk)/(State Comparison Group Risk)</w:t>
      </w:r>
      <w:r w:rsidRPr="00781112">
        <w:rPr>
          <w:rFonts w:cs="Arial"/>
          <w:color w:val="000000" w:themeColor="text1"/>
          <w:szCs w:val="16"/>
        </w:rPr>
        <w:br/>
      </w:r>
      <w:r w:rsidRPr="00781112">
        <w:rPr>
          <w:rFonts w:cs="Arial"/>
          <w:color w:val="000000" w:themeColor="text1"/>
          <w:szCs w:val="16"/>
        </w:rPr>
        <w:br/>
        <w:t>Risk Ratio: Risk Ratio is reported for each district, disability group and race/ethnicity combination regardless of whether the Risk Ratio Cell Size and N Size requirements are met.</w:t>
      </w:r>
      <w:r w:rsidRPr="00781112">
        <w:rPr>
          <w:rFonts w:cs="Arial"/>
          <w:color w:val="000000" w:themeColor="text1"/>
          <w:szCs w:val="16"/>
        </w:rPr>
        <w:br/>
      </w:r>
      <w:r w:rsidRPr="00781112">
        <w:rPr>
          <w:rFonts w:cs="Arial"/>
          <w:color w:val="000000" w:themeColor="text1"/>
          <w:szCs w:val="16"/>
        </w:rPr>
        <w:br/>
        <w:t>Alternate Risk Ratio: Alternate Risk Ratio is reported for each district, disability group and race/ethnicity combination regardless of whether the Risk Ratio Cell Size and N Size requirements are met.</w:t>
      </w:r>
      <w:r w:rsidRPr="00781112">
        <w:rPr>
          <w:rFonts w:cs="Arial"/>
          <w:color w:val="000000" w:themeColor="text1"/>
          <w:szCs w:val="16"/>
        </w:rPr>
        <w:br/>
      </w:r>
      <w:r w:rsidRPr="00781112">
        <w:rPr>
          <w:rFonts w:cs="Arial"/>
          <w:color w:val="000000" w:themeColor="text1"/>
          <w:szCs w:val="16"/>
        </w:rPr>
        <w:br/>
        <w:t xml:space="preserve">Final Risk Ratio: The Final Risk Ratio is either the Risk Ratio, the Alternate Risk Ratio or there is no Final Risk Ratio. </w:t>
      </w:r>
      <w:r w:rsidRPr="00781112">
        <w:rPr>
          <w:rFonts w:cs="Arial"/>
          <w:color w:val="000000" w:themeColor="text1"/>
          <w:szCs w:val="16"/>
        </w:rPr>
        <w:br/>
      </w:r>
      <w:r w:rsidRPr="00781112">
        <w:rPr>
          <w:rFonts w:cs="Arial"/>
          <w:color w:val="000000" w:themeColor="text1"/>
          <w:szCs w:val="16"/>
        </w:rPr>
        <w:tab/>
        <w:t xml:space="preserve">If the Risk Ratio Cell Size and N Size requirements are met for the Target and Comparison groups, the Risk Ratio is the Final Risk Ratio. </w:t>
      </w:r>
      <w:r w:rsidRPr="00781112">
        <w:rPr>
          <w:rFonts w:cs="Arial"/>
          <w:color w:val="000000" w:themeColor="text1"/>
          <w:szCs w:val="16"/>
        </w:rPr>
        <w:br/>
        <w:t>If either the Risk Ratio Cell Size and N Size Target and Comparison group requirements are not met, the Alternate Risk Ratio is used as the Final Risk Ratio if the Alternate Risk Ratio Cell Size and N Size Target and Comparison group requirements are met.</w:t>
      </w:r>
      <w:r w:rsidRPr="00781112">
        <w:rPr>
          <w:rFonts w:cs="Arial"/>
          <w:color w:val="000000" w:themeColor="text1"/>
          <w:szCs w:val="16"/>
        </w:rPr>
        <w:br/>
        <w:t>There is no Final Risk Ratio if the Risk Ratio Cell Size or N Size Target or Comparison group requirements are not met, or if neither the Alternate Risk Ratio Cell Size or N Size Target nor Comparison group requirements are not met.</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6"/>
      <w:bookmarkEnd w:id="57"/>
      <w:bookmarkEnd w:id="58"/>
    </w:p>
    <w:p w14:paraId="4F5D642D" w14:textId="77777777" w:rsidR="00E119B0" w:rsidRPr="00781112" w:rsidRDefault="00E119B0" w:rsidP="00A018D4">
      <w:pPr>
        <w:rPr>
          <w:color w:val="000000" w:themeColor="text1"/>
          <w:szCs w:val="20"/>
        </w:rPr>
      </w:pPr>
      <w:bookmarkStart w:id="59" w:name="_Toc384383353"/>
      <w:bookmarkStart w:id="60"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1" w:name="_Toc384383354"/>
      <w:bookmarkStart w:id="62" w:name="_Toc392159322"/>
      <w:bookmarkEnd w:id="59"/>
      <w:bookmarkEnd w:id="60"/>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98.40%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99.86%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99.74%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99.66%</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99.78%</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99.55%</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2,694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2,670</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99.55%</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99.11%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24</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Range of days beyond the timeline 1-74 days.  Reasons for delay:  Miscalculation of days, Provider and staff error, school building closures due to COVID-19 interruption</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The State’s timeline for initial evaluations is 60 school days.  The State exception is if the parent consents in writing to extend the timeline (K.A.R. 91-40-8 (f).</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Kansas State Department of Education (KSDE) collects Eligible and Not Eligible Initial Evaluations in an authenticated database system.  The districts were required to report the actual number of days for each Initial Evaluation in the random sample.  If the Initial Evaluation extended beyond the state established timeline, the district was required to report a reason the Initial Evaluation went beyond the timeline. </w:t>
      </w:r>
    </w:p>
    <w:p w14:paraId="4F981BFF" w14:textId="77777777" w:rsidR="00C86164" w:rsidRPr="00781112" w:rsidRDefault="00C86164" w:rsidP="00C86164">
      <w:pPr>
        <w:rPr>
          <w:rFonts w:cs="Arial"/>
          <w:b/>
          <w:color w:val="000000" w:themeColor="text1"/>
          <w:szCs w:val="16"/>
        </w:rPr>
      </w:pPr>
      <w:bookmarkStart w:id="63" w:name="_Toc381956339"/>
      <w:bookmarkStart w:id="64" w:name="_Toc384383357"/>
      <w:bookmarkStart w:id="65"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All findings of noncompliance for FFY 2019 were corrected and correction verified within one year of notification of noncompliance.  KSDE has verified, based on review of updated student file data submitted, that each district with a finding of noncompliance reflected in the FFY 2019 data reported for this indicator is correctly implementing the regulatory requirements and has achieved 100% compliance on updated data consistent with OSEP Memorandum 09-02.</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All findings of noncompliance for FFY 2019 were corrected and correction verified within one year of notification of noncompliance.  The KSDE has verified through a review of data submitted in an authenticated database system that each district with a finding of noncompliance reflected in the FFY 2019 data reported for this indicator has corrected each individual case of noncompliance unless the child is no longer within the jurisdiction of the district or LEA consistent with OSEP Memorandum 09-02. </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w:t>
      </w:r>
      <w:r w:rsidRPr="00781112">
        <w:rPr>
          <w:rFonts w:cs="Arial"/>
          <w:color w:val="000000" w:themeColor="text1"/>
          <w:szCs w:val="16"/>
        </w:rPr>
        <w:lastRenderedPageBreak/>
        <w:t>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3"/>
      <w:bookmarkEnd w:id="64"/>
      <w:bookmarkEnd w:id="65"/>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6" w:name="_Toc384383358"/>
      <w:bookmarkStart w:id="67"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8" w:name="_Toc384383359"/>
      <w:bookmarkStart w:id="69" w:name="_Toc392159327"/>
      <w:bookmarkEnd w:id="66"/>
      <w:bookmarkEnd w:id="67"/>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72.00%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8"/>
          <w:bookmarkEnd w:id="69"/>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99.85%</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99.52%</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99.69%</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99.87%</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99.82%</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2,083</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22</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1,938</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74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46</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1,938</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1,941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99.82%</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99.85%</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Range of Days beyond the third birthday: 22-149</w:t>
      </w:r>
      <w:r w:rsidRPr="00781112">
        <w:rPr>
          <w:bCs/>
          <w:color w:val="000000" w:themeColor="text1"/>
        </w:rPr>
        <w:br/>
      </w:r>
      <w:r w:rsidRPr="00781112">
        <w:rPr>
          <w:bCs/>
          <w:color w:val="000000" w:themeColor="text1"/>
        </w:rPr>
        <w:br/>
        <w:t xml:space="preserve">Reasons for Delay: </w:t>
      </w:r>
      <w:r w:rsidRPr="00781112">
        <w:rPr>
          <w:bCs/>
          <w:color w:val="000000" w:themeColor="text1"/>
        </w:rPr>
        <w:br/>
        <w:t>School building closures due to COVID-19 interruption</w:t>
      </w:r>
      <w:r w:rsidRPr="00781112">
        <w:rPr>
          <w:bCs/>
          <w:color w:val="000000" w:themeColor="text1"/>
        </w:rPr>
        <w:br/>
        <w:t>Staff Error</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0" w:name="_Hlk20318414"/>
      <w:bookmarkEnd w:id="70"/>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Kansas State Department of Education (KSDE) collects transition data from Part C to Part B in an authenticated database system. The districts were required to verify that the IEP was in place by the child's third birthday. If the IEP extended past the third birthday the district was required to state reasons for the delay. KSDE reviews the reasons and determines if the criteria for the exception category is met or if the action was completed even though late.</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All findings of noncompliance for FFY 2019 were corrected and correction verified within one year of notification of noncompliance. The Kansas State Department of Education (KSDE) verified, based on a review of updated student file data submitted on children transitioning from Part C to Part B data that each district with a finding of noncompliance reflected in the FFY 2019 data reported for this indicator is correctly implementing the regulatory requirement and has achieved 100% compliance on updated data consistent with the OSEP Memorandum 09-02.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All findings of noncompliance for FFY 2019 were corrected and correction verified within one year of notification of noncompliance. The Kansas State Department of Education (KSDE) has verified through a review of data submitted in an authenticated database system that each district with a finding of noncompliance reflected in the FFY 2019 data reported for this indicator has corrected each individual case of noncompliance unless the child is no longer within the jurisdiction of the district or LEA consistent with the OSEP Memorandum 09-02.</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1" w:name="_Toc384383363"/>
      <w:bookmarkStart w:id="72"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3" w:name="_Toc384383364"/>
      <w:bookmarkStart w:id="74" w:name="_Toc392159332"/>
      <w:bookmarkEnd w:id="71"/>
      <w:bookmarkEnd w:id="72"/>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99.84%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99.74%</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99.33%</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99.52%</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99.15%</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99.80%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2,469</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2,492</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99.80%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99.08%</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Kansas State Department of Education (KSDE) uses the National Technical Assistance Center  on Transition (NTACT)  Checklist to monitor data from all LEAs each year through  collect data through  an authenticated database system.</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 xml:space="preserve">States may ,but are not required to ,include youth beginning at  that younger age in its data for this  indicator. Kansas is not including data from youth younger than 16. </w:t>
      </w:r>
    </w:p>
    <w:p w14:paraId="735DB55A" w14:textId="18C77FF1" w:rsidR="00644AC8" w:rsidRPr="00781112" w:rsidRDefault="00644AC8" w:rsidP="005F442C">
      <w:pPr>
        <w:rPr>
          <w:rFonts w:cs="Arial"/>
          <w:b/>
          <w:color w:val="000000" w:themeColor="text1"/>
          <w:szCs w:val="16"/>
        </w:rPr>
      </w:pPr>
      <w:bookmarkStart w:id="75"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All findings of noncompliance for FFY2019 were corrected and correction verified within one year of notification of noncompliance. The KSDE has verified based on a review of updated data in an authenticated web application that each district, including juvenile and adult correction facilities, and state schools, with a finding of noncompliance reflected in the FFY2019 data reported for this indicator is correctly implementing the regulatory requirements, and has achieved 100% compliance consistent with the OSEP Memorandum 09-02.</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All findings of noncompliance for FFY2019 were corrected and correction verified within one year of notification of noncompliance. The KSDE has verified through a review of data submitted in an authenticated web application that each district, including juvenile and adult correction facilities and state schools, with a finding of noncompliance reflected in the FFY2019 data reported for this indicator has corrected each individual case of noncompliance unless the child is no longer within the jurisdiction of the district or LEA consistent with the OSEP Memorandum 09-02.</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w:t>
      </w:r>
      <w:r w:rsidRPr="00781112">
        <w:rPr>
          <w:rFonts w:cs="Arial"/>
          <w:color w:val="000000" w:themeColor="text1"/>
          <w:szCs w:val="16"/>
        </w:rPr>
        <w:lastRenderedPageBreak/>
        <w:t>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5"/>
    </w:p>
    <w:p w14:paraId="22761492" w14:textId="77777777" w:rsidR="005C50DB" w:rsidRPr="00781112" w:rsidRDefault="005C50DB" w:rsidP="00A018D4">
      <w:pPr>
        <w:rPr>
          <w:szCs w:val="20"/>
        </w:rPr>
      </w:pPr>
      <w:bookmarkStart w:id="76"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6"/>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48.65%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48.65%</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48.60%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28.25%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42.67%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32.32%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29.78%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35.40%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63.20%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65.60%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69.60%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72.65%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72.65%</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72.60%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54.25%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62.21%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56.10%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59.25%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60.72%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76.59%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79.09%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81.09%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83.30%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83.30%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83.20%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67.75%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72.96%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75.55%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73.39%</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38.00%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41.00%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45.00%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48.65%</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48.65%</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48.65%</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63.20%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65.60%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69.60%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72.65%</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72.65%</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72.65%</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76.59%</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79.09%</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81.09%</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83.30%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83.30%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83.30%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 xml:space="preserve">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w:t>
      </w:r>
      <w:r w:rsidRPr="00781112">
        <w:rPr>
          <w:rFonts w:cs="Arial"/>
          <w:color w:val="000000" w:themeColor="text1"/>
          <w:szCs w:val="16"/>
        </w:rPr>
        <w:lastRenderedPageBreak/>
        <w:t>(1)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7"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1,091</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397</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36.39%</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109</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126</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8</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34</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109</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397</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35.40%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27.46%</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235</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397</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60.72%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63.20%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59.19%</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some other postsecondary education or training </w:t>
            </w:r>
            <w:r w:rsidRPr="00781112">
              <w:rPr>
                <w:rFonts w:cs="Arial"/>
                <w:color w:val="000000" w:themeColor="text1"/>
                <w:szCs w:val="16"/>
              </w:rPr>
              <w:lastRenderedPageBreak/>
              <w:t>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277</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397</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73.39%</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76.59%</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69.77%</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An examination of state-level data for this indicator suggests the slippage may be attributed to the COVID-19 interruption, which affected plans to attend higher education. Nearly 35% discontinued their education, plan to go in the future, plan to return after earning enough money to go; working full time, or doing something else first.</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An examination of state-level data for this indicator suggests the slippage may be attributed to the COVID-19 interruption which may have affected participation in competitive employment opportunities.</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An examination of state-level data for this indicator suggests the slippage may be attributed to the COVID-19 interruption, which has affected access to other postsecondary settings, possibly making it less likely students are participating. It also affected employment, as nearly 9% of exiters reported being laid off from a job as a result of COVID-19 and 195 reported a reduction in work hours.</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35.54%</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36.39%</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Based upon stakeholder input and feedback, KSDE is taking actions that are expected to significantly increase the response rate year after year, particularly for groups such as youth who drop out that are underrepresented. In Spring 2022 KSDE will strengthen the rigor and relevance of Indicator 14 reporting data by using a respondent pool derived from a student census methodology; rather than representative sampling. As a result, the FFY 2021 APR submission will include new baseline and revised targets for consideration.</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First, KSDE examined the overall response rate. The higher the response rate, the less likely nonresponse bias will occur. Kansas’s response rate was 36.39%, which is the highest response rate in 5 years.</w:t>
      </w:r>
      <w:r w:rsidRPr="00B551F2">
        <w:br/>
        <w:t xml:space="preserve">Second, the representativeness of the responses were examined. Analysis verified received responses came from a representative geographic student locations across a variety of small, medium and large school districts which decreases the likelihood of nonresponse bias. The percentage of exiters who dropped out and did not respond were not considered to reach a level of nonresponse bias when compared with exiters who did not. The FFY 2020 results are representative of the state as a whole based on gender, race/ethnicity and disability of youth. </w:t>
      </w:r>
      <w:r w:rsidRPr="00B551F2">
        <w:br/>
        <w:t xml:space="preserve">Finally, responses of exiters who responded early in the process compared to those who responded later in the process were evaluated based on a hypothesis that those who do not immediately respond and need multiple prompts to respond may be different than those who respond immediately. The analysis results showed no statistically significant differences between exiters who responded earlier and exiters who responded later. Therefore, KSDE found no significant nonresponse bias and the data is representative of a broad cross section of Kansas youth who are no longer in secondary school and had IEPS in effect at the time they left school.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The State used statistical significance testing of response rates to determine if one group was over-or under-represented. Note that the survey sample was such that if all disaggregated groups have the same response rate, then by definition, the disaggregated groups are representative of the population. For example, if all racial/ethnic groups had a 30% response rate, then the population of the respondents would mirror the actual population in terms of its racial/ethnic make-up. On the other hand, if one racial/ethnic group has a 30% response rate for example and another a 20% response rate, then the population of the respondents would not mirror the actual population in terms of its racial/ethnic make-up. No significant differences were found by the race/ethnicity, gender, or disability of the youth. Significant differences were found in response rates by basis of exit. Exiters who dropped out (response rate=19%) were less likely to respond than exiters who graduated with a diploma (response rate=38%) or reached maximum age eligibility (response rate=67%). </w:t>
      </w:r>
      <w:r w:rsidRPr="008D51F2">
        <w:br/>
      </w:r>
      <w:r w:rsidRPr="008D51F2">
        <w:br/>
        <w:t xml:space="preserve">Although exiters who dropped out are less likely to respond than other exiters, Kansas is confident that the overall results are representative of the state </w:t>
      </w:r>
      <w:r w:rsidRPr="008D51F2">
        <w:lastRenderedPageBreak/>
        <w:t xml:space="preserve">because there were very few significant differences in the actual responses of students who dropped out and those who did not. Furthermore, exiters from a wide range of districts from across the state responded to the survey. Thus, the results are representative of all racial/ethnic groups, all disability categories, all genders, and all exit types and reflect the population of exiters in terms of geographic distribution.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Statistical significance testing of response rate was used to determine representativeness with a threshold of p&lt;0.05.</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The design of the sampling methodology will yield valid and reliable estimates because Kansas districts are categorized into cohorts using a stratified random sampling method. Each cohort is representative in terms of size, race, ethnicity, free/reduced lunch, disability and geographical location. The cohort surveyed each year is inclusive of all eligible exiters from the districts within each cohort.</w:t>
      </w:r>
      <w:r w:rsidRPr="00781112">
        <w:rPr>
          <w:rFonts w:cs="Arial"/>
          <w:color w:val="000000" w:themeColor="text1"/>
          <w:szCs w:val="16"/>
        </w:rPr>
        <w:br/>
      </w:r>
      <w:r w:rsidRPr="00781112">
        <w:rPr>
          <w:rFonts w:cs="Arial"/>
          <w:color w:val="000000" w:themeColor="text1"/>
          <w:szCs w:val="16"/>
        </w:rPr>
        <w:br/>
        <w:t>Districts participate in the Indicator 14 data collection process every three years.  This allows for each district to receive results on its parents in a timely manner and to determine how improvement activities they implement are impacting students’ post-secondary activities; it also ensures the state results are representative of the state as a whole.  No district has an enrollment of 50,000 or more.</w:t>
      </w:r>
      <w:r w:rsidRPr="00781112">
        <w:rPr>
          <w:rFonts w:cs="Arial"/>
          <w:color w:val="000000" w:themeColor="text1"/>
          <w:szCs w:val="16"/>
        </w:rPr>
        <w:br/>
        <w:t xml:space="preserve">A representative group of districts was chosen for each of the three survey years. In assigning districts to the survey year, districts were stratified by school district size, race/ethnicity rates, free/reduced lunch, special education disability categories, and geographic areas. In addition to statistical information and geography, the degree to which the districts might differ in a systematic, non-statistical way that potentially could impact student post-secondary outcomes was considered. Districts were then randomly assigned to one of the three survey years or cohorts. </w:t>
      </w:r>
      <w:r w:rsidRPr="00781112">
        <w:rPr>
          <w:rFonts w:cs="Arial"/>
          <w:color w:val="000000" w:themeColor="text1"/>
          <w:szCs w:val="16"/>
        </w:rPr>
        <w:br/>
        <w:t>For each district in their respective cohort year, all students with disabilities who either graduated, dropped-out, or aged-out the year before are called and asked about their education, training, and employment experiences.</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8" w:name="_Toc382082390"/>
      <w:bookmarkStart w:id="79"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reported that sampling was used to collect data for this indicator and that the previously approved sampling plan had not changed. In order to report data for this indicator using sampling for the FFY 2020-2025 SPP/APR, the State was required to submit its sampling plan to OSEP and provide data consistent with the approved sampling plan. The State provided information about its process for sampling in its narrative; however, the State did not submit its sampling plan, as required.</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With the FFY 2021 APR, the State must submit its sampling plan and provide data consistent with the approved sampling plan.</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8"/>
      <w:bookmarkEnd w:id="79"/>
    </w:p>
    <w:p w14:paraId="7EA31497" w14:textId="77777777" w:rsidR="005B0B58" w:rsidRPr="00781112" w:rsidRDefault="005B0B58" w:rsidP="00A018D4">
      <w:pPr>
        <w:rPr>
          <w:color w:val="000000" w:themeColor="text1"/>
          <w:szCs w:val="20"/>
        </w:rPr>
      </w:pPr>
      <w:bookmarkStart w:id="80" w:name="_Toc381786822"/>
      <w:bookmarkStart w:id="81" w:name="_Toc382731911"/>
      <w:bookmarkStart w:id="82" w:name="_Toc382731912"/>
      <w:bookmarkStart w:id="83" w:name="_Toc392159340"/>
      <w:bookmarkEnd w:id="80"/>
      <w:bookmarkEnd w:id="81"/>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2"/>
    <w:bookmarkEnd w:id="83"/>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4" w:name="_Toc382731913"/>
      <w:bookmarkStart w:id="85"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lastRenderedPageBreak/>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43B1695A" w14:textId="2970A905" w:rsidR="000A2C83" w:rsidRPr="00781112" w:rsidRDefault="000A2C83" w:rsidP="000A2C83">
      <w:pPr>
        <w:rPr>
          <w:rFonts w:cs="Arial"/>
          <w:color w:val="000000" w:themeColor="text1"/>
          <w:szCs w:val="16"/>
        </w:rPr>
      </w:pPr>
    </w:p>
    <w:bookmarkEnd w:id="84"/>
    <w:bookmarkEnd w:id="85"/>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35.00%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37.00% - 40.00%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37.00% - 40.00%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37.00% - 40.00%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37.00% - 40.00%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37.00%-40.00%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55.56%</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37.50%</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37.00%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40.00%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37.00%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40.00%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37.00%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40.00%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37.00%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40.00%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37.00%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40.00%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37.00%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40.00%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93C7E" w:rsidP="008E31C4">
      <w:pPr>
        <w:rPr>
          <w:rFonts w:cs="Arial"/>
          <w:color w:val="000000" w:themeColor="text1"/>
          <w:szCs w:val="16"/>
        </w:rPr>
      </w:pP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State reported fewer than ten resolution sessions held in FFY 2020. The State is not required to meet its targets until any fiscal year in which ten or more resolution sessions were held.</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 xml:space="preserve">The State reported fewer than ten resolution sessions held in FFY 2020. The State is not required to meet its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6" w:name="_Toc382731916"/>
      <w:bookmarkStart w:id="87"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6"/>
    <w:bookmarkEnd w:id="87"/>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 xml:space="preserve">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w:t>
      </w:r>
      <w:r w:rsidRPr="00781112">
        <w:rPr>
          <w:rFonts w:cs="Arial"/>
          <w:color w:val="000000" w:themeColor="text1"/>
          <w:szCs w:val="16"/>
        </w:rPr>
        <w:lastRenderedPageBreak/>
        <w:t>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2013</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75.00%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77.00% - 80.00%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77.00%-80.00%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87.50%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76.19%</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90.91%</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87.50%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77.00%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77.00%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77.00%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77.00%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77.00%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77.00%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93C7E" w:rsidP="007D435F">
      <w:pPr>
        <w:rPr>
          <w:rFonts w:cs="Arial"/>
          <w:color w:val="000000" w:themeColor="text1"/>
          <w:szCs w:val="16"/>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State reported fewer than ten mediations held in FFY 2020. The State is not required to meet its targets until any fiscal year in which ten or more mediations were held.</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 xml:space="preserve">The State reported fewer than ten mediations held in FFY 2020. The State is not required to meet its targets until any fiscal year in which ten or more mediations were held.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Increased Percentage of Students with Disabilities in Grades K–5 Score at Grade Level in Reading as Measured by Curriculum-Based Measure General Outcome Measure (CBM-GOM).</w:t>
      </w:r>
    </w:p>
    <w:p w14:paraId="43CABCA3" w14:textId="77777777" w:rsidR="00AE1972" w:rsidRPr="00781112" w:rsidRDefault="00AE1972" w:rsidP="00AE1972">
      <w:pPr>
        <w:rPr>
          <w:b/>
          <w:bCs/>
        </w:rPr>
      </w:pPr>
      <w:bookmarkStart w:id="88"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8"/>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subset of students with disabilities population is from a cohort of schools serving grades kindergarten through fifth grade in districts that have been implementing Kansas Multi-Tier System of Supports and Alignment constructs since 2016.</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https://ksdetasn.s3.amazonaws.com/uploads/resource/upload/851/SSIP_SIMR_TOC___Logic_Model_2022.pdf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9" w:name="_Hlk88409365"/>
      <w:r w:rsidRPr="00730C62">
        <w:rPr>
          <w:b/>
          <w:bCs/>
          <w:szCs w:val="16"/>
        </w:rPr>
        <w:t>just</w:t>
      </w:r>
      <w:r w:rsidR="006457D1">
        <w:rPr>
          <w:b/>
          <w:bCs/>
          <w:szCs w:val="16"/>
        </w:rPr>
        <w:t>i</w:t>
      </w:r>
      <w:r w:rsidRPr="00730C62">
        <w:rPr>
          <w:b/>
          <w:bCs/>
          <w:szCs w:val="16"/>
        </w:rPr>
        <w:t>fication</w:t>
      </w:r>
      <w:bookmarkEnd w:id="89"/>
      <w:r w:rsidRPr="00730C62">
        <w:rPr>
          <w:b/>
          <w:bCs/>
          <w:szCs w:val="16"/>
        </w:rPr>
        <w:t xml:space="preserve"> for the changes.</w:t>
      </w:r>
    </w:p>
    <w:p w14:paraId="168D53FB" w14:textId="164A8367" w:rsidR="00CF0910" w:rsidRDefault="00CF0910" w:rsidP="00CF0910">
      <w:r w:rsidRPr="00781112">
        <w:t xml:space="preserve">The primary FFY 2020 activities, strategies, and timelines will continue. The measurement tool for the Kansas SiMR will remain the same, a curriculum-based general outcome measure; however, it is anticipated that the calculation used for the SiMR from this assessment will change. In FFY 2021, Kansas proposes moving from a grade-level benchmark reporting to a rate of improvement calculation. The rationale is an anticipated capacity to report on growth in achievement due to a new feature now offered by the assessment product FastBridge. The new rate of improvement measure will be based on the same reading skills as grade-level benchmarks and reflective of student growth as opposed to grade-level proficiency. </w:t>
      </w:r>
      <w:r w:rsidRPr="00781112">
        <w:br/>
      </w:r>
      <w:r w:rsidRPr="00781112">
        <w:br/>
        <w:t>As identified by stakeholder groups, including the State Advisory Panel known as SEAC, an intentional focus on a rate of improvement calculation ensures students with disabilities are not falling further behind their non-disabled peers, reflecting their actual growth, even if they remain below grade level. This measurement approach upholds the spirit of IDEA by ensuring that students with disabilities are not only making progress, but also not falling further behind. In FFY 2021, it is proposed that a new cohort and a new baseline be set using the rate of improvement calculation for the SiMR. A proposed revised SiMR statement may read: Increased percentage of students with disabilities in kindergarten through fifth grade who achieve a rate of improvement in reading at or higher than the expected growth for their grade level. Based on stakeholder input regarding the two proposed changes the FFY 2020–2025 targets listed below carry forward the FFY 2019 target for FFY 2020; all targets will be updated in the future FFY 2021 SPP APR report.</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2016</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27.52%</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29.50%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29.51%</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29.51%</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29.51%</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29.51%</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29.51%</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students with disabilities in cohort districts who scored at grade-level benchmark on a spring CBM-GOM</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students with disabilities in cohort districts who were assessed on the spring CBM-GOM</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128</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794</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0.00%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29.50%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16.12%</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The data source is the Curriculum-Based Measure General Outcome Measure (CBM-GOM) utilized within each school. In FFY 2020, all schools in the SiMR cohort administered a CBM-GOM in reading. </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All schools in the SiMR cohort administer a universal screening assessment three times a year (fall, winter, spring). The SiMR is calculated using data that come from the spring universal screening assessment, specifically the assessment for reading that identifies grade-level benchmark. Assessments are individually administered in the spring of each year to determine the performance level of each student, and data from students with disabilities are used for reporting for Indicator 17. Each student with a disability’s score is compared to national norms for grade-level benchmarks to determine the percentage of students with disabilities who are at grade-level benchmark or higher.</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For students to reach grade-level benchmark on a CBM-GOM, students must achieve both 95% accuracy and fluency consistent with the grade-level criteria. When students struggle learning to read, intervention initially focuses on improvement in accuracy and then shifts to improvement in fluency, which allows the student to achieve benchmark. In FFY 2016, the percentage of students with disabilities in grades two through five who achieved the 95% accuracy criteria improved by 23.0%, from 42.2% in fall to 65.2% in spring. In FFY 2017, the percentage meeting the 95% accuracy criteria improved by 34.1%, from 37.7% in fall to 71.8% in spring. In FFY 2018, the percentage meeting the 95% accuracy criteria improved by 24.4%, from 39.1% in fall to 63.5% in spring. In FFY 2020, the percentage meeting the 95% accuracy criteria improved by 26.1%, from 36.1% in fall to 62.5% in spring. This amount of growth in accuracy is compatible with prior years. This data indicates that the students with disabilities are making progress in reading accuracy, but as the SiMR data indicate, many are not yet meeting the grade-level benchmarks for fluency.  Note:  In FFY2019 no data available due to COVID-19 pandemic.</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https://www.ksdetasn.org/resources/851</w:t>
      </w:r>
      <w:r w:rsidRPr="00781112">
        <w:rPr>
          <w:color w:val="000000" w:themeColor="text1"/>
        </w:rPr>
        <w:br/>
        <w:t>Kansas SSIP Theory of Action, Logic Model and Evaluation Plan documents</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As described in the Kansas SSIP Theory of Action, Kansas SSIP Logic Model, and Kansas SSIP Evaluation Plan, the Kansas SSIP addressed three coherent improvement strategies to achieve the SiMR during the FFY 2020 reporting period:</w:t>
      </w:r>
      <w:r w:rsidRPr="00781112">
        <w:rPr>
          <w:color w:val="000000" w:themeColor="text1"/>
        </w:rPr>
        <w:br/>
      </w:r>
      <w:r w:rsidRPr="00781112">
        <w:rPr>
          <w:color w:val="000000" w:themeColor="text1"/>
        </w:rPr>
        <w:br/>
        <w:t xml:space="preserve">Coherent Improvement Strategy 1.0 focused on infrastructure development through strategically realigning, reallocating, and leveraging current State Education Agency (SEA) policies, organization, and infrastructure for increased capacity of districts to implement evidence-based practices. As described in the next section, the infrastructure areas addressed in FFY 2020 include data, accountability/monitoring, and professional development. </w:t>
      </w:r>
      <w:r w:rsidRPr="00781112">
        <w:rPr>
          <w:color w:val="000000" w:themeColor="text1"/>
        </w:rPr>
        <w:br/>
      </w:r>
      <w:r w:rsidRPr="00781112">
        <w:rPr>
          <w:color w:val="000000" w:themeColor="text1"/>
        </w:rPr>
        <w:br/>
        <w:t>Coherent Improvement Strategy 2.0 focused on supporting the implementation of evidence-based practices through designing, implementing, and evaluating an integrated school-improvement-planning framework built upon the existing Kansas Multi-Tier System of Supports (Kansas MTSS) and Alignment. The Kansas MTSS and Alignment State Trainers provide direct training and ongoing coaching to district leadership teams, building leadership teams, and collaborative teacher teams. These changes increased district capacity to provide effective reading instruction for students with disabilities. As described in the next section, the infrastructure areas addressed in FFY 2020 include data and professional development.</w:t>
      </w:r>
      <w:r w:rsidRPr="00781112">
        <w:rPr>
          <w:color w:val="000000" w:themeColor="text1"/>
        </w:rPr>
        <w:br/>
      </w:r>
      <w:r w:rsidRPr="00781112">
        <w:rPr>
          <w:color w:val="000000" w:themeColor="text1"/>
        </w:rPr>
        <w:br/>
        <w:t>Coherent Improvement Strategy 3.0 evaluated the degree to which the state infrastructure supported district implementation of evidence-based practices to improve reading results for students with disabilities kindergarten through fifth grade.</w:t>
      </w:r>
      <w:r w:rsidRPr="00781112">
        <w:rPr>
          <w:color w:val="000000" w:themeColor="text1"/>
        </w:rPr>
        <w:br/>
      </w:r>
      <w:r w:rsidRPr="00781112">
        <w:rPr>
          <w:color w:val="000000" w:themeColor="text1"/>
        </w:rPr>
        <w:br/>
        <w:t xml:space="preserve">During FFY 2020, the timelines for Coherent Improvement Strategy 1.0, Coherent Improvement Strategy 2.0, and Coherent Improvement Strategy 3.0 were followed with minor adjustments necessary due to the ongoing impacts of COVID-19. Evaluation measures were refined and implemented as part of the Kansas Technical Assistance System Network (TASN) utilization-focused evaluation process. The principal activities and evaluation plan were </w:t>
      </w:r>
      <w:r w:rsidRPr="00781112">
        <w:rPr>
          <w:color w:val="000000" w:themeColor="text1"/>
        </w:rPr>
        <w:lastRenderedPageBreak/>
        <w:t xml:space="preserve">fully implemented, and the results of the short-term, medium-term, and long-term outcomes for each of the three coherent improvement strategies were reported. </w:t>
      </w:r>
      <w:r w:rsidRPr="00781112">
        <w:rPr>
          <w:color w:val="000000" w:themeColor="text1"/>
        </w:rPr>
        <w:br/>
      </w:r>
      <w:r w:rsidRPr="00781112">
        <w:rPr>
          <w:color w:val="000000" w:themeColor="text1"/>
        </w:rPr>
        <w:br/>
        <w:t xml:space="preserve">The Kansas State Department of Education (KSDE) made gains in infrastructure development and alignment that increased the capacity of districts to implement evidence-based practices. The KSDE, in collaboration with stakeholder groups, developed the Kansas Education Action Plan for Navigating Next document which provided concise, prioritized guidance for school districts, aligned with the Kansas Education Systems Accreditation (KESA) model. Through webinars and a community of practice, the KSDE provided monthly updates on KESA and topics specific to special education that addressed the needs of local leaders as they educated students during a pandemic. </w:t>
      </w:r>
      <w:r w:rsidRPr="00781112">
        <w:rPr>
          <w:color w:val="000000" w:themeColor="text1"/>
        </w:rPr>
        <w:br/>
      </w:r>
      <w:r w:rsidRPr="00781112">
        <w:rPr>
          <w:color w:val="000000" w:themeColor="text1"/>
        </w:rPr>
        <w:br/>
        <w:t>The implementation of evidence-based practices within districts applying Kansas MTSS and Alignment principles continued despite interruptions due to COVID-19; however the implementation fidelity was negatively impacted by the rapid onset of new modes of instruction experienced by students and teachers. These practices included the provision of evidence-based core and intervention curricula, universal screening, progress monitoring, data-based decision making, and promoting family engagement. During FFY 2020, leadership teams from the SiMR cohort districts participated in implementation coaching to sustain the evidence-based practices of Kansas MTSS and Alignment. Kansas MTSS and Alignment continued onsite coaching and expanded virtual training options. To mitigate the impact of COVID-19 on student learning, the Kansas MTSS and Alignment team provided open-access resources to support all districts in teaching critical standards in reading, math, and behavior and social-emotional learning. While the SiMR focused specifically on the reading achievement of students with disabilities in kindergarten through fifth grade, Kansas MTSS and Alignment holistically supported sustainable, districtwide implementation of an integrated reading, math, behavioral, and social-emotional model from early childhood through graduation. By following the framework, each student, specifically students with disabilities, received the instruction and interventions necessary to improve reading, math, behavioral, and social-emotional outcomes.</w:t>
      </w:r>
      <w:r w:rsidRPr="00781112">
        <w:rPr>
          <w:color w:val="000000" w:themeColor="text1"/>
        </w:rPr>
        <w:br/>
      </w:r>
      <w:r w:rsidRPr="00781112">
        <w:rPr>
          <w:color w:val="000000" w:themeColor="text1"/>
        </w:rPr>
        <w:br/>
        <w:t>The evaluation of the SSIP, Coherent Improvement Strategy 3.0, is comprehensive; utilization focused; and designed to support decision making at the classroom, school, district, provider, and state levels. A meta-evaluation, including stakeholder input and feedback, confirmed the evaluation measures, processes, and analyses met the needs of the decision makers at these levels and followed the theory of change and logic model through aligned short-term, medium-term, and long-term outcomes leading to the SiMR.</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 detailed description of how the State evaluated outcomes and each improvement strategy is provided in the Kansas SSIP Evaluation Plan, which directly aligns with the Kansas SSIP Theory of Action and the Kansas SSIP Logic Model. Four short-term metrics monitor improvements in knowledge, skills, and collaboration as measured through observation, participant report, document review, and stakeholder ratings. Four intermediate metrics monitor installation of evidence-based practices as measured through implementation fidelity measures, observation, participant report, and stakeholder feedback. Three long-term metrics monitor the sustained implementation of evidence-based practices including implementation fidelity measures and observation. </w:t>
      </w:r>
      <w:r w:rsidRPr="00781112">
        <w:rPr>
          <w:color w:val="000000" w:themeColor="text1"/>
        </w:rPr>
        <w:br/>
      </w:r>
      <w:r w:rsidRPr="00781112">
        <w:rPr>
          <w:color w:val="000000" w:themeColor="text1"/>
        </w:rPr>
        <w:br/>
        <w:t xml:space="preserve">Coherent Improvement Strategy 1.0 focused on improving the infrastructure. Activities in place for sustainability include monitoring the delivery of professional development and technical assistance, facilitating communication and collaboration across all levels of stakeholders, and aligning resources across the KSDE and TASN providers. A document review was conducted to evaluate the collaborative efforts and determine increased alignment of the KSDE infrastructures that facilitated the implementation of the Kansas MTSS and Alignment framework. A review and analysis consisting of 239 documents indicated high levels of message alignment across the KSDE divisions, among TASN providers, and across stakeholder groups. The collective message was instrumental in systems alignment that supports districts in the implementation of a tiered framework of supports that improves reading, math, behavioral, and social-emotional achievement of students, specifically students with disabilities, from early childhood through graduation. While the document review found numerous discussions of challenges associated with educating children during a pandemic, stakeholder meetings, including the Special Education Advisory Council, the TASN Leadership Team, the State Board of Education, and the Special Education Administrators’ Workgroup, remained focused on the tenants of MTSS as a means to maintain implementation of evidence-based practices while being flexible in learning modalities and timelines. </w:t>
      </w:r>
      <w:r w:rsidRPr="00781112">
        <w:rPr>
          <w:color w:val="000000" w:themeColor="text1"/>
        </w:rPr>
        <w:br/>
      </w:r>
      <w:r w:rsidRPr="00781112">
        <w:rPr>
          <w:color w:val="000000" w:themeColor="text1"/>
        </w:rPr>
        <w:br/>
        <w:t xml:space="preserve">Improvement Strategy 1.0 included the alignment of state policies and priorities necessary to support comprehensive school improvement through collaborative, data-based decisions. To promote shared understanding, the KSDE hosted a virtual KSDE Summer Leadership Conference. In FFY 2020, the conference had 693 registrants, including numerous stakeholder groups. A breakdown of the attendees included 37 KSDE staff members, 45 TASN providers (including 11 Kansas MTSS and Alignment staff members), 441 district personnel, 138 personnel from other educational agencies, six members of KSDE special education monitoring TA Team, four university staff members, two representatives of the Kansas Parent Training and Information Center (PTI), and 20 representatives of various other organizations. All 41 (100%) of Kansas’ special education cooperatives/interlocals were represented at the FFY 2020 conference, and representatives were present for all 33 (100%) of the districts that do not use a cooperative or interlocal for special education services. Recorded conference sessions were made public, resulting in 122 resources for educational leaders focused on compliance and evidence-based practices that promote achievement for students with disabilities. </w:t>
      </w:r>
      <w:r w:rsidRPr="00781112">
        <w:rPr>
          <w:color w:val="000000" w:themeColor="text1"/>
        </w:rPr>
        <w:br/>
      </w:r>
      <w:r w:rsidRPr="00781112">
        <w:rPr>
          <w:color w:val="000000" w:themeColor="text1"/>
        </w:rPr>
        <w:br/>
        <w:t xml:space="preserve">Coherent Improvement Strategy 2.0 concentrated on the implementation of evidence-based practices within LEAs. The expanded TASN system fully implemented the Kansas MTSS and Alignment project in FFY 2015. Implementation was continuously sustained and scaled up through FFY 2020. During FFY 2016, the Kansas MTSS and Alignment project provided intensive coaching in implementation of Kansas MTSS and Alignment structures to 18 Kansas school districts encompassing 87 buildings and 32,255 students, including 5,460 students with disabilities. During FFY 2017, this expanded to 31 Kansas school districts encompassing 266 buildings and 128,604 students, including 18,501 students with disabilities. In FFY 2018, this expanded to 43 Kansas school districts encompassing 307 buildings and 140,075 students, including 20,954 students with disabilities. In FFY 2019, this included 51 Kansas school districts encompassing 271 buildings and 105,851 students, including 16,298 students with disabilities. In FFY 2020, this intensive training and coaching was provided to 60 Kansas school districts encompassing 353 buildings and 138,081 students, including 22,080 students with disabilities. </w:t>
      </w:r>
      <w:r w:rsidRPr="00781112">
        <w:rPr>
          <w:color w:val="000000" w:themeColor="text1"/>
        </w:rPr>
        <w:br/>
      </w:r>
      <w:r w:rsidRPr="00781112">
        <w:rPr>
          <w:color w:val="000000" w:themeColor="text1"/>
        </w:rPr>
        <w:br/>
        <w:t xml:space="preserve">The practices within Kansas MTSS and Alignment include provision of evidence-based core and intervention curricula, universal screening, progress monitoring, data-based decision making, and family engagement. Data analyses resulted in district- and building-level action planning to continually enhance and refine implementation. In FFY 2020, Kansas MTSS and Alignment staff supported 185 Kansas school districts, including providing nine statewide webinars with 1,452 registrations. The MTSS State Trainers worked intensely within 60 of these districts, providing 185 trainings, with 2,112 registrations, and 257 onsite or virtual coaching events. As a measure of knowledge and skill development, a TASN evaluator observed six of the 185 Kansas MTSS and Alignment trainings. The evaluation of the training data revealed that each of the trainings met all indicators (100%) related to knowledge and skill development according to the Observation Checklist for High-Quality Professional Development—Version 3 (Gaumer Erickson et </w:t>
      </w:r>
      <w:r w:rsidRPr="00781112">
        <w:rPr>
          <w:color w:val="000000" w:themeColor="text1"/>
        </w:rPr>
        <w:lastRenderedPageBreak/>
        <w:t xml:space="preserve">al., 2020). </w:t>
      </w:r>
      <w:r w:rsidRPr="00781112">
        <w:rPr>
          <w:color w:val="000000" w:themeColor="text1"/>
        </w:rPr>
        <w:br/>
      </w:r>
      <w:r w:rsidRPr="00781112">
        <w:rPr>
          <w:color w:val="000000" w:themeColor="text1"/>
        </w:rPr>
        <w:br/>
        <w:t xml:space="preserve">The demonstration of educator collaboration was analyzed using evaluation data collected from ongoing training evaluations and a districtwide instructional staff survey. Kansas SiMR cohort districts completed the Inclusive MTSS Implementation Scale (Gaumer Erickson et al., 2017), an evaluation measure of personal implementation and stakeholder feedback of Kansas MTSS and Alignment constructs. Results from 180 instructional staff in SiMR cohort districts showed collaborative teams and building leadership teams are functioning effectively. For example, 73% of respondents agreed that My collaborative team regularly shares in the responsibility of formal problem solving using data to make decisions, and 74% agreed that Building leadership team decisions are communicated to collaborative teams. </w:t>
      </w:r>
      <w:r w:rsidRPr="00781112">
        <w:rPr>
          <w:color w:val="000000" w:themeColor="text1"/>
        </w:rPr>
        <w:br/>
      </w:r>
      <w:r w:rsidRPr="00781112">
        <w:rPr>
          <w:color w:val="000000" w:themeColor="text1"/>
        </w:rPr>
        <w:br/>
        <w:t xml:space="preserve">Of the 180 instructional staff in the SiMR cohort districts who reported providing Tier 1, Tier 2, or Tier 3 reading instruction on the Inclusive MTSS Implementation Scale (Gaumer Erickson et al., 2017), 90% agreed that All students, including students with disabilities and English learners, are included in core reading instruction; 73% agreed that When screening data indicate need regarding a student's reading, the student is placed in appropriate interventions; 80% agreed that I have the technology and resources that I need to teach the core and/or intervention reading curricula with fidelity; and 86% agreed that My administrators are committed to implementing tiered levels of reading supports, </w:t>
      </w:r>
      <w:r w:rsidRPr="00781112">
        <w:rPr>
          <w:color w:val="000000" w:themeColor="text1"/>
        </w:rPr>
        <w:br/>
      </w:r>
      <w:r w:rsidRPr="00781112">
        <w:rPr>
          <w:color w:val="000000" w:themeColor="text1"/>
        </w:rPr>
        <w:br/>
        <w:t xml:space="preserve">Of the administrators in the SiMR cohort districts, 83% indicated that, for reading, adequate, protected core instructional time had been implemented schoolwide, and 100% indicated that the school had a process for regularly sharing data with staff. </w:t>
      </w:r>
      <w:r w:rsidRPr="00781112">
        <w:rPr>
          <w:color w:val="000000" w:themeColor="text1"/>
        </w:rPr>
        <w:br/>
      </w:r>
      <w:r w:rsidRPr="00781112">
        <w:rPr>
          <w:color w:val="000000" w:themeColor="text1"/>
        </w:rPr>
        <w:br/>
        <w:t>The Kansas MTSS and Alignment State Trainers provided ongoing coaching, along with observations and walk-throughs to promote implementation and verify data from other measures. Process measures included the Classroom Walkthrough Tool, the Classroom Intervention Fidelity Checklist, and inquiry cycle documentation. Together, implementation fidelity results demonstrated that, through the support of Kansas MTSS and Alignment, schools install and then improve implementation of evidence-based practices.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Coherent Improvement Strategy 3.0 focused on evaluation of the Kansas SSIP. All the identified activities have been implemented and sustained across multiple years. Qualitative and quantitative measures included observations, document reviews, stakeholder surveys, fidelity measures, and student-progress data. Evaluation data demonstrated that stakeholders were integral to decision making, progress was monitored, and adjustments were determined based on data. The quality of the data was examined for limitations that could affect the implementation of the SSIP. To ensure that quality of the evaluation was not affected, policies and procedures of Kansas Data Quality Assurance were closely monitored. The KSDE Data Quality Assurance policies include training and data certification of district staff. Furthermore, the TASN Evaluation project provided additional data verification. The IDEA Data Center guidance on data collection, analysis, and reporting was reviewed to confirm that Kansas Indicator 17 data are timely, accurate, and complete. Self-correcting feedback loops have been constructed within the context of the evaluation to ensure that data support decision making for schools, districts, TASN providers, and the KSDE. </w:t>
      </w:r>
      <w:r w:rsidRPr="00781112">
        <w:rPr>
          <w:color w:val="000000" w:themeColor="text1"/>
        </w:rPr>
        <w:br/>
      </w:r>
      <w:r w:rsidRPr="00781112">
        <w:rPr>
          <w:color w:val="000000" w:themeColor="text1"/>
        </w:rPr>
        <w:br/>
        <w:t>A meta-evaluation was conducted to ensure the evaluation met the Joint Committee Standards for Educational Evaluation (2010). These standards relate to the utility, accountability, feasibility, propriety, and accuracy of the evaluation. In addition to the evaluation audit and process evaluation conducted by external evaluators, in each year, all TASN providers were asked to provide input on the effectiveness of the TASN system evaluation by completing a survey including both Likert and open-ended response items. When asked how well the TASN Evaluation project performed various duties, a majority of TASN providers responded Working well or Working very well to each survey item. Specifically, more than 90% of TASN providers selected one of these two responses for the items: Build the skills of your team to collect and utilize evaluation data, Provide evaluation data in an easily interpretable manner, Support your project in using data to improve project activities, and Promote meaningful collaboration among TASN providers to build shared capacity. Results were reviewed with the KSDE TASN Leadership Team in order to determine improvements.</w:t>
      </w:r>
      <w:r w:rsidRPr="00781112">
        <w:rPr>
          <w:color w:val="000000" w:themeColor="text1"/>
        </w:rPr>
        <w:br/>
      </w:r>
      <w:r w:rsidRPr="00781112">
        <w:rPr>
          <w:color w:val="000000" w:themeColor="text1"/>
        </w:rPr>
        <w:br/>
        <w:t xml:space="preserve">Data indicate that the coherent improvement strategies should be continued. During the next reporting period, the KSDE will pilot additional supports within the accreditation process that increase alignment to the Kansas MTSS and Alignment constructs and the continuous improvement process. The KSDE will also leverage ESSERS and ESSERS-2 funds to mitigate learning loss by elevating evidence-based practices, including professional learning focused on the science of reading, instructional practices that promote students’ intrapersonal and interpersonal competency development, and the use of curriculum-based general outcome measures that support schools in determining intervention needs and monitoring the rate of improvement and learning for each student. </w:t>
      </w:r>
      <w:r w:rsidRPr="00781112">
        <w:rPr>
          <w:color w:val="000000" w:themeColor="text1"/>
        </w:rPr>
        <w:br/>
      </w:r>
      <w:r w:rsidRPr="00781112">
        <w:rPr>
          <w:color w:val="000000" w:themeColor="text1"/>
        </w:rPr>
        <w:br/>
        <w:t>During the next reporting period, the Kansas MTSS and Alignment team will continue to provide ongoing professional development and coaching to district and school leadership teams across the state. In alignment with the accreditation school-improvement process, The Kansas MTSS and Alignment team will facilitate a professional learning series called Leading for Impact with goals that include developing: (a) collective capacity among district leaders and principals so there are agreed upon processes and practices to overcome equity gaps and mitigate learning loss; (b) collective capacity of school leadership teams to guide school-improvement efforts through continuous and comprehensive inquiry cycles; (c) coherent districtwide system of supports to reduce the variance in student learning growth within and across school sites, and (d) coherent instructional framework consisting of evidence-based practices designed to maximize the impact on student learning.</w:t>
      </w:r>
      <w:r w:rsidRPr="00781112">
        <w:rPr>
          <w:color w:val="000000" w:themeColor="text1"/>
        </w:rPr>
        <w:br/>
      </w:r>
      <w:r w:rsidRPr="00781112">
        <w:rPr>
          <w:color w:val="000000" w:themeColor="text1"/>
        </w:rPr>
        <w:br/>
        <w:t xml:space="preserve">These next steps for infrastructure improvement will focus on data, monitoring and accountability, and professional development. The evaluation of the Kansas SSIP will be maintained and expanded to include any new activities within each coherent improvement strategy. Measures will continue to include observations, document reviews, stakeholder surveys, fidelity measures, and student-progress data.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Through a structured process of districtwide improvement, district and building leadership teams analyzed data, including examining curricula, assessments, leadership, empowering culture, family engagement, reading instruction at all tiers, math instruction at all tiers, behavior and social-emotional learning instruction at all tiers, and the efficacy of building leadership teams and collaborative teams. These data address the evidence-based practices within Kansas MTSS and Alignment. Data analyses resulted in the implementation of district- and building-level action planning to continually enhance and refine the implementation of Kansas MTSS and Alignment tenants.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lastRenderedPageBreak/>
        <w:t xml:space="preserve">The research base for each element of Kansas MTSS and Alignment is outlined at https://www.ksdetasn.org/resources/662. </w:t>
      </w:r>
      <w:r w:rsidRPr="00781112">
        <w:rPr>
          <w:color w:val="000000" w:themeColor="text1"/>
        </w:rPr>
        <w:br/>
        <w:t xml:space="preserve">The K–12 Reading Implementation Guide, available at https://www.ksdetasn.org/resources/2444, describes the evidence-based process for providing tiered reading supports matched to each student’s needs.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0"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0"/>
    <w:p w14:paraId="3E043DB7" w14:textId="7C3B2CD4" w:rsidR="00AE1972" w:rsidRPr="00781112" w:rsidRDefault="00AE1972" w:rsidP="00AE1972">
      <w:pPr>
        <w:rPr>
          <w:b/>
          <w:bCs/>
        </w:rPr>
      </w:pPr>
      <w:r w:rsidRPr="00781112">
        <w:rPr>
          <w:color w:val="000000" w:themeColor="text1"/>
        </w:rPr>
        <w:t xml:space="preserve">During FFY 2020, data from multiple evaluation measures demonstrated that educators have the knowledge and skills necessary to implement the evidence-based practices promoted through the professional learning and technical assistance provided by the Kansas MTSS and Alignment team. During the installation and implementation phases, district and building leadership teams participated in five to six full days of training to develop the necessary structures to implement Kansas MTSS and Alignment. The Kansas MTSS and Alignment State Trainers provided both onsite and virtual coaching following the coaching practices outlined in the NCSI’s Effective Coaching of Teachers: Fidelity Tool Rubric (Pierce, 2014), including adherence to essential ingredients, quality, dose, and participant responsiveness. While the SiMR focused specifically on the reading achievement of students with disabilities in kindergarten through fifth grade, Kansas MTSS and Alignment holistically supported sustainable, districtwide implementation of an integrated reading, math, behavioral, and social-emotional model from early childhood through graduation. By implementing the framework, each student, specifically students with disabilities, received the instruction and interventions necessary to improve reading, math, behavioral, and social-emotional outcomes. District and building leadership teams analyzed data, including examining curricula, assessments, leadership, empowering culture, reading instruction at all tiers, math instruction at all tiers, and behavior and social-emotional learning instruction at all tiers, and the efficacy of building leadership teams and collaborative teams. Further, they collected and analyzed data from key stakeholder groups, including families. Data analyses resulted in the implementation of district- and building-level action planning to continually enhance and refine the implementation of Kansas MTSS and Alignment. Implementation fidelity results demonstrated that, through the support of Kansas MTSS and Alignment, schools installed and then improved implementation of evidence-based practices. By wholistically addressing students’ academic, behavioral, and social-emotional learning needs through a research-based, decision-making process, students will engage more in learning and improve outcomes, including their reading achievement as measured by the SiMR.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The Kansas TASN Evaluation project, in collaboration with KSDE leadership, TASN providers, and stakeholder groups, designed and installed the multiyear Kansas SSIP Evaluation Plan that outlines short- and long-term objectives aligned to the Kansas SSIP Theory of Action and Kansas SSIP Logic Model. The TASN Evaluation project monitors adherence to timelines, implementation, outcomes of infrastructure development, and support for district implementation of evidence-based practices. The evaluation indicators align with the five TASN evaluation outcome domains: (1) Participants increase awareness, knowledge, and skills; (2) Administrators and supervisors create conditions that support implementation; (3) Participants implement evidence-based practices with fidelity; (4) Students and children improve academic, behavioral, and social outcomes; and (5) Schools and organizations sustain implementation with fidelity. </w:t>
      </w:r>
      <w:r w:rsidRPr="00781112">
        <w:rPr>
          <w:color w:val="000000" w:themeColor="text1"/>
        </w:rPr>
        <w:br/>
      </w:r>
      <w:r w:rsidRPr="00781112">
        <w:rPr>
          <w:color w:val="000000" w:themeColor="text1"/>
        </w:rPr>
        <w:br/>
        <w:t>Qualitative and quantitative measures included observations, document reviews, stakeholder surveys, fidelity measures, and student-progress data. Evaluation data demonstrated that stakeholders were integral to decision making, progress was monitored, and adjustments were determined based on data. The evaluation measures and timeline were carefully designed to support data-based decision making in the areas of infrastructure development, alignment, and the implementation of evidence-based practices. At both the state and local levels, improvements are facilitated through the use of a problem-solving approach referred to as the self-correcting feedback loop. By using the self-correcting feedback loop, school and district teams are provided timely data that help guide them to make data-informed decisions at the student, grade, school, and district levels. Kansas MTSS and Alignment State Trainers function as coaches and utilize the data to prioritize improvements in knowledge, skills, and implementation within districts. The KSDE TASN Leadership Team analyzes aggregate student, district, and project data to inform infrastructure development and systems improvements. KSDE leadership, in collaboration with stakeholder groups, utilizes evaluation data to examine the effectiveness of the implementation, measure progress toward achieving intended improvements, and make modifications to the Kansas SSIP as necessary. Utilizing the NCSI SSIP Infrastructure Development and Progress Measurement Tool: Using Implementation Drivers &amp; Stages of Implementation (NCSI, 2018), the Kansas SSIP is in the implementation or sustainability stage within each implementation driver.</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N/A</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The evidence-based practices and process will be maintained during the next reporting period.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color w:val="000000" w:themeColor="text1"/>
        </w:rPr>
        <w:br/>
      </w:r>
      <w:r w:rsidRPr="00781112">
        <w:rPr>
          <w:color w:val="000000" w:themeColor="text1"/>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color w:val="000000" w:themeColor="text1"/>
        </w:rPr>
        <w:br/>
      </w:r>
      <w:r w:rsidRPr="00781112">
        <w:rPr>
          <w:color w:val="000000" w:themeColor="text1"/>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w:t>
      </w:r>
      <w:r w:rsidRPr="00781112">
        <w:rPr>
          <w:color w:val="000000" w:themeColor="text1"/>
        </w:rPr>
        <w:lastRenderedPageBreak/>
        <w:t xml:space="preserve">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color w:val="000000" w:themeColor="text1"/>
        </w:rPr>
        <w:br/>
      </w:r>
      <w:r w:rsidRPr="00781112">
        <w:rPr>
          <w:color w:val="000000" w:themeColor="text1"/>
        </w:rPr>
        <w:br/>
        <w:t>Kansas distributed information on this learning pathway broadly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connected to its distribution networks; local and statewide advocacy organization staff and families connected to their distribution networks; other state agency staff and stakeholders connected to their distribution networks; private schools and organizations that serve primarily students with disabilities and stakeholders connected to their distribution networks; and state commissions focused on the communities of those identifying as a particular race or ethnicity and stakeholders connected to their distribution networks. Kansas also held multiple live, virtual meetings and in-person meetings to walk through the information in this learning pathway with multiple stakeholder groups. These stakeholder groups include, but are not limited to: the five established statewide groups referenced above; education advocates; Families Together staff; families of students with disabilities, hosted by Families Together; the Kansas Integrated Accountability System stakeholder group, made up of special education administrators from each geographical region of the state; Technical Assistance System Network (TASN) providers; and a listening session at the KSDE TASN summer leadership conference.</w:t>
      </w:r>
      <w:r w:rsidRPr="00781112">
        <w:rPr>
          <w:color w:val="000000" w:themeColor="text1"/>
        </w:rPr>
        <w:br/>
      </w:r>
      <w:r w:rsidRPr="00781112">
        <w:rPr>
          <w:color w:val="000000" w:themeColor="text1"/>
        </w:rPr>
        <w:br/>
        <w:t>Following the stakeholder input period, KSDE staff met with SEAC to review all stakeholder input and propose changes to selected result indicator data collection methodologies.  Based on stakeholder feedback, SEAC voted to approve all proposed targets without any changes.</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KSDE used principles of Leading by Convening (Cashman et al., 2014) to engage stakeholders through each phase of the SSIP process and continues to do so on an ongoing basis. Stakeholders at the local and state levels were intentionally informed of the SSIP implementation and were provided a voice in decision making. Stakeholders are represented by persons with disabilities, parents of students with disabilities, teachers, principals, superintendents, higher education faculty, state school staff members, correctional facility staff members, vocational rehabilitation representatives, and other state agencies. Organizations represented by stakeholders include the Kansas Special Education Advisory Council, the Kansas Parent Training and Information Center (PTI), the Kansas Parent Information Resource Center (KPIRC), the Kansas MTSS and Alignment project, the Kansas Learning Network, and the KESA Advisory Council. Additionally included were multiple internal stakeholders from the KSDE Office of the Commissioner, Division of Learning Services, and Special Education and Title Services teams. At the local level, families were engaged as key stakeholders in educational decision making. The TASN Evaluation project, in collaboration with KSDE staff, facilitated input from stakeholder groups, including the Kansas Special Education Advisory Council, KSDE and TASN providers, district and school leadership, school instructional staff, and families. The TASN Evaluation project encouraged these stakeholder groups to ask clarifying questions to determine ease of interpretation, the accuracy of the graphical displays, and the usefulness of the data.</w:t>
      </w:r>
      <w:r w:rsidRPr="00781112">
        <w:rPr>
          <w:color w:val="000000" w:themeColor="text1"/>
        </w:rPr>
        <w:br/>
      </w:r>
      <w:r w:rsidRPr="00781112">
        <w:rPr>
          <w:color w:val="000000" w:themeColor="text1"/>
        </w:rPr>
        <w:br/>
        <w:t>Four virtual TASN Quarterly Meetings were held during FFY 2020. Two key goals of these meetings were (1) to build coherence among KSDE staff and TASN providers and (2) to facilitate collaboration that leads to the effective and efficient use of human capital. Attendance at each meeting averaged 17 KSDE staff, 13 Kansas MTSS and Alignment State Trainers, 44 other TASN providers, and two members of KSDE’s Technical Assistance Team. Additionally, meetings were attended by leadership from the Kansas PTI and KPIRC. The TASN Quarterly Meeting evaluation data revealed that participants found the meetings to be relevant, useful, and of high quality. Following each meeting, participants were asked to rate items on a survey using a scale from 1 (Strongly Disagree) to 5 (Strongly Agree). Meeting participants provided an average rating of 4.45 for the item I understand how the content/practice is intended to improve outcomes for children and youth; 4.40 for the item I will use the content or implement the practice(s) from this training; and 4.38 for the item Overall, the training was of high quality.</w:t>
      </w:r>
      <w:r w:rsidRPr="00781112">
        <w:rPr>
          <w:color w:val="000000" w:themeColor="text1"/>
        </w:rPr>
        <w:br/>
      </w:r>
      <w:r w:rsidRPr="00781112">
        <w:rPr>
          <w:color w:val="000000" w:themeColor="text1"/>
        </w:rPr>
        <w:br/>
        <w:t>Kansas MTSS and Alignment project leadership shared data with the KSDE through the formal TASN meeting structures and actively participated on KSDE advisory councils and workgroups. The Kansas MTSS and Alignment project received ongoing feedback from district leadership through the series of in-district trainings and coaching visits. The TASN Evaluation project verified data-based decision making and data sharing through document analyses and observations at meetings and trainings. To facilitate the communication of data, the TASN Evaluation project developed a Kansas MTSS and Alignment Evaluation Brief (available at https://ksdetasn.org/evaluation/tasn-provider-evaluation-briefs), which was disseminated to KSDE staff and other stakeholder groups. Stakeholder involvement informed training, coaching, and technical assistance for all implementation drivers and all stages of implementation. Stakeholders included district personnel, community and family members, and state-level stakeholder groups.</w:t>
      </w:r>
      <w:r w:rsidRPr="00781112">
        <w:rPr>
          <w:color w:val="000000" w:themeColor="text1"/>
        </w:rPr>
        <w:br/>
      </w:r>
      <w:r w:rsidRPr="00781112">
        <w:rPr>
          <w:color w:val="000000" w:themeColor="text1"/>
        </w:rPr>
        <w:br/>
        <w:t>The Family Engagement Survey (Noonan et al., 2015) was deployed to gain feedback from family stakeholders. The survey is based on the National PTA Standards for Family–School Partnerships, and items are separated into the domains of Welcoming Environment, Supporting Student Learning, Effective Communication, Sharing Power and Advocacy, and Community Involvement. Results indicate that SiMR cohort families, including 2,787 responses in FFY 2015; 2,103 responses in FFY 2016; 2,405 responses in FFY 2017; 2,578 responses in FFY 2018; 2,240 responses in FFY 2019; and 2,529 responses in FFY 2020, continue to be engaged in decision making for their children. For example, 82% agreed that I’m provided understandable data on my child’s progress, and 77% agreed that I have a good working relationship with school staff in which we solve problems together.</w:t>
      </w:r>
      <w:r w:rsidRPr="00781112">
        <w:rPr>
          <w:color w:val="000000" w:themeColor="text1"/>
        </w:rPr>
        <w:br/>
      </w:r>
      <w:r w:rsidRPr="00781112">
        <w:rPr>
          <w:color w:val="000000" w:themeColor="text1"/>
        </w:rPr>
        <w:br/>
        <w:t xml:space="preserve">District and building leadership teams reviewed building- and district-level Family Engagement Survey (Noonan et al., 2015) data to identify strengths and target specific areas for improvement. Through the online data collection portal, districts launched the survey and could review results in real time, family members had the option to complete the survey in one of five languages, and easy-to-interpret data displays were auto-generated for each school and for the district overall. The composite school- and district-level reports were also generated in each language in order to promote the sharing of these data with families. Specific actions related to family engagement included developing a process for regularly sharing data with all families and embedding family engagement into the implementation protocol for reading interventions.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Following the established process set forth by the KSDE, questions from stakeholders were addressed through the established self-correcting feedback loops. When needed, additional data were gathered and analyzed to fully answer the questions posed by stakeholder groups. A concern was posed by the chair of the Special Education Advisory Council on whether the KSDE TASN services were equally useful to large and small districts across the state. The KSDE, with support from the TASN Evaluation team, sought feedback from district administration across all LEAs in the state in order to better determine the usefulness of TASN resources and professional learning. Administrators, representing 70% of school districts and 88% of special education organizations, provided feedback. These 312 administrators were asked to rank order the type of supports they believed TASN should focus on providing. Both general and special education administrators ranked consultation/technical assistance as the top priority, followed by ongoing professional development. They also identified practices that have improved as a result of TASN professional development, with the most commonly </w:t>
      </w:r>
      <w:r w:rsidRPr="00781112">
        <w:rPr>
          <w:color w:val="000000" w:themeColor="text1"/>
        </w:rPr>
        <w:lastRenderedPageBreak/>
        <w:t>identified improvements in: (1) Tiered academic supports; (2) Tiered behavioral and social-emotional supports; (3) Co-teaching; (4) Data collection, root cause analysis, and/or data-based decision making; (5) Support for students with complex or challenging behaviors; and (6) Trauma-responsive practices. The data indicated that the vast majority of administrators viewed TASN services as valuable and meeting their needs.</w:t>
      </w:r>
      <w:r w:rsidRPr="00781112">
        <w:rPr>
          <w:color w:val="000000" w:themeColor="text1"/>
        </w:rPr>
        <w:br/>
      </w:r>
      <w:r w:rsidRPr="00781112">
        <w:rPr>
          <w:color w:val="000000" w:themeColor="text1"/>
        </w:rPr>
        <w:br/>
        <w:t>In reflecting on the results for students, these administrators most commonly identified improvements in academic achievement; social skills; individualized, specialized instruction and support based on student needs; inclusive practices for students with disabilities; engagement in school; resilience, self-determination, and social-emotional wellbeing; and family engagement. These results showed that the professional development and technical assistance provided through the KSDE TASN is meeting the needs of LEAs. As one superintendent expressed, “TASN is a team of passionate, knowledgeable people who will help you move the needle in helping your students.” A summary of all data was shared and discussed with the Special Education Advisory Council at a virtual council meeting and next steps were determined. A collaboratively identified next step included expanding the information shared about TASN to professional groups and families in order to increase awareness of resources and professional development opportunities across the state.</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N/A</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1"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Kerry Haag</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Director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khaag@ksde.org</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785 291 3098</w:t>
      </w:r>
    </w:p>
    <w:bookmarkEnd w:id="91"/>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04/27/22 10:33:58 AM</w:t>
      </w:r>
    </w:p>
    <w:p w14:paraId="596B3C30" w14:textId="1E72866A" w:rsidR="00755AF7" w:rsidRDefault="00755AF7" w:rsidP="00EE4B59">
      <w:pPr>
        <w:rPr>
          <w:rFonts w:cs="Arial"/>
          <w:color w:val="000000" w:themeColor="text1"/>
          <w:szCs w:val="16"/>
        </w:rPr>
      </w:pPr>
    </w:p>
    <w:p w14:paraId="5162B972" w14:textId="77777777" w:rsidR="00D74637" w:rsidRDefault="00D74637">
      <w:pPr>
        <w:spacing w:before="0" w:after="200" w:line="276" w:lineRule="auto"/>
        <w:rPr>
          <w:rFonts w:eastAsiaTheme="majorEastAsia" w:cstheme="majorBidi"/>
          <w:b/>
          <w:bCs/>
          <w:color w:val="000000" w:themeColor="text1"/>
          <w:sz w:val="20"/>
          <w:szCs w:val="28"/>
        </w:rPr>
      </w:pPr>
      <w:r>
        <w:rPr>
          <w:color w:val="000000" w:themeColor="text1"/>
        </w:rPr>
        <w:br w:type="page"/>
      </w:r>
    </w:p>
    <w:p w14:paraId="2255232B" w14:textId="1604CE15" w:rsidR="00977892" w:rsidRDefault="00977892" w:rsidP="00977892">
      <w:pPr>
        <w:pStyle w:val="Heading1"/>
        <w:rPr>
          <w:color w:val="000000" w:themeColor="text1"/>
        </w:rPr>
      </w:pPr>
      <w:r>
        <w:rPr>
          <w:color w:val="000000" w:themeColor="text1"/>
        </w:rPr>
        <w:lastRenderedPageBreak/>
        <w:t>ED Attachments</w:t>
      </w:r>
    </w:p>
    <w:p w14:paraId="6F76946B" w14:textId="77777777" w:rsidR="00977892" w:rsidRPr="00977892" w:rsidRDefault="00977892" w:rsidP="00977892"/>
    <w:p w14:paraId="2A9B493B" w14:textId="3DE33FEB" w:rsidR="00977892" w:rsidRPr="00781112" w:rsidRDefault="00977892" w:rsidP="00EE4B59">
      <w:pPr>
        <w:rPr>
          <w:rFonts w:cs="Arial"/>
          <w:color w:val="000000" w:themeColor="text1"/>
          <w:szCs w:val="16"/>
        </w:rPr>
      </w:pPr>
      <w:r>
        <w:rPr>
          <w:rFonts w:cs="Arial"/>
          <w:color w:val="000000" w:themeColor="text1"/>
          <w:szCs w:val="16"/>
        </w:rPr>
        <w:object w:dxaOrig="1540" w:dyaOrig="997" w14:anchorId="783D897C">
          <v:shape id="_x0000_i1026" type="#_x0000_t75" alt="KS-B-Dispute-Resolution-2020-21" style="width:76.4pt;height:50.4pt" o:ole="">
            <v:imagedata r:id="rId12" o:title=""/>
          </v:shape>
          <o:OLEObject Type="Embed" ProgID="Acrobat.Document.DC" ShapeID="_x0000_i1026" DrawAspect="Icon" ObjectID="_1726413794" r:id="rId13"/>
        </w:object>
      </w:r>
      <w:r w:rsidR="00776C44">
        <w:rPr>
          <w:rFonts w:cs="Arial"/>
          <w:color w:val="000000" w:themeColor="text1"/>
          <w:szCs w:val="16"/>
        </w:rPr>
        <w:object w:dxaOrig="1579" w:dyaOrig="1022" w14:anchorId="35743B35">
          <v:shape id="_x0000_i1030" type="#_x0000_t75" alt="KS-2022DataRubricPartB&#10;" style="width:79.2pt;height:50.7pt" o:ole="">
            <v:imagedata r:id="rId14" o:title=""/>
          </v:shape>
          <o:OLEObject Type="Embed" ProgID="Excel.Sheet.12" ShapeID="_x0000_i1030" DrawAspect="Icon" ObjectID="_1726413795" r:id="rId15"/>
        </w:object>
      </w:r>
      <w:r w:rsidR="00E76472">
        <w:rPr>
          <w:rFonts w:cs="Arial"/>
          <w:color w:val="000000" w:themeColor="text1"/>
          <w:szCs w:val="16"/>
        </w:rPr>
        <w:object w:dxaOrig="1540" w:dyaOrig="997" w14:anchorId="7F955192">
          <v:shape id="_x0000_i1028" type="#_x0000_t75" alt="ks-resultsmatrix-2022b&#10;" style="width:77.3pt;height:49.45pt" o:ole="">
            <v:imagedata r:id="rId16" o:title=""/>
          </v:shape>
          <o:OLEObject Type="Embed" ProgID="Acrobat.Document.DC" ShapeID="_x0000_i1028" DrawAspect="Icon" ObjectID="_1726413796" r:id="rId17"/>
        </w:object>
      </w:r>
    </w:p>
    <w:sectPr w:rsidR="00977892"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6CBC" w14:textId="77777777" w:rsidR="0011721E" w:rsidRDefault="0011721E" w:rsidP="000802F7">
      <w:pPr>
        <w:spacing w:before="0" w:after="0"/>
      </w:pPr>
      <w:r>
        <w:separator/>
      </w:r>
    </w:p>
  </w:endnote>
  <w:endnote w:type="continuationSeparator" w:id="0">
    <w:p w14:paraId="0EC986C5" w14:textId="77777777" w:rsidR="0011721E" w:rsidRDefault="0011721E" w:rsidP="000802F7">
      <w:pPr>
        <w:spacing w:before="0" w:after="0"/>
      </w:pPr>
      <w:r>
        <w:continuationSeparator/>
      </w:r>
    </w:p>
  </w:endnote>
  <w:endnote w:type="continuationNotice" w:id="1">
    <w:p w14:paraId="1BE6A3F7" w14:textId="77777777" w:rsidR="0011721E" w:rsidRDefault="001172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4A32" w14:textId="77777777" w:rsidR="0011721E" w:rsidRDefault="0011721E" w:rsidP="000802F7">
      <w:pPr>
        <w:spacing w:before="0" w:after="0"/>
      </w:pPr>
      <w:r>
        <w:separator/>
      </w:r>
    </w:p>
  </w:footnote>
  <w:footnote w:type="continuationSeparator" w:id="0">
    <w:p w14:paraId="33BC7A00" w14:textId="77777777" w:rsidR="0011721E" w:rsidRDefault="0011721E" w:rsidP="000802F7">
      <w:pPr>
        <w:spacing w:before="0" w:after="0"/>
      </w:pPr>
      <w:r>
        <w:continuationSeparator/>
      </w:r>
    </w:p>
  </w:footnote>
  <w:footnote w:type="continuationNotice" w:id="1">
    <w:p w14:paraId="2038BE82" w14:textId="77777777" w:rsidR="0011721E" w:rsidRDefault="0011721E">
      <w:pPr>
        <w:spacing w:before="0" w:after="0"/>
      </w:pPr>
    </w:p>
  </w:footnote>
  <w:footnote w:id="2">
    <w:p w14:paraId="4FE899F5" w14:textId="3103B348" w:rsidR="00977892" w:rsidRPr="00977892" w:rsidRDefault="00977892">
      <w:pPr>
        <w:pStyle w:val="FootnoteText"/>
        <w:rPr>
          <w:sz w:val="16"/>
          <w:szCs w:val="16"/>
        </w:rPr>
      </w:pPr>
      <w:r w:rsidRPr="00977892">
        <w:rPr>
          <w:rStyle w:val="FootnoteReference"/>
          <w:sz w:val="16"/>
          <w:szCs w:val="16"/>
        </w:rPr>
        <w:footnoteRef/>
      </w:r>
      <w:r w:rsidRPr="00977892">
        <w:rPr>
          <w:sz w:val="16"/>
          <w:szCs w:val="16"/>
        </w:rPr>
        <w:t xml:space="preserve"> Prior to the FFY 2020 submission, the State used a different data source to report data under this indicator.</w:t>
      </w:r>
    </w:p>
  </w:footnote>
  <w:footnote w:id="3">
    <w:p w14:paraId="609EC6A2" w14:textId="2E08D0DC" w:rsidR="00A265F6" w:rsidRPr="00A265F6" w:rsidRDefault="00A265F6" w:rsidP="00A265F6">
      <w:pPr>
        <w:spacing w:before="0" w:after="0"/>
        <w:rPr>
          <w:rFonts w:eastAsia="Times New Roman" w:cs="Arial"/>
          <w:color w:val="000000"/>
          <w:szCs w:val="16"/>
        </w:rPr>
      </w:pPr>
      <w:r>
        <w:rPr>
          <w:rStyle w:val="FootnoteReference"/>
        </w:rPr>
        <w:footnoteRef/>
      </w:r>
      <w:r>
        <w:t xml:space="preserve"> </w:t>
      </w:r>
      <w:r w:rsidRPr="00A265F6">
        <w:rPr>
          <w:rFonts w:eastAsia="Times New Roman" w:cs="Arial"/>
          <w:color w:val="000000"/>
          <w:szCs w:val="16"/>
        </w:rPr>
        <w:t>Percentage blurred due to privacy protection</w:t>
      </w:r>
    </w:p>
  </w:footnote>
  <w:footnote w:id="4">
    <w:p w14:paraId="3A052A00" w14:textId="77777777" w:rsidR="00A265F6" w:rsidRPr="00A265F6" w:rsidRDefault="00A265F6" w:rsidP="00A265F6">
      <w:pPr>
        <w:spacing w:before="0" w:after="0"/>
        <w:rPr>
          <w:rFonts w:eastAsia="Times New Roman" w:cs="Arial"/>
          <w:color w:val="000000"/>
          <w:szCs w:val="16"/>
        </w:rPr>
      </w:pPr>
      <w:r>
        <w:rPr>
          <w:rStyle w:val="FootnoteReference"/>
        </w:rPr>
        <w:footnoteRef/>
      </w:r>
      <w:r>
        <w:t xml:space="preserve"> </w:t>
      </w:r>
      <w:r w:rsidRPr="00A265F6">
        <w:rPr>
          <w:rFonts w:eastAsia="Times New Roman" w:cs="Arial"/>
          <w:color w:val="000000"/>
          <w:szCs w:val="16"/>
        </w:rPr>
        <w:t>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657782">
    <w:abstractNumId w:val="23"/>
  </w:num>
  <w:num w:numId="2" w16cid:durableId="1411847892">
    <w:abstractNumId w:val="11"/>
  </w:num>
  <w:num w:numId="3" w16cid:durableId="1092168068">
    <w:abstractNumId w:val="21"/>
  </w:num>
  <w:num w:numId="4" w16cid:durableId="1233782645">
    <w:abstractNumId w:val="25"/>
  </w:num>
  <w:num w:numId="5" w16cid:durableId="1367146850">
    <w:abstractNumId w:val="0"/>
  </w:num>
  <w:num w:numId="6" w16cid:durableId="973562428">
    <w:abstractNumId w:val="16"/>
  </w:num>
  <w:num w:numId="7" w16cid:durableId="552234181">
    <w:abstractNumId w:val="8"/>
  </w:num>
  <w:num w:numId="8" w16cid:durableId="1223832689">
    <w:abstractNumId w:val="10"/>
  </w:num>
  <w:num w:numId="9" w16cid:durableId="1248342438">
    <w:abstractNumId w:val="12"/>
  </w:num>
  <w:num w:numId="10" w16cid:durableId="2108234548">
    <w:abstractNumId w:val="14"/>
  </w:num>
  <w:num w:numId="11" w16cid:durableId="754013922">
    <w:abstractNumId w:val="18"/>
  </w:num>
  <w:num w:numId="12" w16cid:durableId="536359259">
    <w:abstractNumId w:val="20"/>
  </w:num>
  <w:num w:numId="13" w16cid:durableId="1998260587">
    <w:abstractNumId w:val="9"/>
  </w:num>
  <w:num w:numId="14" w16cid:durableId="302850779">
    <w:abstractNumId w:val="15"/>
  </w:num>
  <w:num w:numId="15" w16cid:durableId="162165299">
    <w:abstractNumId w:val="13"/>
  </w:num>
  <w:num w:numId="16" w16cid:durableId="618225421">
    <w:abstractNumId w:val="22"/>
  </w:num>
  <w:num w:numId="17" w16cid:durableId="491143909">
    <w:abstractNumId w:val="2"/>
  </w:num>
  <w:num w:numId="18" w16cid:durableId="120269032">
    <w:abstractNumId w:val="7"/>
  </w:num>
  <w:num w:numId="19" w16cid:durableId="6059838">
    <w:abstractNumId w:val="1"/>
  </w:num>
  <w:num w:numId="20" w16cid:durableId="2091075316">
    <w:abstractNumId w:val="19"/>
  </w:num>
  <w:num w:numId="21" w16cid:durableId="1247112676">
    <w:abstractNumId w:val="24"/>
  </w:num>
  <w:num w:numId="22" w16cid:durableId="1202212165">
    <w:abstractNumId w:val="6"/>
  </w:num>
  <w:num w:numId="23" w16cid:durableId="1443646794">
    <w:abstractNumId w:val="3"/>
  </w:num>
  <w:num w:numId="24" w16cid:durableId="46148797">
    <w:abstractNumId w:val="4"/>
  </w:num>
  <w:num w:numId="25" w16cid:durableId="759369634">
    <w:abstractNumId w:val="5"/>
  </w:num>
  <w:num w:numId="26" w16cid:durableId="147301778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21E"/>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7D1"/>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C44"/>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117"/>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892"/>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65F6"/>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40"/>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637"/>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47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34D"/>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199314075">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290D1-5A07-4D2A-AF6A-9B80431C5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89bf3613-0818-48da-aadf-73420b6d0357"/>
    <ds:schemaRef ds:uri="http://purl.org/dc/elements/1.1/"/>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78</Pages>
  <Words>46251</Words>
  <Characters>263633</Characters>
  <Application>Microsoft Office Word</Application>
  <DocSecurity>0</DocSecurity>
  <Lines>2196</Lines>
  <Paragraphs>618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2022-08-09T17:58:00Z</dcterms:created>
  <dcterms:modified xsi:type="dcterms:W3CDTF">2022-10-04T22:37:00Z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12f73b78-043e-4937-a26b-866781e10550</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